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6A03ED" w14:textId="77777777" w:rsidR="00F178E4" w:rsidRDefault="00F178E4" w:rsidP="00F178E4">
      <w:pPr>
        <w:rPr>
          <w:rFonts w:ascii="Times New Roman" w:hAnsi="Times New Roman" w:cs="Times New Roman"/>
          <w:b/>
          <w:bCs/>
          <w:sz w:val="36"/>
          <w:szCs w:val="36"/>
          <w:lang w:val="en-US"/>
        </w:rPr>
      </w:pPr>
      <w:r>
        <w:rPr>
          <w:noProof/>
        </w:rPr>
        <w:drawing>
          <wp:anchor distT="0" distB="0" distL="114300" distR="114300" simplePos="0" relativeHeight="251659264" behindDoc="1" locked="0" layoutInCell="1" allowOverlap="1" wp14:anchorId="34383787" wp14:editId="6BB70BFC">
            <wp:simplePos x="0" y="0"/>
            <wp:positionH relativeFrom="margin">
              <wp:align>left</wp:align>
            </wp:positionH>
            <wp:positionV relativeFrom="paragraph">
              <wp:posOffset>14057</wp:posOffset>
            </wp:positionV>
            <wp:extent cx="2144111" cy="1277007"/>
            <wp:effectExtent l="0" t="0" r="8890" b="0"/>
            <wp:wrapNone/>
            <wp:docPr id="2" name="Picture 2" descr="Afbeeldingsresultaat voor Radboud logo"/>
            <wp:cNvGraphicFramePr/>
            <a:graphic xmlns:a="http://schemas.openxmlformats.org/drawingml/2006/main">
              <a:graphicData uri="http://schemas.openxmlformats.org/drawingml/2006/picture">
                <pic:pic xmlns:pic="http://schemas.openxmlformats.org/drawingml/2006/picture">
                  <pic:nvPicPr>
                    <pic:cNvPr id="2" name="Picture 2" descr="Afbeeldingsresultaat voor Radboud logo"/>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44111" cy="1277007"/>
                    </a:xfrm>
                    <a:prstGeom prst="rect">
                      <a:avLst/>
                    </a:prstGeom>
                    <a:noFill/>
                  </pic:spPr>
                </pic:pic>
              </a:graphicData>
            </a:graphic>
            <wp14:sizeRelH relativeFrom="page">
              <wp14:pctWidth>0</wp14:pctWidth>
            </wp14:sizeRelH>
            <wp14:sizeRelV relativeFrom="page">
              <wp14:pctHeight>0</wp14:pctHeight>
            </wp14:sizeRelV>
          </wp:anchor>
        </w:drawing>
      </w:r>
    </w:p>
    <w:p w14:paraId="162587E5" w14:textId="77777777" w:rsidR="00F178E4" w:rsidRDefault="00F178E4" w:rsidP="00F178E4">
      <w:pPr>
        <w:rPr>
          <w:rFonts w:ascii="Times New Roman" w:hAnsi="Times New Roman" w:cs="Times New Roman"/>
          <w:b/>
          <w:bCs/>
          <w:sz w:val="36"/>
          <w:szCs w:val="36"/>
          <w:lang w:val="en-US"/>
        </w:rPr>
      </w:pPr>
    </w:p>
    <w:p w14:paraId="38DB2C24" w14:textId="77777777" w:rsidR="00F178E4" w:rsidRDefault="00F178E4" w:rsidP="00F178E4">
      <w:pPr>
        <w:rPr>
          <w:rFonts w:ascii="Times New Roman" w:hAnsi="Times New Roman" w:cs="Times New Roman"/>
          <w:b/>
          <w:bCs/>
          <w:sz w:val="36"/>
          <w:szCs w:val="36"/>
          <w:lang w:val="en-US"/>
        </w:rPr>
      </w:pPr>
    </w:p>
    <w:p w14:paraId="4B3933A6" w14:textId="77777777" w:rsidR="00F178E4" w:rsidRDefault="00F178E4" w:rsidP="00F178E4">
      <w:pPr>
        <w:rPr>
          <w:rFonts w:ascii="Times New Roman" w:hAnsi="Times New Roman" w:cs="Times New Roman"/>
          <w:b/>
          <w:bCs/>
          <w:sz w:val="36"/>
          <w:szCs w:val="36"/>
          <w:lang w:val="en-US"/>
        </w:rPr>
      </w:pPr>
    </w:p>
    <w:p w14:paraId="6C7F4796" w14:textId="77777777" w:rsidR="00F178E4" w:rsidRDefault="00F178E4" w:rsidP="00F178E4">
      <w:pPr>
        <w:rPr>
          <w:rFonts w:ascii="Times New Roman" w:hAnsi="Times New Roman" w:cs="Times New Roman"/>
          <w:b/>
          <w:bCs/>
          <w:sz w:val="36"/>
          <w:szCs w:val="36"/>
          <w:lang w:val="en-US"/>
        </w:rPr>
      </w:pPr>
    </w:p>
    <w:p w14:paraId="69EA2EFD" w14:textId="77777777" w:rsidR="00F178E4" w:rsidRDefault="00F178E4" w:rsidP="00F178E4">
      <w:pPr>
        <w:rPr>
          <w:rFonts w:ascii="Times New Roman" w:hAnsi="Times New Roman" w:cs="Times New Roman"/>
          <w:b/>
          <w:bCs/>
          <w:sz w:val="36"/>
          <w:szCs w:val="36"/>
          <w:lang w:val="en-US"/>
        </w:rPr>
      </w:pPr>
    </w:p>
    <w:p w14:paraId="58199685" w14:textId="77777777" w:rsidR="00F178E4" w:rsidRDefault="00F178E4" w:rsidP="00F178E4">
      <w:pPr>
        <w:rPr>
          <w:rFonts w:ascii="Times New Roman" w:hAnsi="Times New Roman" w:cs="Times New Roman"/>
          <w:b/>
          <w:bCs/>
          <w:sz w:val="36"/>
          <w:szCs w:val="36"/>
          <w:lang w:val="en-US"/>
        </w:rPr>
      </w:pPr>
    </w:p>
    <w:p w14:paraId="68B05AC2" w14:textId="77777777" w:rsidR="00F178E4" w:rsidRDefault="00F178E4" w:rsidP="00F178E4">
      <w:pPr>
        <w:rPr>
          <w:rFonts w:ascii="Times New Roman" w:hAnsi="Times New Roman" w:cs="Times New Roman"/>
          <w:b/>
          <w:bCs/>
          <w:sz w:val="36"/>
          <w:szCs w:val="36"/>
          <w:lang w:val="en-US"/>
        </w:rPr>
      </w:pPr>
    </w:p>
    <w:p w14:paraId="5096BAA3" w14:textId="78F35889" w:rsidR="00F178E4" w:rsidRDefault="00D7336D" w:rsidP="00F178E4">
      <w:pPr>
        <w:rPr>
          <w:rFonts w:ascii="Times New Roman" w:hAnsi="Times New Roman" w:cs="Times New Roman"/>
          <w:b/>
          <w:bCs/>
          <w:sz w:val="36"/>
          <w:szCs w:val="36"/>
          <w:lang w:val="en-US"/>
        </w:rPr>
      </w:pPr>
      <w:r>
        <w:rPr>
          <w:rFonts w:ascii="Times New Roman" w:hAnsi="Times New Roman" w:cs="Times New Roman"/>
          <w:b/>
          <w:bCs/>
          <w:sz w:val="36"/>
          <w:szCs w:val="36"/>
          <w:lang w:val="en-US"/>
        </w:rPr>
        <w:t>Institutional structure: enabler or inhibitor?</w:t>
      </w:r>
    </w:p>
    <w:p w14:paraId="2A988658" w14:textId="77ED9AE7" w:rsidR="00D7336D" w:rsidRPr="00D7336D" w:rsidRDefault="00D7336D" w:rsidP="00F178E4">
      <w:pPr>
        <w:rPr>
          <w:rFonts w:ascii="Times New Roman" w:hAnsi="Times New Roman" w:cs="Times New Roman"/>
          <w:i/>
          <w:iCs/>
          <w:sz w:val="28"/>
          <w:szCs w:val="28"/>
          <w:lang w:val="en-US"/>
        </w:rPr>
      </w:pPr>
      <w:r w:rsidRPr="00D7336D">
        <w:rPr>
          <w:rFonts w:ascii="Times New Roman" w:hAnsi="Times New Roman" w:cs="Times New Roman"/>
          <w:i/>
          <w:iCs/>
          <w:sz w:val="28"/>
          <w:szCs w:val="28"/>
          <w:lang w:val="en-US"/>
        </w:rPr>
        <w:t>A closer look at the role of institutions in the economic transition of Latvia &amp; Bulgaria</w:t>
      </w:r>
    </w:p>
    <w:p w14:paraId="4182EA36" w14:textId="41DE6119" w:rsidR="00F178E4" w:rsidRPr="00647382" w:rsidRDefault="00F178E4" w:rsidP="00F178E4">
      <w:pPr>
        <w:rPr>
          <w:rFonts w:ascii="Times New Roman" w:hAnsi="Times New Roman" w:cs="Times New Roman"/>
          <w:b/>
          <w:bCs/>
          <w:sz w:val="36"/>
          <w:szCs w:val="36"/>
          <w:lang w:val="en-US"/>
        </w:rPr>
      </w:pPr>
    </w:p>
    <w:p w14:paraId="56600224" w14:textId="77777777" w:rsidR="00F178E4" w:rsidRDefault="00F178E4" w:rsidP="00F178E4">
      <w:pPr>
        <w:pStyle w:val="Geenafstand"/>
        <w:rPr>
          <w:rFonts w:ascii="Times New Roman" w:hAnsi="Times New Roman" w:cs="Times New Roman"/>
          <w:i/>
          <w:iCs/>
          <w:lang w:val="en-US"/>
        </w:rPr>
      </w:pPr>
    </w:p>
    <w:p w14:paraId="3C3F07D4" w14:textId="77777777" w:rsidR="00F178E4" w:rsidRDefault="00F178E4" w:rsidP="00F178E4">
      <w:pPr>
        <w:pStyle w:val="Geenafstand"/>
        <w:rPr>
          <w:rFonts w:ascii="Times New Roman" w:hAnsi="Times New Roman" w:cs="Times New Roman"/>
          <w:i/>
          <w:iCs/>
          <w:lang w:val="en-US"/>
        </w:rPr>
      </w:pPr>
    </w:p>
    <w:p w14:paraId="591C274E" w14:textId="77777777" w:rsidR="00F178E4" w:rsidRDefault="00F178E4" w:rsidP="00F178E4">
      <w:pPr>
        <w:pStyle w:val="Geenafstand"/>
        <w:rPr>
          <w:rFonts w:ascii="Times New Roman" w:hAnsi="Times New Roman" w:cs="Times New Roman"/>
          <w:i/>
          <w:iCs/>
          <w:lang w:val="en-US"/>
        </w:rPr>
      </w:pPr>
    </w:p>
    <w:p w14:paraId="281CCCA1" w14:textId="77777777" w:rsidR="00F178E4" w:rsidRDefault="00F178E4" w:rsidP="00F178E4">
      <w:pPr>
        <w:pStyle w:val="Geenafstand"/>
        <w:rPr>
          <w:rFonts w:ascii="Times New Roman" w:hAnsi="Times New Roman" w:cs="Times New Roman"/>
          <w:i/>
          <w:iCs/>
          <w:lang w:val="en-US"/>
        </w:rPr>
      </w:pPr>
    </w:p>
    <w:p w14:paraId="73E3088A" w14:textId="77777777" w:rsidR="00F178E4" w:rsidRDefault="00F178E4" w:rsidP="00F178E4">
      <w:pPr>
        <w:pStyle w:val="Geenafstand"/>
        <w:rPr>
          <w:rFonts w:ascii="Times New Roman" w:hAnsi="Times New Roman" w:cs="Times New Roman"/>
          <w:i/>
          <w:iCs/>
          <w:lang w:val="en-US"/>
        </w:rPr>
      </w:pPr>
    </w:p>
    <w:p w14:paraId="67CB7DFB" w14:textId="77777777" w:rsidR="00F178E4" w:rsidRDefault="00F178E4" w:rsidP="00F178E4">
      <w:pPr>
        <w:pStyle w:val="Geenafstand"/>
        <w:rPr>
          <w:rFonts w:ascii="Times New Roman" w:hAnsi="Times New Roman" w:cs="Times New Roman"/>
          <w:i/>
          <w:iCs/>
          <w:lang w:val="en-US"/>
        </w:rPr>
      </w:pPr>
    </w:p>
    <w:p w14:paraId="04ACFD19" w14:textId="77777777" w:rsidR="00F178E4" w:rsidRDefault="00F178E4" w:rsidP="00F178E4">
      <w:pPr>
        <w:pStyle w:val="Geenafstand"/>
        <w:rPr>
          <w:rFonts w:ascii="Times New Roman" w:hAnsi="Times New Roman" w:cs="Times New Roman"/>
          <w:i/>
          <w:iCs/>
          <w:lang w:val="en-US"/>
        </w:rPr>
      </w:pPr>
    </w:p>
    <w:p w14:paraId="7B7665AB" w14:textId="77777777" w:rsidR="00F178E4" w:rsidRDefault="00F178E4" w:rsidP="00F178E4">
      <w:pPr>
        <w:pStyle w:val="Geenafstand"/>
        <w:rPr>
          <w:rFonts w:ascii="Times New Roman" w:hAnsi="Times New Roman" w:cs="Times New Roman"/>
          <w:i/>
          <w:iCs/>
          <w:lang w:val="en-US"/>
        </w:rPr>
      </w:pPr>
    </w:p>
    <w:p w14:paraId="08275D2A" w14:textId="77777777" w:rsidR="00F178E4" w:rsidRDefault="00F178E4" w:rsidP="00F178E4">
      <w:pPr>
        <w:pStyle w:val="Geenafstand"/>
        <w:rPr>
          <w:rFonts w:ascii="Times New Roman" w:hAnsi="Times New Roman" w:cs="Times New Roman"/>
          <w:i/>
          <w:iCs/>
          <w:lang w:val="en-US"/>
        </w:rPr>
      </w:pPr>
    </w:p>
    <w:p w14:paraId="692DDA77" w14:textId="77777777" w:rsidR="00F178E4" w:rsidRDefault="00F178E4" w:rsidP="00F178E4">
      <w:pPr>
        <w:pStyle w:val="Geenafstand"/>
        <w:rPr>
          <w:rFonts w:ascii="Times New Roman" w:hAnsi="Times New Roman" w:cs="Times New Roman"/>
          <w:i/>
          <w:iCs/>
          <w:lang w:val="en-US"/>
        </w:rPr>
      </w:pPr>
    </w:p>
    <w:p w14:paraId="1F22E8A4" w14:textId="77777777" w:rsidR="00F178E4" w:rsidRDefault="00F178E4" w:rsidP="00F178E4">
      <w:pPr>
        <w:pStyle w:val="Geenafstand"/>
        <w:rPr>
          <w:rFonts w:ascii="Times New Roman" w:hAnsi="Times New Roman" w:cs="Times New Roman"/>
          <w:i/>
          <w:iCs/>
          <w:lang w:val="en-US"/>
        </w:rPr>
      </w:pPr>
    </w:p>
    <w:p w14:paraId="19439427" w14:textId="77777777" w:rsidR="00F178E4" w:rsidRDefault="00F178E4" w:rsidP="00F178E4">
      <w:pPr>
        <w:pStyle w:val="Geenafstand"/>
        <w:rPr>
          <w:rFonts w:ascii="Times New Roman" w:hAnsi="Times New Roman" w:cs="Times New Roman"/>
          <w:i/>
          <w:iCs/>
          <w:lang w:val="en-US"/>
        </w:rPr>
      </w:pPr>
    </w:p>
    <w:p w14:paraId="509754F7" w14:textId="77777777" w:rsidR="00F178E4" w:rsidRDefault="00F178E4" w:rsidP="00F178E4">
      <w:pPr>
        <w:pStyle w:val="Geenafstand"/>
        <w:rPr>
          <w:rFonts w:ascii="Times New Roman" w:hAnsi="Times New Roman" w:cs="Times New Roman"/>
          <w:i/>
          <w:iCs/>
          <w:lang w:val="en-US"/>
        </w:rPr>
      </w:pPr>
    </w:p>
    <w:p w14:paraId="58A3556E" w14:textId="77777777" w:rsidR="00F178E4" w:rsidRDefault="00F178E4" w:rsidP="00F178E4">
      <w:pPr>
        <w:pStyle w:val="Geenafstand"/>
        <w:rPr>
          <w:rFonts w:ascii="Times New Roman" w:hAnsi="Times New Roman" w:cs="Times New Roman"/>
          <w:i/>
          <w:iCs/>
          <w:lang w:val="en-US"/>
        </w:rPr>
      </w:pPr>
    </w:p>
    <w:p w14:paraId="0D1144AA" w14:textId="77777777" w:rsidR="00F178E4" w:rsidRDefault="00F178E4" w:rsidP="00F178E4">
      <w:pPr>
        <w:pStyle w:val="Geenafstand"/>
        <w:rPr>
          <w:rFonts w:ascii="Times New Roman" w:hAnsi="Times New Roman" w:cs="Times New Roman"/>
          <w:i/>
          <w:iCs/>
          <w:lang w:val="en-US"/>
        </w:rPr>
      </w:pPr>
    </w:p>
    <w:p w14:paraId="7BF0AEF2" w14:textId="7864B686" w:rsidR="00F178E4" w:rsidRDefault="00F178E4" w:rsidP="00F178E4">
      <w:pPr>
        <w:pStyle w:val="Geenafstand"/>
        <w:rPr>
          <w:rFonts w:ascii="Times New Roman" w:hAnsi="Times New Roman" w:cs="Times New Roman"/>
          <w:i/>
          <w:iCs/>
          <w:lang w:val="en-US"/>
        </w:rPr>
      </w:pPr>
    </w:p>
    <w:p w14:paraId="4ABB2971" w14:textId="0931AA26" w:rsidR="00D7336D" w:rsidRDefault="00D7336D" w:rsidP="00F178E4">
      <w:pPr>
        <w:pStyle w:val="Geenafstand"/>
        <w:rPr>
          <w:rFonts w:ascii="Times New Roman" w:hAnsi="Times New Roman" w:cs="Times New Roman"/>
          <w:i/>
          <w:iCs/>
          <w:lang w:val="en-US"/>
        </w:rPr>
      </w:pPr>
    </w:p>
    <w:p w14:paraId="320416EB" w14:textId="77777777" w:rsidR="00D7336D" w:rsidRDefault="00D7336D" w:rsidP="00F178E4">
      <w:pPr>
        <w:pStyle w:val="Geenafstand"/>
        <w:rPr>
          <w:rFonts w:ascii="Times New Roman" w:hAnsi="Times New Roman" w:cs="Times New Roman"/>
          <w:i/>
          <w:iCs/>
          <w:lang w:val="en-US"/>
        </w:rPr>
      </w:pPr>
    </w:p>
    <w:p w14:paraId="73DDFC51" w14:textId="5E205D0F" w:rsidR="00F178E4" w:rsidRDefault="00F178E4" w:rsidP="00F178E4">
      <w:pPr>
        <w:pStyle w:val="Geenafstand"/>
        <w:rPr>
          <w:rFonts w:ascii="Times New Roman" w:hAnsi="Times New Roman" w:cs="Times New Roman"/>
          <w:i/>
          <w:iCs/>
          <w:sz w:val="24"/>
          <w:szCs w:val="24"/>
          <w:lang w:val="en-US"/>
        </w:rPr>
      </w:pPr>
      <w:r w:rsidRPr="007D715F">
        <w:rPr>
          <w:rFonts w:ascii="Times New Roman" w:hAnsi="Times New Roman" w:cs="Times New Roman"/>
          <w:i/>
          <w:iCs/>
          <w:sz w:val="24"/>
          <w:szCs w:val="24"/>
          <w:lang w:val="en-US"/>
        </w:rPr>
        <w:t>Roy Zigterman 1048080</w:t>
      </w:r>
    </w:p>
    <w:p w14:paraId="7274F844" w14:textId="77777777" w:rsidR="00F178E4" w:rsidRDefault="00F178E4" w:rsidP="00F178E4">
      <w:pPr>
        <w:pStyle w:val="Geenafstand"/>
        <w:rPr>
          <w:rFonts w:ascii="Times New Roman" w:hAnsi="Times New Roman" w:cs="Times New Roman"/>
          <w:i/>
          <w:iCs/>
          <w:sz w:val="24"/>
          <w:szCs w:val="24"/>
          <w:lang w:val="en-US"/>
        </w:rPr>
      </w:pPr>
      <w:r>
        <w:rPr>
          <w:rFonts w:ascii="Times New Roman" w:hAnsi="Times New Roman" w:cs="Times New Roman"/>
          <w:i/>
          <w:iCs/>
          <w:sz w:val="24"/>
          <w:szCs w:val="24"/>
          <w:lang w:val="en-US"/>
        </w:rPr>
        <w:t>Thesis Submitted in Partial Fulfillment of the Requirements for the Degree of Master in Political Science (MSc)</w:t>
      </w:r>
      <w:r w:rsidRPr="00F178E4">
        <w:rPr>
          <w:rFonts w:ascii="Times New Roman" w:hAnsi="Times New Roman" w:cs="Times New Roman"/>
          <w:i/>
          <w:iCs/>
          <w:sz w:val="24"/>
          <w:szCs w:val="24"/>
          <w:lang w:val="en-US"/>
        </w:rPr>
        <w:t xml:space="preserve"> </w:t>
      </w:r>
    </w:p>
    <w:p w14:paraId="7720A600" w14:textId="30679E50" w:rsidR="00F178E4" w:rsidRPr="007D715F" w:rsidRDefault="00F178E4" w:rsidP="00F178E4">
      <w:pPr>
        <w:pStyle w:val="Geenafstand"/>
        <w:rPr>
          <w:rFonts w:ascii="Times New Roman" w:hAnsi="Times New Roman" w:cs="Times New Roman"/>
          <w:i/>
          <w:iCs/>
          <w:sz w:val="24"/>
          <w:szCs w:val="24"/>
          <w:lang w:val="en-US"/>
        </w:rPr>
      </w:pPr>
      <w:r>
        <w:rPr>
          <w:rFonts w:ascii="Times New Roman" w:hAnsi="Times New Roman" w:cs="Times New Roman"/>
          <w:i/>
          <w:iCs/>
          <w:sz w:val="24"/>
          <w:szCs w:val="24"/>
          <w:lang w:val="en-US"/>
        </w:rPr>
        <w:t>International Political Economy (IPE)</w:t>
      </w:r>
    </w:p>
    <w:p w14:paraId="0B712C09" w14:textId="0C165EFC" w:rsidR="00F178E4" w:rsidRPr="00F178E4" w:rsidRDefault="00F178E4" w:rsidP="00F178E4">
      <w:pPr>
        <w:pStyle w:val="Geenafstand"/>
        <w:rPr>
          <w:rFonts w:ascii="Times New Roman" w:hAnsi="Times New Roman" w:cs="Times New Roman"/>
          <w:i/>
          <w:iCs/>
          <w:sz w:val="24"/>
          <w:szCs w:val="24"/>
          <w:lang w:val="en-US"/>
        </w:rPr>
      </w:pPr>
      <w:r>
        <w:rPr>
          <w:rFonts w:ascii="Times New Roman" w:hAnsi="Times New Roman" w:cs="Times New Roman"/>
          <w:i/>
          <w:iCs/>
          <w:sz w:val="24"/>
          <w:szCs w:val="24"/>
          <w:lang w:val="en-US"/>
        </w:rPr>
        <w:t xml:space="preserve">Supervisor: </w:t>
      </w:r>
      <w:r w:rsidRPr="00F178E4">
        <w:rPr>
          <w:rFonts w:ascii="Times New Roman" w:hAnsi="Times New Roman" w:cs="Times New Roman"/>
          <w:i/>
          <w:iCs/>
          <w:sz w:val="24"/>
          <w:szCs w:val="24"/>
          <w:shd w:val="clear" w:color="auto" w:fill="FFFFFF"/>
          <w:lang w:val="en-US"/>
        </w:rPr>
        <w:t>Dr</w:t>
      </w:r>
      <w:r>
        <w:rPr>
          <w:rFonts w:ascii="Times New Roman" w:hAnsi="Times New Roman" w:cs="Times New Roman"/>
          <w:i/>
          <w:iCs/>
          <w:sz w:val="24"/>
          <w:szCs w:val="24"/>
          <w:shd w:val="clear" w:color="auto" w:fill="FFFFFF"/>
          <w:lang w:val="en-US"/>
        </w:rPr>
        <w:t>.</w:t>
      </w:r>
      <w:r w:rsidRPr="00F178E4">
        <w:rPr>
          <w:rFonts w:ascii="Times New Roman" w:hAnsi="Times New Roman" w:cs="Times New Roman"/>
          <w:i/>
          <w:iCs/>
          <w:sz w:val="24"/>
          <w:szCs w:val="24"/>
          <w:shd w:val="clear" w:color="auto" w:fill="FFFFFF"/>
          <w:lang w:val="en-US"/>
        </w:rPr>
        <w:t xml:space="preserve"> Angela Wigger, Associate Professor Global Political Economy</w:t>
      </w:r>
    </w:p>
    <w:p w14:paraId="07A792D9" w14:textId="0D29F6B7" w:rsidR="00F178E4" w:rsidRDefault="00F178E4" w:rsidP="00F178E4">
      <w:pPr>
        <w:pStyle w:val="Geenafstand"/>
        <w:rPr>
          <w:rFonts w:ascii="Times New Roman" w:hAnsi="Times New Roman" w:cs="Times New Roman"/>
          <w:i/>
          <w:iCs/>
          <w:sz w:val="24"/>
          <w:szCs w:val="24"/>
          <w:lang w:val="en-US"/>
        </w:rPr>
      </w:pPr>
      <w:r>
        <w:rPr>
          <w:rFonts w:ascii="Times New Roman" w:hAnsi="Times New Roman" w:cs="Times New Roman"/>
          <w:i/>
          <w:iCs/>
          <w:sz w:val="24"/>
          <w:szCs w:val="24"/>
          <w:lang w:val="en-US"/>
        </w:rPr>
        <w:t>Nijmegen School of Management</w:t>
      </w:r>
    </w:p>
    <w:p w14:paraId="6AF54336" w14:textId="77777777" w:rsidR="00F178E4" w:rsidRDefault="00F178E4" w:rsidP="00F178E4">
      <w:pPr>
        <w:pStyle w:val="Geenafstand"/>
        <w:rPr>
          <w:rFonts w:ascii="Times New Roman" w:hAnsi="Times New Roman" w:cs="Times New Roman"/>
          <w:i/>
          <w:iCs/>
          <w:sz w:val="24"/>
          <w:szCs w:val="24"/>
          <w:lang w:val="en-US"/>
        </w:rPr>
      </w:pPr>
      <w:r>
        <w:rPr>
          <w:rFonts w:ascii="Times New Roman" w:hAnsi="Times New Roman" w:cs="Times New Roman"/>
          <w:i/>
          <w:iCs/>
          <w:sz w:val="24"/>
          <w:szCs w:val="24"/>
          <w:lang w:val="en-US"/>
        </w:rPr>
        <w:t>Radboud University, Nijmegen, The Netherlands</w:t>
      </w:r>
    </w:p>
    <w:p w14:paraId="0D9E3B06" w14:textId="44CC4163" w:rsidR="00F178E4" w:rsidRPr="007D715F" w:rsidRDefault="00F178E4" w:rsidP="00F178E4">
      <w:pPr>
        <w:pStyle w:val="Geenafstand"/>
        <w:rPr>
          <w:rFonts w:ascii="Times New Roman" w:hAnsi="Times New Roman" w:cs="Times New Roman"/>
          <w:i/>
          <w:iCs/>
          <w:sz w:val="24"/>
          <w:szCs w:val="24"/>
          <w:lang w:val="en-US"/>
        </w:rPr>
      </w:pPr>
      <w:r>
        <w:rPr>
          <w:rFonts w:ascii="Times New Roman" w:hAnsi="Times New Roman" w:cs="Times New Roman"/>
          <w:i/>
          <w:iCs/>
          <w:sz w:val="24"/>
          <w:szCs w:val="24"/>
          <w:lang w:val="en-US"/>
        </w:rPr>
        <w:t>24</w:t>
      </w:r>
      <w:r w:rsidRPr="007D715F">
        <w:rPr>
          <w:rFonts w:ascii="Times New Roman" w:hAnsi="Times New Roman" w:cs="Times New Roman"/>
          <w:i/>
          <w:iCs/>
          <w:sz w:val="24"/>
          <w:szCs w:val="24"/>
          <w:lang w:val="en-US"/>
        </w:rPr>
        <w:t>-0</w:t>
      </w:r>
      <w:r>
        <w:rPr>
          <w:rFonts w:ascii="Times New Roman" w:hAnsi="Times New Roman" w:cs="Times New Roman"/>
          <w:i/>
          <w:iCs/>
          <w:sz w:val="24"/>
          <w:szCs w:val="24"/>
          <w:lang w:val="en-US"/>
        </w:rPr>
        <w:t>6</w:t>
      </w:r>
      <w:r w:rsidRPr="007D715F">
        <w:rPr>
          <w:rFonts w:ascii="Times New Roman" w:hAnsi="Times New Roman" w:cs="Times New Roman"/>
          <w:i/>
          <w:iCs/>
          <w:sz w:val="24"/>
          <w:szCs w:val="24"/>
          <w:lang w:val="en-US"/>
        </w:rPr>
        <w:t>-2021</w:t>
      </w:r>
    </w:p>
    <w:p w14:paraId="0B133478" w14:textId="5AC844DB" w:rsidR="00450E8E" w:rsidRDefault="00F178E4" w:rsidP="00450E8E">
      <w:pPr>
        <w:pStyle w:val="Geenafstand"/>
        <w:rPr>
          <w:rFonts w:ascii="Times New Roman" w:hAnsi="Times New Roman" w:cs="Times New Roman"/>
          <w:i/>
          <w:iCs/>
          <w:sz w:val="24"/>
          <w:szCs w:val="24"/>
          <w:lang w:val="en-US"/>
        </w:rPr>
      </w:pPr>
      <w:r w:rsidRPr="007D715F">
        <w:rPr>
          <w:rFonts w:ascii="Times New Roman" w:hAnsi="Times New Roman" w:cs="Times New Roman"/>
          <w:i/>
          <w:iCs/>
          <w:sz w:val="24"/>
          <w:szCs w:val="24"/>
          <w:lang w:val="en-US"/>
        </w:rPr>
        <w:t xml:space="preserve">Words: </w:t>
      </w:r>
      <w:r>
        <w:rPr>
          <w:rFonts w:ascii="Times New Roman" w:hAnsi="Times New Roman" w:cs="Times New Roman"/>
          <w:i/>
          <w:iCs/>
          <w:sz w:val="24"/>
          <w:szCs w:val="24"/>
          <w:lang w:val="en-US"/>
        </w:rPr>
        <w:t>169</w:t>
      </w:r>
      <w:r w:rsidR="00BD675B">
        <w:rPr>
          <w:rFonts w:ascii="Times New Roman" w:hAnsi="Times New Roman" w:cs="Times New Roman"/>
          <w:i/>
          <w:iCs/>
          <w:sz w:val="24"/>
          <w:szCs w:val="24"/>
          <w:lang w:val="en-US"/>
        </w:rPr>
        <w:t>7</w:t>
      </w:r>
      <w:r w:rsidR="007C1430">
        <w:rPr>
          <w:rFonts w:ascii="Times New Roman" w:hAnsi="Times New Roman" w:cs="Times New Roman"/>
          <w:i/>
          <w:iCs/>
          <w:sz w:val="24"/>
          <w:szCs w:val="24"/>
          <w:lang w:val="en-US"/>
        </w:rPr>
        <w:t>5</w:t>
      </w:r>
    </w:p>
    <w:p w14:paraId="2B57AC66" w14:textId="3C9D06F4" w:rsidR="00450E8E" w:rsidRPr="00AE4CE0" w:rsidRDefault="00450E8E" w:rsidP="00450E8E">
      <w:pPr>
        <w:pStyle w:val="Kop1"/>
        <w:rPr>
          <w:lang w:val="en-US"/>
        </w:rPr>
      </w:pPr>
      <w:bookmarkStart w:id="0" w:name="_Toc75399777"/>
      <w:bookmarkStart w:id="1" w:name="_Toc75400923"/>
      <w:bookmarkStart w:id="2" w:name="_Toc75401326"/>
      <w:r w:rsidRPr="00AE4CE0">
        <w:rPr>
          <w:lang w:val="en-US"/>
        </w:rPr>
        <w:lastRenderedPageBreak/>
        <w:t>Abstract</w:t>
      </w:r>
      <w:bookmarkEnd w:id="0"/>
      <w:bookmarkEnd w:id="1"/>
      <w:bookmarkEnd w:id="2"/>
    </w:p>
    <w:p w14:paraId="0E3D99E8" w14:textId="37F6CB5E" w:rsidR="00450E8E" w:rsidRPr="00AE4CE0" w:rsidRDefault="00450E8E" w:rsidP="00450E8E">
      <w:pPr>
        <w:rPr>
          <w:lang w:val="en-US"/>
        </w:rPr>
      </w:pPr>
    </w:p>
    <w:p w14:paraId="11E4B18A" w14:textId="4F8E4721" w:rsidR="00450E8E" w:rsidRPr="00450E8E" w:rsidRDefault="00450E8E" w:rsidP="00450E8E">
      <w:pPr>
        <w:spacing w:line="360" w:lineRule="auto"/>
        <w:jc w:val="both"/>
        <w:rPr>
          <w:lang w:val="en-US"/>
        </w:rPr>
      </w:pPr>
      <w:r w:rsidRPr="00450E8E">
        <w:rPr>
          <w:lang w:val="en-US"/>
        </w:rPr>
        <w:t>This thesis looks a</w:t>
      </w:r>
      <w:r>
        <w:rPr>
          <w:lang w:val="en-US"/>
        </w:rPr>
        <w:t xml:space="preserve">t the differences </w:t>
      </w:r>
      <w:r w:rsidR="009E11D5">
        <w:rPr>
          <w:lang w:val="en-US"/>
        </w:rPr>
        <w:t>regarding</w:t>
      </w:r>
      <w:r>
        <w:rPr>
          <w:lang w:val="en-US"/>
        </w:rPr>
        <w:t xml:space="preserve"> institutional structures in Latvia and Bulgaria</w:t>
      </w:r>
      <w:r w:rsidR="000B6E43">
        <w:rPr>
          <w:lang w:val="en-US"/>
        </w:rPr>
        <w:t>, and the implications that this has for the economic development of both countries</w:t>
      </w:r>
      <w:r>
        <w:rPr>
          <w:lang w:val="en-US"/>
        </w:rPr>
        <w:t xml:space="preserve">. How </w:t>
      </w:r>
      <w:r w:rsidR="009E11D5">
        <w:rPr>
          <w:lang w:val="en-US"/>
        </w:rPr>
        <w:t>institutions</w:t>
      </w:r>
      <w:r>
        <w:rPr>
          <w:lang w:val="en-US"/>
        </w:rPr>
        <w:t xml:space="preserve"> function and interact between each other results in specific relationships that affect the way a country performs economically and politically. </w:t>
      </w:r>
      <w:r w:rsidR="009E11D5">
        <w:rPr>
          <w:lang w:val="en-US"/>
        </w:rPr>
        <w:t>The institutions are examined during the process of an economic transition. This is the reform process that both countries ha</w:t>
      </w:r>
      <w:r w:rsidR="000B6E43">
        <w:rPr>
          <w:lang w:val="en-US"/>
        </w:rPr>
        <w:t>d</w:t>
      </w:r>
      <w:r w:rsidR="009E11D5">
        <w:rPr>
          <w:lang w:val="en-US"/>
        </w:rPr>
        <w:t xml:space="preserve"> to go through in order to become a member of the European Union. </w:t>
      </w:r>
      <w:r w:rsidR="000B6E43">
        <w:rPr>
          <w:lang w:val="en-US"/>
        </w:rPr>
        <w:t xml:space="preserve">Both the corporate and government aspects of the institutional structure of both countries will be examined. </w:t>
      </w:r>
      <w:r w:rsidR="009E11D5">
        <w:rPr>
          <w:lang w:val="en-US"/>
        </w:rPr>
        <w:t xml:space="preserve">The assessment will concern the ability of these institutions to hinder or further the transition process and in what way this is possible. Through this analysis it will become possible to weigh the role of separate institutional structures in the transition </w:t>
      </w:r>
      <w:r w:rsidR="000B6E43">
        <w:rPr>
          <w:lang w:val="en-US"/>
        </w:rPr>
        <w:t xml:space="preserve">process </w:t>
      </w:r>
      <w:r w:rsidR="009E11D5">
        <w:rPr>
          <w:lang w:val="en-US"/>
        </w:rPr>
        <w:t xml:space="preserve">and the degree to which this has affected </w:t>
      </w:r>
      <w:r w:rsidR="000B6E43">
        <w:rPr>
          <w:lang w:val="en-US"/>
        </w:rPr>
        <w:t>overall economic</w:t>
      </w:r>
      <w:r w:rsidR="009E11D5">
        <w:rPr>
          <w:lang w:val="en-US"/>
        </w:rPr>
        <w:t xml:space="preserve"> development in Latvia and Bulgaria</w:t>
      </w:r>
      <w:r w:rsidR="000B6E43">
        <w:rPr>
          <w:lang w:val="en-US"/>
        </w:rPr>
        <w:t xml:space="preserve">. </w:t>
      </w:r>
    </w:p>
    <w:p w14:paraId="354E7F7F" w14:textId="77777777" w:rsidR="00450E8E" w:rsidRDefault="00450E8E" w:rsidP="00780ED9">
      <w:pPr>
        <w:pStyle w:val="Kop1"/>
        <w:rPr>
          <w:lang w:val="en-US"/>
        </w:rPr>
      </w:pPr>
    </w:p>
    <w:p w14:paraId="3F586A97" w14:textId="77777777" w:rsidR="00450E8E" w:rsidRDefault="00450E8E" w:rsidP="00780ED9">
      <w:pPr>
        <w:pStyle w:val="Kop1"/>
        <w:rPr>
          <w:lang w:val="en-US"/>
        </w:rPr>
      </w:pPr>
    </w:p>
    <w:p w14:paraId="00DB109D" w14:textId="77777777" w:rsidR="00D50B41" w:rsidRDefault="00D50B41" w:rsidP="00780ED9">
      <w:pPr>
        <w:pStyle w:val="Kop1"/>
        <w:rPr>
          <w:lang w:val="en-US"/>
        </w:rPr>
      </w:pPr>
    </w:p>
    <w:p w14:paraId="2D53852C" w14:textId="77777777" w:rsidR="00D50B41" w:rsidRDefault="00D50B41" w:rsidP="00780ED9">
      <w:pPr>
        <w:pStyle w:val="Kop1"/>
        <w:rPr>
          <w:lang w:val="en-US"/>
        </w:rPr>
      </w:pPr>
    </w:p>
    <w:p w14:paraId="4BECCB2C" w14:textId="77777777" w:rsidR="00D50B41" w:rsidRDefault="00D50B41" w:rsidP="00780ED9">
      <w:pPr>
        <w:pStyle w:val="Kop1"/>
        <w:rPr>
          <w:lang w:val="en-US"/>
        </w:rPr>
      </w:pPr>
    </w:p>
    <w:p w14:paraId="395F4E38" w14:textId="77777777" w:rsidR="00D50B41" w:rsidRDefault="00D50B41" w:rsidP="00780ED9">
      <w:pPr>
        <w:pStyle w:val="Kop1"/>
        <w:rPr>
          <w:lang w:val="en-US"/>
        </w:rPr>
      </w:pPr>
    </w:p>
    <w:p w14:paraId="331EE41C" w14:textId="77777777" w:rsidR="00D50B41" w:rsidRDefault="00D50B41" w:rsidP="00780ED9">
      <w:pPr>
        <w:pStyle w:val="Kop1"/>
        <w:rPr>
          <w:lang w:val="en-US"/>
        </w:rPr>
      </w:pPr>
    </w:p>
    <w:p w14:paraId="0459B340" w14:textId="77777777" w:rsidR="00D50B41" w:rsidRDefault="00D50B41" w:rsidP="00780ED9">
      <w:pPr>
        <w:pStyle w:val="Kop1"/>
        <w:rPr>
          <w:lang w:val="en-US"/>
        </w:rPr>
      </w:pPr>
    </w:p>
    <w:p w14:paraId="71EEDCF2" w14:textId="77777777" w:rsidR="00D50B41" w:rsidRDefault="00D50B41" w:rsidP="00780ED9">
      <w:pPr>
        <w:pStyle w:val="Kop1"/>
        <w:rPr>
          <w:lang w:val="en-US"/>
        </w:rPr>
      </w:pPr>
    </w:p>
    <w:p w14:paraId="7F31C9F7" w14:textId="341DF680" w:rsidR="00D50B41" w:rsidRDefault="00D50B41" w:rsidP="00780ED9">
      <w:pPr>
        <w:pStyle w:val="Kop1"/>
        <w:rPr>
          <w:lang w:val="en-US"/>
        </w:rPr>
      </w:pPr>
    </w:p>
    <w:p w14:paraId="7C866A62" w14:textId="4BAC224B" w:rsidR="00D50B41" w:rsidRDefault="00D50B41" w:rsidP="00D50B41">
      <w:pPr>
        <w:rPr>
          <w:lang w:val="en-US"/>
        </w:rPr>
      </w:pPr>
    </w:p>
    <w:p w14:paraId="25AC7848" w14:textId="648F1E3F" w:rsidR="00D50B41" w:rsidRDefault="00D50B41" w:rsidP="00D50B41">
      <w:pPr>
        <w:rPr>
          <w:lang w:val="en-US"/>
        </w:rPr>
      </w:pPr>
    </w:p>
    <w:p w14:paraId="61884AA6" w14:textId="77777777" w:rsidR="00D50B41" w:rsidRPr="00D50B41" w:rsidRDefault="00D50B41" w:rsidP="00D50B41">
      <w:pPr>
        <w:rPr>
          <w:lang w:val="en-US"/>
        </w:rPr>
      </w:pPr>
    </w:p>
    <w:sdt>
      <w:sdtPr>
        <w:rPr>
          <w:rFonts w:asciiTheme="minorHAnsi" w:eastAsiaTheme="minorHAnsi" w:hAnsiTheme="minorHAnsi" w:cstheme="minorBidi"/>
          <w:color w:val="auto"/>
          <w:sz w:val="22"/>
          <w:szCs w:val="22"/>
          <w:lang w:eastAsia="en-US"/>
        </w:rPr>
        <w:id w:val="-1809304908"/>
        <w:docPartObj>
          <w:docPartGallery w:val="Table of Contents"/>
          <w:docPartUnique/>
        </w:docPartObj>
      </w:sdtPr>
      <w:sdtEndPr>
        <w:rPr>
          <w:b/>
          <w:bCs/>
        </w:rPr>
      </w:sdtEndPr>
      <w:sdtContent>
        <w:p w14:paraId="27373CA9" w14:textId="6A61F961" w:rsidR="00D50B41" w:rsidRDefault="00804324">
          <w:pPr>
            <w:pStyle w:val="Kopvaninhoudsopgave"/>
          </w:pPr>
          <w:proofErr w:type="spellStart"/>
          <w:r>
            <w:t>Table</w:t>
          </w:r>
          <w:proofErr w:type="spellEnd"/>
          <w:r>
            <w:t xml:space="preserve"> of Contents</w:t>
          </w:r>
        </w:p>
        <w:p w14:paraId="749365FC" w14:textId="25532509" w:rsidR="000E0335" w:rsidRDefault="00D50B41" w:rsidP="000E0335">
          <w:pPr>
            <w:pStyle w:val="Inhopg1"/>
            <w:tabs>
              <w:tab w:val="right" w:leader="dot" w:pos="9062"/>
            </w:tabs>
            <w:rPr>
              <w:rFonts w:eastAsiaTheme="minorEastAsia"/>
              <w:noProof/>
              <w:lang w:eastAsia="nl-NL"/>
            </w:rPr>
          </w:pPr>
          <w:r>
            <w:fldChar w:fldCharType="begin"/>
          </w:r>
          <w:r>
            <w:instrText xml:space="preserve"> TOC \o "1-3" \h \z \u </w:instrText>
          </w:r>
          <w:r>
            <w:fldChar w:fldCharType="separate"/>
          </w:r>
        </w:p>
        <w:p w14:paraId="55BC6563" w14:textId="719BE1B3" w:rsidR="000E0335" w:rsidRDefault="009918E9" w:rsidP="00DB457C">
          <w:pPr>
            <w:pStyle w:val="Inhopg1"/>
            <w:tabs>
              <w:tab w:val="right" w:leader="dot" w:pos="9062"/>
            </w:tabs>
            <w:jc w:val="both"/>
            <w:rPr>
              <w:rFonts w:eastAsiaTheme="minorEastAsia"/>
              <w:noProof/>
              <w:lang w:eastAsia="nl-NL"/>
            </w:rPr>
          </w:pPr>
          <w:hyperlink w:anchor="_Toc75401328" w:history="1">
            <w:r w:rsidR="000E0335" w:rsidRPr="000F5C8E">
              <w:rPr>
                <w:rStyle w:val="Hyperlink"/>
                <w:noProof/>
                <w:lang w:val="en-US"/>
              </w:rPr>
              <w:t>Introduction</w:t>
            </w:r>
            <w:r w:rsidR="000E0335">
              <w:rPr>
                <w:noProof/>
                <w:webHidden/>
              </w:rPr>
              <w:tab/>
            </w:r>
            <w:r w:rsidR="000E0335">
              <w:rPr>
                <w:noProof/>
                <w:webHidden/>
              </w:rPr>
              <w:fldChar w:fldCharType="begin"/>
            </w:r>
            <w:r w:rsidR="000E0335">
              <w:rPr>
                <w:noProof/>
                <w:webHidden/>
              </w:rPr>
              <w:instrText xml:space="preserve"> PAGEREF _Toc75401328 \h </w:instrText>
            </w:r>
            <w:r w:rsidR="000E0335">
              <w:rPr>
                <w:noProof/>
                <w:webHidden/>
              </w:rPr>
            </w:r>
            <w:r w:rsidR="000E0335">
              <w:rPr>
                <w:noProof/>
                <w:webHidden/>
              </w:rPr>
              <w:fldChar w:fldCharType="separate"/>
            </w:r>
            <w:r w:rsidR="00B358B9">
              <w:rPr>
                <w:noProof/>
                <w:webHidden/>
              </w:rPr>
              <w:t>5</w:t>
            </w:r>
            <w:r w:rsidR="000E0335">
              <w:rPr>
                <w:noProof/>
                <w:webHidden/>
              </w:rPr>
              <w:fldChar w:fldCharType="end"/>
            </w:r>
          </w:hyperlink>
        </w:p>
        <w:p w14:paraId="378A7616" w14:textId="070FD3D3" w:rsidR="000E0335" w:rsidRDefault="009918E9" w:rsidP="00DB457C">
          <w:pPr>
            <w:pStyle w:val="Inhopg1"/>
            <w:tabs>
              <w:tab w:val="right" w:leader="dot" w:pos="9062"/>
            </w:tabs>
            <w:jc w:val="both"/>
            <w:rPr>
              <w:rFonts w:eastAsiaTheme="minorEastAsia"/>
              <w:noProof/>
              <w:lang w:eastAsia="nl-NL"/>
            </w:rPr>
          </w:pPr>
          <w:hyperlink w:anchor="_Toc75401329" w:history="1">
            <w:r w:rsidR="000E0335" w:rsidRPr="000F5C8E">
              <w:rPr>
                <w:rStyle w:val="Hyperlink"/>
                <w:noProof/>
                <w:lang w:val="en-US"/>
              </w:rPr>
              <w:t>Chapter 1: Theoretical Framework</w:t>
            </w:r>
            <w:r w:rsidR="000E0335">
              <w:rPr>
                <w:noProof/>
                <w:webHidden/>
              </w:rPr>
              <w:tab/>
            </w:r>
            <w:r w:rsidR="000E0335">
              <w:rPr>
                <w:noProof/>
                <w:webHidden/>
              </w:rPr>
              <w:fldChar w:fldCharType="begin"/>
            </w:r>
            <w:r w:rsidR="000E0335">
              <w:rPr>
                <w:noProof/>
                <w:webHidden/>
              </w:rPr>
              <w:instrText xml:space="preserve"> PAGEREF _Toc75401329 \h </w:instrText>
            </w:r>
            <w:r w:rsidR="000E0335">
              <w:rPr>
                <w:noProof/>
                <w:webHidden/>
              </w:rPr>
            </w:r>
            <w:r w:rsidR="000E0335">
              <w:rPr>
                <w:noProof/>
                <w:webHidden/>
              </w:rPr>
              <w:fldChar w:fldCharType="separate"/>
            </w:r>
            <w:r w:rsidR="00B358B9">
              <w:rPr>
                <w:noProof/>
                <w:webHidden/>
              </w:rPr>
              <w:t>8</w:t>
            </w:r>
            <w:r w:rsidR="000E0335">
              <w:rPr>
                <w:noProof/>
                <w:webHidden/>
              </w:rPr>
              <w:fldChar w:fldCharType="end"/>
            </w:r>
          </w:hyperlink>
        </w:p>
        <w:p w14:paraId="55E0EBC7" w14:textId="374304E0" w:rsidR="000E0335" w:rsidRDefault="009918E9" w:rsidP="00DB457C">
          <w:pPr>
            <w:pStyle w:val="Inhopg2"/>
            <w:tabs>
              <w:tab w:val="left" w:pos="880"/>
              <w:tab w:val="right" w:leader="dot" w:pos="9062"/>
            </w:tabs>
            <w:jc w:val="both"/>
            <w:rPr>
              <w:rFonts w:eastAsiaTheme="minorEastAsia"/>
              <w:noProof/>
              <w:lang w:eastAsia="nl-NL"/>
            </w:rPr>
          </w:pPr>
          <w:hyperlink w:anchor="_Toc75401330" w:history="1">
            <w:r w:rsidR="000E0335" w:rsidRPr="000F5C8E">
              <w:rPr>
                <w:rStyle w:val="Hyperlink"/>
                <w:noProof/>
                <w:lang w:val="en-US"/>
              </w:rPr>
              <w:t>1.1</w:t>
            </w:r>
            <w:r w:rsidR="000E0335">
              <w:rPr>
                <w:rFonts w:eastAsiaTheme="minorEastAsia"/>
                <w:noProof/>
                <w:lang w:eastAsia="nl-NL"/>
              </w:rPr>
              <w:tab/>
            </w:r>
            <w:r w:rsidR="000E0335" w:rsidRPr="000F5C8E">
              <w:rPr>
                <w:rStyle w:val="Hyperlink"/>
                <w:noProof/>
                <w:lang w:val="en-US"/>
              </w:rPr>
              <w:t>Historical Foundation and Assumptions of the Varieties of Capitalism</w:t>
            </w:r>
            <w:r w:rsidR="000E0335">
              <w:rPr>
                <w:noProof/>
                <w:webHidden/>
              </w:rPr>
              <w:tab/>
            </w:r>
            <w:r w:rsidR="000E0335">
              <w:rPr>
                <w:noProof/>
                <w:webHidden/>
              </w:rPr>
              <w:fldChar w:fldCharType="begin"/>
            </w:r>
            <w:r w:rsidR="000E0335">
              <w:rPr>
                <w:noProof/>
                <w:webHidden/>
              </w:rPr>
              <w:instrText xml:space="preserve"> PAGEREF _Toc75401330 \h </w:instrText>
            </w:r>
            <w:r w:rsidR="000E0335">
              <w:rPr>
                <w:noProof/>
                <w:webHidden/>
              </w:rPr>
            </w:r>
            <w:r w:rsidR="000E0335">
              <w:rPr>
                <w:noProof/>
                <w:webHidden/>
              </w:rPr>
              <w:fldChar w:fldCharType="separate"/>
            </w:r>
            <w:r w:rsidR="00B358B9">
              <w:rPr>
                <w:noProof/>
                <w:webHidden/>
              </w:rPr>
              <w:t>8</w:t>
            </w:r>
            <w:r w:rsidR="000E0335">
              <w:rPr>
                <w:noProof/>
                <w:webHidden/>
              </w:rPr>
              <w:fldChar w:fldCharType="end"/>
            </w:r>
          </w:hyperlink>
        </w:p>
        <w:p w14:paraId="30C21D91" w14:textId="35D3D045" w:rsidR="000E0335" w:rsidRDefault="009918E9" w:rsidP="00DB457C">
          <w:pPr>
            <w:pStyle w:val="Inhopg2"/>
            <w:tabs>
              <w:tab w:val="left" w:pos="880"/>
              <w:tab w:val="right" w:leader="dot" w:pos="9062"/>
            </w:tabs>
            <w:jc w:val="both"/>
            <w:rPr>
              <w:rFonts w:eastAsiaTheme="minorEastAsia"/>
              <w:noProof/>
              <w:lang w:eastAsia="nl-NL"/>
            </w:rPr>
          </w:pPr>
          <w:hyperlink w:anchor="_Toc75401331" w:history="1">
            <w:r w:rsidR="000E0335" w:rsidRPr="000F5C8E">
              <w:rPr>
                <w:rStyle w:val="Hyperlink"/>
                <w:noProof/>
                <w:lang w:val="en-US"/>
              </w:rPr>
              <w:t>1.2</w:t>
            </w:r>
            <w:r w:rsidR="000E0335">
              <w:rPr>
                <w:rFonts w:eastAsiaTheme="minorEastAsia"/>
                <w:noProof/>
                <w:lang w:eastAsia="nl-NL"/>
              </w:rPr>
              <w:tab/>
            </w:r>
            <w:r w:rsidR="000E0335" w:rsidRPr="000F5C8E">
              <w:rPr>
                <w:rStyle w:val="Hyperlink"/>
                <w:noProof/>
                <w:lang w:val="en-US"/>
              </w:rPr>
              <w:t>Core Elements of the VOC Framework</w:t>
            </w:r>
            <w:r w:rsidR="000E0335">
              <w:rPr>
                <w:noProof/>
                <w:webHidden/>
              </w:rPr>
              <w:tab/>
            </w:r>
            <w:r w:rsidR="000E0335">
              <w:rPr>
                <w:noProof/>
                <w:webHidden/>
              </w:rPr>
              <w:fldChar w:fldCharType="begin"/>
            </w:r>
            <w:r w:rsidR="000E0335">
              <w:rPr>
                <w:noProof/>
                <w:webHidden/>
              </w:rPr>
              <w:instrText xml:space="preserve"> PAGEREF _Toc75401331 \h </w:instrText>
            </w:r>
            <w:r w:rsidR="000E0335">
              <w:rPr>
                <w:noProof/>
                <w:webHidden/>
              </w:rPr>
            </w:r>
            <w:r w:rsidR="000E0335">
              <w:rPr>
                <w:noProof/>
                <w:webHidden/>
              </w:rPr>
              <w:fldChar w:fldCharType="separate"/>
            </w:r>
            <w:r w:rsidR="00B358B9">
              <w:rPr>
                <w:noProof/>
                <w:webHidden/>
              </w:rPr>
              <w:t>9</w:t>
            </w:r>
            <w:r w:rsidR="000E0335">
              <w:rPr>
                <w:noProof/>
                <w:webHidden/>
              </w:rPr>
              <w:fldChar w:fldCharType="end"/>
            </w:r>
          </w:hyperlink>
        </w:p>
        <w:p w14:paraId="21F50936" w14:textId="353BD13E" w:rsidR="000E0335" w:rsidRDefault="009918E9" w:rsidP="00DB457C">
          <w:pPr>
            <w:pStyle w:val="Inhopg2"/>
            <w:tabs>
              <w:tab w:val="left" w:pos="880"/>
              <w:tab w:val="right" w:leader="dot" w:pos="9062"/>
            </w:tabs>
            <w:jc w:val="both"/>
            <w:rPr>
              <w:rFonts w:eastAsiaTheme="minorEastAsia"/>
              <w:noProof/>
              <w:lang w:eastAsia="nl-NL"/>
            </w:rPr>
          </w:pPr>
          <w:hyperlink w:anchor="_Toc75401332" w:history="1">
            <w:r w:rsidR="000E0335" w:rsidRPr="000F5C8E">
              <w:rPr>
                <w:rStyle w:val="Hyperlink"/>
                <w:noProof/>
                <w:lang w:val="en-US"/>
              </w:rPr>
              <w:t>1.3</w:t>
            </w:r>
            <w:r w:rsidR="000E0335">
              <w:rPr>
                <w:rFonts w:eastAsiaTheme="minorEastAsia"/>
                <w:noProof/>
                <w:lang w:eastAsia="nl-NL"/>
              </w:rPr>
              <w:tab/>
            </w:r>
            <w:r w:rsidR="000E0335" w:rsidRPr="000F5C8E">
              <w:rPr>
                <w:rStyle w:val="Hyperlink"/>
                <w:noProof/>
                <w:lang w:val="en-US"/>
              </w:rPr>
              <w:t>Criticism of the VOC Framework</w:t>
            </w:r>
            <w:r w:rsidR="000E0335">
              <w:rPr>
                <w:noProof/>
                <w:webHidden/>
              </w:rPr>
              <w:tab/>
            </w:r>
            <w:r w:rsidR="000E0335">
              <w:rPr>
                <w:noProof/>
                <w:webHidden/>
              </w:rPr>
              <w:fldChar w:fldCharType="begin"/>
            </w:r>
            <w:r w:rsidR="000E0335">
              <w:rPr>
                <w:noProof/>
                <w:webHidden/>
              </w:rPr>
              <w:instrText xml:space="preserve"> PAGEREF _Toc75401332 \h </w:instrText>
            </w:r>
            <w:r w:rsidR="000E0335">
              <w:rPr>
                <w:noProof/>
                <w:webHidden/>
              </w:rPr>
            </w:r>
            <w:r w:rsidR="000E0335">
              <w:rPr>
                <w:noProof/>
                <w:webHidden/>
              </w:rPr>
              <w:fldChar w:fldCharType="separate"/>
            </w:r>
            <w:r w:rsidR="00B358B9">
              <w:rPr>
                <w:noProof/>
                <w:webHidden/>
              </w:rPr>
              <w:t>14</w:t>
            </w:r>
            <w:r w:rsidR="000E0335">
              <w:rPr>
                <w:noProof/>
                <w:webHidden/>
              </w:rPr>
              <w:fldChar w:fldCharType="end"/>
            </w:r>
          </w:hyperlink>
        </w:p>
        <w:p w14:paraId="506F25AC" w14:textId="1DC5255A" w:rsidR="000E0335" w:rsidRDefault="009918E9" w:rsidP="00DB457C">
          <w:pPr>
            <w:pStyle w:val="Inhopg2"/>
            <w:tabs>
              <w:tab w:val="left" w:pos="880"/>
              <w:tab w:val="right" w:leader="dot" w:pos="9062"/>
            </w:tabs>
            <w:jc w:val="both"/>
            <w:rPr>
              <w:rFonts w:eastAsiaTheme="minorEastAsia"/>
              <w:noProof/>
              <w:lang w:eastAsia="nl-NL"/>
            </w:rPr>
          </w:pPr>
          <w:hyperlink w:anchor="_Toc75401333" w:history="1">
            <w:r w:rsidR="000E0335" w:rsidRPr="000F5C8E">
              <w:rPr>
                <w:rStyle w:val="Hyperlink"/>
                <w:noProof/>
                <w:lang w:val="en-US"/>
              </w:rPr>
              <w:t>1.4</w:t>
            </w:r>
            <w:r w:rsidR="000E0335">
              <w:rPr>
                <w:rFonts w:eastAsiaTheme="minorEastAsia"/>
                <w:noProof/>
                <w:lang w:eastAsia="nl-NL"/>
              </w:rPr>
              <w:tab/>
            </w:r>
            <w:r w:rsidR="000E0335" w:rsidRPr="000F5C8E">
              <w:rPr>
                <w:rStyle w:val="Hyperlink"/>
                <w:noProof/>
                <w:lang w:val="en-US"/>
              </w:rPr>
              <w:t>Additions to the Varieties of Capitalism Framework</w:t>
            </w:r>
            <w:r w:rsidR="000E0335">
              <w:rPr>
                <w:noProof/>
                <w:webHidden/>
              </w:rPr>
              <w:tab/>
            </w:r>
            <w:r w:rsidR="000E0335">
              <w:rPr>
                <w:noProof/>
                <w:webHidden/>
              </w:rPr>
              <w:fldChar w:fldCharType="begin"/>
            </w:r>
            <w:r w:rsidR="000E0335">
              <w:rPr>
                <w:noProof/>
                <w:webHidden/>
              </w:rPr>
              <w:instrText xml:space="preserve"> PAGEREF _Toc75401333 \h </w:instrText>
            </w:r>
            <w:r w:rsidR="000E0335">
              <w:rPr>
                <w:noProof/>
                <w:webHidden/>
              </w:rPr>
            </w:r>
            <w:r w:rsidR="000E0335">
              <w:rPr>
                <w:noProof/>
                <w:webHidden/>
              </w:rPr>
              <w:fldChar w:fldCharType="separate"/>
            </w:r>
            <w:r w:rsidR="00B358B9">
              <w:rPr>
                <w:noProof/>
                <w:webHidden/>
              </w:rPr>
              <w:t>16</w:t>
            </w:r>
            <w:r w:rsidR="000E0335">
              <w:rPr>
                <w:noProof/>
                <w:webHidden/>
              </w:rPr>
              <w:fldChar w:fldCharType="end"/>
            </w:r>
          </w:hyperlink>
        </w:p>
        <w:p w14:paraId="53051525" w14:textId="5DD4C687" w:rsidR="000E0335" w:rsidRDefault="009918E9" w:rsidP="00DB457C">
          <w:pPr>
            <w:pStyle w:val="Inhopg2"/>
            <w:tabs>
              <w:tab w:val="left" w:pos="880"/>
              <w:tab w:val="right" w:leader="dot" w:pos="9062"/>
            </w:tabs>
            <w:jc w:val="both"/>
            <w:rPr>
              <w:rFonts w:eastAsiaTheme="minorEastAsia"/>
              <w:noProof/>
              <w:lang w:eastAsia="nl-NL"/>
            </w:rPr>
          </w:pPr>
          <w:hyperlink w:anchor="_Toc75401334" w:history="1">
            <w:r w:rsidR="000E0335" w:rsidRPr="000F5C8E">
              <w:rPr>
                <w:rStyle w:val="Hyperlink"/>
                <w:noProof/>
                <w:lang w:val="en-US"/>
              </w:rPr>
              <w:t>1.5</w:t>
            </w:r>
            <w:r w:rsidR="000E0335">
              <w:rPr>
                <w:rFonts w:eastAsiaTheme="minorEastAsia"/>
                <w:noProof/>
                <w:lang w:eastAsia="nl-NL"/>
              </w:rPr>
              <w:tab/>
            </w:r>
            <w:r w:rsidR="000E0335" w:rsidRPr="000F5C8E">
              <w:rPr>
                <w:rStyle w:val="Hyperlink"/>
                <w:noProof/>
                <w:lang w:val="en-US"/>
              </w:rPr>
              <w:t>Causal Mechanisms of the Renewed Varieties of Capitalism Framework</w:t>
            </w:r>
            <w:r w:rsidR="000E0335">
              <w:rPr>
                <w:noProof/>
                <w:webHidden/>
              </w:rPr>
              <w:tab/>
            </w:r>
            <w:r w:rsidR="000E0335">
              <w:rPr>
                <w:noProof/>
                <w:webHidden/>
              </w:rPr>
              <w:fldChar w:fldCharType="begin"/>
            </w:r>
            <w:r w:rsidR="000E0335">
              <w:rPr>
                <w:noProof/>
                <w:webHidden/>
              </w:rPr>
              <w:instrText xml:space="preserve"> PAGEREF _Toc75401334 \h </w:instrText>
            </w:r>
            <w:r w:rsidR="000E0335">
              <w:rPr>
                <w:noProof/>
                <w:webHidden/>
              </w:rPr>
            </w:r>
            <w:r w:rsidR="000E0335">
              <w:rPr>
                <w:noProof/>
                <w:webHidden/>
              </w:rPr>
              <w:fldChar w:fldCharType="separate"/>
            </w:r>
            <w:r w:rsidR="00B358B9">
              <w:rPr>
                <w:noProof/>
                <w:webHidden/>
              </w:rPr>
              <w:t>21</w:t>
            </w:r>
            <w:r w:rsidR="000E0335">
              <w:rPr>
                <w:noProof/>
                <w:webHidden/>
              </w:rPr>
              <w:fldChar w:fldCharType="end"/>
            </w:r>
          </w:hyperlink>
        </w:p>
        <w:p w14:paraId="0509083C" w14:textId="5AB911A9" w:rsidR="000E0335" w:rsidRDefault="009918E9" w:rsidP="00DB457C">
          <w:pPr>
            <w:pStyle w:val="Inhopg1"/>
            <w:tabs>
              <w:tab w:val="right" w:leader="dot" w:pos="9062"/>
            </w:tabs>
            <w:jc w:val="both"/>
            <w:rPr>
              <w:rFonts w:eastAsiaTheme="minorEastAsia"/>
              <w:noProof/>
              <w:lang w:eastAsia="nl-NL"/>
            </w:rPr>
          </w:pPr>
          <w:hyperlink w:anchor="_Toc75401335" w:history="1">
            <w:r w:rsidR="000E0335" w:rsidRPr="000F5C8E">
              <w:rPr>
                <w:rStyle w:val="Hyperlink"/>
                <w:noProof/>
                <w:lang w:val="en-US"/>
              </w:rPr>
              <w:t>Chapter 2: Methodology</w:t>
            </w:r>
            <w:r w:rsidR="000E0335">
              <w:rPr>
                <w:noProof/>
                <w:webHidden/>
              </w:rPr>
              <w:tab/>
            </w:r>
            <w:r w:rsidR="000E0335">
              <w:rPr>
                <w:noProof/>
                <w:webHidden/>
              </w:rPr>
              <w:fldChar w:fldCharType="begin"/>
            </w:r>
            <w:r w:rsidR="000E0335">
              <w:rPr>
                <w:noProof/>
                <w:webHidden/>
              </w:rPr>
              <w:instrText xml:space="preserve"> PAGEREF _Toc75401335 \h </w:instrText>
            </w:r>
            <w:r w:rsidR="000E0335">
              <w:rPr>
                <w:noProof/>
                <w:webHidden/>
              </w:rPr>
            </w:r>
            <w:r w:rsidR="000E0335">
              <w:rPr>
                <w:noProof/>
                <w:webHidden/>
              </w:rPr>
              <w:fldChar w:fldCharType="separate"/>
            </w:r>
            <w:r w:rsidR="00B358B9">
              <w:rPr>
                <w:noProof/>
                <w:webHidden/>
              </w:rPr>
              <w:t>25</w:t>
            </w:r>
            <w:r w:rsidR="000E0335">
              <w:rPr>
                <w:noProof/>
                <w:webHidden/>
              </w:rPr>
              <w:fldChar w:fldCharType="end"/>
            </w:r>
          </w:hyperlink>
        </w:p>
        <w:p w14:paraId="468D8677" w14:textId="3199BDA6" w:rsidR="000E0335" w:rsidRDefault="009918E9" w:rsidP="00DB457C">
          <w:pPr>
            <w:pStyle w:val="Inhopg2"/>
            <w:tabs>
              <w:tab w:val="right" w:leader="dot" w:pos="9062"/>
            </w:tabs>
            <w:jc w:val="both"/>
            <w:rPr>
              <w:rFonts w:eastAsiaTheme="minorEastAsia"/>
              <w:noProof/>
              <w:lang w:eastAsia="nl-NL"/>
            </w:rPr>
          </w:pPr>
          <w:hyperlink w:anchor="_Toc75401336" w:history="1">
            <w:r w:rsidR="000E0335" w:rsidRPr="000F5C8E">
              <w:rPr>
                <w:rStyle w:val="Hyperlink"/>
                <w:noProof/>
                <w:lang w:val="en-US"/>
              </w:rPr>
              <w:t>2.1 Aspects of The Case Study Method and Case Selection</w:t>
            </w:r>
            <w:r w:rsidR="000E0335">
              <w:rPr>
                <w:noProof/>
                <w:webHidden/>
              </w:rPr>
              <w:tab/>
            </w:r>
            <w:r w:rsidR="000E0335">
              <w:rPr>
                <w:noProof/>
                <w:webHidden/>
              </w:rPr>
              <w:fldChar w:fldCharType="begin"/>
            </w:r>
            <w:r w:rsidR="000E0335">
              <w:rPr>
                <w:noProof/>
                <w:webHidden/>
              </w:rPr>
              <w:instrText xml:space="preserve"> PAGEREF _Toc75401336 \h </w:instrText>
            </w:r>
            <w:r w:rsidR="000E0335">
              <w:rPr>
                <w:noProof/>
                <w:webHidden/>
              </w:rPr>
            </w:r>
            <w:r w:rsidR="000E0335">
              <w:rPr>
                <w:noProof/>
                <w:webHidden/>
              </w:rPr>
              <w:fldChar w:fldCharType="separate"/>
            </w:r>
            <w:r w:rsidR="00B358B9">
              <w:rPr>
                <w:noProof/>
                <w:webHidden/>
              </w:rPr>
              <w:t>25</w:t>
            </w:r>
            <w:r w:rsidR="000E0335">
              <w:rPr>
                <w:noProof/>
                <w:webHidden/>
              </w:rPr>
              <w:fldChar w:fldCharType="end"/>
            </w:r>
          </w:hyperlink>
        </w:p>
        <w:p w14:paraId="3E6C6490" w14:textId="0237A6F1" w:rsidR="000E0335" w:rsidRDefault="009918E9" w:rsidP="00DB457C">
          <w:pPr>
            <w:pStyle w:val="Inhopg2"/>
            <w:tabs>
              <w:tab w:val="right" w:leader="dot" w:pos="9062"/>
            </w:tabs>
            <w:jc w:val="both"/>
            <w:rPr>
              <w:rFonts w:eastAsiaTheme="minorEastAsia"/>
              <w:noProof/>
              <w:lang w:eastAsia="nl-NL"/>
            </w:rPr>
          </w:pPr>
          <w:hyperlink w:anchor="_Toc75401337" w:history="1">
            <w:r w:rsidR="000E0335" w:rsidRPr="000F5C8E">
              <w:rPr>
                <w:rStyle w:val="Hyperlink"/>
                <w:noProof/>
                <w:lang w:val="en-US"/>
              </w:rPr>
              <w:t>2.2 Justification and Usage of Sources and Data</w:t>
            </w:r>
            <w:r w:rsidR="000E0335">
              <w:rPr>
                <w:noProof/>
                <w:webHidden/>
              </w:rPr>
              <w:tab/>
            </w:r>
            <w:r w:rsidR="000E0335">
              <w:rPr>
                <w:noProof/>
                <w:webHidden/>
              </w:rPr>
              <w:fldChar w:fldCharType="begin"/>
            </w:r>
            <w:r w:rsidR="000E0335">
              <w:rPr>
                <w:noProof/>
                <w:webHidden/>
              </w:rPr>
              <w:instrText xml:space="preserve"> PAGEREF _Toc75401337 \h </w:instrText>
            </w:r>
            <w:r w:rsidR="000E0335">
              <w:rPr>
                <w:noProof/>
                <w:webHidden/>
              </w:rPr>
            </w:r>
            <w:r w:rsidR="000E0335">
              <w:rPr>
                <w:noProof/>
                <w:webHidden/>
              </w:rPr>
              <w:fldChar w:fldCharType="separate"/>
            </w:r>
            <w:r w:rsidR="00B358B9">
              <w:rPr>
                <w:noProof/>
                <w:webHidden/>
              </w:rPr>
              <w:t>26</w:t>
            </w:r>
            <w:r w:rsidR="000E0335">
              <w:rPr>
                <w:noProof/>
                <w:webHidden/>
              </w:rPr>
              <w:fldChar w:fldCharType="end"/>
            </w:r>
          </w:hyperlink>
        </w:p>
        <w:p w14:paraId="5F5AC047" w14:textId="693FD382" w:rsidR="000E0335" w:rsidRDefault="009918E9" w:rsidP="00DB457C">
          <w:pPr>
            <w:pStyle w:val="Inhopg2"/>
            <w:tabs>
              <w:tab w:val="right" w:leader="dot" w:pos="9062"/>
            </w:tabs>
            <w:jc w:val="both"/>
            <w:rPr>
              <w:rFonts w:eastAsiaTheme="minorEastAsia"/>
              <w:noProof/>
              <w:lang w:eastAsia="nl-NL"/>
            </w:rPr>
          </w:pPr>
          <w:hyperlink w:anchor="_Toc75401338" w:history="1">
            <w:r w:rsidR="000E0335" w:rsidRPr="000F5C8E">
              <w:rPr>
                <w:rStyle w:val="Hyperlink"/>
                <w:noProof/>
                <w:lang w:val="en-US"/>
              </w:rPr>
              <w:t>2.3 Operationalization of the Hypotheses</w:t>
            </w:r>
            <w:r w:rsidR="000E0335">
              <w:rPr>
                <w:noProof/>
                <w:webHidden/>
              </w:rPr>
              <w:tab/>
            </w:r>
            <w:r w:rsidR="000E0335">
              <w:rPr>
                <w:noProof/>
                <w:webHidden/>
              </w:rPr>
              <w:fldChar w:fldCharType="begin"/>
            </w:r>
            <w:r w:rsidR="000E0335">
              <w:rPr>
                <w:noProof/>
                <w:webHidden/>
              </w:rPr>
              <w:instrText xml:space="preserve"> PAGEREF _Toc75401338 \h </w:instrText>
            </w:r>
            <w:r w:rsidR="000E0335">
              <w:rPr>
                <w:noProof/>
                <w:webHidden/>
              </w:rPr>
            </w:r>
            <w:r w:rsidR="000E0335">
              <w:rPr>
                <w:noProof/>
                <w:webHidden/>
              </w:rPr>
              <w:fldChar w:fldCharType="separate"/>
            </w:r>
            <w:r w:rsidR="00B358B9">
              <w:rPr>
                <w:noProof/>
                <w:webHidden/>
              </w:rPr>
              <w:t>26</w:t>
            </w:r>
            <w:r w:rsidR="000E0335">
              <w:rPr>
                <w:noProof/>
                <w:webHidden/>
              </w:rPr>
              <w:fldChar w:fldCharType="end"/>
            </w:r>
          </w:hyperlink>
        </w:p>
        <w:p w14:paraId="378F4713" w14:textId="7277FC86" w:rsidR="000E0335" w:rsidRDefault="009918E9" w:rsidP="00DB457C">
          <w:pPr>
            <w:pStyle w:val="Inhopg1"/>
            <w:tabs>
              <w:tab w:val="right" w:leader="dot" w:pos="9062"/>
            </w:tabs>
            <w:jc w:val="both"/>
            <w:rPr>
              <w:rFonts w:eastAsiaTheme="minorEastAsia"/>
              <w:noProof/>
              <w:lang w:eastAsia="nl-NL"/>
            </w:rPr>
          </w:pPr>
          <w:hyperlink w:anchor="_Toc75401339" w:history="1">
            <w:r w:rsidR="000E0335" w:rsidRPr="000F5C8E">
              <w:rPr>
                <w:rStyle w:val="Hyperlink"/>
                <w:noProof/>
                <w:lang w:val="en-US"/>
              </w:rPr>
              <w:t>Chapter 3: Empirical Analysis</w:t>
            </w:r>
            <w:r w:rsidR="000E0335">
              <w:rPr>
                <w:noProof/>
                <w:webHidden/>
              </w:rPr>
              <w:tab/>
            </w:r>
            <w:r w:rsidR="000E0335">
              <w:rPr>
                <w:noProof/>
                <w:webHidden/>
              </w:rPr>
              <w:fldChar w:fldCharType="begin"/>
            </w:r>
            <w:r w:rsidR="000E0335">
              <w:rPr>
                <w:noProof/>
                <w:webHidden/>
              </w:rPr>
              <w:instrText xml:space="preserve"> PAGEREF _Toc75401339 \h </w:instrText>
            </w:r>
            <w:r w:rsidR="000E0335">
              <w:rPr>
                <w:noProof/>
                <w:webHidden/>
              </w:rPr>
            </w:r>
            <w:r w:rsidR="000E0335">
              <w:rPr>
                <w:noProof/>
                <w:webHidden/>
              </w:rPr>
              <w:fldChar w:fldCharType="separate"/>
            </w:r>
            <w:r w:rsidR="00B358B9">
              <w:rPr>
                <w:noProof/>
                <w:webHidden/>
              </w:rPr>
              <w:t>29</w:t>
            </w:r>
            <w:r w:rsidR="000E0335">
              <w:rPr>
                <w:noProof/>
                <w:webHidden/>
              </w:rPr>
              <w:fldChar w:fldCharType="end"/>
            </w:r>
          </w:hyperlink>
        </w:p>
        <w:p w14:paraId="0EA6713B" w14:textId="57FBB4D1" w:rsidR="000E0335" w:rsidRDefault="009918E9" w:rsidP="00DB457C">
          <w:pPr>
            <w:pStyle w:val="Inhopg3"/>
            <w:tabs>
              <w:tab w:val="right" w:leader="dot" w:pos="9062"/>
            </w:tabs>
            <w:jc w:val="both"/>
            <w:rPr>
              <w:rFonts w:eastAsiaTheme="minorEastAsia"/>
              <w:noProof/>
              <w:lang w:eastAsia="nl-NL"/>
            </w:rPr>
          </w:pPr>
          <w:hyperlink w:anchor="_Toc75401340" w:history="1">
            <w:r w:rsidR="000E0335" w:rsidRPr="000F5C8E">
              <w:rPr>
                <w:rStyle w:val="Hyperlink"/>
                <w:noProof/>
                <w:lang w:val="en-US"/>
              </w:rPr>
              <w:t>3.1 Industrial &amp; Workforce Relations</w:t>
            </w:r>
            <w:r w:rsidR="000E0335">
              <w:rPr>
                <w:noProof/>
                <w:webHidden/>
              </w:rPr>
              <w:tab/>
            </w:r>
            <w:r w:rsidR="000E0335">
              <w:rPr>
                <w:noProof/>
                <w:webHidden/>
              </w:rPr>
              <w:fldChar w:fldCharType="begin"/>
            </w:r>
            <w:r w:rsidR="000E0335">
              <w:rPr>
                <w:noProof/>
                <w:webHidden/>
              </w:rPr>
              <w:instrText xml:space="preserve"> PAGEREF _Toc75401340 \h </w:instrText>
            </w:r>
            <w:r w:rsidR="000E0335">
              <w:rPr>
                <w:noProof/>
                <w:webHidden/>
              </w:rPr>
            </w:r>
            <w:r w:rsidR="000E0335">
              <w:rPr>
                <w:noProof/>
                <w:webHidden/>
              </w:rPr>
              <w:fldChar w:fldCharType="separate"/>
            </w:r>
            <w:r w:rsidR="00B358B9">
              <w:rPr>
                <w:noProof/>
                <w:webHidden/>
              </w:rPr>
              <w:t>30</w:t>
            </w:r>
            <w:r w:rsidR="000E0335">
              <w:rPr>
                <w:noProof/>
                <w:webHidden/>
              </w:rPr>
              <w:fldChar w:fldCharType="end"/>
            </w:r>
          </w:hyperlink>
        </w:p>
        <w:p w14:paraId="2252A94B" w14:textId="3E21C67E" w:rsidR="000E0335" w:rsidRDefault="009918E9" w:rsidP="00DB457C">
          <w:pPr>
            <w:pStyle w:val="Inhopg3"/>
            <w:tabs>
              <w:tab w:val="right" w:leader="dot" w:pos="9062"/>
            </w:tabs>
            <w:jc w:val="both"/>
            <w:rPr>
              <w:rFonts w:eastAsiaTheme="minorEastAsia"/>
              <w:noProof/>
              <w:lang w:eastAsia="nl-NL"/>
            </w:rPr>
          </w:pPr>
          <w:hyperlink w:anchor="_Toc75401341" w:history="1">
            <w:r w:rsidR="000E0335" w:rsidRPr="000F5C8E">
              <w:rPr>
                <w:rStyle w:val="Hyperlink"/>
                <w:noProof/>
                <w:lang w:val="en-US"/>
              </w:rPr>
              <w:t>3.2 Corporate Governance</w:t>
            </w:r>
            <w:r w:rsidR="000E0335">
              <w:rPr>
                <w:noProof/>
                <w:webHidden/>
              </w:rPr>
              <w:tab/>
            </w:r>
            <w:r w:rsidR="000E0335">
              <w:rPr>
                <w:noProof/>
                <w:webHidden/>
              </w:rPr>
              <w:fldChar w:fldCharType="begin"/>
            </w:r>
            <w:r w:rsidR="000E0335">
              <w:rPr>
                <w:noProof/>
                <w:webHidden/>
              </w:rPr>
              <w:instrText xml:space="preserve"> PAGEREF _Toc75401341 \h </w:instrText>
            </w:r>
            <w:r w:rsidR="000E0335">
              <w:rPr>
                <w:noProof/>
                <w:webHidden/>
              </w:rPr>
            </w:r>
            <w:r w:rsidR="000E0335">
              <w:rPr>
                <w:noProof/>
                <w:webHidden/>
              </w:rPr>
              <w:fldChar w:fldCharType="separate"/>
            </w:r>
            <w:r w:rsidR="00B358B9">
              <w:rPr>
                <w:noProof/>
                <w:webHidden/>
              </w:rPr>
              <w:t>32</w:t>
            </w:r>
            <w:r w:rsidR="000E0335">
              <w:rPr>
                <w:noProof/>
                <w:webHidden/>
              </w:rPr>
              <w:fldChar w:fldCharType="end"/>
            </w:r>
          </w:hyperlink>
        </w:p>
        <w:p w14:paraId="58357950" w14:textId="1DA3F7C3" w:rsidR="000E0335" w:rsidRDefault="009918E9" w:rsidP="00DB457C">
          <w:pPr>
            <w:pStyle w:val="Inhopg3"/>
            <w:tabs>
              <w:tab w:val="right" w:leader="dot" w:pos="9062"/>
            </w:tabs>
            <w:jc w:val="both"/>
            <w:rPr>
              <w:rFonts w:eastAsiaTheme="minorEastAsia"/>
              <w:noProof/>
              <w:lang w:eastAsia="nl-NL"/>
            </w:rPr>
          </w:pPr>
          <w:hyperlink w:anchor="_Toc75401342" w:history="1">
            <w:r w:rsidR="000E0335" w:rsidRPr="000F5C8E">
              <w:rPr>
                <w:rStyle w:val="Hyperlink"/>
                <w:noProof/>
                <w:lang w:val="en-US"/>
              </w:rPr>
              <w:t>3.3 Vocational Training &amp; Education</w:t>
            </w:r>
            <w:r w:rsidR="000E0335">
              <w:rPr>
                <w:noProof/>
                <w:webHidden/>
              </w:rPr>
              <w:tab/>
            </w:r>
            <w:r w:rsidR="000E0335">
              <w:rPr>
                <w:noProof/>
                <w:webHidden/>
              </w:rPr>
              <w:fldChar w:fldCharType="begin"/>
            </w:r>
            <w:r w:rsidR="000E0335">
              <w:rPr>
                <w:noProof/>
                <w:webHidden/>
              </w:rPr>
              <w:instrText xml:space="preserve"> PAGEREF _Toc75401342 \h </w:instrText>
            </w:r>
            <w:r w:rsidR="000E0335">
              <w:rPr>
                <w:noProof/>
                <w:webHidden/>
              </w:rPr>
            </w:r>
            <w:r w:rsidR="000E0335">
              <w:rPr>
                <w:noProof/>
                <w:webHidden/>
              </w:rPr>
              <w:fldChar w:fldCharType="separate"/>
            </w:r>
            <w:r w:rsidR="00B358B9">
              <w:rPr>
                <w:noProof/>
                <w:webHidden/>
              </w:rPr>
              <w:t>34</w:t>
            </w:r>
            <w:r w:rsidR="000E0335">
              <w:rPr>
                <w:noProof/>
                <w:webHidden/>
              </w:rPr>
              <w:fldChar w:fldCharType="end"/>
            </w:r>
          </w:hyperlink>
        </w:p>
        <w:p w14:paraId="167BCE74" w14:textId="4EB89CFE" w:rsidR="000E0335" w:rsidRDefault="009918E9" w:rsidP="00DB457C">
          <w:pPr>
            <w:pStyle w:val="Inhopg3"/>
            <w:tabs>
              <w:tab w:val="right" w:leader="dot" w:pos="9062"/>
            </w:tabs>
            <w:jc w:val="both"/>
            <w:rPr>
              <w:rFonts w:eastAsiaTheme="minorEastAsia"/>
              <w:noProof/>
              <w:lang w:eastAsia="nl-NL"/>
            </w:rPr>
          </w:pPr>
          <w:hyperlink w:anchor="_Toc75401343" w:history="1">
            <w:r w:rsidR="000E0335" w:rsidRPr="000F5C8E">
              <w:rPr>
                <w:rStyle w:val="Hyperlink"/>
                <w:noProof/>
                <w:lang w:val="en-US"/>
              </w:rPr>
              <w:t>3.4 Inter-firm &amp; Firm-State Networks</w:t>
            </w:r>
            <w:r w:rsidR="000E0335">
              <w:rPr>
                <w:noProof/>
                <w:webHidden/>
              </w:rPr>
              <w:tab/>
            </w:r>
            <w:r w:rsidR="000E0335">
              <w:rPr>
                <w:noProof/>
                <w:webHidden/>
              </w:rPr>
              <w:fldChar w:fldCharType="begin"/>
            </w:r>
            <w:r w:rsidR="000E0335">
              <w:rPr>
                <w:noProof/>
                <w:webHidden/>
              </w:rPr>
              <w:instrText xml:space="preserve"> PAGEREF _Toc75401343 \h </w:instrText>
            </w:r>
            <w:r w:rsidR="000E0335">
              <w:rPr>
                <w:noProof/>
                <w:webHidden/>
              </w:rPr>
            </w:r>
            <w:r w:rsidR="000E0335">
              <w:rPr>
                <w:noProof/>
                <w:webHidden/>
              </w:rPr>
              <w:fldChar w:fldCharType="separate"/>
            </w:r>
            <w:r w:rsidR="00B358B9">
              <w:rPr>
                <w:noProof/>
                <w:webHidden/>
              </w:rPr>
              <w:t>36</w:t>
            </w:r>
            <w:r w:rsidR="000E0335">
              <w:rPr>
                <w:noProof/>
                <w:webHidden/>
              </w:rPr>
              <w:fldChar w:fldCharType="end"/>
            </w:r>
          </w:hyperlink>
        </w:p>
        <w:p w14:paraId="26ABEA32" w14:textId="0BC64D0D" w:rsidR="000E0335" w:rsidRDefault="009918E9" w:rsidP="00DB457C">
          <w:pPr>
            <w:pStyle w:val="Inhopg3"/>
            <w:tabs>
              <w:tab w:val="right" w:leader="dot" w:pos="9062"/>
            </w:tabs>
            <w:jc w:val="both"/>
            <w:rPr>
              <w:rFonts w:eastAsiaTheme="minorEastAsia"/>
              <w:noProof/>
              <w:lang w:eastAsia="nl-NL"/>
            </w:rPr>
          </w:pPr>
          <w:hyperlink w:anchor="_Toc75401344" w:history="1">
            <w:r w:rsidR="000E0335" w:rsidRPr="000F5C8E">
              <w:rPr>
                <w:rStyle w:val="Hyperlink"/>
                <w:noProof/>
                <w:lang w:val="en-US"/>
              </w:rPr>
              <w:t>3.5 State Property Management</w:t>
            </w:r>
            <w:r w:rsidR="000E0335">
              <w:rPr>
                <w:noProof/>
                <w:webHidden/>
              </w:rPr>
              <w:tab/>
            </w:r>
            <w:r w:rsidR="000E0335">
              <w:rPr>
                <w:noProof/>
                <w:webHidden/>
              </w:rPr>
              <w:fldChar w:fldCharType="begin"/>
            </w:r>
            <w:r w:rsidR="000E0335">
              <w:rPr>
                <w:noProof/>
                <w:webHidden/>
              </w:rPr>
              <w:instrText xml:space="preserve"> PAGEREF _Toc75401344 \h </w:instrText>
            </w:r>
            <w:r w:rsidR="000E0335">
              <w:rPr>
                <w:noProof/>
                <w:webHidden/>
              </w:rPr>
            </w:r>
            <w:r w:rsidR="000E0335">
              <w:rPr>
                <w:noProof/>
                <w:webHidden/>
              </w:rPr>
              <w:fldChar w:fldCharType="separate"/>
            </w:r>
            <w:r w:rsidR="00B358B9">
              <w:rPr>
                <w:noProof/>
                <w:webHidden/>
              </w:rPr>
              <w:t>38</w:t>
            </w:r>
            <w:r w:rsidR="000E0335">
              <w:rPr>
                <w:noProof/>
                <w:webHidden/>
              </w:rPr>
              <w:fldChar w:fldCharType="end"/>
            </w:r>
          </w:hyperlink>
        </w:p>
        <w:p w14:paraId="2C444087" w14:textId="370E9CC0" w:rsidR="000E0335" w:rsidRDefault="009918E9" w:rsidP="00DB457C">
          <w:pPr>
            <w:pStyle w:val="Inhopg3"/>
            <w:tabs>
              <w:tab w:val="right" w:leader="dot" w:pos="9062"/>
            </w:tabs>
            <w:jc w:val="both"/>
            <w:rPr>
              <w:rFonts w:eastAsiaTheme="minorEastAsia"/>
              <w:noProof/>
              <w:lang w:eastAsia="nl-NL"/>
            </w:rPr>
          </w:pPr>
          <w:hyperlink w:anchor="_Toc75401345" w:history="1">
            <w:r w:rsidR="000E0335" w:rsidRPr="000F5C8E">
              <w:rPr>
                <w:rStyle w:val="Hyperlink"/>
                <w:noProof/>
                <w:lang w:val="en-US"/>
              </w:rPr>
              <w:t>3.6 Socio-Political Context</w:t>
            </w:r>
            <w:r w:rsidR="000E0335">
              <w:rPr>
                <w:noProof/>
                <w:webHidden/>
              </w:rPr>
              <w:tab/>
            </w:r>
            <w:r w:rsidR="000E0335">
              <w:rPr>
                <w:noProof/>
                <w:webHidden/>
              </w:rPr>
              <w:fldChar w:fldCharType="begin"/>
            </w:r>
            <w:r w:rsidR="000E0335">
              <w:rPr>
                <w:noProof/>
                <w:webHidden/>
              </w:rPr>
              <w:instrText xml:space="preserve"> PAGEREF _Toc75401345 \h </w:instrText>
            </w:r>
            <w:r w:rsidR="000E0335">
              <w:rPr>
                <w:noProof/>
                <w:webHidden/>
              </w:rPr>
            </w:r>
            <w:r w:rsidR="000E0335">
              <w:rPr>
                <w:noProof/>
                <w:webHidden/>
              </w:rPr>
              <w:fldChar w:fldCharType="separate"/>
            </w:r>
            <w:r w:rsidR="00B358B9">
              <w:rPr>
                <w:noProof/>
                <w:webHidden/>
              </w:rPr>
              <w:t>39</w:t>
            </w:r>
            <w:r w:rsidR="000E0335">
              <w:rPr>
                <w:noProof/>
                <w:webHidden/>
              </w:rPr>
              <w:fldChar w:fldCharType="end"/>
            </w:r>
          </w:hyperlink>
        </w:p>
        <w:p w14:paraId="516C5601" w14:textId="0ACC1C35" w:rsidR="000E0335" w:rsidRDefault="009918E9" w:rsidP="00DB457C">
          <w:pPr>
            <w:pStyle w:val="Inhopg3"/>
            <w:tabs>
              <w:tab w:val="right" w:leader="dot" w:pos="9062"/>
            </w:tabs>
            <w:jc w:val="both"/>
            <w:rPr>
              <w:rFonts w:eastAsiaTheme="minorEastAsia"/>
              <w:noProof/>
              <w:lang w:eastAsia="nl-NL"/>
            </w:rPr>
          </w:pPr>
          <w:hyperlink w:anchor="_Toc75401346" w:history="1">
            <w:r w:rsidR="000E0335" w:rsidRPr="000F5C8E">
              <w:rPr>
                <w:rStyle w:val="Hyperlink"/>
                <w:noProof/>
                <w:lang w:val="en-US"/>
              </w:rPr>
              <w:t>3.7 Institutional Complementarity in the Corporate &amp; Governmental Spheres</w:t>
            </w:r>
            <w:r w:rsidR="000E0335">
              <w:rPr>
                <w:noProof/>
                <w:webHidden/>
              </w:rPr>
              <w:tab/>
            </w:r>
            <w:r w:rsidR="000E0335">
              <w:rPr>
                <w:noProof/>
                <w:webHidden/>
              </w:rPr>
              <w:fldChar w:fldCharType="begin"/>
            </w:r>
            <w:r w:rsidR="000E0335">
              <w:rPr>
                <w:noProof/>
                <w:webHidden/>
              </w:rPr>
              <w:instrText xml:space="preserve"> PAGEREF _Toc75401346 \h </w:instrText>
            </w:r>
            <w:r w:rsidR="000E0335">
              <w:rPr>
                <w:noProof/>
                <w:webHidden/>
              </w:rPr>
            </w:r>
            <w:r w:rsidR="000E0335">
              <w:rPr>
                <w:noProof/>
                <w:webHidden/>
              </w:rPr>
              <w:fldChar w:fldCharType="separate"/>
            </w:r>
            <w:r w:rsidR="00B358B9">
              <w:rPr>
                <w:noProof/>
                <w:webHidden/>
              </w:rPr>
              <w:t>41</w:t>
            </w:r>
            <w:r w:rsidR="000E0335">
              <w:rPr>
                <w:noProof/>
                <w:webHidden/>
              </w:rPr>
              <w:fldChar w:fldCharType="end"/>
            </w:r>
          </w:hyperlink>
        </w:p>
        <w:p w14:paraId="442C51D5" w14:textId="13724AA4" w:rsidR="000E0335" w:rsidRDefault="009918E9" w:rsidP="00DB457C">
          <w:pPr>
            <w:pStyle w:val="Inhopg1"/>
            <w:tabs>
              <w:tab w:val="right" w:leader="dot" w:pos="9062"/>
            </w:tabs>
            <w:jc w:val="both"/>
            <w:rPr>
              <w:rFonts w:eastAsiaTheme="minorEastAsia"/>
              <w:noProof/>
              <w:lang w:eastAsia="nl-NL"/>
            </w:rPr>
          </w:pPr>
          <w:hyperlink w:anchor="_Toc75401347" w:history="1">
            <w:r w:rsidR="000E0335" w:rsidRPr="000F5C8E">
              <w:rPr>
                <w:rStyle w:val="Hyperlink"/>
                <w:noProof/>
                <w:lang w:val="en-US"/>
              </w:rPr>
              <w:t>Conclusion</w:t>
            </w:r>
            <w:r w:rsidR="000E0335">
              <w:rPr>
                <w:noProof/>
                <w:webHidden/>
              </w:rPr>
              <w:tab/>
            </w:r>
            <w:r w:rsidR="000E0335">
              <w:rPr>
                <w:noProof/>
                <w:webHidden/>
              </w:rPr>
              <w:fldChar w:fldCharType="begin"/>
            </w:r>
            <w:r w:rsidR="000E0335">
              <w:rPr>
                <w:noProof/>
                <w:webHidden/>
              </w:rPr>
              <w:instrText xml:space="preserve"> PAGEREF _Toc75401347 \h </w:instrText>
            </w:r>
            <w:r w:rsidR="000E0335">
              <w:rPr>
                <w:noProof/>
                <w:webHidden/>
              </w:rPr>
            </w:r>
            <w:r w:rsidR="000E0335">
              <w:rPr>
                <w:noProof/>
                <w:webHidden/>
              </w:rPr>
              <w:fldChar w:fldCharType="separate"/>
            </w:r>
            <w:r w:rsidR="00B358B9">
              <w:rPr>
                <w:noProof/>
                <w:webHidden/>
              </w:rPr>
              <w:t>43</w:t>
            </w:r>
            <w:r w:rsidR="000E0335">
              <w:rPr>
                <w:noProof/>
                <w:webHidden/>
              </w:rPr>
              <w:fldChar w:fldCharType="end"/>
            </w:r>
          </w:hyperlink>
        </w:p>
        <w:p w14:paraId="734C40AD" w14:textId="5B1494AC" w:rsidR="000E0335" w:rsidRDefault="009918E9" w:rsidP="00DB457C">
          <w:pPr>
            <w:pStyle w:val="Inhopg1"/>
            <w:tabs>
              <w:tab w:val="right" w:leader="dot" w:pos="9062"/>
            </w:tabs>
            <w:jc w:val="both"/>
            <w:rPr>
              <w:rFonts w:eastAsiaTheme="minorEastAsia"/>
              <w:noProof/>
              <w:lang w:eastAsia="nl-NL"/>
            </w:rPr>
          </w:pPr>
          <w:hyperlink w:anchor="_Toc75401348" w:history="1">
            <w:r w:rsidR="000E0335" w:rsidRPr="000F5C8E">
              <w:rPr>
                <w:rStyle w:val="Hyperlink"/>
                <w:noProof/>
                <w:lang w:val="en-US"/>
              </w:rPr>
              <w:t>References</w:t>
            </w:r>
            <w:r w:rsidR="000E0335">
              <w:rPr>
                <w:noProof/>
                <w:webHidden/>
              </w:rPr>
              <w:tab/>
            </w:r>
            <w:r w:rsidR="000E0335">
              <w:rPr>
                <w:noProof/>
                <w:webHidden/>
              </w:rPr>
              <w:fldChar w:fldCharType="begin"/>
            </w:r>
            <w:r w:rsidR="000E0335">
              <w:rPr>
                <w:noProof/>
                <w:webHidden/>
              </w:rPr>
              <w:instrText xml:space="preserve"> PAGEREF _Toc75401348 \h </w:instrText>
            </w:r>
            <w:r w:rsidR="000E0335">
              <w:rPr>
                <w:noProof/>
                <w:webHidden/>
              </w:rPr>
            </w:r>
            <w:r w:rsidR="000E0335">
              <w:rPr>
                <w:noProof/>
                <w:webHidden/>
              </w:rPr>
              <w:fldChar w:fldCharType="separate"/>
            </w:r>
            <w:r w:rsidR="00B358B9">
              <w:rPr>
                <w:noProof/>
                <w:webHidden/>
              </w:rPr>
              <w:t>46</w:t>
            </w:r>
            <w:r w:rsidR="000E0335">
              <w:rPr>
                <w:noProof/>
                <w:webHidden/>
              </w:rPr>
              <w:fldChar w:fldCharType="end"/>
            </w:r>
          </w:hyperlink>
        </w:p>
        <w:p w14:paraId="0D1EEBE6" w14:textId="4F5A270E" w:rsidR="00D50B41" w:rsidRDefault="00D50B41">
          <w:r>
            <w:rPr>
              <w:b/>
              <w:bCs/>
            </w:rPr>
            <w:fldChar w:fldCharType="end"/>
          </w:r>
        </w:p>
      </w:sdtContent>
    </w:sdt>
    <w:p w14:paraId="5731E7FB" w14:textId="77777777" w:rsidR="00D50B41" w:rsidRDefault="00D50B41" w:rsidP="00780ED9">
      <w:pPr>
        <w:pStyle w:val="Kop1"/>
        <w:rPr>
          <w:lang w:val="en-US"/>
        </w:rPr>
      </w:pPr>
    </w:p>
    <w:p w14:paraId="23FF02BC" w14:textId="77777777" w:rsidR="002F6582" w:rsidRDefault="002F6582" w:rsidP="00780ED9">
      <w:pPr>
        <w:pStyle w:val="Kop1"/>
        <w:rPr>
          <w:lang w:val="en-US"/>
        </w:rPr>
      </w:pPr>
    </w:p>
    <w:p w14:paraId="0FBED361" w14:textId="77777777" w:rsidR="002F6582" w:rsidRDefault="002F6582" w:rsidP="00780ED9">
      <w:pPr>
        <w:pStyle w:val="Kop1"/>
        <w:rPr>
          <w:lang w:val="en-US"/>
        </w:rPr>
      </w:pPr>
    </w:p>
    <w:p w14:paraId="2E330B41" w14:textId="77777777" w:rsidR="002F6582" w:rsidRDefault="002F6582" w:rsidP="00780ED9">
      <w:pPr>
        <w:pStyle w:val="Kop1"/>
        <w:rPr>
          <w:lang w:val="en-US"/>
        </w:rPr>
      </w:pPr>
    </w:p>
    <w:p w14:paraId="070AD730" w14:textId="42F1CE6F" w:rsidR="002F6582" w:rsidRDefault="002F6582" w:rsidP="00780ED9">
      <w:pPr>
        <w:pStyle w:val="Kop1"/>
        <w:rPr>
          <w:lang w:val="en-US"/>
        </w:rPr>
      </w:pPr>
    </w:p>
    <w:p w14:paraId="51894ECA" w14:textId="1BA08CC0" w:rsidR="002F6582" w:rsidRDefault="002F6582" w:rsidP="002F6582">
      <w:pPr>
        <w:rPr>
          <w:lang w:val="en-US"/>
        </w:rPr>
      </w:pPr>
    </w:p>
    <w:p w14:paraId="794474C4" w14:textId="77777777" w:rsidR="002F6582" w:rsidRPr="002F6582" w:rsidRDefault="002F6582" w:rsidP="002F6582">
      <w:pPr>
        <w:rPr>
          <w:lang w:val="en-US"/>
        </w:rPr>
      </w:pPr>
    </w:p>
    <w:p w14:paraId="2870D14A" w14:textId="1FEDD2D2" w:rsidR="002F6582" w:rsidRDefault="002F6582" w:rsidP="00780ED9">
      <w:pPr>
        <w:pStyle w:val="Kop1"/>
        <w:rPr>
          <w:lang w:val="en-US"/>
        </w:rPr>
      </w:pPr>
      <w:bookmarkStart w:id="3" w:name="_Toc75400924"/>
      <w:bookmarkStart w:id="4" w:name="_Toc75401327"/>
      <w:r>
        <w:rPr>
          <w:lang w:val="en-US"/>
        </w:rPr>
        <w:lastRenderedPageBreak/>
        <w:t xml:space="preserve">Overview of </w:t>
      </w:r>
      <w:r w:rsidR="000E0335">
        <w:rPr>
          <w:lang w:val="en-US"/>
        </w:rPr>
        <w:t>T</w:t>
      </w:r>
      <w:r>
        <w:rPr>
          <w:lang w:val="en-US"/>
        </w:rPr>
        <w:t xml:space="preserve">ables and </w:t>
      </w:r>
      <w:r w:rsidR="000E0335">
        <w:rPr>
          <w:lang w:val="en-US"/>
        </w:rPr>
        <w:t>F</w:t>
      </w:r>
      <w:r>
        <w:rPr>
          <w:lang w:val="en-US"/>
        </w:rPr>
        <w:t>igures</w:t>
      </w:r>
      <w:bookmarkEnd w:id="3"/>
      <w:bookmarkEnd w:id="4"/>
    </w:p>
    <w:p w14:paraId="77A4332C" w14:textId="714C1E96" w:rsidR="002F6582" w:rsidRDefault="002F6582" w:rsidP="002F6582">
      <w:pPr>
        <w:rPr>
          <w:lang w:val="en-US"/>
        </w:rPr>
      </w:pPr>
    </w:p>
    <w:p w14:paraId="6D4709F9" w14:textId="01575416" w:rsidR="00E15978" w:rsidRPr="00E15978" w:rsidRDefault="008A3941" w:rsidP="008A3941">
      <w:pPr>
        <w:jc w:val="both"/>
        <w:rPr>
          <w:u w:val="single"/>
          <w:lang w:val="en-US"/>
        </w:rPr>
      </w:pPr>
      <w:r w:rsidRPr="00E15978">
        <w:rPr>
          <w:u w:val="single"/>
          <w:lang w:val="en-US"/>
        </w:rPr>
        <w:t>List of Tables:</w:t>
      </w:r>
    </w:p>
    <w:p w14:paraId="2C61DA48" w14:textId="18D3E3E6" w:rsidR="008A3941" w:rsidRPr="009E78EB" w:rsidRDefault="008A3941" w:rsidP="008A3941">
      <w:pPr>
        <w:jc w:val="both"/>
        <w:rPr>
          <w:lang w:val="en-US"/>
        </w:rPr>
      </w:pPr>
      <w:r w:rsidRPr="009E78EB">
        <w:rPr>
          <w:lang w:val="en-US"/>
        </w:rPr>
        <w:t>Table 1.1: Main assumptions of the VOC framework</w:t>
      </w:r>
      <w:r w:rsidR="00835596">
        <w:rPr>
          <w:lang w:val="en-US"/>
        </w:rPr>
        <w:t xml:space="preserve"> (page 9)</w:t>
      </w:r>
    </w:p>
    <w:p w14:paraId="40FFD3F9" w14:textId="1DDC303D" w:rsidR="008A3941" w:rsidRPr="009E78EB" w:rsidRDefault="008A3941" w:rsidP="008A3941">
      <w:pPr>
        <w:jc w:val="both"/>
        <w:rPr>
          <w:lang w:val="en-US"/>
        </w:rPr>
      </w:pPr>
      <w:r w:rsidRPr="009E78EB">
        <w:rPr>
          <w:lang w:val="en-US"/>
        </w:rPr>
        <w:t>Table 1.2: Economic Spheres and the differences between different varieties of capitalism</w:t>
      </w:r>
      <w:r w:rsidR="00835596">
        <w:rPr>
          <w:lang w:val="en-US"/>
        </w:rPr>
        <w:t xml:space="preserve"> (Page 13)</w:t>
      </w:r>
    </w:p>
    <w:p w14:paraId="3173CCCD" w14:textId="4C2AC9E3" w:rsidR="008A3941" w:rsidRPr="009E78EB" w:rsidRDefault="008A3941" w:rsidP="008A3941">
      <w:pPr>
        <w:jc w:val="both"/>
        <w:rPr>
          <w:lang w:val="en-US"/>
        </w:rPr>
      </w:pPr>
      <w:r w:rsidRPr="009E78EB">
        <w:rPr>
          <w:lang w:val="en-US"/>
        </w:rPr>
        <w:t>Table 1.3: Spheres within the VOC framework</w:t>
      </w:r>
      <w:r w:rsidR="00DB457C">
        <w:rPr>
          <w:lang w:val="en-US"/>
        </w:rPr>
        <w:t xml:space="preserve"> (Page 14)</w:t>
      </w:r>
    </w:p>
    <w:p w14:paraId="4284AA0A" w14:textId="2905A272" w:rsidR="008A3941" w:rsidRPr="009E78EB" w:rsidRDefault="008A3941" w:rsidP="008A3941">
      <w:pPr>
        <w:jc w:val="both"/>
        <w:rPr>
          <w:lang w:val="en-US"/>
        </w:rPr>
      </w:pPr>
      <w:r w:rsidRPr="009E78EB">
        <w:rPr>
          <w:lang w:val="en-US"/>
        </w:rPr>
        <w:t>Table 1.4: Network relationships between corporations and state government</w:t>
      </w:r>
      <w:r w:rsidR="00DB457C">
        <w:rPr>
          <w:lang w:val="en-US"/>
        </w:rPr>
        <w:t xml:space="preserve"> (Page 17)</w:t>
      </w:r>
    </w:p>
    <w:p w14:paraId="767C2C1A" w14:textId="1AE18E1F" w:rsidR="008A3941" w:rsidRPr="009E78EB" w:rsidRDefault="008A3941" w:rsidP="008A3941">
      <w:pPr>
        <w:jc w:val="both"/>
        <w:rPr>
          <w:lang w:val="en-US"/>
        </w:rPr>
      </w:pPr>
      <w:r w:rsidRPr="009E78EB">
        <w:rPr>
          <w:lang w:val="en-US"/>
        </w:rPr>
        <w:t>Table 1.5: Adaption of the Spheres in the VOC framework</w:t>
      </w:r>
      <w:r w:rsidR="00DB457C">
        <w:rPr>
          <w:lang w:val="en-US"/>
        </w:rPr>
        <w:t xml:space="preserve"> (Page 19)</w:t>
      </w:r>
    </w:p>
    <w:p w14:paraId="14B4E5EC" w14:textId="41960FEB" w:rsidR="008A3941" w:rsidRPr="009E78EB" w:rsidRDefault="008A3941" w:rsidP="008A3941">
      <w:pPr>
        <w:jc w:val="both"/>
        <w:rPr>
          <w:lang w:val="en-US"/>
        </w:rPr>
      </w:pPr>
      <w:r w:rsidRPr="009E78EB">
        <w:rPr>
          <w:lang w:val="en-US"/>
        </w:rPr>
        <w:t>Table 3.1: Overview of National Labor &amp; Workforce Relations</w:t>
      </w:r>
      <w:r w:rsidR="00DB457C">
        <w:rPr>
          <w:lang w:val="en-US"/>
        </w:rPr>
        <w:t xml:space="preserve"> (Page 30)</w:t>
      </w:r>
    </w:p>
    <w:p w14:paraId="7AE5479A" w14:textId="65B5ABB0" w:rsidR="008A3941" w:rsidRPr="009E78EB" w:rsidRDefault="008A3941" w:rsidP="008A3941">
      <w:pPr>
        <w:jc w:val="both"/>
        <w:rPr>
          <w:lang w:val="en-US"/>
        </w:rPr>
      </w:pPr>
      <w:r w:rsidRPr="009E78EB">
        <w:rPr>
          <w:lang w:val="en-US"/>
        </w:rPr>
        <w:t xml:space="preserve">Table 3.2: Overview of the Labor and Education Diversity </w:t>
      </w:r>
      <w:r w:rsidR="00DB457C">
        <w:rPr>
          <w:lang w:val="en-US"/>
        </w:rPr>
        <w:t>(Page 3</w:t>
      </w:r>
      <w:r w:rsidR="00CD6B57">
        <w:rPr>
          <w:lang w:val="en-US"/>
        </w:rPr>
        <w:t>5</w:t>
      </w:r>
      <w:r w:rsidR="00DB457C">
        <w:rPr>
          <w:lang w:val="en-US"/>
        </w:rPr>
        <w:t>)</w:t>
      </w:r>
    </w:p>
    <w:p w14:paraId="48F8D9FA" w14:textId="60209E25" w:rsidR="008A3941" w:rsidRPr="009E78EB" w:rsidRDefault="008A3941" w:rsidP="008A3941">
      <w:pPr>
        <w:jc w:val="both"/>
        <w:rPr>
          <w:rFonts w:ascii="Calibri" w:hAnsi="Calibri"/>
          <w:lang w:val="en-US"/>
        </w:rPr>
      </w:pPr>
      <w:r w:rsidRPr="009E78EB">
        <w:rPr>
          <w:rFonts w:ascii="Calibri" w:hAnsi="Calibri"/>
          <w:lang w:val="en-US"/>
        </w:rPr>
        <w:t xml:space="preserve">Table 3.3: Characteristics of inter-firm and firm state networks </w:t>
      </w:r>
      <w:r w:rsidR="00DB457C">
        <w:rPr>
          <w:rFonts w:ascii="Calibri" w:hAnsi="Calibri"/>
          <w:lang w:val="en-US"/>
        </w:rPr>
        <w:t>(Page 3</w:t>
      </w:r>
      <w:r w:rsidR="00CD6B57">
        <w:rPr>
          <w:rFonts w:ascii="Calibri" w:hAnsi="Calibri"/>
          <w:lang w:val="en-US"/>
        </w:rPr>
        <w:t>7</w:t>
      </w:r>
      <w:r w:rsidR="00DB457C">
        <w:rPr>
          <w:rFonts w:ascii="Calibri" w:hAnsi="Calibri"/>
          <w:lang w:val="en-US"/>
        </w:rPr>
        <w:t>)</w:t>
      </w:r>
    </w:p>
    <w:p w14:paraId="0DCF2F8E" w14:textId="77777777" w:rsidR="008A3941" w:rsidRPr="009E78EB" w:rsidRDefault="008A3941" w:rsidP="008A3941">
      <w:pPr>
        <w:jc w:val="both"/>
        <w:rPr>
          <w:lang w:val="en-US"/>
        </w:rPr>
      </w:pPr>
    </w:p>
    <w:p w14:paraId="606004FE" w14:textId="77777777" w:rsidR="008A3941" w:rsidRPr="00E15978" w:rsidRDefault="008A3941" w:rsidP="008A3941">
      <w:pPr>
        <w:jc w:val="both"/>
        <w:rPr>
          <w:u w:val="single"/>
          <w:lang w:val="en-US"/>
        </w:rPr>
      </w:pPr>
      <w:r w:rsidRPr="00E15978">
        <w:rPr>
          <w:u w:val="single"/>
          <w:lang w:val="en-US"/>
        </w:rPr>
        <w:t>List of Figures:</w:t>
      </w:r>
    </w:p>
    <w:p w14:paraId="5EAC7D22" w14:textId="40670285" w:rsidR="008A3941" w:rsidRPr="009E78EB" w:rsidRDefault="008A3941" w:rsidP="008A3941">
      <w:pPr>
        <w:jc w:val="both"/>
        <w:rPr>
          <w:lang w:val="en-US"/>
        </w:rPr>
      </w:pPr>
      <w:r w:rsidRPr="009E78EB">
        <w:rPr>
          <w:lang w:val="en-US"/>
        </w:rPr>
        <w:t>Figure 1.1: Research framework for institutional complementarity</w:t>
      </w:r>
      <w:r w:rsidR="00DB457C">
        <w:rPr>
          <w:lang w:val="en-US"/>
        </w:rPr>
        <w:t xml:space="preserve"> (Page 2</w:t>
      </w:r>
      <w:r w:rsidR="00CD6B57">
        <w:rPr>
          <w:lang w:val="en-US"/>
        </w:rPr>
        <w:t>2</w:t>
      </w:r>
      <w:r w:rsidR="00DB457C">
        <w:rPr>
          <w:lang w:val="en-US"/>
        </w:rPr>
        <w:t>)</w:t>
      </w:r>
    </w:p>
    <w:p w14:paraId="1A495AAB" w14:textId="6D8A9B46" w:rsidR="008A3941" w:rsidRPr="009E78EB" w:rsidRDefault="008A3941" w:rsidP="008A3941">
      <w:pPr>
        <w:jc w:val="both"/>
        <w:rPr>
          <w:lang w:val="en-US"/>
        </w:rPr>
      </w:pPr>
      <w:r w:rsidRPr="009E78EB">
        <w:rPr>
          <w:lang w:val="en-US"/>
        </w:rPr>
        <w:t>Figure 3.1: Research framework for institutional complementarity</w:t>
      </w:r>
      <w:r w:rsidR="00DB457C">
        <w:rPr>
          <w:lang w:val="en-US"/>
        </w:rPr>
        <w:t xml:space="preserve"> (Page 2</w:t>
      </w:r>
      <w:r w:rsidR="00CD6B57">
        <w:rPr>
          <w:lang w:val="en-US"/>
        </w:rPr>
        <w:t>9</w:t>
      </w:r>
      <w:r w:rsidR="00DB457C">
        <w:rPr>
          <w:lang w:val="en-US"/>
        </w:rPr>
        <w:t>)</w:t>
      </w:r>
    </w:p>
    <w:p w14:paraId="0B281962" w14:textId="2AFB3684" w:rsidR="008A3941" w:rsidRPr="009E78EB" w:rsidRDefault="008A3941" w:rsidP="008A3941">
      <w:pPr>
        <w:jc w:val="both"/>
        <w:rPr>
          <w:lang w:val="en-US"/>
        </w:rPr>
      </w:pPr>
      <w:r w:rsidRPr="009E78EB">
        <w:rPr>
          <w:lang w:val="en-US"/>
        </w:rPr>
        <w:t>Figure 3.2: Timeline of the Latvian Governments 1992-2016</w:t>
      </w:r>
      <w:r w:rsidR="00DB457C">
        <w:rPr>
          <w:lang w:val="en-US"/>
        </w:rPr>
        <w:t xml:space="preserve"> (Page </w:t>
      </w:r>
      <w:r w:rsidR="00CD6B57">
        <w:rPr>
          <w:lang w:val="en-US"/>
        </w:rPr>
        <w:t>40</w:t>
      </w:r>
      <w:r w:rsidR="00DB457C">
        <w:rPr>
          <w:lang w:val="en-US"/>
        </w:rPr>
        <w:t>)</w:t>
      </w:r>
    </w:p>
    <w:p w14:paraId="1C626E1D" w14:textId="7F9CB817" w:rsidR="008A3941" w:rsidRPr="009E78EB" w:rsidRDefault="008A3941" w:rsidP="008A3941">
      <w:pPr>
        <w:jc w:val="both"/>
        <w:rPr>
          <w:lang w:val="en-US"/>
        </w:rPr>
      </w:pPr>
      <w:r w:rsidRPr="009E78EB">
        <w:rPr>
          <w:lang w:val="en-US"/>
        </w:rPr>
        <w:t>Figure 3.3: Timeline of the Bulgarian Governments 1992-2016</w:t>
      </w:r>
      <w:r w:rsidR="00DB457C">
        <w:rPr>
          <w:lang w:val="en-US"/>
        </w:rPr>
        <w:t xml:space="preserve"> (Page </w:t>
      </w:r>
      <w:r w:rsidR="00CD6B57">
        <w:rPr>
          <w:lang w:val="en-US"/>
        </w:rPr>
        <w:t>40</w:t>
      </w:r>
      <w:r w:rsidR="00DB457C">
        <w:rPr>
          <w:lang w:val="en-US"/>
        </w:rPr>
        <w:t>)</w:t>
      </w:r>
    </w:p>
    <w:p w14:paraId="103E4739" w14:textId="403F0A62" w:rsidR="002F6582" w:rsidRPr="008A3941" w:rsidRDefault="002F6582" w:rsidP="002F6582">
      <w:pPr>
        <w:rPr>
          <w:lang w:val="en-US"/>
        </w:rPr>
      </w:pPr>
    </w:p>
    <w:p w14:paraId="4D7E1FAD" w14:textId="7A921406" w:rsidR="002F6582" w:rsidRPr="00DB457C" w:rsidRDefault="002F6582" w:rsidP="002F6582">
      <w:pPr>
        <w:rPr>
          <w:lang w:val="en-US"/>
        </w:rPr>
      </w:pPr>
    </w:p>
    <w:p w14:paraId="511724C3" w14:textId="7FEA2CF8" w:rsidR="002F6582" w:rsidRPr="00DB457C" w:rsidRDefault="002F6582" w:rsidP="002F6582">
      <w:pPr>
        <w:rPr>
          <w:lang w:val="en-US"/>
        </w:rPr>
      </w:pPr>
    </w:p>
    <w:p w14:paraId="55CC2805" w14:textId="14282076" w:rsidR="002F6582" w:rsidRPr="00DB457C" w:rsidRDefault="002F6582" w:rsidP="002F6582">
      <w:pPr>
        <w:rPr>
          <w:lang w:val="en-US"/>
        </w:rPr>
      </w:pPr>
    </w:p>
    <w:p w14:paraId="6271FDC5" w14:textId="4A216387" w:rsidR="002F6582" w:rsidRPr="00DB457C" w:rsidRDefault="002F6582" w:rsidP="002F6582">
      <w:pPr>
        <w:rPr>
          <w:lang w:val="en-US"/>
        </w:rPr>
      </w:pPr>
    </w:p>
    <w:p w14:paraId="7DF420A2" w14:textId="07271A24" w:rsidR="002F6582" w:rsidRPr="00DB457C" w:rsidRDefault="002F6582" w:rsidP="002F6582">
      <w:pPr>
        <w:rPr>
          <w:lang w:val="en-US"/>
        </w:rPr>
      </w:pPr>
    </w:p>
    <w:p w14:paraId="0222951F" w14:textId="03BF8907" w:rsidR="008A3941" w:rsidRPr="00DB457C" w:rsidRDefault="008A3941" w:rsidP="002F6582">
      <w:pPr>
        <w:rPr>
          <w:lang w:val="en-US"/>
        </w:rPr>
      </w:pPr>
    </w:p>
    <w:p w14:paraId="65F87EF3" w14:textId="092B23F6" w:rsidR="008A3941" w:rsidRPr="00DB457C" w:rsidRDefault="008A3941" w:rsidP="002F6582">
      <w:pPr>
        <w:rPr>
          <w:lang w:val="en-US"/>
        </w:rPr>
      </w:pPr>
    </w:p>
    <w:p w14:paraId="570F49F1" w14:textId="00947786" w:rsidR="008A3941" w:rsidRPr="00DB457C" w:rsidRDefault="008A3941" w:rsidP="002F6582">
      <w:pPr>
        <w:rPr>
          <w:lang w:val="en-US"/>
        </w:rPr>
      </w:pPr>
    </w:p>
    <w:p w14:paraId="5ABA0268" w14:textId="2CFB2880" w:rsidR="008A3941" w:rsidRPr="00DB457C" w:rsidRDefault="008A3941" w:rsidP="002F6582">
      <w:pPr>
        <w:rPr>
          <w:lang w:val="en-US"/>
        </w:rPr>
      </w:pPr>
    </w:p>
    <w:p w14:paraId="3A4D77D7" w14:textId="48FB3591" w:rsidR="008A3941" w:rsidRPr="00DB457C" w:rsidRDefault="008A3941" w:rsidP="002F6582">
      <w:pPr>
        <w:rPr>
          <w:lang w:val="en-US"/>
        </w:rPr>
      </w:pPr>
    </w:p>
    <w:p w14:paraId="6842D9EF" w14:textId="67AF92FE" w:rsidR="008A3941" w:rsidRPr="00DB457C" w:rsidRDefault="008A3941" w:rsidP="002F6582">
      <w:pPr>
        <w:rPr>
          <w:lang w:val="en-US"/>
        </w:rPr>
      </w:pPr>
    </w:p>
    <w:p w14:paraId="55A70D10" w14:textId="77777777" w:rsidR="008A3941" w:rsidRPr="00DB457C" w:rsidRDefault="008A3941" w:rsidP="002F6582">
      <w:pPr>
        <w:rPr>
          <w:lang w:val="en-US"/>
        </w:rPr>
      </w:pPr>
    </w:p>
    <w:p w14:paraId="701F8685" w14:textId="7A68FAF7" w:rsidR="00952C0C" w:rsidRDefault="007C7610" w:rsidP="00780ED9">
      <w:pPr>
        <w:pStyle w:val="Kop1"/>
        <w:rPr>
          <w:lang w:val="en-US"/>
        </w:rPr>
      </w:pPr>
      <w:bookmarkStart w:id="5" w:name="_Toc75401328"/>
      <w:r w:rsidRPr="00232BA1">
        <w:rPr>
          <w:lang w:val="en-US"/>
        </w:rPr>
        <w:lastRenderedPageBreak/>
        <w:t>Introduction</w:t>
      </w:r>
      <w:bookmarkEnd w:id="5"/>
    </w:p>
    <w:p w14:paraId="5913F04E" w14:textId="77777777" w:rsidR="00780ED9" w:rsidRPr="00780ED9" w:rsidRDefault="00780ED9" w:rsidP="00780ED9">
      <w:pPr>
        <w:rPr>
          <w:lang w:val="en-US"/>
        </w:rPr>
      </w:pPr>
    </w:p>
    <w:p w14:paraId="216DDDD4" w14:textId="21F5D3CA" w:rsidR="006D4B1F" w:rsidRPr="00232BA1" w:rsidRDefault="00484E70" w:rsidP="000D5441">
      <w:pPr>
        <w:spacing w:line="360" w:lineRule="auto"/>
        <w:jc w:val="both"/>
        <w:rPr>
          <w:lang w:val="en-US"/>
        </w:rPr>
      </w:pPr>
      <w:r w:rsidRPr="00232BA1">
        <w:rPr>
          <w:lang w:val="en-US"/>
        </w:rPr>
        <w:t xml:space="preserve">After the collapse of the Soviet Union in 1991, the </w:t>
      </w:r>
      <w:r w:rsidR="00CC3032" w:rsidRPr="00232BA1">
        <w:rPr>
          <w:lang w:val="en-US"/>
        </w:rPr>
        <w:t>C</w:t>
      </w:r>
      <w:r w:rsidRPr="00232BA1">
        <w:rPr>
          <w:lang w:val="en-US"/>
        </w:rPr>
        <w:t xml:space="preserve">old </w:t>
      </w:r>
      <w:r w:rsidR="00CC3032" w:rsidRPr="00232BA1">
        <w:rPr>
          <w:lang w:val="en-US"/>
        </w:rPr>
        <w:t>W</w:t>
      </w:r>
      <w:r w:rsidRPr="00232BA1">
        <w:rPr>
          <w:lang w:val="en-US"/>
        </w:rPr>
        <w:t>ar came to an end.</w:t>
      </w:r>
      <w:r w:rsidR="00CC3032" w:rsidRPr="00232BA1">
        <w:rPr>
          <w:lang w:val="en-US"/>
        </w:rPr>
        <w:t xml:space="preserve"> </w:t>
      </w:r>
      <w:r w:rsidRPr="00232BA1">
        <w:rPr>
          <w:lang w:val="en-US"/>
        </w:rPr>
        <w:t xml:space="preserve">This meant that the barriers between western and eastern Europe started to fade. </w:t>
      </w:r>
      <w:r w:rsidR="00CC3032" w:rsidRPr="00232BA1">
        <w:rPr>
          <w:lang w:val="en-US"/>
        </w:rPr>
        <w:t xml:space="preserve">The former Soviet (satellite) states in Eastern Europe sought more economic and political ties with </w:t>
      </w:r>
      <w:r w:rsidR="006234E4">
        <w:rPr>
          <w:lang w:val="en-US"/>
        </w:rPr>
        <w:t>w</w:t>
      </w:r>
      <w:r w:rsidR="00CC3032" w:rsidRPr="00232BA1">
        <w:rPr>
          <w:lang w:val="en-US"/>
        </w:rPr>
        <w:t xml:space="preserve">estern Europe.  </w:t>
      </w:r>
      <w:r w:rsidRPr="00232BA1">
        <w:rPr>
          <w:lang w:val="en-US"/>
        </w:rPr>
        <w:t>The European Union</w:t>
      </w:r>
      <w:r w:rsidR="00CC3032" w:rsidRPr="00232BA1">
        <w:rPr>
          <w:lang w:val="en-US"/>
        </w:rPr>
        <w:t xml:space="preserve"> (EU)</w:t>
      </w:r>
      <w:r w:rsidRPr="00232BA1">
        <w:rPr>
          <w:lang w:val="en-US"/>
        </w:rPr>
        <w:t>, which had only western and southern European member states</w:t>
      </w:r>
      <w:r w:rsidR="00CC3032" w:rsidRPr="00232BA1">
        <w:rPr>
          <w:lang w:val="en-US"/>
        </w:rPr>
        <w:t xml:space="preserve"> until this point, now received applications from Eastern European states</w:t>
      </w:r>
      <w:r w:rsidR="006234E4">
        <w:rPr>
          <w:lang w:val="en-US"/>
        </w:rPr>
        <w:t xml:space="preserve"> (Pula, 2018).</w:t>
      </w:r>
      <w:r w:rsidR="00CC3032" w:rsidRPr="00232BA1">
        <w:rPr>
          <w:lang w:val="en-US"/>
        </w:rPr>
        <w:t xml:space="preserve"> These states sought to become a member of the EU in order to integrate with the more prosperous west and to </w:t>
      </w:r>
      <w:r w:rsidR="009A2E9E" w:rsidRPr="00232BA1">
        <w:rPr>
          <w:lang w:val="en-US"/>
        </w:rPr>
        <w:t xml:space="preserve">reduce their dependence on Russia economically. However, these new prospective EU members were very different economically and politically. </w:t>
      </w:r>
      <w:r w:rsidR="00BA5439" w:rsidRPr="00232BA1">
        <w:rPr>
          <w:lang w:val="en-US"/>
        </w:rPr>
        <w:t xml:space="preserve">The starkest difference was the socialist institutional structure that was established in these states after the </w:t>
      </w:r>
      <w:r w:rsidR="006234E4">
        <w:rPr>
          <w:lang w:val="en-US"/>
        </w:rPr>
        <w:t>S</w:t>
      </w:r>
      <w:r w:rsidR="00BA5439" w:rsidRPr="00232BA1">
        <w:rPr>
          <w:lang w:val="en-US"/>
        </w:rPr>
        <w:t xml:space="preserve">econd </w:t>
      </w:r>
      <w:r w:rsidR="006234E4">
        <w:rPr>
          <w:lang w:val="en-US"/>
        </w:rPr>
        <w:t>W</w:t>
      </w:r>
      <w:r w:rsidR="00BA5439" w:rsidRPr="00232BA1">
        <w:rPr>
          <w:lang w:val="en-US"/>
        </w:rPr>
        <w:t xml:space="preserve">orld </w:t>
      </w:r>
      <w:r w:rsidR="006234E4">
        <w:rPr>
          <w:lang w:val="en-US"/>
        </w:rPr>
        <w:t>W</w:t>
      </w:r>
      <w:r w:rsidR="00BA5439" w:rsidRPr="00232BA1">
        <w:rPr>
          <w:lang w:val="en-US"/>
        </w:rPr>
        <w:t xml:space="preserve">ar. This structure was very divergent from the capitalist institutional structure that was established in </w:t>
      </w:r>
      <w:r w:rsidR="006234E4">
        <w:rPr>
          <w:lang w:val="en-US"/>
        </w:rPr>
        <w:t>w</w:t>
      </w:r>
      <w:r w:rsidR="00BA5439" w:rsidRPr="00232BA1">
        <w:rPr>
          <w:lang w:val="en-US"/>
        </w:rPr>
        <w:t xml:space="preserve">estern </w:t>
      </w:r>
      <w:r w:rsidR="000F5637" w:rsidRPr="00232BA1">
        <w:rPr>
          <w:lang w:val="en-US"/>
        </w:rPr>
        <w:t>Europe</w:t>
      </w:r>
      <w:r w:rsidR="006234E4">
        <w:rPr>
          <w:lang w:val="en-US"/>
        </w:rPr>
        <w:t xml:space="preserve"> (Bohle, 2008).</w:t>
      </w:r>
      <w:r w:rsidR="000F5637" w:rsidRPr="00232BA1">
        <w:rPr>
          <w:lang w:val="en-US"/>
        </w:rPr>
        <w:t xml:space="preserve"> Therefore, the Eastern European countries that wanted to join the EU had to meet the same standards as the rest of the member states. This led to each prospective member having to implement reforms and undergo an economic transition </w:t>
      </w:r>
      <w:r w:rsidR="00416A5A" w:rsidRPr="00232BA1">
        <w:rPr>
          <w:lang w:val="en-US"/>
        </w:rPr>
        <w:t>process in order to reach the same level of economic development</w:t>
      </w:r>
      <w:r w:rsidR="006234E4">
        <w:rPr>
          <w:lang w:val="en-US"/>
        </w:rPr>
        <w:t xml:space="preserve"> (Appel, 2004).</w:t>
      </w:r>
    </w:p>
    <w:p w14:paraId="74C9351E" w14:textId="784D4484" w:rsidR="000D5441" w:rsidRDefault="000F5637" w:rsidP="000D5441">
      <w:pPr>
        <w:spacing w:line="360" w:lineRule="auto"/>
        <w:jc w:val="both"/>
        <w:rPr>
          <w:lang w:val="en-US"/>
        </w:rPr>
      </w:pPr>
      <w:r w:rsidRPr="00232BA1">
        <w:rPr>
          <w:lang w:val="en-US"/>
        </w:rPr>
        <w:t xml:space="preserve">These economic transitions were set up in a similar way for every eastern European state that wished to become an EU member. </w:t>
      </w:r>
      <w:r w:rsidR="00671F4E" w:rsidRPr="00232BA1">
        <w:rPr>
          <w:lang w:val="en-US"/>
        </w:rPr>
        <w:t>This was the case because every prospective member was more or less in the same position economically and politically. Thus, the reform program that had to be implemented was expected to affect every country in the same way. The reasoning behind this was that every country that underwent the same economic transition would eventually be eligible to join the EU as a full-fledged member</w:t>
      </w:r>
      <w:r w:rsidR="00A17915">
        <w:rPr>
          <w:lang w:val="en-US"/>
        </w:rPr>
        <w:t xml:space="preserve"> (Paraskevopoulos, 2001).</w:t>
      </w:r>
      <w:r w:rsidR="00671F4E" w:rsidRPr="00232BA1">
        <w:rPr>
          <w:lang w:val="en-US"/>
        </w:rPr>
        <w:t xml:space="preserve"> However, the reality was very different. </w:t>
      </w:r>
      <w:r w:rsidR="005B0358" w:rsidRPr="00232BA1">
        <w:rPr>
          <w:lang w:val="en-US"/>
        </w:rPr>
        <w:t xml:space="preserve">Instead of having the similar results in every country, the economic transition process unfolded differently in almost every country. This led to different cohorts on the path to EU membership. Of these countries, the Baltic states (Estonia, Latvia &amp; Lithuania) had the least problems during the economic transition. The intermediate group consisted of the </w:t>
      </w:r>
      <w:proofErr w:type="spellStart"/>
      <w:r w:rsidR="005B0358" w:rsidRPr="00232BA1">
        <w:rPr>
          <w:lang w:val="en-US"/>
        </w:rPr>
        <w:t>Visegrad</w:t>
      </w:r>
      <w:proofErr w:type="spellEnd"/>
      <w:r w:rsidR="005B0358" w:rsidRPr="00232BA1">
        <w:rPr>
          <w:lang w:val="en-US"/>
        </w:rPr>
        <w:t xml:space="preserve"> countries (Czechia, Slovakia, Poland &amp; Hungary) and encountered some difficulties. Both of these groups eventually joined the EU in 2004</w:t>
      </w:r>
      <w:r w:rsidR="00A17915">
        <w:rPr>
          <w:lang w:val="en-US"/>
        </w:rPr>
        <w:t xml:space="preserve"> (</w:t>
      </w:r>
      <w:proofErr w:type="spellStart"/>
      <w:r w:rsidR="00A17915">
        <w:rPr>
          <w:lang w:val="en-US"/>
        </w:rPr>
        <w:t>Kopecky</w:t>
      </w:r>
      <w:proofErr w:type="spellEnd"/>
      <w:r w:rsidR="00A17915">
        <w:rPr>
          <w:lang w:val="en-US"/>
        </w:rPr>
        <w:t>, 2006).</w:t>
      </w:r>
      <w:r w:rsidR="005B0358" w:rsidRPr="00232BA1">
        <w:rPr>
          <w:lang w:val="en-US"/>
        </w:rPr>
        <w:t xml:space="preserve"> The last cohort consists of Romania and Bulgaria, who had the most difficulties in their economic transition. These two joined </w:t>
      </w:r>
      <w:r w:rsidR="00B57F9D" w:rsidRPr="00232BA1">
        <w:rPr>
          <w:lang w:val="en-US"/>
        </w:rPr>
        <w:t xml:space="preserve">the EU </w:t>
      </w:r>
      <w:r w:rsidR="005B0358" w:rsidRPr="00232BA1">
        <w:rPr>
          <w:lang w:val="en-US"/>
        </w:rPr>
        <w:t xml:space="preserve">only in 2007 with </w:t>
      </w:r>
      <w:r w:rsidR="00572A81" w:rsidRPr="00232BA1">
        <w:rPr>
          <w:lang w:val="en-US"/>
        </w:rPr>
        <w:t xml:space="preserve">restrictions and monitoring to </w:t>
      </w:r>
      <w:r w:rsidR="000D5441" w:rsidRPr="00232BA1">
        <w:rPr>
          <w:lang w:val="en-US"/>
        </w:rPr>
        <w:t>make up</w:t>
      </w:r>
      <w:r w:rsidR="00572A81" w:rsidRPr="00232BA1">
        <w:rPr>
          <w:lang w:val="en-US"/>
        </w:rPr>
        <w:t xml:space="preserve"> for their deficits. </w:t>
      </w:r>
      <w:r w:rsidR="00B57F9D" w:rsidRPr="00232BA1">
        <w:rPr>
          <w:lang w:val="en-US"/>
        </w:rPr>
        <w:t xml:space="preserve">While all of these countries are now EU members, the expectation is then that every country must be one the same level economically. However, the differences in economic development that emerged during the economic transition persist even as EU members. There is a still a large difference </w:t>
      </w:r>
      <w:r w:rsidR="00952C0C" w:rsidRPr="00232BA1">
        <w:rPr>
          <w:lang w:val="en-US"/>
        </w:rPr>
        <w:t xml:space="preserve">in economic development </w:t>
      </w:r>
      <w:r w:rsidR="00B57F9D" w:rsidRPr="00232BA1">
        <w:rPr>
          <w:lang w:val="en-US"/>
        </w:rPr>
        <w:t xml:space="preserve">between the </w:t>
      </w:r>
      <w:r w:rsidR="00952C0C" w:rsidRPr="00232BA1">
        <w:rPr>
          <w:lang w:val="en-US"/>
        </w:rPr>
        <w:t>Baltic states and Romania and Bulgaria</w:t>
      </w:r>
      <w:r w:rsidR="00A17915">
        <w:rPr>
          <w:lang w:val="en-US"/>
        </w:rPr>
        <w:t xml:space="preserve"> (Kolev, 2012).</w:t>
      </w:r>
    </w:p>
    <w:p w14:paraId="3FBBD27B" w14:textId="507F8ADA" w:rsidR="000F5637" w:rsidRPr="00232BA1" w:rsidRDefault="00416A5A" w:rsidP="000D5441">
      <w:pPr>
        <w:spacing w:line="360" w:lineRule="auto"/>
        <w:jc w:val="both"/>
        <w:rPr>
          <w:lang w:val="en-US"/>
        </w:rPr>
      </w:pPr>
      <w:r w:rsidRPr="00232BA1">
        <w:rPr>
          <w:lang w:val="en-US"/>
        </w:rPr>
        <w:t>To pinpoint the cause</w:t>
      </w:r>
      <w:r w:rsidR="007B065E" w:rsidRPr="00232BA1">
        <w:rPr>
          <w:lang w:val="en-US"/>
        </w:rPr>
        <w:t>s</w:t>
      </w:r>
      <w:r w:rsidRPr="00232BA1">
        <w:rPr>
          <w:lang w:val="en-US"/>
        </w:rPr>
        <w:t xml:space="preserve"> for these differences in economic development during the economic transition process, two countries will be analyzed. This will be Latvia and Bulgaria. These are two countries that </w:t>
      </w:r>
      <w:r w:rsidRPr="00232BA1">
        <w:rPr>
          <w:lang w:val="en-US"/>
        </w:rPr>
        <w:lastRenderedPageBreak/>
        <w:t xml:space="preserve">started out in a similar position, underwent a similar process, yet turned out differently. The two countries can be placed at opposite ends </w:t>
      </w:r>
      <w:r w:rsidR="00B9785A" w:rsidRPr="00232BA1">
        <w:rPr>
          <w:lang w:val="en-US"/>
        </w:rPr>
        <w:t>with regard to</w:t>
      </w:r>
      <w:r w:rsidRPr="00232BA1">
        <w:rPr>
          <w:lang w:val="en-US"/>
        </w:rPr>
        <w:t xml:space="preserve"> economic development during the economic transition. Latvia has enjoyed one of the highest </w:t>
      </w:r>
      <w:r w:rsidR="007B065E" w:rsidRPr="00232BA1">
        <w:rPr>
          <w:lang w:val="en-US"/>
        </w:rPr>
        <w:t xml:space="preserve">levels of </w:t>
      </w:r>
      <w:r w:rsidRPr="00232BA1">
        <w:rPr>
          <w:lang w:val="en-US"/>
        </w:rPr>
        <w:t>economic development, and has profited a lot from EU integration</w:t>
      </w:r>
      <w:r w:rsidR="00A17915" w:rsidRPr="00A17915">
        <w:rPr>
          <w:lang w:val="en-US"/>
        </w:rPr>
        <w:t xml:space="preserve"> </w:t>
      </w:r>
      <w:r w:rsidR="00A17915">
        <w:rPr>
          <w:lang w:val="en-US"/>
        </w:rPr>
        <w:t>(</w:t>
      </w:r>
      <w:r w:rsidR="00A17915" w:rsidRPr="00232BA1">
        <w:rPr>
          <w:lang w:val="en-US"/>
        </w:rPr>
        <w:t>Bohle, 2018)</w:t>
      </w:r>
      <w:r w:rsidR="00B9785A" w:rsidRPr="00232BA1">
        <w:rPr>
          <w:lang w:val="en-US"/>
        </w:rPr>
        <w:t xml:space="preserve">. </w:t>
      </w:r>
      <w:r w:rsidRPr="00232BA1">
        <w:rPr>
          <w:lang w:val="en-US"/>
        </w:rPr>
        <w:t xml:space="preserve">In contrast, Bulgaria has been </w:t>
      </w:r>
      <w:r w:rsidR="007B065E" w:rsidRPr="00232BA1">
        <w:rPr>
          <w:lang w:val="en-US"/>
        </w:rPr>
        <w:t xml:space="preserve">subject to the lowest level of economic development </w:t>
      </w:r>
      <w:r w:rsidRPr="00232BA1">
        <w:rPr>
          <w:lang w:val="en-US"/>
        </w:rPr>
        <w:t>in the EU, the country is ranked as the poorest EU member and development</w:t>
      </w:r>
      <w:r w:rsidR="007B065E" w:rsidRPr="00232BA1">
        <w:rPr>
          <w:lang w:val="en-US"/>
        </w:rPr>
        <w:t xml:space="preserve"> overtime</w:t>
      </w:r>
      <w:r w:rsidRPr="00232BA1">
        <w:rPr>
          <w:lang w:val="en-US"/>
        </w:rPr>
        <w:t xml:space="preserve"> has been slow</w:t>
      </w:r>
      <w:r w:rsidR="00A17915">
        <w:rPr>
          <w:lang w:val="en-US"/>
        </w:rPr>
        <w:t>.</w:t>
      </w:r>
      <w:r w:rsidRPr="00232BA1">
        <w:rPr>
          <w:lang w:val="en-US"/>
        </w:rPr>
        <w:t xml:space="preserve"> (Pula, 2018)</w:t>
      </w:r>
      <w:r w:rsidR="00A17915">
        <w:rPr>
          <w:lang w:val="en-US"/>
        </w:rPr>
        <w:t xml:space="preserve">. </w:t>
      </w:r>
      <w:r w:rsidR="00B9785A" w:rsidRPr="00232BA1">
        <w:rPr>
          <w:lang w:val="en-US"/>
        </w:rPr>
        <w:t>In addition, there is</w:t>
      </w:r>
      <w:r w:rsidRPr="00232BA1">
        <w:rPr>
          <w:lang w:val="en-US"/>
        </w:rPr>
        <w:t xml:space="preserve"> the different role of cultural and social factors in both countries</w:t>
      </w:r>
      <w:r w:rsidR="00B9785A" w:rsidRPr="00232BA1">
        <w:rPr>
          <w:lang w:val="en-US"/>
        </w:rPr>
        <w:t xml:space="preserve">, which </w:t>
      </w:r>
      <w:r w:rsidR="007B065E" w:rsidRPr="00232BA1">
        <w:rPr>
          <w:lang w:val="en-US"/>
        </w:rPr>
        <w:t>created different labor regulations, firm governing traditions and different practices with regard to formal and informal dealings in the economy. These subtle differences make for a different institutional structure in these two countries</w:t>
      </w:r>
      <w:r w:rsidR="00A17915">
        <w:rPr>
          <w:lang w:val="en-US"/>
        </w:rPr>
        <w:t xml:space="preserve"> (</w:t>
      </w:r>
      <w:proofErr w:type="spellStart"/>
      <w:r w:rsidR="00A17915">
        <w:rPr>
          <w:lang w:val="en-US"/>
        </w:rPr>
        <w:t>Mygind</w:t>
      </w:r>
      <w:proofErr w:type="spellEnd"/>
      <w:r w:rsidR="00A17915">
        <w:rPr>
          <w:lang w:val="en-US"/>
        </w:rPr>
        <w:t xml:space="preserve">, 2012). </w:t>
      </w:r>
      <w:r w:rsidR="007B065E" w:rsidRPr="00232BA1">
        <w:rPr>
          <w:lang w:val="en-US"/>
        </w:rPr>
        <w:t>This results in the following main research question:</w:t>
      </w:r>
    </w:p>
    <w:p w14:paraId="315BE964" w14:textId="65F9C799" w:rsidR="006D4B1F" w:rsidRPr="00232BA1" w:rsidRDefault="006D4B1F" w:rsidP="000D5441">
      <w:pPr>
        <w:spacing w:line="360" w:lineRule="auto"/>
        <w:jc w:val="both"/>
        <w:rPr>
          <w:i/>
          <w:iCs/>
          <w:lang w:val="en-US"/>
        </w:rPr>
      </w:pPr>
      <w:r w:rsidRPr="00232BA1">
        <w:rPr>
          <w:i/>
          <w:iCs/>
          <w:lang w:val="en-US"/>
        </w:rPr>
        <w:t>What explains the difference in economic development in the economic transitions of Latvia and Bulgaria?</w:t>
      </w:r>
    </w:p>
    <w:p w14:paraId="6CBF04E4" w14:textId="0A4D98D3" w:rsidR="0006034B" w:rsidRPr="00232BA1" w:rsidRDefault="007B065E" w:rsidP="000D5441">
      <w:pPr>
        <w:spacing w:line="360" w:lineRule="auto"/>
        <w:jc w:val="both"/>
        <w:rPr>
          <w:lang w:val="en-US"/>
        </w:rPr>
      </w:pPr>
      <w:r w:rsidRPr="00232BA1">
        <w:rPr>
          <w:lang w:val="en-US"/>
        </w:rPr>
        <w:t>Economic development has been linked to the performance of structural elements in a country.</w:t>
      </w:r>
      <w:r w:rsidR="0006034B" w:rsidRPr="00232BA1">
        <w:rPr>
          <w:lang w:val="en-US"/>
        </w:rPr>
        <w:t xml:space="preserve"> </w:t>
      </w:r>
      <w:r w:rsidRPr="00232BA1">
        <w:rPr>
          <w:lang w:val="en-US"/>
        </w:rPr>
        <w:t>The EU has published various evaluations of the reforms undertaken in both Latvia and Bulgaria</w:t>
      </w:r>
      <w:r w:rsidR="00381BE6">
        <w:rPr>
          <w:lang w:val="en-US"/>
        </w:rPr>
        <w:t xml:space="preserve"> (European Commission, 2016). </w:t>
      </w:r>
      <w:r w:rsidRPr="00232BA1">
        <w:rPr>
          <w:lang w:val="en-US"/>
        </w:rPr>
        <w:t xml:space="preserve">In addition, the structural elements within these countries have also been assessed by </w:t>
      </w:r>
      <w:r w:rsidR="0006034B" w:rsidRPr="00232BA1">
        <w:rPr>
          <w:lang w:val="en-US"/>
        </w:rPr>
        <w:t>international organizations such as the Organization for Economic Co-operation and Development (OECD).</w:t>
      </w:r>
      <w:r w:rsidRPr="00232BA1">
        <w:rPr>
          <w:lang w:val="en-US"/>
        </w:rPr>
        <w:t xml:space="preserve"> </w:t>
      </w:r>
      <w:r w:rsidR="0006034B" w:rsidRPr="00232BA1">
        <w:rPr>
          <w:lang w:val="en-US"/>
        </w:rPr>
        <w:t>However, these reports often focus on specific problems, such as corruption or incompetence of institutions, separately. Therefore, these problems are assessed apart from the larger picture within a country, as these structural problems are often interlinked</w:t>
      </w:r>
      <w:r w:rsidR="00381BE6">
        <w:rPr>
          <w:lang w:val="en-US"/>
        </w:rPr>
        <w:t xml:space="preserve"> (Karo &amp; </w:t>
      </w:r>
      <w:proofErr w:type="spellStart"/>
      <w:r w:rsidR="00381BE6">
        <w:rPr>
          <w:lang w:val="en-US"/>
        </w:rPr>
        <w:t>Looga</w:t>
      </w:r>
      <w:proofErr w:type="spellEnd"/>
      <w:r w:rsidR="00381BE6">
        <w:rPr>
          <w:lang w:val="en-US"/>
        </w:rPr>
        <w:t>, 2016).</w:t>
      </w:r>
      <w:r w:rsidR="0006034B" w:rsidRPr="00232BA1">
        <w:rPr>
          <w:lang w:val="en-US"/>
        </w:rPr>
        <w:t xml:space="preserve"> Thus, the focus of these assessments is right, but they omit the larger picture. Hence, a more inclusive, encompassing approach is needed in order to get to the root of economic development problems. </w:t>
      </w:r>
    </w:p>
    <w:p w14:paraId="17364E5E" w14:textId="56100805" w:rsidR="00232BA1" w:rsidRPr="00232BA1" w:rsidRDefault="0006034B" w:rsidP="000D5441">
      <w:pPr>
        <w:spacing w:line="360" w:lineRule="auto"/>
        <w:jc w:val="both"/>
        <w:rPr>
          <w:lang w:val="en-US"/>
        </w:rPr>
      </w:pPr>
      <w:r w:rsidRPr="00232BA1">
        <w:rPr>
          <w:lang w:val="en-US"/>
        </w:rPr>
        <w:t xml:space="preserve"> A start for this approach can be found in studying institutional structures within</w:t>
      </w:r>
      <w:r w:rsidR="00457455" w:rsidRPr="00232BA1">
        <w:rPr>
          <w:lang w:val="en-US"/>
        </w:rPr>
        <w:t xml:space="preserve"> a</w:t>
      </w:r>
      <w:r w:rsidRPr="00232BA1">
        <w:rPr>
          <w:lang w:val="en-US"/>
        </w:rPr>
        <w:t xml:space="preserve"> countr</w:t>
      </w:r>
      <w:r w:rsidR="00457455" w:rsidRPr="00232BA1">
        <w:rPr>
          <w:lang w:val="en-US"/>
        </w:rPr>
        <w:t xml:space="preserve">y. By focusing on how institutions function, what they consist of, and how they are linked, a problem that results in less economic development can be traced through the entire system. The same then also becomes possible for factors that are beneficial for economic development. For this notion, a good place to start would be the Varieties of Capitalism (VOC) framework. This theory, first coined by Hall and Soskice in 2001, and expanded on by other scholars, such as </w:t>
      </w:r>
      <w:proofErr w:type="spellStart"/>
      <w:r w:rsidR="00457455" w:rsidRPr="00232BA1">
        <w:rPr>
          <w:lang w:val="en-US"/>
        </w:rPr>
        <w:t>Vliegenthart</w:t>
      </w:r>
      <w:proofErr w:type="spellEnd"/>
      <w:r w:rsidR="00457455" w:rsidRPr="00232BA1">
        <w:rPr>
          <w:lang w:val="en-US"/>
        </w:rPr>
        <w:t xml:space="preserve"> and </w:t>
      </w:r>
      <w:proofErr w:type="spellStart"/>
      <w:r w:rsidR="00457455" w:rsidRPr="00232BA1">
        <w:rPr>
          <w:lang w:val="en-US"/>
        </w:rPr>
        <w:t>Nölke</w:t>
      </w:r>
      <w:proofErr w:type="spellEnd"/>
      <w:r w:rsidR="00457455" w:rsidRPr="00232BA1">
        <w:rPr>
          <w:lang w:val="en-US"/>
        </w:rPr>
        <w:t xml:space="preserve">, was created to assess the capitalist structure in a country by focusing on a few key aspects in the relationship between firms and institutions in a state. In summary, these are industrial relations, education, corporate governance, interfirm relations and employee relations. Based on this assessment they came up with two types of market economies for western nations. The first is the Liberal Market Economy (LME) in which competitiveness and deregulation for market freedom, among other factors, play a large role. The other type is the Coordinated Market Economy (CME), in which collaboration between parties and </w:t>
      </w:r>
      <w:r w:rsidR="00457455" w:rsidRPr="00232BA1">
        <w:rPr>
          <w:lang w:val="en-US"/>
        </w:rPr>
        <w:lastRenderedPageBreak/>
        <w:t xml:space="preserve">complementary policy to market functioning are more dominant, among other aspects. </w:t>
      </w:r>
      <w:proofErr w:type="spellStart"/>
      <w:r w:rsidR="00457455" w:rsidRPr="00232BA1">
        <w:rPr>
          <w:lang w:val="en-US"/>
        </w:rPr>
        <w:t>Vliegenthart</w:t>
      </w:r>
      <w:proofErr w:type="spellEnd"/>
      <w:r w:rsidR="00457455" w:rsidRPr="00232BA1">
        <w:rPr>
          <w:lang w:val="en-US"/>
        </w:rPr>
        <w:t xml:space="preserve"> and </w:t>
      </w:r>
      <w:proofErr w:type="spellStart"/>
      <w:r w:rsidR="00457455" w:rsidRPr="00232BA1">
        <w:rPr>
          <w:lang w:val="en-US"/>
        </w:rPr>
        <w:t>Nölke</w:t>
      </w:r>
      <w:proofErr w:type="spellEnd"/>
      <w:r w:rsidR="00457455" w:rsidRPr="00232BA1">
        <w:rPr>
          <w:lang w:val="en-US"/>
        </w:rPr>
        <w:t xml:space="preserve"> (2009) add the Dependent Market Economy (DME) to this, which are economies of which the functioning is dependent on foreign direct investment and transnational corporations</w:t>
      </w:r>
      <w:r w:rsidR="00BD675B">
        <w:rPr>
          <w:lang w:val="en-US"/>
        </w:rPr>
        <w:t>.</w:t>
      </w:r>
    </w:p>
    <w:p w14:paraId="49BD67E6" w14:textId="069DEC74" w:rsidR="00B9785A" w:rsidRPr="00232BA1" w:rsidRDefault="00040132" w:rsidP="000D5441">
      <w:pPr>
        <w:spacing w:line="360" w:lineRule="auto"/>
        <w:jc w:val="both"/>
        <w:rPr>
          <w:lang w:val="en-US"/>
        </w:rPr>
      </w:pPr>
      <w:r w:rsidRPr="00232BA1">
        <w:rPr>
          <w:lang w:val="en-US"/>
        </w:rPr>
        <w:t xml:space="preserve">Alongside the VOC framework, analysis of the network between politicians and firms on the local, regional and national scale can provide an addition to the analysis of the power structure in Eastern European countries. </w:t>
      </w:r>
      <w:proofErr w:type="spellStart"/>
      <w:r w:rsidRPr="00232BA1">
        <w:rPr>
          <w:lang w:val="en-US"/>
        </w:rPr>
        <w:t>Schoenman</w:t>
      </w:r>
      <w:proofErr w:type="spellEnd"/>
      <w:r w:rsidRPr="00232BA1">
        <w:rPr>
          <w:lang w:val="en-US"/>
        </w:rPr>
        <w:t xml:space="preserve"> (2014) has created a network model in which the nature of relationship between firms and politicians can be assessed by the way the power is distributed.  This depends on whether the parity between the two groups is equal, or if one of the two is dependent on the other one for financial support. Another useful assessment is of </w:t>
      </w:r>
      <w:proofErr w:type="spellStart"/>
      <w:r w:rsidRPr="00232BA1">
        <w:rPr>
          <w:lang w:val="en-US"/>
        </w:rPr>
        <w:t>Szanyi</w:t>
      </w:r>
      <w:proofErr w:type="spellEnd"/>
      <w:r w:rsidRPr="00232BA1">
        <w:rPr>
          <w:lang w:val="en-US"/>
        </w:rPr>
        <w:t xml:space="preserve"> (2019), who uses the conduct of state ownership as factor in order to explain the transition process in Eastern Europe. His argument is that the state ownership has been a driving factor in shaping the outcome of the transition process in various Eastern European members of the EU.</w:t>
      </w:r>
    </w:p>
    <w:p w14:paraId="43A19FB2" w14:textId="3605FD62" w:rsidR="000D5441" w:rsidRPr="00232BA1" w:rsidRDefault="000D5441" w:rsidP="000D5441">
      <w:pPr>
        <w:spacing w:line="360" w:lineRule="auto"/>
        <w:jc w:val="both"/>
        <w:rPr>
          <w:lang w:val="en-US"/>
        </w:rPr>
      </w:pPr>
      <w:r w:rsidRPr="00232BA1">
        <w:rPr>
          <w:lang w:val="en-US"/>
        </w:rPr>
        <w:t>The VOC framework allows for the assessment of institutional complementarity, these are added benefits from an institutional structure that strengthens its specific qualities and thereby its economic performance. For example, the LME variety specializes in flexibility, this results in an increased potential for adaptability throughout the entire economy. Therefore, economic development is higher because of the complementary effect that all these economic institutions have together. However, the VOC framework is limited in the regard that it mostly focusses on firms, and leaves out other institutional structures</w:t>
      </w:r>
      <w:r w:rsidR="00381BE6">
        <w:rPr>
          <w:lang w:val="en-US"/>
        </w:rPr>
        <w:t xml:space="preserve"> (</w:t>
      </w:r>
      <w:proofErr w:type="spellStart"/>
      <w:r w:rsidR="00381BE6">
        <w:rPr>
          <w:lang w:val="en-US"/>
        </w:rPr>
        <w:t>Mariotti</w:t>
      </w:r>
      <w:proofErr w:type="spellEnd"/>
      <w:r w:rsidR="00381BE6">
        <w:rPr>
          <w:lang w:val="en-US"/>
        </w:rPr>
        <w:t xml:space="preserve"> &amp; Marzano, 2019).</w:t>
      </w:r>
      <w:r>
        <w:rPr>
          <w:lang w:val="en-US"/>
        </w:rPr>
        <w:t xml:space="preserve"> Nevertheless, this can be mended by including additions to this theoretical foundation in order to make institutional complementarity expanded to other institutional structures as well, namely the governmental institutions. This can then result in a framework that can analyze differences in economic development through the presence of institutional complementarities. The more the institutional structure complements the economic performance of a country, the better this is for the economic development in that country</w:t>
      </w:r>
      <w:r w:rsidR="00381BE6">
        <w:rPr>
          <w:lang w:val="en-US"/>
        </w:rPr>
        <w:t xml:space="preserve"> (Hall &amp; Soskice, 2001).</w:t>
      </w:r>
    </w:p>
    <w:p w14:paraId="030B16B5" w14:textId="1ED65CB7" w:rsidR="008A3941" w:rsidRPr="008A3941" w:rsidRDefault="00B9785A" w:rsidP="00381BE6">
      <w:pPr>
        <w:spacing w:line="360" w:lineRule="auto"/>
        <w:jc w:val="both"/>
        <w:rPr>
          <w:lang w:val="en-US"/>
        </w:rPr>
      </w:pPr>
      <w:r w:rsidRPr="00232BA1">
        <w:rPr>
          <w:lang w:val="en-US"/>
        </w:rPr>
        <w:t>This thesis will consist of three main chapters and a conclusion. The first chapter will expand on the theoretical framework on this research. This includes the concepts and theories previewed above, in order to present an overview of previous literature and current debates between authors. This will result in a theoretical foundation that will then be applied in the empirical cases of Latvia and Bulgaria. The next chapter will lay out the methodology and the operationalization of concepts of the research. The third chapter will consist of the empirical case studies and comparing both in light of the theory. These will then be summarized in the conclusion with discussion and recommendations for further research.</w:t>
      </w:r>
    </w:p>
    <w:p w14:paraId="42515365" w14:textId="40276662" w:rsidR="00AE4CE0" w:rsidRDefault="00AE4CE0" w:rsidP="00AE4CE0">
      <w:pPr>
        <w:pStyle w:val="Kop1"/>
        <w:rPr>
          <w:lang w:val="en-US"/>
        </w:rPr>
      </w:pPr>
      <w:bookmarkStart w:id="6" w:name="_Toc75401329"/>
      <w:r w:rsidRPr="004F668F">
        <w:rPr>
          <w:lang w:val="en-US"/>
        </w:rPr>
        <w:lastRenderedPageBreak/>
        <w:t>Chapter 1: Theoretical Framework</w:t>
      </w:r>
      <w:bookmarkEnd w:id="6"/>
    </w:p>
    <w:p w14:paraId="44F9299A" w14:textId="77777777" w:rsidR="00AE4CE0" w:rsidRPr="00B73835" w:rsidRDefault="00AE4CE0" w:rsidP="00AE4CE0">
      <w:pPr>
        <w:pStyle w:val="Geenafstand"/>
        <w:rPr>
          <w:lang w:val="en-US"/>
        </w:rPr>
      </w:pPr>
    </w:p>
    <w:p w14:paraId="25BDBF9B" w14:textId="77777777" w:rsidR="00AE4CE0" w:rsidRDefault="00AE4CE0" w:rsidP="00AE4CE0">
      <w:pPr>
        <w:spacing w:line="360" w:lineRule="auto"/>
        <w:jc w:val="both"/>
        <w:rPr>
          <w:lang w:val="en-US"/>
        </w:rPr>
      </w:pPr>
      <w:r w:rsidRPr="0058239C">
        <w:rPr>
          <w:lang w:val="en-US"/>
        </w:rPr>
        <w:t>In this chapter the theoretical f</w:t>
      </w:r>
      <w:r>
        <w:rPr>
          <w:lang w:val="en-US"/>
        </w:rPr>
        <w:t xml:space="preserve">ramework of this thesis will be discussed. This will form the groundwork for the research in the later chapters. The chapter is split up into six main sections. In the first section of the chapter, the history around the varieties of capitalism (VOC) framework will be summed up. Secondly, the core assumptions and foundations of the VOC will be discussed. Thirdly, the main criticisms of the VOC approach will be listed. Next, some of these criticisms will be addressed with some additions to the original framework, these will be summed up in the fourth section. The fifth part will then present a renewed VOC framework and the main causal mechanisms will then be discussed. From these mechanisms, hypotheses will be formed that are then applied in the empirical analysis (chapter 3) of this thesis. </w:t>
      </w:r>
    </w:p>
    <w:p w14:paraId="7B6C5BCC" w14:textId="0AAC0EE2" w:rsidR="00AE4CE0" w:rsidRDefault="00AE4CE0" w:rsidP="00AE4CE0">
      <w:pPr>
        <w:pStyle w:val="Kop2"/>
        <w:numPr>
          <w:ilvl w:val="1"/>
          <w:numId w:val="1"/>
        </w:numPr>
        <w:jc w:val="both"/>
        <w:rPr>
          <w:lang w:val="en-US"/>
        </w:rPr>
      </w:pPr>
      <w:bookmarkStart w:id="7" w:name="_Toc75401330"/>
      <w:r>
        <w:rPr>
          <w:lang w:val="en-US"/>
        </w:rPr>
        <w:t xml:space="preserve">Historical </w:t>
      </w:r>
      <w:r w:rsidR="000E0335">
        <w:rPr>
          <w:lang w:val="en-US"/>
        </w:rPr>
        <w:t>F</w:t>
      </w:r>
      <w:r>
        <w:rPr>
          <w:lang w:val="en-US"/>
        </w:rPr>
        <w:t xml:space="preserve">oundation and </w:t>
      </w:r>
      <w:r w:rsidR="000E0335">
        <w:rPr>
          <w:lang w:val="en-US"/>
        </w:rPr>
        <w:t>A</w:t>
      </w:r>
      <w:r>
        <w:rPr>
          <w:lang w:val="en-US"/>
        </w:rPr>
        <w:t>ssumptions of the Varieties of Capitalism</w:t>
      </w:r>
      <w:bookmarkEnd w:id="7"/>
      <w:r>
        <w:rPr>
          <w:lang w:val="en-US"/>
        </w:rPr>
        <w:t xml:space="preserve"> </w:t>
      </w:r>
    </w:p>
    <w:p w14:paraId="070A8DAF" w14:textId="77777777" w:rsidR="00AE4CE0" w:rsidRPr="00657FD1" w:rsidRDefault="00AE4CE0" w:rsidP="00AE4CE0">
      <w:pPr>
        <w:pStyle w:val="Geenafstand"/>
        <w:rPr>
          <w:lang w:val="en-US"/>
        </w:rPr>
      </w:pPr>
    </w:p>
    <w:p w14:paraId="3AEA2DB1" w14:textId="24CC73DD" w:rsidR="00AE4CE0" w:rsidRDefault="00AE4CE0" w:rsidP="00AE4CE0">
      <w:pPr>
        <w:spacing w:line="360" w:lineRule="auto"/>
        <w:jc w:val="both"/>
        <w:rPr>
          <w:lang w:val="en-US"/>
        </w:rPr>
      </w:pPr>
      <w:r>
        <w:rPr>
          <w:lang w:val="en-US"/>
        </w:rPr>
        <w:t>The latter half of the 20</w:t>
      </w:r>
      <w:r w:rsidRPr="00447D6D">
        <w:rPr>
          <w:vertAlign w:val="superscript"/>
          <w:lang w:val="en-US"/>
        </w:rPr>
        <w:t>th</w:t>
      </w:r>
      <w:r>
        <w:rPr>
          <w:lang w:val="en-US"/>
        </w:rPr>
        <w:t xml:space="preserve"> century was dominated by the distinction between two ideologies, Soviet-led communism and US-led capitalism. When the Cold War ended in 1991, with the fall of the Soviet Union, communism was deemed defeated. This left capitalism as the dominant world ideology</w:t>
      </w:r>
      <w:r w:rsidR="002040EF">
        <w:rPr>
          <w:lang w:val="en-US"/>
        </w:rPr>
        <w:t xml:space="preserve"> (Paraskevopoulos, 2001)</w:t>
      </w:r>
      <w:r>
        <w:rPr>
          <w:lang w:val="en-US"/>
        </w:rPr>
        <w:t xml:space="preserve">. The declared victory of capitalism saw competition between ideologies move inward. Thus, a new competition between capitalisms now emerged. This resulted in a pluralization of capitalism in which the differences between various regions with capitalist systems became more pronounced. (Peck &amp; Theodore, 2007). One of the first scholars to analyze differences between capitalist system was Albert (1993). In this theory, there were two models of capitalism, a European ‘Rhine’ model and an American ‘neo-American’ model. These models allowed capitalism, which was now free of other ideological challenges, to reflect on itself. This concerned differences in values, ideology, company practice, employment, wage setting, finance, education, health, housing and religion (Albert, 1993). This drive for comparative capitalism through regional diversity was expanded on throughout the rest of the 1990s. </w:t>
      </w:r>
    </w:p>
    <w:p w14:paraId="44E7C534" w14:textId="6EC5CE85" w:rsidR="00AE4CE0" w:rsidRDefault="00AE4CE0" w:rsidP="00AE4CE0">
      <w:pPr>
        <w:spacing w:line="360" w:lineRule="auto"/>
        <w:jc w:val="both"/>
        <w:rPr>
          <w:lang w:val="en-US"/>
        </w:rPr>
      </w:pPr>
      <w:r>
        <w:rPr>
          <w:lang w:val="en-US"/>
        </w:rPr>
        <w:t xml:space="preserve">The VOC approach in its current form was primarily introduced by Hall and Soskice in 2001. Their attempt was to combine and modernize various theories that were published in the 1980s until the 1990s. These included multiple comparative capitalism approaches from both economics and political science. Two of the theories that were influential in creating VOC were </w:t>
      </w:r>
      <w:r w:rsidRPr="007D36F8">
        <w:rPr>
          <w:lang w:val="en-US"/>
        </w:rPr>
        <w:t>neo-corporatism</w:t>
      </w:r>
      <w:r>
        <w:rPr>
          <w:lang w:val="en-US"/>
        </w:rPr>
        <w:t xml:space="preserve"> (Katzenstein, 1985) and </w:t>
      </w:r>
      <w:r w:rsidRPr="007D36F8">
        <w:rPr>
          <w:lang w:val="en-US"/>
        </w:rPr>
        <w:t>social systems of production</w:t>
      </w:r>
      <w:r>
        <w:rPr>
          <w:lang w:val="en-US"/>
        </w:rPr>
        <w:t xml:space="preserve"> (Whitley, 1999). The first one concerns the capacity of the state to set up durable relations between employers and workers with regard to wages, working conditions and social or economic policy (Alvarez et al., 1991). This theory focusses on the organization of society and the coordination between workers employer relations. The second theory is about the interplay between sectoral governance, innovation and production regimes. This is a focus on the political </w:t>
      </w:r>
      <w:r>
        <w:rPr>
          <w:lang w:val="en-US"/>
        </w:rPr>
        <w:lastRenderedPageBreak/>
        <w:t>economic workings in a national economy. Which show how the production mechanisms in a country influence institutional structure (Whitley, 1999). The VOC framework then uses the aforementioned theories to focus on the strategic interactions between economic actors. Which are not discussed in detail before the VOC approach was created. The prevailing argument is therefore that this aspect of comparative capitalism was neglected, and can now be assessed by putting the role of the firm at the core of the analysis (Hall &amp; Soskice, 2001). The main theoretical assumptions that are part of most VOC framework adaptions can be found in table 1.</w:t>
      </w:r>
    </w:p>
    <w:p w14:paraId="0A8536EF" w14:textId="2F8CC6EB" w:rsidR="00AE4CE0" w:rsidRPr="003B643B" w:rsidRDefault="00AE4CE0" w:rsidP="00AE4CE0">
      <w:pPr>
        <w:pStyle w:val="Bijschrift"/>
        <w:keepNext/>
        <w:rPr>
          <w:sz w:val="22"/>
          <w:szCs w:val="22"/>
          <w:lang w:val="en-US"/>
        </w:rPr>
      </w:pPr>
      <w:bookmarkStart w:id="8" w:name="_Hlk75399990"/>
      <w:r w:rsidRPr="003B643B">
        <w:rPr>
          <w:sz w:val="22"/>
          <w:szCs w:val="22"/>
          <w:lang w:val="en-US"/>
        </w:rPr>
        <w:t xml:space="preserve">Table </w:t>
      </w:r>
      <w:r>
        <w:rPr>
          <w:sz w:val="22"/>
          <w:szCs w:val="22"/>
          <w:lang w:val="en-US"/>
        </w:rPr>
        <w:fldChar w:fldCharType="begin"/>
      </w:r>
      <w:r>
        <w:rPr>
          <w:sz w:val="22"/>
          <w:szCs w:val="22"/>
          <w:lang w:val="en-US"/>
        </w:rPr>
        <w:instrText xml:space="preserve"> SEQ Table \* ARABIC </w:instrText>
      </w:r>
      <w:r>
        <w:rPr>
          <w:sz w:val="22"/>
          <w:szCs w:val="22"/>
          <w:lang w:val="en-US"/>
        </w:rPr>
        <w:fldChar w:fldCharType="separate"/>
      </w:r>
      <w:r>
        <w:rPr>
          <w:noProof/>
          <w:sz w:val="22"/>
          <w:szCs w:val="22"/>
          <w:lang w:val="en-US"/>
        </w:rPr>
        <w:t>1</w:t>
      </w:r>
      <w:r>
        <w:rPr>
          <w:sz w:val="22"/>
          <w:szCs w:val="22"/>
          <w:lang w:val="en-US"/>
        </w:rPr>
        <w:fldChar w:fldCharType="end"/>
      </w:r>
      <w:r w:rsidR="002F6582">
        <w:rPr>
          <w:sz w:val="22"/>
          <w:szCs w:val="22"/>
          <w:lang w:val="en-US"/>
        </w:rPr>
        <w:t>.1</w:t>
      </w:r>
      <w:r w:rsidRPr="003B643B">
        <w:rPr>
          <w:sz w:val="22"/>
          <w:szCs w:val="22"/>
          <w:lang w:val="en-US"/>
        </w:rPr>
        <w:t xml:space="preserve">: </w:t>
      </w:r>
      <w:r>
        <w:rPr>
          <w:sz w:val="22"/>
          <w:szCs w:val="22"/>
          <w:lang w:val="en-US"/>
        </w:rPr>
        <w:t>Main</w:t>
      </w:r>
      <w:r w:rsidRPr="003B643B">
        <w:rPr>
          <w:sz w:val="22"/>
          <w:szCs w:val="22"/>
          <w:lang w:val="en-US"/>
        </w:rPr>
        <w:t xml:space="preserve"> </w:t>
      </w:r>
      <w:r>
        <w:rPr>
          <w:sz w:val="22"/>
          <w:szCs w:val="22"/>
          <w:lang w:val="en-US"/>
        </w:rPr>
        <w:t>assumptions of the VOC framework</w:t>
      </w:r>
    </w:p>
    <w:tbl>
      <w:tblPr>
        <w:tblStyle w:val="Tabelraster"/>
        <w:tblW w:w="0" w:type="auto"/>
        <w:tblLook w:val="04A0" w:firstRow="1" w:lastRow="0" w:firstColumn="1" w:lastColumn="0" w:noHBand="0" w:noVBand="1"/>
      </w:tblPr>
      <w:tblGrid>
        <w:gridCol w:w="4531"/>
        <w:gridCol w:w="4531"/>
      </w:tblGrid>
      <w:tr w:rsidR="00AE4CE0" w14:paraId="5EA7637F" w14:textId="77777777" w:rsidTr="00E715B4">
        <w:tc>
          <w:tcPr>
            <w:tcW w:w="4531" w:type="dxa"/>
          </w:tcPr>
          <w:bookmarkEnd w:id="8"/>
          <w:p w14:paraId="3399168A" w14:textId="77777777" w:rsidR="00AE4CE0" w:rsidRPr="00154C97" w:rsidRDefault="00AE4CE0" w:rsidP="00E715B4">
            <w:pPr>
              <w:spacing w:line="360" w:lineRule="auto"/>
              <w:jc w:val="both"/>
              <w:rPr>
                <w:b/>
                <w:bCs/>
                <w:lang w:val="en-US"/>
              </w:rPr>
            </w:pPr>
            <w:r w:rsidRPr="00154C97">
              <w:rPr>
                <w:b/>
                <w:bCs/>
                <w:lang w:val="en-US"/>
              </w:rPr>
              <w:t>Aspect</w:t>
            </w:r>
          </w:p>
        </w:tc>
        <w:tc>
          <w:tcPr>
            <w:tcW w:w="4531" w:type="dxa"/>
          </w:tcPr>
          <w:p w14:paraId="130269F4" w14:textId="77777777" w:rsidR="00AE4CE0" w:rsidRPr="00154C97" w:rsidRDefault="00AE4CE0" w:rsidP="00E715B4">
            <w:pPr>
              <w:spacing w:line="360" w:lineRule="auto"/>
              <w:jc w:val="both"/>
              <w:rPr>
                <w:b/>
                <w:bCs/>
                <w:lang w:val="en-US"/>
              </w:rPr>
            </w:pPr>
            <w:r w:rsidRPr="00154C97">
              <w:rPr>
                <w:b/>
                <w:bCs/>
                <w:lang w:val="en-US"/>
              </w:rPr>
              <w:t>Varieties of capitalism</w:t>
            </w:r>
            <w:r>
              <w:rPr>
                <w:b/>
                <w:bCs/>
                <w:lang w:val="en-US"/>
              </w:rPr>
              <w:t xml:space="preserve"> interpretation</w:t>
            </w:r>
          </w:p>
        </w:tc>
      </w:tr>
      <w:tr w:rsidR="00AE4CE0" w:rsidRPr="006234E4" w14:paraId="0DF039FB" w14:textId="77777777" w:rsidTr="00E715B4">
        <w:tc>
          <w:tcPr>
            <w:tcW w:w="4531" w:type="dxa"/>
          </w:tcPr>
          <w:p w14:paraId="56A0DF45" w14:textId="77777777" w:rsidR="00AE4CE0" w:rsidRDefault="00AE4CE0" w:rsidP="00E715B4">
            <w:pPr>
              <w:spacing w:line="360" w:lineRule="auto"/>
              <w:jc w:val="both"/>
              <w:rPr>
                <w:lang w:val="en-US"/>
              </w:rPr>
            </w:pPr>
            <w:r>
              <w:rPr>
                <w:lang w:val="en-US"/>
              </w:rPr>
              <w:t>Agency or structure based</w:t>
            </w:r>
          </w:p>
        </w:tc>
        <w:tc>
          <w:tcPr>
            <w:tcW w:w="4531" w:type="dxa"/>
          </w:tcPr>
          <w:p w14:paraId="74A235A0" w14:textId="77777777" w:rsidR="00AE4CE0" w:rsidRDefault="00AE4CE0" w:rsidP="00E715B4">
            <w:pPr>
              <w:spacing w:line="360" w:lineRule="auto"/>
              <w:jc w:val="both"/>
              <w:rPr>
                <w:lang w:val="en-US"/>
              </w:rPr>
            </w:pPr>
            <w:r>
              <w:rPr>
                <w:lang w:val="en-US"/>
              </w:rPr>
              <w:t xml:space="preserve">Structure </w:t>
            </w:r>
            <w:proofErr w:type="gramStart"/>
            <w:r>
              <w:rPr>
                <w:lang w:val="en-US"/>
              </w:rPr>
              <w:t>based,</w:t>
            </w:r>
            <w:proofErr w:type="gramEnd"/>
            <w:r>
              <w:rPr>
                <w:lang w:val="en-US"/>
              </w:rPr>
              <w:t xml:space="preserve"> strategy follows structures</w:t>
            </w:r>
          </w:p>
        </w:tc>
      </w:tr>
      <w:tr w:rsidR="00AE4CE0" w:rsidRPr="006234E4" w14:paraId="535CCA7B" w14:textId="77777777" w:rsidTr="00E715B4">
        <w:tc>
          <w:tcPr>
            <w:tcW w:w="4531" w:type="dxa"/>
          </w:tcPr>
          <w:p w14:paraId="53ED1997" w14:textId="77777777" w:rsidR="00AE4CE0" w:rsidRDefault="00AE4CE0" w:rsidP="00E715B4">
            <w:pPr>
              <w:spacing w:line="360" w:lineRule="auto"/>
              <w:jc w:val="both"/>
              <w:rPr>
                <w:lang w:val="en-US"/>
              </w:rPr>
            </w:pPr>
            <w:r>
              <w:rPr>
                <w:lang w:val="en-US"/>
              </w:rPr>
              <w:t>Rationality</w:t>
            </w:r>
          </w:p>
        </w:tc>
        <w:tc>
          <w:tcPr>
            <w:tcW w:w="4531" w:type="dxa"/>
          </w:tcPr>
          <w:p w14:paraId="49FB93AA" w14:textId="77777777" w:rsidR="00AE4CE0" w:rsidRDefault="00AE4CE0" w:rsidP="00E715B4">
            <w:pPr>
              <w:spacing w:line="360" w:lineRule="auto"/>
              <w:jc w:val="both"/>
              <w:rPr>
                <w:lang w:val="en-US"/>
              </w:rPr>
            </w:pPr>
            <w:r>
              <w:rPr>
                <w:lang w:val="en-US"/>
              </w:rPr>
              <w:t>Actors exhibit bounded rationality and are opportunistic</w:t>
            </w:r>
          </w:p>
        </w:tc>
      </w:tr>
      <w:tr w:rsidR="00AE4CE0" w:rsidRPr="006234E4" w14:paraId="1C11D394" w14:textId="77777777" w:rsidTr="00E715B4">
        <w:tc>
          <w:tcPr>
            <w:tcW w:w="4531" w:type="dxa"/>
          </w:tcPr>
          <w:p w14:paraId="29D0B5D7" w14:textId="77777777" w:rsidR="00AE4CE0" w:rsidRDefault="00AE4CE0" w:rsidP="00E715B4">
            <w:pPr>
              <w:spacing w:line="360" w:lineRule="auto"/>
              <w:jc w:val="both"/>
              <w:rPr>
                <w:lang w:val="en-US"/>
              </w:rPr>
            </w:pPr>
            <w:r>
              <w:rPr>
                <w:lang w:val="en-US"/>
              </w:rPr>
              <w:t>Role of institutions</w:t>
            </w:r>
          </w:p>
        </w:tc>
        <w:tc>
          <w:tcPr>
            <w:tcW w:w="4531" w:type="dxa"/>
          </w:tcPr>
          <w:p w14:paraId="46DCB4D3" w14:textId="77777777" w:rsidR="00AE4CE0" w:rsidRDefault="00AE4CE0" w:rsidP="00E715B4">
            <w:pPr>
              <w:spacing w:line="360" w:lineRule="auto"/>
              <w:jc w:val="both"/>
              <w:rPr>
                <w:lang w:val="en-US"/>
              </w:rPr>
            </w:pPr>
            <w:r>
              <w:rPr>
                <w:lang w:val="en-US"/>
              </w:rPr>
              <w:t>Reducing uncertainty, opportunism by functioning as guarantees and commitments</w:t>
            </w:r>
          </w:p>
        </w:tc>
      </w:tr>
      <w:tr w:rsidR="00AE4CE0" w14:paraId="7229B214" w14:textId="77777777" w:rsidTr="00E715B4">
        <w:tc>
          <w:tcPr>
            <w:tcW w:w="4531" w:type="dxa"/>
          </w:tcPr>
          <w:p w14:paraId="72EE8ED5" w14:textId="77777777" w:rsidR="00AE4CE0" w:rsidRDefault="00AE4CE0" w:rsidP="00E715B4">
            <w:pPr>
              <w:spacing w:line="360" w:lineRule="auto"/>
              <w:jc w:val="both"/>
              <w:rPr>
                <w:lang w:val="en-US"/>
              </w:rPr>
            </w:pPr>
            <w:r>
              <w:rPr>
                <w:lang w:val="en-US"/>
              </w:rPr>
              <w:t>Role of power</w:t>
            </w:r>
          </w:p>
        </w:tc>
        <w:tc>
          <w:tcPr>
            <w:tcW w:w="4531" w:type="dxa"/>
          </w:tcPr>
          <w:p w14:paraId="44EA78D1" w14:textId="77777777" w:rsidR="00AE4CE0" w:rsidRDefault="00AE4CE0" w:rsidP="00E715B4">
            <w:pPr>
              <w:spacing w:line="360" w:lineRule="auto"/>
              <w:jc w:val="both"/>
              <w:rPr>
                <w:lang w:val="en-US"/>
              </w:rPr>
            </w:pPr>
            <w:r>
              <w:rPr>
                <w:lang w:val="en-US"/>
              </w:rPr>
              <w:t>Reducing opportunism</w:t>
            </w:r>
          </w:p>
        </w:tc>
      </w:tr>
      <w:tr w:rsidR="00AE4CE0" w:rsidRPr="006234E4" w14:paraId="3226FE51" w14:textId="77777777" w:rsidTr="00E715B4">
        <w:tc>
          <w:tcPr>
            <w:tcW w:w="4531" w:type="dxa"/>
          </w:tcPr>
          <w:p w14:paraId="44A1A665" w14:textId="77777777" w:rsidR="00AE4CE0" w:rsidRDefault="00AE4CE0" w:rsidP="00E715B4">
            <w:pPr>
              <w:spacing w:line="360" w:lineRule="auto"/>
              <w:jc w:val="both"/>
              <w:rPr>
                <w:lang w:val="en-US"/>
              </w:rPr>
            </w:pPr>
            <w:r>
              <w:rPr>
                <w:lang w:val="en-US"/>
              </w:rPr>
              <w:t xml:space="preserve">(Strategic) preferences of actors </w:t>
            </w:r>
          </w:p>
        </w:tc>
        <w:tc>
          <w:tcPr>
            <w:tcW w:w="4531" w:type="dxa"/>
          </w:tcPr>
          <w:p w14:paraId="087957B9" w14:textId="77777777" w:rsidR="00AE4CE0" w:rsidRDefault="00AE4CE0" w:rsidP="00E715B4">
            <w:pPr>
              <w:spacing w:line="360" w:lineRule="auto"/>
              <w:jc w:val="both"/>
              <w:rPr>
                <w:lang w:val="en-US"/>
              </w:rPr>
            </w:pPr>
            <w:r>
              <w:rPr>
                <w:lang w:val="en-US"/>
              </w:rPr>
              <w:t>In-line with institutional framework</w:t>
            </w:r>
          </w:p>
        </w:tc>
      </w:tr>
      <w:tr w:rsidR="00AE4CE0" w14:paraId="3BEAF0AC" w14:textId="77777777" w:rsidTr="00E715B4">
        <w:tc>
          <w:tcPr>
            <w:tcW w:w="4531" w:type="dxa"/>
          </w:tcPr>
          <w:p w14:paraId="1CF7466A" w14:textId="77777777" w:rsidR="00AE4CE0" w:rsidRDefault="00AE4CE0" w:rsidP="00E715B4">
            <w:pPr>
              <w:spacing w:line="360" w:lineRule="auto"/>
              <w:jc w:val="both"/>
              <w:rPr>
                <w:lang w:val="en-US"/>
              </w:rPr>
            </w:pPr>
            <w:r>
              <w:rPr>
                <w:lang w:val="en-US"/>
              </w:rPr>
              <w:t>Main beneficiaries of institutions</w:t>
            </w:r>
          </w:p>
        </w:tc>
        <w:tc>
          <w:tcPr>
            <w:tcW w:w="4531" w:type="dxa"/>
          </w:tcPr>
          <w:p w14:paraId="555513F1" w14:textId="77777777" w:rsidR="00AE4CE0" w:rsidRDefault="00AE4CE0" w:rsidP="00E715B4">
            <w:pPr>
              <w:keepNext/>
              <w:spacing w:line="360" w:lineRule="auto"/>
              <w:jc w:val="both"/>
              <w:rPr>
                <w:lang w:val="en-US"/>
              </w:rPr>
            </w:pPr>
            <w:r>
              <w:rPr>
                <w:lang w:val="en-US"/>
              </w:rPr>
              <w:t>Companies, state actors</w:t>
            </w:r>
          </w:p>
        </w:tc>
      </w:tr>
    </w:tbl>
    <w:p w14:paraId="3F1FD472" w14:textId="77777777" w:rsidR="00AE4CE0" w:rsidRDefault="00AE4CE0" w:rsidP="00AE4CE0">
      <w:pPr>
        <w:pStyle w:val="Bijschrift"/>
        <w:rPr>
          <w:sz w:val="22"/>
          <w:szCs w:val="22"/>
        </w:rPr>
      </w:pPr>
      <w:r w:rsidRPr="003B643B">
        <w:rPr>
          <w:sz w:val="22"/>
          <w:szCs w:val="22"/>
        </w:rPr>
        <w:t>Source: Allen, 2004.</w:t>
      </w:r>
    </w:p>
    <w:p w14:paraId="4325EAB6" w14:textId="77777777" w:rsidR="00AE4CE0" w:rsidRPr="004119A2" w:rsidRDefault="00AE4CE0" w:rsidP="00AE4CE0">
      <w:pPr>
        <w:spacing w:line="360" w:lineRule="auto"/>
        <w:jc w:val="both"/>
        <w:rPr>
          <w:lang w:val="en-US"/>
        </w:rPr>
      </w:pPr>
      <w:r w:rsidRPr="004119A2">
        <w:rPr>
          <w:lang w:val="en-US"/>
        </w:rPr>
        <w:t>From the table above</w:t>
      </w:r>
      <w:r>
        <w:rPr>
          <w:lang w:val="en-US"/>
        </w:rPr>
        <w:t xml:space="preserve"> it can be seen that institutions in the VOC framework serve a dual role. One the one hand, they provide structure in which the economic activity takes place. This means that institutions determine how actors operate and which parties achieve a dominant economic role (Allen, 2004). However, this interaction in turn changes the institutional structure to better fit the economic activity, meaning that the economic activity and growth also reshape the structure in the long term. On the other hand, the institutional structure also serves as a safeguard against negative repercussions from the economic activity, as it provides certainty and options to reduce any large-scale fallout (Hall &amp; Soskice, 2001). This can be done with reforms in any of the main economic spheres within the framework </w:t>
      </w:r>
    </w:p>
    <w:p w14:paraId="20AA2508" w14:textId="54957162" w:rsidR="00AE4CE0" w:rsidRDefault="00AE4CE0" w:rsidP="00AE4CE0">
      <w:pPr>
        <w:pStyle w:val="Kop2"/>
        <w:numPr>
          <w:ilvl w:val="1"/>
          <w:numId w:val="1"/>
        </w:numPr>
        <w:jc w:val="both"/>
        <w:rPr>
          <w:lang w:val="en-US"/>
        </w:rPr>
      </w:pPr>
      <w:bookmarkStart w:id="9" w:name="_Toc75401331"/>
      <w:r>
        <w:rPr>
          <w:lang w:val="en-US"/>
        </w:rPr>
        <w:t xml:space="preserve">Core </w:t>
      </w:r>
      <w:r w:rsidR="000E0335">
        <w:rPr>
          <w:lang w:val="en-US"/>
        </w:rPr>
        <w:t>E</w:t>
      </w:r>
      <w:r>
        <w:rPr>
          <w:lang w:val="en-US"/>
        </w:rPr>
        <w:t xml:space="preserve">lements of the VOC </w:t>
      </w:r>
      <w:r w:rsidR="000E0335">
        <w:rPr>
          <w:lang w:val="en-US"/>
        </w:rPr>
        <w:t>F</w:t>
      </w:r>
      <w:r>
        <w:rPr>
          <w:lang w:val="en-US"/>
        </w:rPr>
        <w:t>ramework</w:t>
      </w:r>
      <w:bookmarkEnd w:id="9"/>
    </w:p>
    <w:p w14:paraId="3A5B6060" w14:textId="77777777" w:rsidR="00AE4CE0" w:rsidRDefault="00AE4CE0" w:rsidP="00AE4CE0">
      <w:pPr>
        <w:pStyle w:val="Geenafstand"/>
        <w:rPr>
          <w:lang w:val="en-US"/>
        </w:rPr>
      </w:pPr>
    </w:p>
    <w:p w14:paraId="5E8D0CC1" w14:textId="77777777" w:rsidR="00AE4CE0" w:rsidRDefault="00AE4CE0" w:rsidP="00AE4CE0">
      <w:pPr>
        <w:pStyle w:val="Geenafstand"/>
        <w:spacing w:line="360" w:lineRule="auto"/>
        <w:jc w:val="both"/>
        <w:rPr>
          <w:lang w:val="en-US"/>
        </w:rPr>
      </w:pPr>
      <w:r>
        <w:rPr>
          <w:lang w:val="en-US"/>
        </w:rPr>
        <w:t xml:space="preserve">The VOC approach consists of economic spheres, which are at the heart of the analysis. These can unravel the relationships between the multiple actors that interact with each other within a national economy. Thereby it has to be mentioned that the approach is firm-centric, meaning that this is the primary focus in the framework. Firms are always developing and seeking to expand competences and capabilities for producing and distributing goods and services in an efficient way (Williamson, 1985).  </w:t>
      </w:r>
      <w:r>
        <w:rPr>
          <w:lang w:val="en-US"/>
        </w:rPr>
        <w:lastRenderedPageBreak/>
        <w:t xml:space="preserve">This is dependent on the relational structure that they have established to accomplish this. These relational structures are formed by the economic spheres. These economic spheres within the VOC framework result in a presence of </w:t>
      </w:r>
      <w:r w:rsidRPr="00FA7E9A">
        <w:rPr>
          <w:lang w:val="en-US"/>
        </w:rPr>
        <w:t>institutional complementarities</w:t>
      </w:r>
      <w:r>
        <w:rPr>
          <w:i/>
          <w:iCs/>
          <w:lang w:val="en-US"/>
        </w:rPr>
        <w:t xml:space="preserve">. </w:t>
      </w:r>
      <w:r>
        <w:rPr>
          <w:lang w:val="en-US"/>
        </w:rPr>
        <w:t xml:space="preserve">This occurs when the interplay between present institutions generates additional returns and efficiency (Aoki, 1988). Thus, providing an additional incentive for development in spheres of economy for even more cooperation between firms and institutions alike. Which can result in an establishment of comparative advantage in a specific conduct of an economic system. Various types of capitalism can thus create specific advantages.  This also creates a form of interdependence between these spheres as this benefit and increased efficiency will only work in the current composition of the economic system (Ban, 2013).  These economic spheres can be split into five distinct dimensions. The first of these is </w:t>
      </w:r>
      <w:r>
        <w:rPr>
          <w:i/>
          <w:iCs/>
          <w:lang w:val="en-US"/>
        </w:rPr>
        <w:t>industrial relations</w:t>
      </w:r>
      <w:r>
        <w:rPr>
          <w:lang w:val="en-US"/>
        </w:rPr>
        <w:t xml:space="preserve">, this is the interplay between the labor force and companies over wages and levels of productivity. Next is </w:t>
      </w:r>
      <w:r>
        <w:rPr>
          <w:i/>
          <w:iCs/>
          <w:lang w:val="en-US"/>
        </w:rPr>
        <w:t xml:space="preserve">vocational training and education, </w:t>
      </w:r>
      <w:r>
        <w:rPr>
          <w:lang w:val="en-US"/>
        </w:rPr>
        <w:t xml:space="preserve">which is the investment of firms in the workforce to improve their skills and knowledge to create more efficiency. This also relates to the kind of skills that are preferred by the corporations (Milgrom &amp; Roberts, 1995). The third sphere is </w:t>
      </w:r>
      <w:r>
        <w:rPr>
          <w:i/>
          <w:iCs/>
          <w:lang w:val="en-US"/>
        </w:rPr>
        <w:t xml:space="preserve">corporate governance, </w:t>
      </w:r>
      <w:r>
        <w:rPr>
          <w:lang w:val="en-US"/>
        </w:rPr>
        <w:t xml:space="preserve">what concerns the interaction between investors and the firm with regard to financial matters and how certain funds are used in the production process. Fourth, there are </w:t>
      </w:r>
      <w:r>
        <w:rPr>
          <w:i/>
          <w:iCs/>
          <w:lang w:val="en-US"/>
        </w:rPr>
        <w:t xml:space="preserve">inter-firm relations, </w:t>
      </w:r>
      <w:r>
        <w:rPr>
          <w:lang w:val="en-US"/>
        </w:rPr>
        <w:t xml:space="preserve">which are the connections between enterprises, such as suppliers or clients in and across a certain economic sector. These are aimed at create a stable relationship for demand and supply between these chains. The last sphere is the </w:t>
      </w:r>
      <w:r>
        <w:rPr>
          <w:i/>
          <w:iCs/>
          <w:lang w:val="en-US"/>
        </w:rPr>
        <w:t>relationship between employees and employers</w:t>
      </w:r>
      <w:r>
        <w:rPr>
          <w:lang w:val="en-US"/>
        </w:rPr>
        <w:t xml:space="preserve"> in a firm. This is the cooperation between workers and employers on matters of management and each how they share information (Culpepper, 1999). </w:t>
      </w:r>
    </w:p>
    <w:p w14:paraId="642F25B2" w14:textId="77777777" w:rsidR="00AE4CE0" w:rsidRDefault="00AE4CE0" w:rsidP="00AE4CE0">
      <w:pPr>
        <w:pStyle w:val="Geenafstand"/>
        <w:spacing w:line="360" w:lineRule="auto"/>
        <w:jc w:val="both"/>
        <w:rPr>
          <w:lang w:val="en-US"/>
        </w:rPr>
      </w:pPr>
    </w:p>
    <w:p w14:paraId="7FC618D8" w14:textId="0CB08100" w:rsidR="00AE4CE0" w:rsidRDefault="00AE4CE0" w:rsidP="00AE4CE0">
      <w:pPr>
        <w:pStyle w:val="Geenafstand"/>
        <w:spacing w:line="360" w:lineRule="auto"/>
        <w:jc w:val="both"/>
        <w:rPr>
          <w:lang w:val="en-US"/>
        </w:rPr>
      </w:pPr>
      <w:r>
        <w:rPr>
          <w:lang w:val="en-US"/>
        </w:rPr>
        <w:t xml:space="preserve"> Two dominant relational structures have led to the creation of two main categorizations of capitalism. The first is the liberal market economy (LME) in which hierarchy is a prominent factor. Market relationships are the most dominant in this type of capitalism, which means that most interactions occur as a result of price fluctuations and changes in supply or demand (Paraskevopoulos, 2001). The other type is the coordinated market economy (CME), which is built around cooperation which results primarily from non-market relationships. In CMEs, strategic interaction between actors is often the main way of creating equilibria, while in LMEs this is determined by supply and demand. In these typologies, there has be a difference between relations fully influenced by market forces and those only partially influenced by the workings of the market (Hall &amp; Soskice, 2001).</w:t>
      </w:r>
    </w:p>
    <w:p w14:paraId="6DB407FC" w14:textId="77777777" w:rsidR="00AE4CE0" w:rsidRDefault="00AE4CE0" w:rsidP="00AE4CE0">
      <w:pPr>
        <w:pStyle w:val="Geenafstand"/>
        <w:spacing w:line="360" w:lineRule="auto"/>
        <w:jc w:val="both"/>
        <w:rPr>
          <w:lang w:val="en-US"/>
        </w:rPr>
      </w:pPr>
    </w:p>
    <w:p w14:paraId="2EA32F95" w14:textId="559F0FD0" w:rsidR="00AE4CE0" w:rsidRDefault="00AE4CE0" w:rsidP="00AE4CE0">
      <w:pPr>
        <w:pStyle w:val="Geenafstand"/>
        <w:spacing w:line="360" w:lineRule="auto"/>
        <w:jc w:val="both"/>
        <w:rPr>
          <w:lang w:val="en-US"/>
        </w:rPr>
      </w:pPr>
      <w:r>
        <w:rPr>
          <w:lang w:val="en-US"/>
        </w:rPr>
        <w:t xml:space="preserve">To show how the economic elements of the VOC framework function, they will now be applied to the two original varieties of capitalism, the LMEs and CMEs. In addition to these two, several scholars have also expanded the VOC framework to apply other countries as well. This has resulted in many different </w:t>
      </w:r>
      <w:r>
        <w:rPr>
          <w:lang w:val="en-US"/>
        </w:rPr>
        <w:lastRenderedPageBreak/>
        <w:t>classifications, as well as some mixed varieties. One of the most important additions is the Dependent Market Economy (DME) (</w:t>
      </w:r>
      <w:proofErr w:type="spellStart"/>
      <w:r>
        <w:rPr>
          <w:lang w:val="en-US"/>
        </w:rPr>
        <w:t>Nölke</w:t>
      </w:r>
      <w:proofErr w:type="spellEnd"/>
      <w:r>
        <w:rPr>
          <w:lang w:val="en-US"/>
        </w:rPr>
        <w:t xml:space="preserve"> &amp; </w:t>
      </w:r>
      <w:proofErr w:type="spellStart"/>
      <w:r>
        <w:rPr>
          <w:lang w:val="en-US"/>
        </w:rPr>
        <w:t>Vliegenthart</w:t>
      </w:r>
      <w:proofErr w:type="spellEnd"/>
      <w:r>
        <w:rPr>
          <w:lang w:val="en-US"/>
        </w:rPr>
        <w:t>, 2009). These three categories of economies will show the explanative approach of the VOC framework and how the assumptions and mechanisms work when analyzing an economy.</w:t>
      </w:r>
    </w:p>
    <w:p w14:paraId="4565234C" w14:textId="77777777" w:rsidR="00AE4CE0" w:rsidRDefault="00AE4CE0" w:rsidP="00AE4CE0">
      <w:pPr>
        <w:pStyle w:val="Geenafstand"/>
        <w:spacing w:line="360" w:lineRule="auto"/>
        <w:jc w:val="both"/>
        <w:rPr>
          <w:lang w:val="en-US"/>
        </w:rPr>
      </w:pPr>
    </w:p>
    <w:p w14:paraId="5407EEFA" w14:textId="570D0363" w:rsidR="00AE4CE0" w:rsidRDefault="00AE4CE0" w:rsidP="00AE4CE0">
      <w:pPr>
        <w:pStyle w:val="Geenafstand"/>
        <w:spacing w:line="360" w:lineRule="auto"/>
        <w:jc w:val="both"/>
        <w:rPr>
          <w:lang w:val="en-US"/>
        </w:rPr>
      </w:pPr>
      <w:r>
        <w:rPr>
          <w:lang w:val="en-US"/>
        </w:rPr>
        <w:t xml:space="preserve">In the first category of liberal market economies, the </w:t>
      </w:r>
      <w:r w:rsidRPr="0032077C">
        <w:rPr>
          <w:i/>
          <w:iCs/>
          <w:lang w:val="en-US"/>
        </w:rPr>
        <w:t>industrial relations</w:t>
      </w:r>
      <w:r>
        <w:rPr>
          <w:lang w:val="en-US"/>
        </w:rPr>
        <w:t xml:space="preserve"> are heavily dependent on their importance to market demand. The firms have considerable freedom in regulating their labor force and are under no obligation to organize representation. This makes firms highly flexible to lay off workers if the economic conditions demand so, but the workers have little protection from these decisions, making their prospects mostly short-term. </w:t>
      </w:r>
      <w:r w:rsidRPr="0032077C">
        <w:rPr>
          <w:i/>
          <w:iCs/>
          <w:lang w:val="en-US"/>
        </w:rPr>
        <w:t xml:space="preserve">Education </w:t>
      </w:r>
      <w:r>
        <w:rPr>
          <w:lang w:val="en-US"/>
        </w:rPr>
        <w:t xml:space="preserve">is organized in a similar way, meaning that is suited to adapt to change in the market demand (Karo &amp; </w:t>
      </w:r>
      <w:proofErr w:type="spellStart"/>
      <w:r>
        <w:rPr>
          <w:lang w:val="en-US"/>
        </w:rPr>
        <w:t>Looga</w:t>
      </w:r>
      <w:proofErr w:type="spellEnd"/>
      <w:r>
        <w:rPr>
          <w:lang w:val="en-US"/>
        </w:rPr>
        <w:t xml:space="preserve">, 2016). Thus, employees are only trained in-house if truly necessary, as it is not clear if the investment in education will pay off in the long-term. The system of </w:t>
      </w:r>
      <w:r w:rsidRPr="0032077C">
        <w:rPr>
          <w:i/>
          <w:iCs/>
          <w:lang w:val="en-US"/>
        </w:rPr>
        <w:t>cooperate governance</w:t>
      </w:r>
      <w:r>
        <w:rPr>
          <w:lang w:val="en-US"/>
        </w:rPr>
        <w:t xml:space="preserve"> stimulates forms to have high earnings and high prices of their shares on the stock market. This is a result of the competitive nature of the system, in which every firm tries to outpace the others. Which is also reflected in the </w:t>
      </w:r>
      <w:r w:rsidRPr="0032077C">
        <w:rPr>
          <w:i/>
          <w:iCs/>
          <w:lang w:val="en-US"/>
        </w:rPr>
        <w:t>inter-firm relations</w:t>
      </w:r>
      <w:r>
        <w:rPr>
          <w:lang w:val="en-US"/>
        </w:rPr>
        <w:t>. These are mostly based on market relationships and formal contracting. There is almost no transfer of information between firms as a result of the competitive nature. Instead, the information comes from employees who switch companies and get compensated for transferring valuable information (</w:t>
      </w:r>
      <w:proofErr w:type="spellStart"/>
      <w:r>
        <w:rPr>
          <w:lang w:val="en-US"/>
        </w:rPr>
        <w:t>Boycko</w:t>
      </w:r>
      <w:proofErr w:type="spellEnd"/>
      <w:r>
        <w:rPr>
          <w:lang w:val="en-US"/>
        </w:rPr>
        <w:t xml:space="preserve"> et al., 1996). This is reflected in the </w:t>
      </w:r>
      <w:r w:rsidRPr="0032077C">
        <w:rPr>
          <w:i/>
          <w:iCs/>
          <w:lang w:val="en-US"/>
        </w:rPr>
        <w:t>relations between employees and employers</w:t>
      </w:r>
      <w:r>
        <w:rPr>
          <w:lang w:val="en-US"/>
        </w:rPr>
        <w:t>. Employees can thus use the information that they learn to their own benefit in getting a better work offer. Other than that, there are few opportunities for them to work together in social way. With these characteristics,</w:t>
      </w:r>
      <w:r w:rsidR="007C1430">
        <w:rPr>
          <w:lang w:val="en-US"/>
        </w:rPr>
        <w:t xml:space="preserve"> </w:t>
      </w:r>
      <w:r>
        <w:rPr>
          <w:lang w:val="en-US"/>
        </w:rPr>
        <w:t>LME</w:t>
      </w:r>
      <w:r w:rsidR="008C6B8F">
        <w:rPr>
          <w:lang w:val="en-US"/>
        </w:rPr>
        <w:t>s</w:t>
      </w:r>
      <w:r>
        <w:rPr>
          <w:lang w:val="en-US"/>
        </w:rPr>
        <w:t xml:space="preserve"> ha</w:t>
      </w:r>
      <w:r w:rsidR="008C6B8F">
        <w:rPr>
          <w:lang w:val="en-US"/>
        </w:rPr>
        <w:t>ve</w:t>
      </w:r>
      <w:r>
        <w:rPr>
          <w:lang w:val="en-US"/>
        </w:rPr>
        <w:t xml:space="preserve"> </w:t>
      </w:r>
      <w:r w:rsidRPr="0032077C">
        <w:rPr>
          <w:i/>
          <w:iCs/>
          <w:lang w:val="en-US"/>
        </w:rPr>
        <w:t>institutional complementarities</w:t>
      </w:r>
      <w:r>
        <w:rPr>
          <w:lang w:val="en-US"/>
        </w:rPr>
        <w:t xml:space="preserve"> for flexible market approach. As all spheres have a focus on market fluctuations, this also allows them to rapidly and efficiently adapt when it is necessary. Thus, having lower costs by adapting, as the lay-offs of one firm can be absorbed by another firm (</w:t>
      </w:r>
      <w:proofErr w:type="spellStart"/>
      <w:r>
        <w:rPr>
          <w:lang w:val="en-US"/>
        </w:rPr>
        <w:t>Kuokstits</w:t>
      </w:r>
      <w:proofErr w:type="spellEnd"/>
      <w:r>
        <w:rPr>
          <w:lang w:val="en-US"/>
        </w:rPr>
        <w:t>, 2011).</w:t>
      </w:r>
    </w:p>
    <w:p w14:paraId="4F67DAE4" w14:textId="77777777" w:rsidR="00AE4CE0" w:rsidRDefault="00AE4CE0" w:rsidP="00AE4CE0">
      <w:pPr>
        <w:pStyle w:val="Geenafstand"/>
        <w:jc w:val="both"/>
        <w:rPr>
          <w:lang w:val="en-US"/>
        </w:rPr>
      </w:pPr>
    </w:p>
    <w:p w14:paraId="5E453026" w14:textId="31F08416" w:rsidR="00AE4CE0" w:rsidRDefault="00AE4CE0" w:rsidP="00AE4CE0">
      <w:pPr>
        <w:pStyle w:val="Geenafstand"/>
        <w:spacing w:line="360" w:lineRule="auto"/>
        <w:jc w:val="both"/>
        <w:rPr>
          <w:lang w:val="en-US"/>
        </w:rPr>
      </w:pPr>
      <w:r>
        <w:rPr>
          <w:lang w:val="en-US"/>
        </w:rPr>
        <w:t xml:space="preserve">When looking at the </w:t>
      </w:r>
      <w:r w:rsidRPr="0032077C">
        <w:rPr>
          <w:i/>
          <w:iCs/>
          <w:lang w:val="en-US"/>
        </w:rPr>
        <w:t>industrial relations</w:t>
      </w:r>
      <w:r>
        <w:rPr>
          <w:lang w:val="en-US"/>
        </w:rPr>
        <w:t xml:space="preserve"> in </w:t>
      </w:r>
      <w:r w:rsidR="007C1430">
        <w:rPr>
          <w:lang w:val="en-US"/>
        </w:rPr>
        <w:t xml:space="preserve">a </w:t>
      </w:r>
      <w:r>
        <w:rPr>
          <w:lang w:val="en-US"/>
        </w:rPr>
        <w:t xml:space="preserve">CME, wages are also mostly on a comparable level between firms. Thereby, an investment is made in long-term employment, in order to maximize personnel investment. Cooperation between rivals is thus vital to achieve this. With regard to </w:t>
      </w:r>
      <w:r w:rsidRPr="0032077C">
        <w:rPr>
          <w:i/>
          <w:iCs/>
          <w:lang w:val="en-US"/>
        </w:rPr>
        <w:t>education</w:t>
      </w:r>
      <w:r>
        <w:rPr>
          <w:lang w:val="en-US"/>
        </w:rPr>
        <w:t xml:space="preserve">, the firms are often dependent on highly skilled labor and are therefore prepared to invest in such training. Thereby as investing in the relationship with the employees in order to prevent them from switching jobs afterward (Culpepper, 1999). The </w:t>
      </w:r>
      <w:r w:rsidRPr="0032077C">
        <w:rPr>
          <w:i/>
          <w:iCs/>
          <w:lang w:val="en-US"/>
        </w:rPr>
        <w:t>corporate governance</w:t>
      </w:r>
      <w:r>
        <w:rPr>
          <w:lang w:val="en-US"/>
        </w:rPr>
        <w:t xml:space="preserve"> between firms is dependent on network monitoring.</w:t>
      </w:r>
      <w:r w:rsidRPr="00CD5A5C">
        <w:rPr>
          <w:lang w:val="en-US"/>
        </w:rPr>
        <w:t xml:space="preserve"> </w:t>
      </w:r>
      <w:r>
        <w:rPr>
          <w:lang w:val="en-US"/>
        </w:rPr>
        <w:t>Therefore, there must be agreement between various organizations that represent different interests within the company. Only when this is reached, then a decision can be taken. There is no unilateral decision making as in LME</w:t>
      </w:r>
      <w:r w:rsidR="008C6B8F">
        <w:rPr>
          <w:lang w:val="en-US"/>
        </w:rPr>
        <w:t>s</w:t>
      </w:r>
      <w:r>
        <w:rPr>
          <w:lang w:val="en-US"/>
        </w:rPr>
        <w:t xml:space="preserve">. </w:t>
      </w:r>
      <w:r w:rsidRPr="0032077C">
        <w:rPr>
          <w:i/>
          <w:iCs/>
          <w:lang w:val="en-US"/>
        </w:rPr>
        <w:t>Inter-firm relations</w:t>
      </w:r>
      <w:r>
        <w:rPr>
          <w:lang w:val="en-US"/>
        </w:rPr>
        <w:t xml:space="preserve"> are also </w:t>
      </w:r>
      <w:r>
        <w:rPr>
          <w:lang w:val="en-US"/>
        </w:rPr>
        <w:lastRenderedPageBreak/>
        <w:t>seen as an investment, as these will benefit both parties and discourage hard competition efforts. They also work together with incentives that is in their common interest, such as research and development. Relationships between employees and employers are also seen as an investment, as a team that will work together long-term must work as efficient as possible</w:t>
      </w:r>
      <w:r w:rsidR="00CE5E9E">
        <w:rPr>
          <w:lang w:val="en-US"/>
        </w:rPr>
        <w:t xml:space="preserve"> (Hall &amp; Soskice, 2001).</w:t>
      </w:r>
      <w:r>
        <w:rPr>
          <w:lang w:val="en-US"/>
        </w:rPr>
        <w:t xml:space="preserve"> </w:t>
      </w:r>
      <w:r w:rsidR="007C1430">
        <w:rPr>
          <w:lang w:val="en-US"/>
        </w:rPr>
        <w:t xml:space="preserve">In a </w:t>
      </w:r>
      <w:r>
        <w:rPr>
          <w:lang w:val="en-US"/>
        </w:rPr>
        <w:t>CME</w:t>
      </w:r>
      <w:r w:rsidR="007C1430">
        <w:rPr>
          <w:lang w:val="en-US"/>
        </w:rPr>
        <w:t>,</w:t>
      </w:r>
      <w:r>
        <w:rPr>
          <w:lang w:val="en-US"/>
        </w:rPr>
        <w:t xml:space="preserve"> firms that coordinate their actions and work together in multiple economic spheres the best position, which can be as an institutional complementarity </w:t>
      </w:r>
      <w:r w:rsidR="007C1430">
        <w:rPr>
          <w:lang w:val="en-US"/>
        </w:rPr>
        <w:t>in</w:t>
      </w:r>
      <w:r>
        <w:rPr>
          <w:lang w:val="en-US"/>
        </w:rPr>
        <w:t xml:space="preserve"> </w:t>
      </w:r>
      <w:r w:rsidR="007C1430">
        <w:rPr>
          <w:lang w:val="en-US"/>
        </w:rPr>
        <w:t xml:space="preserve">a </w:t>
      </w:r>
      <w:r>
        <w:rPr>
          <w:lang w:val="en-US"/>
        </w:rPr>
        <w:t>CME (Whitley, 1999).</w:t>
      </w:r>
    </w:p>
    <w:p w14:paraId="1F54FB0C" w14:textId="77777777" w:rsidR="00AE4CE0" w:rsidRDefault="00AE4CE0" w:rsidP="00AE4CE0">
      <w:pPr>
        <w:pStyle w:val="Geenafstand"/>
        <w:jc w:val="both"/>
        <w:rPr>
          <w:lang w:val="en-US"/>
        </w:rPr>
      </w:pPr>
    </w:p>
    <w:p w14:paraId="1A2FBBA7" w14:textId="2A103AB8" w:rsidR="00AE4CE0" w:rsidRDefault="00AE4CE0" w:rsidP="00AE4CE0">
      <w:pPr>
        <w:pStyle w:val="Geenafstand"/>
        <w:spacing w:line="360" w:lineRule="auto"/>
        <w:jc w:val="both"/>
        <w:rPr>
          <w:lang w:val="en-US"/>
        </w:rPr>
      </w:pPr>
      <w:r>
        <w:rPr>
          <w:lang w:val="en-US"/>
        </w:rPr>
        <w:t xml:space="preserve">Dependent Market Economies are fundamentally different from the original two type of capitalism. This is because of their dependency on a specific kind of firm, namely transnational corporations (TNC). This makes the </w:t>
      </w:r>
      <w:r w:rsidRPr="003C3043">
        <w:rPr>
          <w:i/>
          <w:iCs/>
          <w:lang w:val="en-US"/>
        </w:rPr>
        <w:t>industr</w:t>
      </w:r>
      <w:r>
        <w:rPr>
          <w:i/>
          <w:iCs/>
          <w:lang w:val="en-US"/>
        </w:rPr>
        <w:t>ial</w:t>
      </w:r>
      <w:r w:rsidRPr="003C3043">
        <w:rPr>
          <w:i/>
          <w:iCs/>
          <w:lang w:val="en-US"/>
        </w:rPr>
        <w:t xml:space="preserve"> relations</w:t>
      </w:r>
      <w:r>
        <w:rPr>
          <w:lang w:val="en-US"/>
        </w:rPr>
        <w:t xml:space="preserve"> of the nation dependent on large amounts of foreign direct investment (FDI). Which gives TNCs a hierarchical role above other firms. The role of </w:t>
      </w:r>
      <w:r w:rsidRPr="003C3043">
        <w:rPr>
          <w:i/>
          <w:iCs/>
          <w:lang w:val="en-US"/>
        </w:rPr>
        <w:t>corporate governance</w:t>
      </w:r>
      <w:r>
        <w:rPr>
          <w:lang w:val="en-US"/>
        </w:rPr>
        <w:t xml:space="preserve"> of a TNC is in close partnership with institutions in the country, because a TNC are the main source of investment (</w:t>
      </w:r>
      <w:proofErr w:type="spellStart"/>
      <w:r>
        <w:rPr>
          <w:lang w:val="en-US"/>
        </w:rPr>
        <w:t>Nölke</w:t>
      </w:r>
      <w:proofErr w:type="spellEnd"/>
      <w:r>
        <w:rPr>
          <w:lang w:val="en-US"/>
        </w:rPr>
        <w:t xml:space="preserve"> &amp; </w:t>
      </w:r>
      <w:proofErr w:type="spellStart"/>
      <w:r>
        <w:rPr>
          <w:lang w:val="en-US"/>
        </w:rPr>
        <w:t>Vliegenthart</w:t>
      </w:r>
      <w:proofErr w:type="spellEnd"/>
      <w:r>
        <w:rPr>
          <w:lang w:val="en-US"/>
        </w:rPr>
        <w:t xml:space="preserve">, 2009). This allows them to bargain specific regulations or agreement for more investment. The </w:t>
      </w:r>
      <w:r w:rsidRPr="003C3043">
        <w:rPr>
          <w:i/>
          <w:iCs/>
          <w:lang w:val="en-US"/>
        </w:rPr>
        <w:t>education</w:t>
      </w:r>
      <w:r>
        <w:rPr>
          <w:lang w:val="en-US"/>
        </w:rPr>
        <w:t xml:space="preserve"> in </w:t>
      </w:r>
      <w:r w:rsidR="007C1430">
        <w:rPr>
          <w:lang w:val="en-US"/>
        </w:rPr>
        <w:t xml:space="preserve">a </w:t>
      </w:r>
      <w:r>
        <w:rPr>
          <w:lang w:val="en-US"/>
        </w:rPr>
        <w:t xml:space="preserve">DME is not linked to a TNC in general, because a TNC is often in demand for low-skilled labor and low labor costs. The high-skilled labor that they need will come from abroad. The </w:t>
      </w:r>
      <w:r w:rsidRPr="00A31E62">
        <w:rPr>
          <w:i/>
          <w:iCs/>
          <w:lang w:val="en-US"/>
        </w:rPr>
        <w:t>inter-firm relations</w:t>
      </w:r>
      <w:r>
        <w:rPr>
          <w:lang w:val="en-US"/>
        </w:rPr>
        <w:t xml:space="preserve"> are few in between. These transnational corporations seek to keep the knowledge at their headquarters in other countries in order to prevent competition abroad. This restrictive approach to knowledge combined with the established hierarchy in dependent countries allows for institutional complementarities</w:t>
      </w:r>
      <w:r w:rsidR="00CE5E9E">
        <w:rPr>
          <w:lang w:val="en-US"/>
        </w:rPr>
        <w:t xml:space="preserve"> (</w:t>
      </w:r>
      <w:proofErr w:type="spellStart"/>
      <w:r w:rsidR="00CE5E9E">
        <w:rPr>
          <w:lang w:val="en-US"/>
        </w:rPr>
        <w:t>Jiyan</w:t>
      </w:r>
      <w:proofErr w:type="spellEnd"/>
      <w:r w:rsidR="00CE5E9E">
        <w:rPr>
          <w:lang w:val="en-US"/>
        </w:rPr>
        <w:t>, 2018).</w:t>
      </w:r>
      <w:r>
        <w:rPr>
          <w:lang w:val="en-US"/>
        </w:rPr>
        <w:t xml:space="preserve"> As the increased bargaining position in these dependent countries while keeping knowledge spillover risk low allows for better position. Which is also more efficient and thus gives a TNC institutional complementarities in these countries, which are reflected by their share of FDI in return (Bohle, 2009).</w:t>
      </w:r>
    </w:p>
    <w:p w14:paraId="343EA34D" w14:textId="25A6D5BC" w:rsidR="00AE4CE0" w:rsidRDefault="00AE4CE0" w:rsidP="00AE4CE0">
      <w:pPr>
        <w:pStyle w:val="Geenafstand"/>
        <w:spacing w:line="360" w:lineRule="auto"/>
        <w:jc w:val="both"/>
        <w:rPr>
          <w:lang w:val="en-US"/>
        </w:rPr>
      </w:pPr>
    </w:p>
    <w:p w14:paraId="0C6265F1" w14:textId="35ED7D75" w:rsidR="00F47D53" w:rsidRDefault="00F47D53" w:rsidP="00AE4CE0">
      <w:pPr>
        <w:pStyle w:val="Geenafstand"/>
        <w:spacing w:line="360" w:lineRule="auto"/>
        <w:jc w:val="both"/>
        <w:rPr>
          <w:lang w:val="en-US"/>
        </w:rPr>
      </w:pPr>
    </w:p>
    <w:p w14:paraId="72F2C01A" w14:textId="0E98F5E8" w:rsidR="00F47D53" w:rsidRDefault="00F47D53" w:rsidP="00AE4CE0">
      <w:pPr>
        <w:pStyle w:val="Geenafstand"/>
        <w:spacing w:line="360" w:lineRule="auto"/>
        <w:jc w:val="both"/>
        <w:rPr>
          <w:lang w:val="en-US"/>
        </w:rPr>
      </w:pPr>
    </w:p>
    <w:p w14:paraId="1D1E8832" w14:textId="7D6BB128" w:rsidR="00F47D53" w:rsidRDefault="00F47D53" w:rsidP="00AE4CE0">
      <w:pPr>
        <w:pStyle w:val="Geenafstand"/>
        <w:spacing w:line="360" w:lineRule="auto"/>
        <w:jc w:val="both"/>
        <w:rPr>
          <w:lang w:val="en-US"/>
        </w:rPr>
      </w:pPr>
    </w:p>
    <w:p w14:paraId="27784118" w14:textId="6C97835E" w:rsidR="00F47D53" w:rsidRDefault="00F47D53" w:rsidP="00AE4CE0">
      <w:pPr>
        <w:pStyle w:val="Geenafstand"/>
        <w:spacing w:line="360" w:lineRule="auto"/>
        <w:jc w:val="both"/>
        <w:rPr>
          <w:lang w:val="en-US"/>
        </w:rPr>
      </w:pPr>
    </w:p>
    <w:p w14:paraId="0B97A0FE" w14:textId="651D10AE" w:rsidR="00F47D53" w:rsidRDefault="00F47D53" w:rsidP="00AE4CE0">
      <w:pPr>
        <w:pStyle w:val="Geenafstand"/>
        <w:spacing w:line="360" w:lineRule="auto"/>
        <w:jc w:val="both"/>
        <w:rPr>
          <w:lang w:val="en-US"/>
        </w:rPr>
      </w:pPr>
    </w:p>
    <w:p w14:paraId="2715DBC6" w14:textId="4B3B87FD" w:rsidR="00F47D53" w:rsidRDefault="00F47D53" w:rsidP="00AE4CE0">
      <w:pPr>
        <w:pStyle w:val="Geenafstand"/>
        <w:spacing w:line="360" w:lineRule="auto"/>
        <w:jc w:val="both"/>
        <w:rPr>
          <w:lang w:val="en-US"/>
        </w:rPr>
      </w:pPr>
    </w:p>
    <w:p w14:paraId="45DCCEC0" w14:textId="1D43455A" w:rsidR="00F47D53" w:rsidRDefault="00F47D53" w:rsidP="00AE4CE0">
      <w:pPr>
        <w:pStyle w:val="Geenafstand"/>
        <w:spacing w:line="360" w:lineRule="auto"/>
        <w:jc w:val="both"/>
        <w:rPr>
          <w:lang w:val="en-US"/>
        </w:rPr>
      </w:pPr>
    </w:p>
    <w:p w14:paraId="38C85973" w14:textId="58DA633B" w:rsidR="00F47D53" w:rsidRDefault="00F47D53" w:rsidP="00AE4CE0">
      <w:pPr>
        <w:pStyle w:val="Geenafstand"/>
        <w:spacing w:line="360" w:lineRule="auto"/>
        <w:jc w:val="both"/>
        <w:rPr>
          <w:lang w:val="en-US"/>
        </w:rPr>
      </w:pPr>
    </w:p>
    <w:p w14:paraId="4D1DAB0B" w14:textId="76F1CC77" w:rsidR="00F47D53" w:rsidRDefault="00F47D53" w:rsidP="00AE4CE0">
      <w:pPr>
        <w:pStyle w:val="Geenafstand"/>
        <w:spacing w:line="360" w:lineRule="auto"/>
        <w:jc w:val="both"/>
        <w:rPr>
          <w:lang w:val="en-US"/>
        </w:rPr>
      </w:pPr>
    </w:p>
    <w:p w14:paraId="353DFA80" w14:textId="77777777" w:rsidR="00F47D53" w:rsidRDefault="00F47D53" w:rsidP="00AE4CE0">
      <w:pPr>
        <w:pStyle w:val="Geenafstand"/>
        <w:spacing w:line="360" w:lineRule="auto"/>
        <w:jc w:val="both"/>
        <w:rPr>
          <w:lang w:val="en-US"/>
        </w:rPr>
      </w:pPr>
    </w:p>
    <w:p w14:paraId="620B8C33" w14:textId="31FDDF26" w:rsidR="00AE4CE0" w:rsidRPr="00D938A9" w:rsidRDefault="00AE4CE0" w:rsidP="00AE4CE0">
      <w:pPr>
        <w:pStyle w:val="Bijschrift"/>
        <w:keepNext/>
        <w:rPr>
          <w:sz w:val="22"/>
          <w:szCs w:val="22"/>
          <w:lang w:val="en-US"/>
        </w:rPr>
      </w:pPr>
      <w:bookmarkStart w:id="10" w:name="_Hlk75400009"/>
      <w:r w:rsidRPr="00D938A9">
        <w:rPr>
          <w:sz w:val="22"/>
          <w:szCs w:val="22"/>
          <w:lang w:val="en-US"/>
        </w:rPr>
        <w:lastRenderedPageBreak/>
        <w:t xml:space="preserve">Table </w:t>
      </w:r>
      <w:r w:rsidR="002F6582">
        <w:rPr>
          <w:sz w:val="22"/>
          <w:szCs w:val="22"/>
          <w:lang w:val="en-US"/>
        </w:rPr>
        <w:t>1.</w:t>
      </w:r>
      <w:r>
        <w:rPr>
          <w:sz w:val="22"/>
          <w:szCs w:val="22"/>
          <w:lang w:val="en-US"/>
        </w:rPr>
        <w:t>2</w:t>
      </w:r>
      <w:r w:rsidRPr="00D938A9">
        <w:rPr>
          <w:sz w:val="22"/>
          <w:szCs w:val="22"/>
          <w:lang w:val="en-US"/>
        </w:rPr>
        <w:t>: Economic Spher</w:t>
      </w:r>
      <w:r>
        <w:rPr>
          <w:sz w:val="22"/>
          <w:szCs w:val="22"/>
          <w:lang w:val="en-US"/>
        </w:rPr>
        <w:t>es and the differences between different varieties of capitalism</w:t>
      </w:r>
    </w:p>
    <w:tbl>
      <w:tblPr>
        <w:tblStyle w:val="Tabelraster"/>
        <w:tblW w:w="9061" w:type="dxa"/>
        <w:tblInd w:w="-5" w:type="dxa"/>
        <w:tblLook w:val="04A0" w:firstRow="1" w:lastRow="0" w:firstColumn="1" w:lastColumn="0" w:noHBand="0" w:noVBand="1"/>
      </w:tblPr>
      <w:tblGrid>
        <w:gridCol w:w="2265"/>
        <w:gridCol w:w="2265"/>
        <w:gridCol w:w="2265"/>
        <w:gridCol w:w="2266"/>
      </w:tblGrid>
      <w:tr w:rsidR="00AE4CE0" w14:paraId="67D5C476" w14:textId="77777777" w:rsidTr="00E715B4">
        <w:tc>
          <w:tcPr>
            <w:tcW w:w="2265" w:type="dxa"/>
          </w:tcPr>
          <w:bookmarkEnd w:id="10"/>
          <w:p w14:paraId="700E6873" w14:textId="77777777" w:rsidR="00AE4CE0" w:rsidRDefault="00AE4CE0" w:rsidP="00E715B4">
            <w:pPr>
              <w:pStyle w:val="Geenafstand"/>
              <w:spacing w:line="360" w:lineRule="auto"/>
              <w:jc w:val="center"/>
              <w:rPr>
                <w:lang w:val="en-US"/>
              </w:rPr>
            </w:pPr>
            <w:r w:rsidRPr="0039398B">
              <w:rPr>
                <w:b/>
                <w:bCs/>
                <w:lang w:val="en-US"/>
              </w:rPr>
              <w:t>Economic Spheres</w:t>
            </w:r>
          </w:p>
        </w:tc>
        <w:tc>
          <w:tcPr>
            <w:tcW w:w="2265" w:type="dxa"/>
          </w:tcPr>
          <w:p w14:paraId="73CA0181" w14:textId="77777777" w:rsidR="00AE4CE0" w:rsidRPr="00C0669E" w:rsidRDefault="00AE4CE0" w:rsidP="00E715B4">
            <w:pPr>
              <w:pStyle w:val="Geenafstand"/>
              <w:spacing w:line="360" w:lineRule="auto"/>
              <w:jc w:val="center"/>
              <w:rPr>
                <w:b/>
                <w:bCs/>
                <w:lang w:val="en-US"/>
              </w:rPr>
            </w:pPr>
            <w:r w:rsidRPr="00C0669E">
              <w:rPr>
                <w:b/>
                <w:bCs/>
                <w:lang w:val="en-US"/>
              </w:rPr>
              <w:t>LME</w:t>
            </w:r>
          </w:p>
        </w:tc>
        <w:tc>
          <w:tcPr>
            <w:tcW w:w="2265" w:type="dxa"/>
          </w:tcPr>
          <w:p w14:paraId="27A8AA46" w14:textId="77777777" w:rsidR="00AE4CE0" w:rsidRPr="00C0669E" w:rsidRDefault="00AE4CE0" w:rsidP="00E715B4">
            <w:pPr>
              <w:pStyle w:val="Geenafstand"/>
              <w:spacing w:line="360" w:lineRule="auto"/>
              <w:jc w:val="center"/>
              <w:rPr>
                <w:b/>
                <w:bCs/>
                <w:lang w:val="en-US"/>
              </w:rPr>
            </w:pPr>
            <w:r w:rsidRPr="00C0669E">
              <w:rPr>
                <w:b/>
                <w:bCs/>
                <w:lang w:val="en-US"/>
              </w:rPr>
              <w:t>CME</w:t>
            </w:r>
          </w:p>
        </w:tc>
        <w:tc>
          <w:tcPr>
            <w:tcW w:w="2266" w:type="dxa"/>
          </w:tcPr>
          <w:p w14:paraId="0C991560" w14:textId="77777777" w:rsidR="00AE4CE0" w:rsidRPr="00C0669E" w:rsidRDefault="00AE4CE0" w:rsidP="00E715B4">
            <w:pPr>
              <w:pStyle w:val="Geenafstand"/>
              <w:spacing w:line="360" w:lineRule="auto"/>
              <w:jc w:val="center"/>
              <w:rPr>
                <w:b/>
                <w:bCs/>
                <w:lang w:val="en-US"/>
              </w:rPr>
            </w:pPr>
            <w:r w:rsidRPr="00C0669E">
              <w:rPr>
                <w:b/>
                <w:bCs/>
                <w:lang w:val="en-US"/>
              </w:rPr>
              <w:t>DME</w:t>
            </w:r>
          </w:p>
        </w:tc>
      </w:tr>
      <w:tr w:rsidR="00AE4CE0" w:rsidRPr="006234E4" w14:paraId="67F0881A" w14:textId="77777777" w:rsidTr="00E715B4">
        <w:tc>
          <w:tcPr>
            <w:tcW w:w="2265" w:type="dxa"/>
          </w:tcPr>
          <w:p w14:paraId="0EDED2BD" w14:textId="77777777" w:rsidR="00AE4CE0" w:rsidRDefault="00AE4CE0" w:rsidP="00E715B4">
            <w:pPr>
              <w:pStyle w:val="Geenafstand"/>
              <w:spacing w:line="360" w:lineRule="auto"/>
              <w:jc w:val="center"/>
              <w:rPr>
                <w:lang w:val="en-US"/>
              </w:rPr>
            </w:pPr>
            <w:r>
              <w:rPr>
                <w:lang w:val="en-US"/>
              </w:rPr>
              <w:t>Industrial relations</w:t>
            </w:r>
          </w:p>
        </w:tc>
        <w:tc>
          <w:tcPr>
            <w:tcW w:w="2265" w:type="dxa"/>
          </w:tcPr>
          <w:p w14:paraId="15475768" w14:textId="77777777" w:rsidR="00AE4CE0" w:rsidRDefault="00AE4CE0" w:rsidP="00E715B4">
            <w:pPr>
              <w:pStyle w:val="Geenafstand"/>
              <w:spacing w:line="360" w:lineRule="auto"/>
              <w:jc w:val="center"/>
              <w:rPr>
                <w:lang w:val="en-US"/>
              </w:rPr>
            </w:pPr>
            <w:r>
              <w:rPr>
                <w:lang w:val="en-US"/>
              </w:rPr>
              <w:t>Dependent on firm market performance</w:t>
            </w:r>
          </w:p>
        </w:tc>
        <w:tc>
          <w:tcPr>
            <w:tcW w:w="2265" w:type="dxa"/>
          </w:tcPr>
          <w:p w14:paraId="6CF0F3D7" w14:textId="77777777" w:rsidR="00AE4CE0" w:rsidRDefault="00AE4CE0" w:rsidP="00E715B4">
            <w:pPr>
              <w:pStyle w:val="Geenafstand"/>
              <w:spacing w:line="360" w:lineRule="auto"/>
              <w:jc w:val="center"/>
              <w:rPr>
                <w:lang w:val="en-US"/>
              </w:rPr>
            </w:pPr>
            <w:r>
              <w:rPr>
                <w:lang w:val="en-US"/>
              </w:rPr>
              <w:t xml:space="preserve">Mostly equally comparable between firms </w:t>
            </w:r>
          </w:p>
        </w:tc>
        <w:tc>
          <w:tcPr>
            <w:tcW w:w="2266" w:type="dxa"/>
          </w:tcPr>
          <w:p w14:paraId="72C76EBF" w14:textId="77777777" w:rsidR="00AE4CE0" w:rsidRDefault="00AE4CE0" w:rsidP="00E715B4">
            <w:pPr>
              <w:pStyle w:val="Geenafstand"/>
              <w:spacing w:line="360" w:lineRule="auto"/>
              <w:jc w:val="center"/>
              <w:rPr>
                <w:lang w:val="en-US"/>
              </w:rPr>
            </w:pPr>
            <w:r>
              <w:rPr>
                <w:lang w:val="en-US"/>
              </w:rPr>
              <w:t>Dependent on foreign direct investment</w:t>
            </w:r>
          </w:p>
        </w:tc>
      </w:tr>
      <w:tr w:rsidR="00AE4CE0" w:rsidRPr="006234E4" w14:paraId="674D2201" w14:textId="77777777" w:rsidTr="00E715B4">
        <w:tc>
          <w:tcPr>
            <w:tcW w:w="2265" w:type="dxa"/>
          </w:tcPr>
          <w:p w14:paraId="11A22AE2" w14:textId="77777777" w:rsidR="00AE4CE0" w:rsidRDefault="00AE4CE0" w:rsidP="00E715B4">
            <w:pPr>
              <w:pStyle w:val="Geenafstand"/>
              <w:spacing w:line="360" w:lineRule="auto"/>
              <w:jc w:val="center"/>
              <w:rPr>
                <w:lang w:val="en-US"/>
              </w:rPr>
            </w:pPr>
            <w:r>
              <w:rPr>
                <w:lang w:val="en-US"/>
              </w:rPr>
              <w:t>Vocational training and education</w:t>
            </w:r>
          </w:p>
        </w:tc>
        <w:tc>
          <w:tcPr>
            <w:tcW w:w="2265" w:type="dxa"/>
          </w:tcPr>
          <w:p w14:paraId="1553E6FD" w14:textId="77777777" w:rsidR="00AE4CE0" w:rsidRDefault="00AE4CE0" w:rsidP="00E715B4">
            <w:pPr>
              <w:pStyle w:val="Geenafstand"/>
              <w:spacing w:line="360" w:lineRule="auto"/>
              <w:jc w:val="center"/>
              <w:rPr>
                <w:lang w:val="en-US"/>
              </w:rPr>
            </w:pPr>
            <w:r>
              <w:rPr>
                <w:lang w:val="en-US"/>
              </w:rPr>
              <w:t>Adaptable to market demand</w:t>
            </w:r>
          </w:p>
        </w:tc>
        <w:tc>
          <w:tcPr>
            <w:tcW w:w="2265" w:type="dxa"/>
          </w:tcPr>
          <w:p w14:paraId="4ED124F1" w14:textId="77777777" w:rsidR="00AE4CE0" w:rsidRDefault="00AE4CE0" w:rsidP="00E715B4">
            <w:pPr>
              <w:pStyle w:val="Geenafstand"/>
              <w:spacing w:line="360" w:lineRule="auto"/>
              <w:jc w:val="center"/>
              <w:rPr>
                <w:lang w:val="en-US"/>
              </w:rPr>
            </w:pPr>
            <w:r>
              <w:rPr>
                <w:lang w:val="en-US"/>
              </w:rPr>
              <w:t>Mostly high-skill investments</w:t>
            </w:r>
          </w:p>
        </w:tc>
        <w:tc>
          <w:tcPr>
            <w:tcW w:w="2266" w:type="dxa"/>
          </w:tcPr>
          <w:p w14:paraId="488311C2" w14:textId="77777777" w:rsidR="00AE4CE0" w:rsidRDefault="00AE4CE0" w:rsidP="00E715B4">
            <w:pPr>
              <w:pStyle w:val="Geenafstand"/>
              <w:spacing w:line="360" w:lineRule="auto"/>
              <w:jc w:val="center"/>
              <w:rPr>
                <w:lang w:val="en-US"/>
              </w:rPr>
            </w:pPr>
            <w:r>
              <w:rPr>
                <w:lang w:val="en-US"/>
              </w:rPr>
              <w:t>Mostly low-skill, few options</w:t>
            </w:r>
          </w:p>
        </w:tc>
      </w:tr>
      <w:tr w:rsidR="00AE4CE0" w:rsidRPr="006234E4" w14:paraId="32B83224" w14:textId="77777777" w:rsidTr="00E715B4">
        <w:tc>
          <w:tcPr>
            <w:tcW w:w="2265" w:type="dxa"/>
          </w:tcPr>
          <w:p w14:paraId="151E7B19" w14:textId="77777777" w:rsidR="00AE4CE0" w:rsidRDefault="00AE4CE0" w:rsidP="00E715B4">
            <w:pPr>
              <w:pStyle w:val="Geenafstand"/>
              <w:spacing w:line="360" w:lineRule="auto"/>
              <w:jc w:val="center"/>
              <w:rPr>
                <w:lang w:val="en-US"/>
              </w:rPr>
            </w:pPr>
            <w:r>
              <w:rPr>
                <w:lang w:val="en-US"/>
              </w:rPr>
              <w:t>Corporate governance</w:t>
            </w:r>
          </w:p>
        </w:tc>
        <w:tc>
          <w:tcPr>
            <w:tcW w:w="2265" w:type="dxa"/>
          </w:tcPr>
          <w:p w14:paraId="4D6535CA" w14:textId="77777777" w:rsidR="00AE4CE0" w:rsidRDefault="00AE4CE0" w:rsidP="00E715B4">
            <w:pPr>
              <w:pStyle w:val="Geenafstand"/>
              <w:spacing w:line="360" w:lineRule="auto"/>
              <w:jc w:val="center"/>
              <w:rPr>
                <w:lang w:val="en-US"/>
              </w:rPr>
            </w:pPr>
            <w:r>
              <w:rPr>
                <w:lang w:val="en-US"/>
              </w:rPr>
              <w:t>Structured by revenue options</w:t>
            </w:r>
          </w:p>
        </w:tc>
        <w:tc>
          <w:tcPr>
            <w:tcW w:w="2265" w:type="dxa"/>
          </w:tcPr>
          <w:p w14:paraId="3ECD59B4" w14:textId="77777777" w:rsidR="00AE4CE0" w:rsidRDefault="00AE4CE0" w:rsidP="00E715B4">
            <w:pPr>
              <w:pStyle w:val="Geenafstand"/>
              <w:spacing w:line="360" w:lineRule="auto"/>
              <w:jc w:val="center"/>
              <w:rPr>
                <w:lang w:val="en-US"/>
              </w:rPr>
            </w:pPr>
            <w:r>
              <w:rPr>
                <w:lang w:val="en-US"/>
              </w:rPr>
              <w:t>Structured by network monitoring</w:t>
            </w:r>
          </w:p>
        </w:tc>
        <w:tc>
          <w:tcPr>
            <w:tcW w:w="2266" w:type="dxa"/>
          </w:tcPr>
          <w:p w14:paraId="66F727A1" w14:textId="77777777" w:rsidR="00AE4CE0" w:rsidRDefault="00AE4CE0" w:rsidP="00E715B4">
            <w:pPr>
              <w:pStyle w:val="Geenafstand"/>
              <w:spacing w:line="360" w:lineRule="auto"/>
              <w:jc w:val="center"/>
              <w:rPr>
                <w:lang w:val="en-US"/>
              </w:rPr>
            </w:pPr>
            <w:r>
              <w:rPr>
                <w:lang w:val="en-US"/>
              </w:rPr>
              <w:t>Structured by TNC-State agreements</w:t>
            </w:r>
          </w:p>
        </w:tc>
      </w:tr>
      <w:tr w:rsidR="00AE4CE0" w14:paraId="1CA6E4C6" w14:textId="77777777" w:rsidTr="00E715B4">
        <w:tc>
          <w:tcPr>
            <w:tcW w:w="2265" w:type="dxa"/>
          </w:tcPr>
          <w:p w14:paraId="5F686312" w14:textId="77777777" w:rsidR="00AE4CE0" w:rsidRDefault="00AE4CE0" w:rsidP="00E715B4">
            <w:pPr>
              <w:pStyle w:val="Geenafstand"/>
              <w:spacing w:line="360" w:lineRule="auto"/>
              <w:jc w:val="center"/>
              <w:rPr>
                <w:lang w:val="en-US"/>
              </w:rPr>
            </w:pPr>
            <w:r>
              <w:rPr>
                <w:lang w:val="en-US"/>
              </w:rPr>
              <w:t>Inter-firm relations</w:t>
            </w:r>
          </w:p>
        </w:tc>
        <w:tc>
          <w:tcPr>
            <w:tcW w:w="2265" w:type="dxa"/>
          </w:tcPr>
          <w:p w14:paraId="42AD9B21" w14:textId="77777777" w:rsidR="00AE4CE0" w:rsidRDefault="00AE4CE0" w:rsidP="00E715B4">
            <w:pPr>
              <w:pStyle w:val="Geenafstand"/>
              <w:spacing w:line="360" w:lineRule="auto"/>
              <w:jc w:val="center"/>
              <w:rPr>
                <w:lang w:val="en-US"/>
              </w:rPr>
            </w:pPr>
            <w:r>
              <w:rPr>
                <w:lang w:val="en-US"/>
              </w:rPr>
              <w:t>Predominantly market relationships</w:t>
            </w:r>
          </w:p>
        </w:tc>
        <w:tc>
          <w:tcPr>
            <w:tcW w:w="2265" w:type="dxa"/>
          </w:tcPr>
          <w:p w14:paraId="192528EB" w14:textId="77777777" w:rsidR="00AE4CE0" w:rsidRDefault="00AE4CE0" w:rsidP="00E715B4">
            <w:pPr>
              <w:pStyle w:val="Geenafstand"/>
              <w:spacing w:line="360" w:lineRule="auto"/>
              <w:jc w:val="center"/>
              <w:rPr>
                <w:lang w:val="en-US"/>
              </w:rPr>
            </w:pPr>
            <w:r>
              <w:rPr>
                <w:lang w:val="en-US"/>
              </w:rPr>
              <w:t>Predominately cooperation relationships</w:t>
            </w:r>
          </w:p>
        </w:tc>
        <w:tc>
          <w:tcPr>
            <w:tcW w:w="2266" w:type="dxa"/>
          </w:tcPr>
          <w:p w14:paraId="419F7060" w14:textId="77777777" w:rsidR="00AE4CE0" w:rsidRDefault="00AE4CE0" w:rsidP="00E715B4">
            <w:pPr>
              <w:pStyle w:val="Geenafstand"/>
              <w:spacing w:line="360" w:lineRule="auto"/>
              <w:jc w:val="center"/>
              <w:rPr>
                <w:lang w:val="en-US"/>
              </w:rPr>
            </w:pPr>
            <w:r>
              <w:rPr>
                <w:lang w:val="en-US"/>
              </w:rPr>
              <w:t>Few relationships at all</w:t>
            </w:r>
          </w:p>
        </w:tc>
      </w:tr>
      <w:tr w:rsidR="00AE4CE0" w:rsidRPr="00FA7E9A" w14:paraId="5AC5CA57" w14:textId="77777777" w:rsidTr="00E715B4">
        <w:tc>
          <w:tcPr>
            <w:tcW w:w="2265" w:type="dxa"/>
          </w:tcPr>
          <w:p w14:paraId="49A347DC" w14:textId="77777777" w:rsidR="00AE4CE0" w:rsidRDefault="00AE4CE0" w:rsidP="00E715B4">
            <w:pPr>
              <w:pStyle w:val="Geenafstand"/>
              <w:spacing w:line="360" w:lineRule="auto"/>
              <w:jc w:val="center"/>
              <w:rPr>
                <w:lang w:val="en-US"/>
              </w:rPr>
            </w:pPr>
            <w:r>
              <w:rPr>
                <w:lang w:val="en-US"/>
              </w:rPr>
              <w:t>Relations between employers and employees</w:t>
            </w:r>
          </w:p>
        </w:tc>
        <w:tc>
          <w:tcPr>
            <w:tcW w:w="2265" w:type="dxa"/>
          </w:tcPr>
          <w:p w14:paraId="1808AB26" w14:textId="77777777" w:rsidR="00AE4CE0" w:rsidRDefault="00AE4CE0" w:rsidP="00E715B4">
            <w:pPr>
              <w:pStyle w:val="Geenafstand"/>
              <w:spacing w:line="360" w:lineRule="auto"/>
              <w:jc w:val="center"/>
              <w:rPr>
                <w:lang w:val="en-US"/>
              </w:rPr>
            </w:pPr>
            <w:r>
              <w:rPr>
                <w:lang w:val="en-US"/>
              </w:rPr>
              <w:t>Based on short term agreements</w:t>
            </w:r>
          </w:p>
        </w:tc>
        <w:tc>
          <w:tcPr>
            <w:tcW w:w="2265" w:type="dxa"/>
          </w:tcPr>
          <w:p w14:paraId="1F9A9DAF" w14:textId="77777777" w:rsidR="00AE4CE0" w:rsidRDefault="00AE4CE0" w:rsidP="00E715B4">
            <w:pPr>
              <w:pStyle w:val="Geenafstand"/>
              <w:spacing w:line="360" w:lineRule="auto"/>
              <w:jc w:val="center"/>
              <w:rPr>
                <w:lang w:val="en-US"/>
              </w:rPr>
            </w:pPr>
            <w:r>
              <w:rPr>
                <w:lang w:val="en-US"/>
              </w:rPr>
              <w:t>Based on long term agreements</w:t>
            </w:r>
          </w:p>
        </w:tc>
        <w:tc>
          <w:tcPr>
            <w:tcW w:w="2266" w:type="dxa"/>
          </w:tcPr>
          <w:p w14:paraId="09A003FE" w14:textId="77777777" w:rsidR="00AE4CE0" w:rsidRDefault="00AE4CE0" w:rsidP="00E715B4">
            <w:pPr>
              <w:pStyle w:val="Geenafstand"/>
              <w:keepNext/>
              <w:spacing w:line="360" w:lineRule="auto"/>
              <w:jc w:val="center"/>
              <w:rPr>
                <w:lang w:val="en-US"/>
              </w:rPr>
            </w:pPr>
            <w:r>
              <w:rPr>
                <w:lang w:val="en-US"/>
              </w:rPr>
              <w:t>Mostly of informal nature</w:t>
            </w:r>
          </w:p>
        </w:tc>
      </w:tr>
    </w:tbl>
    <w:p w14:paraId="70F045BE" w14:textId="77777777" w:rsidR="00AE4CE0" w:rsidRPr="00D938A9" w:rsidRDefault="00AE4CE0" w:rsidP="00AE4CE0">
      <w:pPr>
        <w:pStyle w:val="Bijschrift"/>
      </w:pPr>
      <w:r>
        <w:rPr>
          <w:sz w:val="22"/>
          <w:szCs w:val="22"/>
        </w:rPr>
        <w:t xml:space="preserve">Sources: </w:t>
      </w:r>
      <w:proofErr w:type="spellStart"/>
      <w:r>
        <w:rPr>
          <w:sz w:val="22"/>
          <w:szCs w:val="22"/>
        </w:rPr>
        <w:t>Nölke</w:t>
      </w:r>
      <w:proofErr w:type="spellEnd"/>
      <w:r>
        <w:rPr>
          <w:sz w:val="22"/>
          <w:szCs w:val="22"/>
        </w:rPr>
        <w:t xml:space="preserve"> &amp; </w:t>
      </w:r>
      <w:proofErr w:type="spellStart"/>
      <w:r>
        <w:rPr>
          <w:sz w:val="22"/>
          <w:szCs w:val="22"/>
        </w:rPr>
        <w:t>Vliegenthart</w:t>
      </w:r>
      <w:proofErr w:type="spellEnd"/>
      <w:r>
        <w:rPr>
          <w:sz w:val="22"/>
          <w:szCs w:val="22"/>
        </w:rPr>
        <w:t xml:space="preserve">, 2009; </w:t>
      </w:r>
      <w:proofErr w:type="spellStart"/>
      <w:r>
        <w:rPr>
          <w:sz w:val="22"/>
          <w:szCs w:val="22"/>
        </w:rPr>
        <w:t>Bohle</w:t>
      </w:r>
      <w:proofErr w:type="spellEnd"/>
      <w:r>
        <w:rPr>
          <w:sz w:val="22"/>
          <w:szCs w:val="22"/>
        </w:rPr>
        <w:t xml:space="preserve">, 2009; </w:t>
      </w:r>
      <w:proofErr w:type="spellStart"/>
      <w:r>
        <w:rPr>
          <w:sz w:val="22"/>
          <w:szCs w:val="22"/>
        </w:rPr>
        <w:t>Kuokstits</w:t>
      </w:r>
      <w:proofErr w:type="spellEnd"/>
      <w:r>
        <w:rPr>
          <w:sz w:val="22"/>
          <w:szCs w:val="22"/>
        </w:rPr>
        <w:t>, 2011.</w:t>
      </w:r>
    </w:p>
    <w:p w14:paraId="4CB07791" w14:textId="77777777" w:rsidR="00AE4CE0" w:rsidRPr="00AD6478" w:rsidRDefault="00AE4CE0" w:rsidP="00AE4CE0">
      <w:pPr>
        <w:pStyle w:val="Geenafstand"/>
      </w:pPr>
    </w:p>
    <w:p w14:paraId="28E7E519" w14:textId="7D3C45F4" w:rsidR="00AE4CE0" w:rsidRDefault="00AE4CE0" w:rsidP="00AE4CE0">
      <w:pPr>
        <w:pStyle w:val="Geenafstand"/>
        <w:spacing w:line="360" w:lineRule="auto"/>
        <w:jc w:val="both"/>
        <w:rPr>
          <w:lang w:val="en-US"/>
        </w:rPr>
      </w:pPr>
      <w:r>
        <w:rPr>
          <w:lang w:val="en-US"/>
        </w:rPr>
        <w:t>These three types of capitalism show how the VOC framework can be applied and how the causal mechanisms of these economic spheres yield the best positions through institutional complementarities. There are also many different forms of VOC that are also proposed by scholars in addition to these three. Examples are mixed market economies or hierarchical market economies</w:t>
      </w:r>
      <w:r w:rsidR="00CE5E9E">
        <w:rPr>
          <w:lang w:val="en-US"/>
        </w:rPr>
        <w:t xml:space="preserve"> </w:t>
      </w:r>
      <w:r w:rsidR="00CE5E9E">
        <w:rPr>
          <w:lang w:val="en-US"/>
        </w:rPr>
        <w:t>(</w:t>
      </w:r>
      <w:proofErr w:type="spellStart"/>
      <w:r w:rsidR="00CE5E9E">
        <w:rPr>
          <w:lang w:val="en-US"/>
        </w:rPr>
        <w:t>Jiyan</w:t>
      </w:r>
      <w:proofErr w:type="spellEnd"/>
      <w:r w:rsidR="00CE5E9E">
        <w:rPr>
          <w:lang w:val="en-US"/>
        </w:rPr>
        <w:t>, 201</w:t>
      </w:r>
      <w:r w:rsidR="004B2301">
        <w:rPr>
          <w:lang w:val="en-US"/>
        </w:rPr>
        <w:t>8</w:t>
      </w:r>
      <w:r w:rsidR="00CE5E9E">
        <w:rPr>
          <w:lang w:val="en-US"/>
        </w:rPr>
        <w:t>)</w:t>
      </w:r>
      <w:r>
        <w:rPr>
          <w:lang w:val="en-US"/>
        </w:rPr>
        <w:t>. But these are mostly combined version of two the above types and thus less suitable for application of the VOC framework</w:t>
      </w:r>
      <w:r w:rsidR="00CE5E9E">
        <w:rPr>
          <w:lang w:val="en-US"/>
        </w:rPr>
        <w:t xml:space="preserve">. </w:t>
      </w:r>
    </w:p>
    <w:p w14:paraId="634CA761" w14:textId="77777777" w:rsidR="00AE4CE0" w:rsidRDefault="00AE4CE0" w:rsidP="00AE4CE0">
      <w:pPr>
        <w:pStyle w:val="Geenafstand"/>
        <w:spacing w:line="360" w:lineRule="auto"/>
        <w:jc w:val="both"/>
        <w:rPr>
          <w:lang w:val="en-US"/>
        </w:rPr>
      </w:pPr>
    </w:p>
    <w:p w14:paraId="0EBE1007" w14:textId="77777777" w:rsidR="00AE4CE0" w:rsidRDefault="00AE4CE0" w:rsidP="00AE4CE0">
      <w:pPr>
        <w:pStyle w:val="Geenafstand"/>
        <w:spacing w:line="360" w:lineRule="auto"/>
        <w:jc w:val="both"/>
        <w:rPr>
          <w:lang w:val="en-US"/>
        </w:rPr>
      </w:pPr>
      <w:r>
        <w:rPr>
          <w:lang w:val="en-US"/>
        </w:rPr>
        <w:t xml:space="preserve">Next to the economic spheres, there also other kind of relationships in the VOC framework. These concern the kind of relationships are between firms and institutions, and are seen as secondary to the primary economic spheres, but are also mentioned as an extension of the VOC framework. The first secondary sphere is the </w:t>
      </w:r>
      <w:r w:rsidRPr="00AD6478">
        <w:rPr>
          <w:i/>
          <w:iCs/>
          <w:lang w:val="en-US"/>
        </w:rPr>
        <w:t>institutional infrastructure</w:t>
      </w:r>
      <w:r>
        <w:rPr>
          <w:lang w:val="en-US"/>
        </w:rPr>
        <w:t>. Examples of institutions are trade unions, shareholder unions, employer associations and regulatory or legal bodies. These institutions allow for exchange of information, monitoring of actions and sanctioning of certain behavior (</w:t>
      </w:r>
      <w:proofErr w:type="spellStart"/>
      <w:r>
        <w:rPr>
          <w:lang w:val="en-US"/>
        </w:rPr>
        <w:t>Oström</w:t>
      </w:r>
      <w:proofErr w:type="spellEnd"/>
      <w:r>
        <w:rPr>
          <w:lang w:val="en-US"/>
        </w:rPr>
        <w:t>, 1990).  This means that institutions are able to set certain terms on how actions and behavior should be managed. Therefore, the difference in deliberations and the presence of these institutions in certain countries can lead to fundamentally different relationships with firms. These institutions can be private, public or a combination of the two (Witt &amp; Jackson, 2016).</w:t>
      </w:r>
    </w:p>
    <w:p w14:paraId="2C79A394" w14:textId="77777777" w:rsidR="00AE4CE0" w:rsidRPr="00377C74" w:rsidRDefault="00AE4CE0" w:rsidP="00AE4CE0">
      <w:pPr>
        <w:pStyle w:val="Geenafstand"/>
        <w:rPr>
          <w:lang w:val="en-US"/>
        </w:rPr>
      </w:pPr>
    </w:p>
    <w:p w14:paraId="51851FBC" w14:textId="732FFDDE" w:rsidR="00AE4CE0" w:rsidRDefault="00AE4CE0" w:rsidP="00AE4CE0">
      <w:pPr>
        <w:pStyle w:val="Geenafstand"/>
        <w:spacing w:line="360" w:lineRule="auto"/>
        <w:jc w:val="both"/>
        <w:rPr>
          <w:lang w:val="en-US"/>
        </w:rPr>
      </w:pPr>
      <w:r>
        <w:rPr>
          <w:lang w:val="en-US"/>
        </w:rPr>
        <w:t xml:space="preserve">Next to the institutional infrastructure, there are also other elements that are part of this secondary sphere. Another element is the culture and informal practice that also determine relationships in country. This is not limited to the present situation, but can also be affected by historical events. This is called the </w:t>
      </w:r>
      <w:r w:rsidRPr="00AA7444">
        <w:rPr>
          <w:i/>
          <w:iCs/>
          <w:lang w:val="en-US"/>
        </w:rPr>
        <w:t>context of strategic action</w:t>
      </w:r>
      <w:r w:rsidR="00CE5E9E">
        <w:rPr>
          <w:lang w:val="en-US"/>
        </w:rPr>
        <w:t xml:space="preserve"> (</w:t>
      </w:r>
      <w:proofErr w:type="spellStart"/>
      <w:r w:rsidR="00CE5E9E">
        <w:rPr>
          <w:lang w:val="en-US"/>
        </w:rPr>
        <w:t>Drahokoupil</w:t>
      </w:r>
      <w:proofErr w:type="spellEnd"/>
      <w:r w:rsidR="00CE5E9E">
        <w:rPr>
          <w:lang w:val="en-US"/>
        </w:rPr>
        <w:t xml:space="preserve">, 2009). </w:t>
      </w:r>
      <w:r>
        <w:rPr>
          <w:lang w:val="en-US"/>
        </w:rPr>
        <w:t>This context is both defined by formal practices (such as institutions) and informal practices such as culture. The social and historical experiences within a nation are therefore partially determinant in the development of a form of capitalism in a country (</w:t>
      </w:r>
      <w:proofErr w:type="spellStart"/>
      <w:r>
        <w:rPr>
          <w:lang w:val="en-US"/>
        </w:rPr>
        <w:t>Kopecky</w:t>
      </w:r>
      <w:proofErr w:type="spellEnd"/>
      <w:r>
        <w:rPr>
          <w:lang w:val="en-US"/>
        </w:rPr>
        <w:t xml:space="preserve">, 2006). These experiences shape the mindset within a country and influence the direction of development. This determines what factors are deemed important in the various relationships between actors. Another important difference in this secondary sphere is the one between </w:t>
      </w:r>
      <w:r w:rsidRPr="000B707E">
        <w:rPr>
          <w:lang w:val="en-US"/>
        </w:rPr>
        <w:t>market relationships, hierarchical relationships and network relationships</w:t>
      </w:r>
      <w:r>
        <w:rPr>
          <w:lang w:val="en-US"/>
        </w:rPr>
        <w:t xml:space="preserve">. This </w:t>
      </w:r>
      <w:r w:rsidRPr="001069C9">
        <w:rPr>
          <w:i/>
          <w:iCs/>
          <w:lang w:val="en-US"/>
        </w:rPr>
        <w:t>distribution of relationships</w:t>
      </w:r>
      <w:r>
        <w:rPr>
          <w:lang w:val="en-US"/>
        </w:rPr>
        <w:t xml:space="preserve"> is determined by power relationships in a certain economic system. These three kinds of relationships are not exclusive within a certain economic system. Which means that a country is not limited to one kind of these relationships (Bohle, 2018). In summary, the main spheres in the economy and the secondary spheres that both influence the relationships in a country are shown below.</w:t>
      </w:r>
    </w:p>
    <w:p w14:paraId="7B1F4742" w14:textId="77777777" w:rsidR="00AE4CE0" w:rsidRDefault="00AE4CE0" w:rsidP="00AE4CE0">
      <w:pPr>
        <w:pStyle w:val="Geenafstand"/>
        <w:spacing w:line="360" w:lineRule="auto"/>
        <w:jc w:val="both"/>
        <w:rPr>
          <w:lang w:val="en-US"/>
        </w:rPr>
      </w:pPr>
    </w:p>
    <w:p w14:paraId="79FDB89E" w14:textId="4C6ED014" w:rsidR="00AE4CE0" w:rsidRPr="00E1075C" w:rsidRDefault="00AE4CE0" w:rsidP="00AE4CE0">
      <w:pPr>
        <w:pStyle w:val="Bijschrift"/>
        <w:keepNext/>
        <w:rPr>
          <w:sz w:val="22"/>
          <w:szCs w:val="22"/>
          <w:lang w:val="en-US"/>
        </w:rPr>
      </w:pPr>
      <w:bookmarkStart w:id="11" w:name="_Hlk75400019"/>
      <w:r w:rsidRPr="00E1075C">
        <w:rPr>
          <w:sz w:val="22"/>
          <w:szCs w:val="22"/>
          <w:lang w:val="en-US"/>
        </w:rPr>
        <w:t xml:space="preserve">Table </w:t>
      </w:r>
      <w:r w:rsidR="002F6582">
        <w:rPr>
          <w:sz w:val="22"/>
          <w:szCs w:val="22"/>
          <w:lang w:val="en-US"/>
        </w:rPr>
        <w:t>1.</w:t>
      </w:r>
      <w:r>
        <w:rPr>
          <w:sz w:val="22"/>
          <w:szCs w:val="22"/>
          <w:lang w:val="en-US"/>
        </w:rPr>
        <w:t>3</w:t>
      </w:r>
      <w:r w:rsidRPr="00E1075C">
        <w:rPr>
          <w:sz w:val="22"/>
          <w:szCs w:val="22"/>
          <w:lang w:val="en-US"/>
        </w:rPr>
        <w:t>: Spheres within the VOC framework</w:t>
      </w:r>
      <w:bookmarkEnd w:id="11"/>
      <w:r w:rsidRPr="00E1075C">
        <w:rPr>
          <w:sz w:val="22"/>
          <w:szCs w:val="22"/>
          <w:lang w:val="en-US"/>
        </w:rPr>
        <w:t>.</w:t>
      </w:r>
    </w:p>
    <w:tbl>
      <w:tblPr>
        <w:tblStyle w:val="Tabelraster"/>
        <w:tblW w:w="0" w:type="auto"/>
        <w:tblLook w:val="04A0" w:firstRow="1" w:lastRow="0" w:firstColumn="1" w:lastColumn="0" w:noHBand="0" w:noVBand="1"/>
      </w:tblPr>
      <w:tblGrid>
        <w:gridCol w:w="4531"/>
        <w:gridCol w:w="4531"/>
      </w:tblGrid>
      <w:tr w:rsidR="00AE4CE0" w14:paraId="01C05AD0" w14:textId="77777777" w:rsidTr="00E715B4">
        <w:tc>
          <w:tcPr>
            <w:tcW w:w="4531" w:type="dxa"/>
          </w:tcPr>
          <w:p w14:paraId="15A0792A" w14:textId="77777777" w:rsidR="00AE4CE0" w:rsidRPr="0039398B" w:rsidRDefault="00AE4CE0" w:rsidP="00E715B4">
            <w:pPr>
              <w:pStyle w:val="Geenafstand"/>
              <w:spacing w:line="360" w:lineRule="auto"/>
              <w:jc w:val="both"/>
              <w:rPr>
                <w:b/>
                <w:bCs/>
                <w:lang w:val="en-US"/>
              </w:rPr>
            </w:pPr>
            <w:r w:rsidRPr="0039398B">
              <w:rPr>
                <w:b/>
                <w:bCs/>
                <w:lang w:val="en-US"/>
              </w:rPr>
              <w:t>Economic Spheres</w:t>
            </w:r>
          </w:p>
        </w:tc>
        <w:tc>
          <w:tcPr>
            <w:tcW w:w="4531" w:type="dxa"/>
          </w:tcPr>
          <w:p w14:paraId="48550C29" w14:textId="77777777" w:rsidR="00AE4CE0" w:rsidRPr="0039398B" w:rsidRDefault="00AE4CE0" w:rsidP="00E715B4">
            <w:pPr>
              <w:pStyle w:val="Geenafstand"/>
              <w:spacing w:line="360" w:lineRule="auto"/>
              <w:jc w:val="both"/>
              <w:rPr>
                <w:b/>
                <w:bCs/>
                <w:lang w:val="en-US"/>
              </w:rPr>
            </w:pPr>
            <w:r>
              <w:rPr>
                <w:b/>
                <w:bCs/>
                <w:lang w:val="en-US"/>
              </w:rPr>
              <w:t xml:space="preserve">Secondary </w:t>
            </w:r>
            <w:r w:rsidRPr="0039398B">
              <w:rPr>
                <w:b/>
                <w:bCs/>
                <w:lang w:val="en-US"/>
              </w:rPr>
              <w:t>spheres</w:t>
            </w:r>
          </w:p>
        </w:tc>
      </w:tr>
      <w:tr w:rsidR="00AE4CE0" w14:paraId="4212487A" w14:textId="77777777" w:rsidTr="00E715B4">
        <w:tc>
          <w:tcPr>
            <w:tcW w:w="4531" w:type="dxa"/>
          </w:tcPr>
          <w:p w14:paraId="4B688FD7" w14:textId="77777777" w:rsidR="00AE4CE0" w:rsidRDefault="00AE4CE0" w:rsidP="00E715B4">
            <w:pPr>
              <w:pStyle w:val="Geenafstand"/>
              <w:spacing w:line="360" w:lineRule="auto"/>
              <w:jc w:val="both"/>
              <w:rPr>
                <w:lang w:val="en-US"/>
              </w:rPr>
            </w:pPr>
            <w:r>
              <w:rPr>
                <w:lang w:val="en-US"/>
              </w:rPr>
              <w:t>Industrial relations</w:t>
            </w:r>
          </w:p>
        </w:tc>
        <w:tc>
          <w:tcPr>
            <w:tcW w:w="4531" w:type="dxa"/>
          </w:tcPr>
          <w:p w14:paraId="05630061" w14:textId="77777777" w:rsidR="00AE4CE0" w:rsidRDefault="00AE4CE0" w:rsidP="00E715B4">
            <w:pPr>
              <w:pStyle w:val="Geenafstand"/>
              <w:spacing w:line="360" w:lineRule="auto"/>
              <w:jc w:val="both"/>
              <w:rPr>
                <w:lang w:val="en-US"/>
              </w:rPr>
            </w:pPr>
            <w:r>
              <w:rPr>
                <w:lang w:val="en-US"/>
              </w:rPr>
              <w:t>Institutional infrastructure</w:t>
            </w:r>
          </w:p>
        </w:tc>
      </w:tr>
      <w:tr w:rsidR="00AE4CE0" w14:paraId="04999303" w14:textId="77777777" w:rsidTr="00E715B4">
        <w:tc>
          <w:tcPr>
            <w:tcW w:w="4531" w:type="dxa"/>
          </w:tcPr>
          <w:p w14:paraId="527355D9" w14:textId="77777777" w:rsidR="00AE4CE0" w:rsidRDefault="00AE4CE0" w:rsidP="00E715B4">
            <w:pPr>
              <w:pStyle w:val="Geenafstand"/>
              <w:spacing w:line="360" w:lineRule="auto"/>
              <w:jc w:val="both"/>
              <w:rPr>
                <w:lang w:val="en-US"/>
              </w:rPr>
            </w:pPr>
            <w:r>
              <w:rPr>
                <w:lang w:val="en-US"/>
              </w:rPr>
              <w:t>Vocational training and education</w:t>
            </w:r>
          </w:p>
        </w:tc>
        <w:tc>
          <w:tcPr>
            <w:tcW w:w="4531" w:type="dxa"/>
          </w:tcPr>
          <w:p w14:paraId="2DB14465" w14:textId="77777777" w:rsidR="00AE4CE0" w:rsidRDefault="00AE4CE0" w:rsidP="00E715B4">
            <w:pPr>
              <w:pStyle w:val="Geenafstand"/>
              <w:spacing w:line="360" w:lineRule="auto"/>
              <w:jc w:val="both"/>
              <w:rPr>
                <w:lang w:val="en-US"/>
              </w:rPr>
            </w:pPr>
            <w:r>
              <w:rPr>
                <w:lang w:val="en-US"/>
              </w:rPr>
              <w:t>Strategic context of action</w:t>
            </w:r>
          </w:p>
        </w:tc>
      </w:tr>
      <w:tr w:rsidR="00AE4CE0" w14:paraId="4BBC7E5E" w14:textId="77777777" w:rsidTr="00E715B4">
        <w:tc>
          <w:tcPr>
            <w:tcW w:w="4531" w:type="dxa"/>
          </w:tcPr>
          <w:p w14:paraId="12A99609" w14:textId="77777777" w:rsidR="00AE4CE0" w:rsidRDefault="00AE4CE0" w:rsidP="00E715B4">
            <w:pPr>
              <w:pStyle w:val="Geenafstand"/>
              <w:spacing w:line="360" w:lineRule="auto"/>
              <w:jc w:val="both"/>
              <w:rPr>
                <w:lang w:val="en-US"/>
              </w:rPr>
            </w:pPr>
            <w:r>
              <w:rPr>
                <w:lang w:val="en-US"/>
              </w:rPr>
              <w:t>Corporate governance</w:t>
            </w:r>
          </w:p>
        </w:tc>
        <w:tc>
          <w:tcPr>
            <w:tcW w:w="4531" w:type="dxa"/>
          </w:tcPr>
          <w:p w14:paraId="0EED96BD" w14:textId="77777777" w:rsidR="00AE4CE0" w:rsidRDefault="00AE4CE0" w:rsidP="00E715B4">
            <w:pPr>
              <w:pStyle w:val="Geenafstand"/>
              <w:spacing w:line="360" w:lineRule="auto"/>
              <w:jc w:val="both"/>
              <w:rPr>
                <w:lang w:val="en-US"/>
              </w:rPr>
            </w:pPr>
            <w:r>
              <w:rPr>
                <w:lang w:val="en-US"/>
              </w:rPr>
              <w:t>Distribution of relationships</w:t>
            </w:r>
          </w:p>
        </w:tc>
      </w:tr>
      <w:tr w:rsidR="00AE4CE0" w14:paraId="26FC08AC" w14:textId="77777777" w:rsidTr="00E715B4">
        <w:tc>
          <w:tcPr>
            <w:tcW w:w="4531" w:type="dxa"/>
          </w:tcPr>
          <w:p w14:paraId="1948AE59" w14:textId="77777777" w:rsidR="00AE4CE0" w:rsidRDefault="00AE4CE0" w:rsidP="00E715B4">
            <w:pPr>
              <w:pStyle w:val="Geenafstand"/>
              <w:spacing w:line="360" w:lineRule="auto"/>
              <w:jc w:val="both"/>
              <w:rPr>
                <w:lang w:val="en-US"/>
              </w:rPr>
            </w:pPr>
            <w:r>
              <w:rPr>
                <w:lang w:val="en-US"/>
              </w:rPr>
              <w:t>Inter-firm relations</w:t>
            </w:r>
          </w:p>
        </w:tc>
        <w:tc>
          <w:tcPr>
            <w:tcW w:w="4531" w:type="dxa"/>
          </w:tcPr>
          <w:p w14:paraId="145549C7" w14:textId="77777777" w:rsidR="00AE4CE0" w:rsidRDefault="00AE4CE0" w:rsidP="00E715B4">
            <w:pPr>
              <w:pStyle w:val="Geenafstand"/>
              <w:spacing w:line="360" w:lineRule="auto"/>
              <w:jc w:val="both"/>
              <w:rPr>
                <w:lang w:val="en-US"/>
              </w:rPr>
            </w:pPr>
          </w:p>
        </w:tc>
      </w:tr>
      <w:tr w:rsidR="00AE4CE0" w:rsidRPr="006234E4" w14:paraId="418993C5" w14:textId="77777777" w:rsidTr="00E715B4">
        <w:tc>
          <w:tcPr>
            <w:tcW w:w="4531" w:type="dxa"/>
          </w:tcPr>
          <w:p w14:paraId="2DE57CDC" w14:textId="77777777" w:rsidR="00AE4CE0" w:rsidRDefault="00AE4CE0" w:rsidP="00E715B4">
            <w:pPr>
              <w:pStyle w:val="Geenafstand"/>
              <w:spacing w:line="360" w:lineRule="auto"/>
              <w:jc w:val="both"/>
              <w:rPr>
                <w:lang w:val="en-US"/>
              </w:rPr>
            </w:pPr>
            <w:r>
              <w:rPr>
                <w:lang w:val="en-US"/>
              </w:rPr>
              <w:t>Relations between employers and employees</w:t>
            </w:r>
          </w:p>
        </w:tc>
        <w:tc>
          <w:tcPr>
            <w:tcW w:w="4531" w:type="dxa"/>
          </w:tcPr>
          <w:p w14:paraId="57F3DD9C" w14:textId="77777777" w:rsidR="00AE4CE0" w:rsidRDefault="00AE4CE0" w:rsidP="00E715B4">
            <w:pPr>
              <w:pStyle w:val="Geenafstand"/>
              <w:keepNext/>
              <w:spacing w:line="360" w:lineRule="auto"/>
              <w:jc w:val="both"/>
              <w:rPr>
                <w:lang w:val="en-US"/>
              </w:rPr>
            </w:pPr>
          </w:p>
        </w:tc>
      </w:tr>
    </w:tbl>
    <w:p w14:paraId="55F6CE32" w14:textId="77777777" w:rsidR="00AE4CE0" w:rsidRDefault="00AE4CE0" w:rsidP="00AE4CE0">
      <w:pPr>
        <w:pStyle w:val="Bijschrift"/>
        <w:rPr>
          <w:lang w:val="en-US"/>
        </w:rPr>
      </w:pPr>
      <w:r w:rsidRPr="00E1075C">
        <w:rPr>
          <w:sz w:val="22"/>
          <w:szCs w:val="22"/>
          <w:lang w:val="en-US"/>
        </w:rPr>
        <w:t xml:space="preserve"> Source: Hall &amp; Soskice, 2001</w:t>
      </w:r>
    </w:p>
    <w:p w14:paraId="78514800" w14:textId="77777777" w:rsidR="00AE4CE0" w:rsidRPr="00B9091A" w:rsidRDefault="00AE4CE0" w:rsidP="00AE4CE0">
      <w:pPr>
        <w:pStyle w:val="Geenafstand"/>
        <w:rPr>
          <w:lang w:val="en-US"/>
        </w:rPr>
      </w:pPr>
    </w:p>
    <w:p w14:paraId="61442128" w14:textId="77777777" w:rsidR="00AE4CE0" w:rsidRPr="001D0537" w:rsidRDefault="00AE4CE0" w:rsidP="00AE4CE0">
      <w:pPr>
        <w:spacing w:line="360" w:lineRule="auto"/>
        <w:jc w:val="both"/>
        <w:rPr>
          <w:lang w:val="en-US"/>
        </w:rPr>
      </w:pPr>
      <w:r>
        <w:rPr>
          <w:lang w:val="en-US"/>
        </w:rPr>
        <w:t>The five economic spheres allow for extensive analysis of a certain country, but certain aspects reflected in the secondary spheres are omitted or discussed sparsely. This is because the focus of the VOC framework is on the economic spheres, with the inclusion of some relevant secondary information.</w:t>
      </w:r>
    </w:p>
    <w:p w14:paraId="0DB8F0CC" w14:textId="18485270" w:rsidR="00AE4CE0" w:rsidRDefault="00AE4CE0" w:rsidP="00AE4CE0">
      <w:pPr>
        <w:pStyle w:val="Kop2"/>
        <w:numPr>
          <w:ilvl w:val="1"/>
          <w:numId w:val="1"/>
        </w:numPr>
        <w:rPr>
          <w:lang w:val="en-US"/>
        </w:rPr>
      </w:pPr>
      <w:bookmarkStart w:id="12" w:name="_Toc75401332"/>
      <w:r>
        <w:rPr>
          <w:lang w:val="en-US"/>
        </w:rPr>
        <w:t xml:space="preserve">Criticism of the VOC </w:t>
      </w:r>
      <w:r w:rsidR="000E0335">
        <w:rPr>
          <w:lang w:val="en-US"/>
        </w:rPr>
        <w:t>F</w:t>
      </w:r>
      <w:r>
        <w:rPr>
          <w:lang w:val="en-US"/>
        </w:rPr>
        <w:t>ramework</w:t>
      </w:r>
      <w:bookmarkEnd w:id="12"/>
    </w:p>
    <w:p w14:paraId="0AFA7FDB" w14:textId="77777777" w:rsidR="00AE4CE0" w:rsidRDefault="00AE4CE0" w:rsidP="00AE4CE0">
      <w:pPr>
        <w:pStyle w:val="Geenafstand"/>
        <w:rPr>
          <w:lang w:val="en-US"/>
        </w:rPr>
      </w:pPr>
    </w:p>
    <w:p w14:paraId="47079B72" w14:textId="280E8C6C" w:rsidR="00AE4CE0" w:rsidRDefault="00AE4CE0" w:rsidP="00AE4CE0">
      <w:pPr>
        <w:pStyle w:val="Geenafstand"/>
        <w:spacing w:line="360" w:lineRule="auto"/>
        <w:jc w:val="both"/>
        <w:rPr>
          <w:lang w:val="en-US"/>
        </w:rPr>
      </w:pPr>
      <w:r>
        <w:rPr>
          <w:lang w:val="en-US"/>
        </w:rPr>
        <w:t>The main point of criticism is the firm-centric approach of the VOC framework. It discusses mainly the firm perspective in the economy, disregarding wider social and political implications. In addition, other economic</w:t>
      </w:r>
      <w:r w:rsidR="00CE5E9E">
        <w:rPr>
          <w:lang w:val="en-US"/>
        </w:rPr>
        <w:t xml:space="preserve"> and political</w:t>
      </w:r>
      <w:r>
        <w:rPr>
          <w:lang w:val="en-US"/>
        </w:rPr>
        <w:t xml:space="preserve"> actors are discussed only in context of the firms, with little regard for their condition. While this is also the core of the explanatory power, it unnecessarily excludes some of the </w:t>
      </w:r>
      <w:r>
        <w:rPr>
          <w:lang w:val="en-US"/>
        </w:rPr>
        <w:lastRenderedPageBreak/>
        <w:t>state-centric elements that should also be present</w:t>
      </w:r>
      <w:r w:rsidR="00CE5E9E">
        <w:rPr>
          <w:lang w:val="en-US"/>
        </w:rPr>
        <w:t xml:space="preserve"> (</w:t>
      </w:r>
      <w:proofErr w:type="spellStart"/>
      <w:r w:rsidR="00CE5E9E">
        <w:rPr>
          <w:lang w:val="en-US"/>
        </w:rPr>
        <w:t>Szanyi</w:t>
      </w:r>
      <w:proofErr w:type="spellEnd"/>
      <w:r w:rsidR="00CE5E9E">
        <w:rPr>
          <w:lang w:val="en-US"/>
        </w:rPr>
        <w:t>, 2019).</w:t>
      </w:r>
      <w:r>
        <w:rPr>
          <w:lang w:val="en-US"/>
        </w:rPr>
        <w:t xml:space="preserve"> Therefore, this needs to be an addition to the explanatory spheres as set up in the framework. In the VOC framework, there are secondary sphere that can hold equal explanative power if they are supported by the right theory. These are the context of strategic action by corporate and state actors, the institutional infrastructure and the distribution of relationships between the state and corporations. All three of these factors include the role of the state but this is spread too thin to truly show its influence. This also shows the weakness in relational approaches of neoliberal variations of capitalism (Peck, 2013). The role of the state being a combination of various institutions and social elements. The main solution to this would be to exclude the role of the state from the economic spheres and reflect this through these three. This would include both the political, social and economic effect of government actions within the greater capitalist structure presented by the VOC. This would also show how this would reflect back on the institutional complementarities (Appel, 2004).</w:t>
      </w:r>
    </w:p>
    <w:p w14:paraId="09E348AC" w14:textId="77777777" w:rsidR="00AE4CE0" w:rsidRPr="00E01AE6" w:rsidRDefault="00AE4CE0" w:rsidP="00AE4CE0">
      <w:pPr>
        <w:pStyle w:val="Geenafstand"/>
        <w:rPr>
          <w:lang w:val="en-US"/>
        </w:rPr>
      </w:pPr>
    </w:p>
    <w:p w14:paraId="6F67A34E" w14:textId="77777777" w:rsidR="00AE4CE0" w:rsidRDefault="00AE4CE0" w:rsidP="00AE4CE0">
      <w:pPr>
        <w:pStyle w:val="Geenafstand"/>
        <w:spacing w:line="360" w:lineRule="auto"/>
        <w:jc w:val="both"/>
        <w:rPr>
          <w:lang w:val="en-US"/>
        </w:rPr>
      </w:pPr>
      <w:r>
        <w:rPr>
          <w:lang w:val="en-US"/>
        </w:rPr>
        <w:t>The second point of criticism is the encompassing and bloated nature of the VOC framework. This approach seeks to include very different elements in order to have a large explanatory power. This can be noticed from the way these are presented in the approach. However, this is done in such a way that any methodological foundation is weak or absent outside of the original VOC approach. The focus lies on the relations between firms and other actors, but also at the institutions and organizations present and also cultural, social and historical elements (Peck &amp; Theodore, 2007). The first is addressed extensively, while the latter two are only discussed sparsely. This is understandable, as the relational approach is the greatest strength of this framework, but this allows for insufficient addressing of other factors. The final point of criticism is the easy application of the VOC framework to different countries. All countries addressed originally are western countries, this means that the framework must be adjusted when it is applied to other countries who are not western (</w:t>
      </w:r>
      <w:proofErr w:type="spellStart"/>
      <w:r>
        <w:rPr>
          <w:lang w:val="en-US"/>
        </w:rPr>
        <w:t>Drahokoupil</w:t>
      </w:r>
      <w:proofErr w:type="spellEnd"/>
      <w:r>
        <w:rPr>
          <w:lang w:val="en-US"/>
        </w:rPr>
        <w:t>, 2008).</w:t>
      </w:r>
    </w:p>
    <w:p w14:paraId="75F0E9B5" w14:textId="77777777" w:rsidR="00AE4CE0" w:rsidRDefault="00AE4CE0" w:rsidP="00AE4CE0">
      <w:pPr>
        <w:pStyle w:val="Geenafstand"/>
        <w:spacing w:line="360" w:lineRule="auto"/>
        <w:jc w:val="both"/>
        <w:rPr>
          <w:lang w:val="en-US"/>
        </w:rPr>
      </w:pPr>
    </w:p>
    <w:p w14:paraId="3642C70E" w14:textId="0E8097CE" w:rsidR="00AE4CE0" w:rsidRDefault="00AE4CE0" w:rsidP="00AE4CE0">
      <w:pPr>
        <w:pStyle w:val="Geenafstand"/>
        <w:spacing w:line="360" w:lineRule="auto"/>
        <w:jc w:val="both"/>
        <w:rPr>
          <w:lang w:val="en-US"/>
        </w:rPr>
      </w:pPr>
      <w:r>
        <w:rPr>
          <w:lang w:val="en-US"/>
        </w:rPr>
        <w:t>A third point of criticism is about the approach of comparative capitalism as a whole. Namely that is not equipped to sufficiently understand any of the complex contexts it analyzing is, oversimplifying it instead. The VOC framework is the main foundation for this field of study, and therefore also subject to its main flaws</w:t>
      </w:r>
      <w:r w:rsidR="00CE5E9E">
        <w:rPr>
          <w:lang w:val="en-US"/>
        </w:rPr>
        <w:t xml:space="preserve"> (Peck &amp; Theodore, 2007).</w:t>
      </w:r>
      <w:r>
        <w:rPr>
          <w:lang w:val="en-US"/>
        </w:rPr>
        <w:t xml:space="preserve"> This includes the focus of countries as ‘national state containers’ which can be analyzed based on characteristics. These comparable containers, as states are viewed, are often so different that a comparison on the national level is impossible to generalize or even study without omitting significant factors. The inclusion of growth models into the framework, and thus focusing on economic development solely, shows an inability to go outside of economic theory and take social elements into account (</w:t>
      </w:r>
      <w:proofErr w:type="spellStart"/>
      <w:r>
        <w:rPr>
          <w:lang w:val="en-US"/>
        </w:rPr>
        <w:t>Bruff</w:t>
      </w:r>
      <w:proofErr w:type="spellEnd"/>
      <w:r>
        <w:rPr>
          <w:lang w:val="en-US"/>
        </w:rPr>
        <w:t>, 2021). This is vital when comparing countries, and therefore shows the shortcomings of the VOC framework.</w:t>
      </w:r>
    </w:p>
    <w:p w14:paraId="3ADB3921" w14:textId="77777777" w:rsidR="00AE4CE0" w:rsidRDefault="00AE4CE0" w:rsidP="001666AE">
      <w:pPr>
        <w:pStyle w:val="Geenafstand"/>
        <w:rPr>
          <w:lang w:val="en-US"/>
        </w:rPr>
      </w:pPr>
    </w:p>
    <w:p w14:paraId="072B870D" w14:textId="06D861E3" w:rsidR="00AE4CE0" w:rsidRDefault="00AE4CE0" w:rsidP="00AE4CE0">
      <w:pPr>
        <w:pStyle w:val="Kop2"/>
        <w:numPr>
          <w:ilvl w:val="1"/>
          <w:numId w:val="1"/>
        </w:numPr>
        <w:rPr>
          <w:lang w:val="en-US"/>
        </w:rPr>
      </w:pPr>
      <w:bookmarkStart w:id="13" w:name="_Toc75401333"/>
      <w:r>
        <w:rPr>
          <w:lang w:val="en-US"/>
        </w:rPr>
        <w:t xml:space="preserve">Additions to the </w:t>
      </w:r>
      <w:r w:rsidR="000E0335">
        <w:rPr>
          <w:lang w:val="en-US"/>
        </w:rPr>
        <w:t>V</w:t>
      </w:r>
      <w:r>
        <w:rPr>
          <w:lang w:val="en-US"/>
        </w:rPr>
        <w:t xml:space="preserve">arieties of </w:t>
      </w:r>
      <w:r w:rsidR="000E0335">
        <w:rPr>
          <w:lang w:val="en-US"/>
        </w:rPr>
        <w:t>C</w:t>
      </w:r>
      <w:r>
        <w:rPr>
          <w:lang w:val="en-US"/>
        </w:rPr>
        <w:t>apitalism</w:t>
      </w:r>
      <w:r w:rsidR="000E0335">
        <w:rPr>
          <w:lang w:val="en-US"/>
        </w:rPr>
        <w:t xml:space="preserve"> Framework</w:t>
      </w:r>
      <w:bookmarkEnd w:id="13"/>
    </w:p>
    <w:p w14:paraId="2BE8ABF4" w14:textId="77777777" w:rsidR="00AE4CE0" w:rsidRDefault="00AE4CE0" w:rsidP="00AE4CE0">
      <w:pPr>
        <w:pStyle w:val="Geenafstand"/>
        <w:rPr>
          <w:lang w:val="en-US"/>
        </w:rPr>
      </w:pPr>
    </w:p>
    <w:p w14:paraId="18198C41" w14:textId="3757558A" w:rsidR="00AE4CE0" w:rsidRDefault="00AE4CE0" w:rsidP="00AE4CE0">
      <w:pPr>
        <w:spacing w:line="360" w:lineRule="auto"/>
        <w:jc w:val="both"/>
        <w:rPr>
          <w:lang w:val="en-US"/>
        </w:rPr>
      </w:pPr>
      <w:r>
        <w:rPr>
          <w:lang w:val="en-US"/>
        </w:rPr>
        <w:t>The first addition to the VOC framework is State Property Management (SPM). This is in reaction to the Dependent market economy variety, which is seen as a too positive portrayal of the situation of the capitalist system in these countries. What is seen as result of a selective focus of analysis. Instead, the inclusion of institutional ties and evaluation of the functioning of national public institutions would create a more representative view</w:t>
      </w:r>
      <w:r w:rsidR="00B4126E">
        <w:rPr>
          <w:lang w:val="en-US"/>
        </w:rPr>
        <w:t xml:space="preserve"> (Ban, 2013).</w:t>
      </w:r>
      <w:r>
        <w:rPr>
          <w:lang w:val="en-US"/>
        </w:rPr>
        <w:t xml:space="preserve"> This is because of the role of corruption that is dominant in Eastern Europe. Which is often the result of rapid de-nationalization of state property. Privatization was seen as a step towards a more western-oriented economy and therefore a positive requirement that needed to be realized at all costs (Appel, 2004). This has led to conflicting economic principles. On one side, there were the reformers, who saw de-nationalization as a force for the better. They were supported in their drive by interest groups who were supportive of neoliberal thought or investors who saw an opportunity</w:t>
      </w:r>
      <w:r w:rsidR="004B2301">
        <w:rPr>
          <w:lang w:val="en-US"/>
        </w:rPr>
        <w:t xml:space="preserve"> (Appel, 2004).</w:t>
      </w:r>
      <w:r>
        <w:rPr>
          <w:lang w:val="en-US"/>
        </w:rPr>
        <w:t xml:space="preserve"> On the other side, there were those who advocated for de-nationalization in moderation. This meant that sectors that were vital for satisfying primary needs of the population could best be kept under state ownership. While the extent of these two different viewpoints varied across countries, it attributed to differences in national policy (Pula, 2018).</w:t>
      </w:r>
    </w:p>
    <w:p w14:paraId="27266092" w14:textId="6BF9B96C" w:rsidR="00AE4CE0" w:rsidRDefault="00AE4CE0" w:rsidP="00AE4CE0">
      <w:pPr>
        <w:spacing w:line="360" w:lineRule="auto"/>
        <w:jc w:val="both"/>
        <w:rPr>
          <w:lang w:val="en-US"/>
        </w:rPr>
      </w:pPr>
      <w:r>
        <w:rPr>
          <w:lang w:val="en-US"/>
        </w:rPr>
        <w:t>Aside from transition implications, privatization could also increase the popularity of the government. Privatization was viewed as a measure against the former communist system, and fervent usage of this measure allowed the government to capitalize on the anti-communist sentiment that was present at the time</w:t>
      </w:r>
      <w:r w:rsidR="004B2301">
        <w:rPr>
          <w:lang w:val="en-US"/>
        </w:rPr>
        <w:t xml:space="preserve"> (Karo &amp; </w:t>
      </w:r>
      <w:proofErr w:type="spellStart"/>
      <w:r w:rsidR="004B2301">
        <w:rPr>
          <w:lang w:val="en-US"/>
        </w:rPr>
        <w:t>Looga</w:t>
      </w:r>
      <w:proofErr w:type="spellEnd"/>
      <w:r w:rsidR="004B2301">
        <w:rPr>
          <w:lang w:val="en-US"/>
        </w:rPr>
        <w:t>, 2016).</w:t>
      </w:r>
      <w:r>
        <w:rPr>
          <w:lang w:val="en-US"/>
        </w:rPr>
        <w:t xml:space="preserve"> In addition to being a popular measure, privatization was also a tool to keep the old communist elite (nomenclature) in check. If certain influential stakeholders were resistant to government policy, they could be pressured to keep their objections to themselves, or lose influence by means of privatization of their assets (</w:t>
      </w:r>
      <w:proofErr w:type="spellStart"/>
      <w:r>
        <w:rPr>
          <w:lang w:val="en-US"/>
        </w:rPr>
        <w:t>Szanyi</w:t>
      </w:r>
      <w:proofErr w:type="spellEnd"/>
      <w:r>
        <w:rPr>
          <w:lang w:val="en-US"/>
        </w:rPr>
        <w:t>, 2019). When the transition process continued, but did not show to be as promising as was initially thought, public opinion shifted against the neoliberal argument. The political parties in the government had to adjust to remain popular which resulted in weak ideological foundations. The previously influential liberal values were not as useful anymore and could be replaced by arguments and value that where popular</w:t>
      </w:r>
      <w:r w:rsidR="007F4686">
        <w:rPr>
          <w:lang w:val="en-US"/>
        </w:rPr>
        <w:t xml:space="preserve"> (Paraskevopoulos, 2001).</w:t>
      </w:r>
      <w:r>
        <w:rPr>
          <w:lang w:val="en-US"/>
        </w:rPr>
        <w:t xml:space="preserve"> What remained was the ability of the government to restructure society in order to maintain control. For this, state property management and privatization or nationalization of dissident voices was the one instrument that had worked during the transition from communist oriented economy to a western capitalist-based society</w:t>
      </w:r>
      <w:r w:rsidR="007F4686">
        <w:rPr>
          <w:lang w:val="en-US"/>
        </w:rPr>
        <w:t xml:space="preserve"> (Pula, 2018)</w:t>
      </w:r>
      <w:r>
        <w:rPr>
          <w:lang w:val="en-US"/>
        </w:rPr>
        <w:t>.</w:t>
      </w:r>
    </w:p>
    <w:p w14:paraId="06539B68" w14:textId="776B4E88" w:rsidR="00AE4CE0" w:rsidRPr="00037D81" w:rsidRDefault="00AE4CE0" w:rsidP="00AE4CE0">
      <w:pPr>
        <w:spacing w:line="360" w:lineRule="auto"/>
        <w:jc w:val="both"/>
        <w:rPr>
          <w:lang w:val="en-US"/>
        </w:rPr>
      </w:pPr>
      <w:r>
        <w:rPr>
          <w:lang w:val="en-US"/>
        </w:rPr>
        <w:t xml:space="preserve"> Another addition that strengthens the theory above is a network ties analysis (NTA) (</w:t>
      </w:r>
      <w:proofErr w:type="spellStart"/>
      <w:r>
        <w:rPr>
          <w:lang w:val="en-US"/>
        </w:rPr>
        <w:t>Schoenman</w:t>
      </w:r>
      <w:proofErr w:type="spellEnd"/>
      <w:r>
        <w:rPr>
          <w:lang w:val="en-US"/>
        </w:rPr>
        <w:t xml:space="preserve">, 2014). This comes from the role that networks and interest groups play in a specific society, something which has to do with the structure of a network and the amount of uncertainty present in a state. A </w:t>
      </w:r>
      <w:r>
        <w:rPr>
          <w:lang w:val="en-US"/>
        </w:rPr>
        <w:lastRenderedPageBreak/>
        <w:t>structure in a network can be broad or narrow. Broad networks are ones where collective action is common and often consist of links across multiple private sectors. While narrow networks are closed and are only comprised of interactions between select people, there is less cooperation between business</w:t>
      </w:r>
      <w:r w:rsidR="007F4686">
        <w:rPr>
          <w:lang w:val="en-US"/>
        </w:rPr>
        <w:t xml:space="preserve"> (Scholz, 2008). </w:t>
      </w:r>
      <w:r>
        <w:rPr>
          <w:lang w:val="en-US"/>
        </w:rPr>
        <w:t>These networks grow in importance in states where the institutions are weak, as the connections between these people become the primary means to get things done. The uncertainty in a state sets the foundation for the interaction between the state and businesses. With low uncertainty portraying a solid-state structure that is efficient and high uncertainty being a more flawed state structure that often proves incapable. In contrast, broad networks are strong mutual private ties, while narrow networks have weak mutual private ties. This sets up the power relationship between the public sector and private sector in a state (Bartosz, 2019).</w:t>
      </w:r>
    </w:p>
    <w:p w14:paraId="507D9A81" w14:textId="4CD0A006" w:rsidR="00AE4CE0" w:rsidRPr="004B1DB9" w:rsidRDefault="00AE4CE0" w:rsidP="00AE4CE0">
      <w:pPr>
        <w:pStyle w:val="Bijschrift"/>
        <w:keepNext/>
        <w:rPr>
          <w:sz w:val="22"/>
          <w:szCs w:val="22"/>
          <w:lang w:val="en-US"/>
        </w:rPr>
      </w:pPr>
      <w:bookmarkStart w:id="14" w:name="_Hlk75400034"/>
      <w:r w:rsidRPr="004B1DB9">
        <w:rPr>
          <w:sz w:val="22"/>
          <w:szCs w:val="22"/>
          <w:lang w:val="en-US"/>
        </w:rPr>
        <w:t xml:space="preserve">Table </w:t>
      </w:r>
      <w:r w:rsidR="002F6582">
        <w:rPr>
          <w:sz w:val="22"/>
          <w:szCs w:val="22"/>
          <w:lang w:val="en-US"/>
        </w:rPr>
        <w:t>1.</w:t>
      </w:r>
      <w:r>
        <w:rPr>
          <w:sz w:val="22"/>
          <w:szCs w:val="22"/>
          <w:lang w:val="en-US"/>
        </w:rPr>
        <w:t>4</w:t>
      </w:r>
      <w:r w:rsidRPr="004B1DB9">
        <w:rPr>
          <w:sz w:val="22"/>
          <w:szCs w:val="22"/>
          <w:lang w:val="en-US"/>
        </w:rPr>
        <w:t>: Network relationships between corporations and state government</w:t>
      </w:r>
    </w:p>
    <w:bookmarkEnd w:id="14"/>
    <w:tbl>
      <w:tblPr>
        <w:tblStyle w:val="Tabelraster"/>
        <w:tblW w:w="0" w:type="auto"/>
        <w:tblLook w:val="04A0" w:firstRow="1" w:lastRow="0" w:firstColumn="1" w:lastColumn="0" w:noHBand="0" w:noVBand="1"/>
      </w:tblPr>
      <w:tblGrid>
        <w:gridCol w:w="3020"/>
        <w:gridCol w:w="3021"/>
        <w:gridCol w:w="3021"/>
      </w:tblGrid>
      <w:tr w:rsidR="00AE4CE0" w14:paraId="7F3C4785" w14:textId="77777777" w:rsidTr="00E715B4">
        <w:tc>
          <w:tcPr>
            <w:tcW w:w="3020" w:type="dxa"/>
            <w:shd w:val="clear" w:color="auto" w:fill="000000" w:themeFill="text1"/>
          </w:tcPr>
          <w:p w14:paraId="7D9D29C4" w14:textId="77777777" w:rsidR="00AE4CE0" w:rsidRDefault="00AE4CE0" w:rsidP="00E715B4">
            <w:pPr>
              <w:spacing w:line="360" w:lineRule="auto"/>
              <w:jc w:val="both"/>
              <w:rPr>
                <w:lang w:val="en-US"/>
              </w:rPr>
            </w:pPr>
          </w:p>
        </w:tc>
        <w:tc>
          <w:tcPr>
            <w:tcW w:w="3021" w:type="dxa"/>
          </w:tcPr>
          <w:p w14:paraId="11583B6B" w14:textId="77777777" w:rsidR="00AE4CE0" w:rsidRPr="00CC62E9" w:rsidRDefault="00AE4CE0" w:rsidP="00E715B4">
            <w:pPr>
              <w:spacing w:line="360" w:lineRule="auto"/>
              <w:jc w:val="both"/>
              <w:rPr>
                <w:b/>
                <w:bCs/>
                <w:lang w:val="en-US"/>
              </w:rPr>
            </w:pPr>
            <w:r w:rsidRPr="00CC62E9">
              <w:rPr>
                <w:b/>
                <w:bCs/>
                <w:lang w:val="en-US"/>
              </w:rPr>
              <w:t>Low political uncertainty</w:t>
            </w:r>
          </w:p>
        </w:tc>
        <w:tc>
          <w:tcPr>
            <w:tcW w:w="3021" w:type="dxa"/>
          </w:tcPr>
          <w:p w14:paraId="00EC2B0D" w14:textId="77777777" w:rsidR="00AE4CE0" w:rsidRPr="00CC62E9" w:rsidRDefault="00AE4CE0" w:rsidP="00E715B4">
            <w:pPr>
              <w:spacing w:line="360" w:lineRule="auto"/>
              <w:jc w:val="both"/>
              <w:rPr>
                <w:b/>
                <w:bCs/>
                <w:lang w:val="en-US"/>
              </w:rPr>
            </w:pPr>
            <w:r w:rsidRPr="00CC62E9">
              <w:rPr>
                <w:b/>
                <w:bCs/>
                <w:lang w:val="en-US"/>
              </w:rPr>
              <w:t>High political uncertainty</w:t>
            </w:r>
          </w:p>
        </w:tc>
      </w:tr>
      <w:tr w:rsidR="00AE4CE0" w14:paraId="5A5C83D3" w14:textId="77777777" w:rsidTr="00E715B4">
        <w:tc>
          <w:tcPr>
            <w:tcW w:w="3020" w:type="dxa"/>
          </w:tcPr>
          <w:p w14:paraId="4690A331" w14:textId="77777777" w:rsidR="00AE4CE0" w:rsidRPr="00CC62E9" w:rsidRDefault="00AE4CE0" w:rsidP="00E715B4">
            <w:pPr>
              <w:spacing w:line="360" w:lineRule="auto"/>
              <w:jc w:val="both"/>
              <w:rPr>
                <w:b/>
                <w:bCs/>
                <w:lang w:val="en-US"/>
              </w:rPr>
            </w:pPr>
            <w:r w:rsidRPr="00CC62E9">
              <w:rPr>
                <w:b/>
                <w:bCs/>
                <w:lang w:val="en-US"/>
              </w:rPr>
              <w:t>Narrow corporate networks</w:t>
            </w:r>
          </w:p>
        </w:tc>
        <w:tc>
          <w:tcPr>
            <w:tcW w:w="3021" w:type="dxa"/>
          </w:tcPr>
          <w:p w14:paraId="35D16724" w14:textId="77777777" w:rsidR="00AE4CE0" w:rsidRDefault="00AE4CE0" w:rsidP="00E715B4">
            <w:pPr>
              <w:spacing w:line="360" w:lineRule="auto"/>
              <w:jc w:val="both"/>
              <w:rPr>
                <w:lang w:val="en-US"/>
              </w:rPr>
            </w:pPr>
            <w:r>
              <w:rPr>
                <w:lang w:val="en-US"/>
              </w:rPr>
              <w:t>Patronage state</w:t>
            </w:r>
          </w:p>
        </w:tc>
        <w:tc>
          <w:tcPr>
            <w:tcW w:w="3021" w:type="dxa"/>
          </w:tcPr>
          <w:p w14:paraId="3D6EAFD6" w14:textId="77777777" w:rsidR="00AE4CE0" w:rsidRDefault="00AE4CE0" w:rsidP="00E715B4">
            <w:pPr>
              <w:spacing w:line="360" w:lineRule="auto"/>
              <w:jc w:val="both"/>
              <w:rPr>
                <w:lang w:val="en-US"/>
              </w:rPr>
            </w:pPr>
            <w:r>
              <w:rPr>
                <w:lang w:val="en-US"/>
              </w:rPr>
              <w:t xml:space="preserve">Captured state </w:t>
            </w:r>
          </w:p>
        </w:tc>
      </w:tr>
      <w:tr w:rsidR="00AE4CE0" w14:paraId="01E07D2D" w14:textId="77777777" w:rsidTr="00E715B4">
        <w:tc>
          <w:tcPr>
            <w:tcW w:w="3020" w:type="dxa"/>
          </w:tcPr>
          <w:p w14:paraId="2A3A22C0" w14:textId="77777777" w:rsidR="00AE4CE0" w:rsidRPr="00CC62E9" w:rsidRDefault="00AE4CE0" w:rsidP="00E715B4">
            <w:pPr>
              <w:spacing w:line="360" w:lineRule="auto"/>
              <w:jc w:val="both"/>
              <w:rPr>
                <w:b/>
                <w:bCs/>
                <w:lang w:val="en-US"/>
              </w:rPr>
            </w:pPr>
            <w:r w:rsidRPr="00CC62E9">
              <w:rPr>
                <w:b/>
                <w:bCs/>
                <w:lang w:val="en-US"/>
              </w:rPr>
              <w:t>Broad corporate networks</w:t>
            </w:r>
          </w:p>
        </w:tc>
        <w:tc>
          <w:tcPr>
            <w:tcW w:w="3021" w:type="dxa"/>
          </w:tcPr>
          <w:p w14:paraId="1353E536" w14:textId="77777777" w:rsidR="00AE4CE0" w:rsidRDefault="00AE4CE0" w:rsidP="00E715B4">
            <w:pPr>
              <w:spacing w:line="360" w:lineRule="auto"/>
              <w:jc w:val="both"/>
              <w:rPr>
                <w:lang w:val="en-US"/>
              </w:rPr>
            </w:pPr>
            <w:r>
              <w:rPr>
                <w:lang w:val="en-US"/>
              </w:rPr>
              <w:t>Embedded corporatist state</w:t>
            </w:r>
          </w:p>
        </w:tc>
        <w:tc>
          <w:tcPr>
            <w:tcW w:w="3021" w:type="dxa"/>
          </w:tcPr>
          <w:p w14:paraId="148D0AB5" w14:textId="77777777" w:rsidR="00AE4CE0" w:rsidRDefault="00AE4CE0" w:rsidP="00E715B4">
            <w:pPr>
              <w:keepNext/>
              <w:spacing w:line="360" w:lineRule="auto"/>
              <w:jc w:val="both"/>
              <w:rPr>
                <w:lang w:val="en-US"/>
              </w:rPr>
            </w:pPr>
            <w:r>
              <w:rPr>
                <w:lang w:val="en-US"/>
              </w:rPr>
              <w:t>Concertation state</w:t>
            </w:r>
          </w:p>
        </w:tc>
      </w:tr>
    </w:tbl>
    <w:p w14:paraId="1C2EDC66" w14:textId="77777777" w:rsidR="00AE4CE0" w:rsidRPr="004B1DB9" w:rsidRDefault="00AE4CE0" w:rsidP="00AE4CE0">
      <w:pPr>
        <w:pStyle w:val="Bijschrift"/>
        <w:rPr>
          <w:sz w:val="22"/>
          <w:szCs w:val="22"/>
        </w:rPr>
      </w:pPr>
      <w:r w:rsidRPr="004B1DB9">
        <w:rPr>
          <w:sz w:val="22"/>
          <w:szCs w:val="22"/>
          <w:lang w:val="en-US"/>
        </w:rPr>
        <w:t xml:space="preserve">Source: </w:t>
      </w:r>
      <w:proofErr w:type="spellStart"/>
      <w:r w:rsidRPr="004B1DB9">
        <w:rPr>
          <w:sz w:val="22"/>
          <w:szCs w:val="22"/>
          <w:lang w:val="en-US"/>
        </w:rPr>
        <w:t>Schoenman</w:t>
      </w:r>
      <w:proofErr w:type="spellEnd"/>
      <w:r w:rsidRPr="004B1DB9">
        <w:rPr>
          <w:sz w:val="22"/>
          <w:szCs w:val="22"/>
          <w:lang w:val="en-US"/>
        </w:rPr>
        <w:t>, 2014.</w:t>
      </w:r>
    </w:p>
    <w:p w14:paraId="4CC9FF9C" w14:textId="1E91CA6A" w:rsidR="00AE4CE0" w:rsidRDefault="00AE4CE0" w:rsidP="00AE4CE0">
      <w:pPr>
        <w:spacing w:line="360" w:lineRule="auto"/>
        <w:jc w:val="both"/>
        <w:rPr>
          <w:lang w:val="en-US"/>
        </w:rPr>
      </w:pPr>
      <w:r>
        <w:rPr>
          <w:lang w:val="en-US"/>
        </w:rPr>
        <w:t>As a result, there are four relationships possible, some unequal and some equal. The first is the patronage state. This occurs in countries with low political uncertainty and narrow corporate networks. In these countries there is a selective advantage principle. This means that the state selects which businesses are successful and how they operate. In this relationship, the government has the dominant position over the government</w:t>
      </w:r>
      <w:r w:rsidR="006F7086">
        <w:rPr>
          <w:lang w:val="en-US"/>
        </w:rPr>
        <w:t xml:space="preserve"> (McMenamin &amp; </w:t>
      </w:r>
      <w:proofErr w:type="spellStart"/>
      <w:r w:rsidR="006F7086">
        <w:rPr>
          <w:lang w:val="en-US"/>
        </w:rPr>
        <w:t>Schoenman</w:t>
      </w:r>
      <w:proofErr w:type="spellEnd"/>
      <w:r w:rsidR="006F7086">
        <w:rPr>
          <w:lang w:val="en-US"/>
        </w:rPr>
        <w:t>, 2007).</w:t>
      </w:r>
      <w:r>
        <w:rPr>
          <w:lang w:val="en-US"/>
        </w:rPr>
        <w:t xml:space="preserve"> Secondly, there is the embedded corporatist state. This occurs in countries with low political uncertainty and broad corporate networks. In these states both government and businesses enjoy a strong position and can function in partnership with each other. This means that the relationship is equal between government and corporate networks. This set-up is unlikely to manifest in any of the countries with a competitive election system (</w:t>
      </w:r>
      <w:proofErr w:type="spellStart"/>
      <w:r>
        <w:rPr>
          <w:lang w:val="en-US"/>
        </w:rPr>
        <w:t>Schoenman</w:t>
      </w:r>
      <w:proofErr w:type="spellEnd"/>
      <w:r>
        <w:rPr>
          <w:lang w:val="en-US"/>
        </w:rPr>
        <w:t>, 2014). Thirdly, there is the captured state system. This occurs in countries with high political uncertainty and narrow corporate networks. In this system there is a clear domination of corporate and economic elites over political officials and elite. Politicians are often dependent on private funding and can be pressured to exchange favors for this support. In this relationship, the corporations have the dominant position over the government</w:t>
      </w:r>
      <w:r w:rsidR="006F7086">
        <w:rPr>
          <w:lang w:val="en-US"/>
        </w:rPr>
        <w:t xml:space="preserve"> (McMenamin &amp; </w:t>
      </w:r>
      <w:proofErr w:type="spellStart"/>
      <w:r w:rsidR="006F7086">
        <w:rPr>
          <w:lang w:val="en-US"/>
        </w:rPr>
        <w:t>Schoenman</w:t>
      </w:r>
      <w:proofErr w:type="spellEnd"/>
      <w:r w:rsidR="006F7086">
        <w:rPr>
          <w:lang w:val="en-US"/>
        </w:rPr>
        <w:t xml:space="preserve">, 2007). </w:t>
      </w:r>
      <w:r>
        <w:rPr>
          <w:lang w:val="en-US"/>
        </w:rPr>
        <w:t xml:space="preserve">The last relationship is the concertation state. This occurs when there is high political uncertainty and broad corporate networks. In this system, there is regular cooperation between the state and the business community. The state makes policy that favors business and business provide political parties with financial support. This is a mutual beneficial arrangement, because the state functions as a coordinator. Therefore, the state mediates conflicts of interest and controls the flow of information </w:t>
      </w:r>
      <w:r>
        <w:rPr>
          <w:lang w:val="en-US"/>
        </w:rPr>
        <w:lastRenderedPageBreak/>
        <w:t xml:space="preserve">between parties. Thus, making this relationship equal between the government and corporations (Karo &amp; </w:t>
      </w:r>
      <w:proofErr w:type="spellStart"/>
      <w:r>
        <w:rPr>
          <w:lang w:val="en-US"/>
        </w:rPr>
        <w:t>Looga</w:t>
      </w:r>
      <w:proofErr w:type="spellEnd"/>
      <w:r>
        <w:rPr>
          <w:lang w:val="en-US"/>
        </w:rPr>
        <w:t>, 2016).</w:t>
      </w:r>
    </w:p>
    <w:p w14:paraId="7C5FEA3F" w14:textId="5976A080" w:rsidR="00AE4CE0" w:rsidRDefault="00AE4CE0" w:rsidP="00AE4CE0">
      <w:pPr>
        <w:pStyle w:val="Geenafstand"/>
        <w:spacing w:line="360" w:lineRule="auto"/>
        <w:jc w:val="both"/>
        <w:rPr>
          <w:lang w:val="en-US"/>
        </w:rPr>
      </w:pPr>
      <w:r>
        <w:rPr>
          <w:lang w:val="en-US"/>
        </w:rPr>
        <w:t xml:space="preserve">There is overlap between the VOC framework and SPM. More specifically between the secondary sphere of </w:t>
      </w:r>
      <w:r w:rsidRPr="007164D6">
        <w:rPr>
          <w:i/>
          <w:iCs/>
          <w:lang w:val="en-US"/>
        </w:rPr>
        <w:t>institutional infrastructure</w:t>
      </w:r>
      <w:r>
        <w:rPr>
          <w:lang w:val="en-US"/>
        </w:rPr>
        <w:t>. However, this sphere does not take into account the role of government-led institutions. Therefore, extending this secondary sphere with the theory of SPM would increasing the institutional analytical power of the VOC framework. The presence of institutions is determined by interaction between economic actors and would therefore be shaped on the basis of performance in those specific economic circumstances</w:t>
      </w:r>
      <w:r w:rsidR="006F7086">
        <w:rPr>
          <w:lang w:val="en-US"/>
        </w:rPr>
        <w:t xml:space="preserve"> (Hall &amp; Soskice, 2001).</w:t>
      </w:r>
      <w:r>
        <w:rPr>
          <w:lang w:val="en-US"/>
        </w:rPr>
        <w:t xml:space="preserve"> Thus, economic institutions in LMEs would facilitate flexibility, in CMEs institutions would facilitate coordination and in DMEs institutions would facilitate transnational corporations (</w:t>
      </w:r>
      <w:proofErr w:type="spellStart"/>
      <w:r>
        <w:rPr>
          <w:lang w:val="en-US"/>
        </w:rPr>
        <w:t>Drahokoupil</w:t>
      </w:r>
      <w:proofErr w:type="spellEnd"/>
      <w:r>
        <w:rPr>
          <w:lang w:val="en-US"/>
        </w:rPr>
        <w:t>, 2009). This argument can be made from economic reasoning, but the political argument is missing. Based on SPM, it can be stated that DMEs and to a lesser extent LMEs benefit from the presence of weak institutions as this would increase the influence of the dominant parties. Therefore, if the government could be persuaded to manipulate or neglect the functioning of these institutions this would benefit the large firms present</w:t>
      </w:r>
      <w:r w:rsidR="000E6BC3">
        <w:rPr>
          <w:lang w:val="en-US"/>
        </w:rPr>
        <w:t xml:space="preserve"> (</w:t>
      </w:r>
      <w:proofErr w:type="spellStart"/>
      <w:r w:rsidR="000E6BC3">
        <w:rPr>
          <w:lang w:val="en-US"/>
        </w:rPr>
        <w:t>Szanyi</w:t>
      </w:r>
      <w:proofErr w:type="spellEnd"/>
      <w:r w:rsidR="000E6BC3">
        <w:rPr>
          <w:lang w:val="en-US"/>
        </w:rPr>
        <w:t>, 2019).</w:t>
      </w:r>
      <w:r>
        <w:rPr>
          <w:lang w:val="en-US"/>
        </w:rPr>
        <w:t xml:space="preserve"> In addition, if a government would be instable or poorly functioning this would allow influential corporations to take advantage of the government position in order to force it through economic pressure. The reverse is also possible, if a government is able to extent control over a certain firm and uses it to strengthen their position (Pula, 2018).</w:t>
      </w:r>
    </w:p>
    <w:p w14:paraId="06AA6648" w14:textId="77777777" w:rsidR="00AE4CE0" w:rsidRDefault="00AE4CE0" w:rsidP="00AE4CE0">
      <w:pPr>
        <w:pStyle w:val="Geenafstand"/>
        <w:spacing w:line="360" w:lineRule="auto"/>
        <w:rPr>
          <w:lang w:val="en-US"/>
        </w:rPr>
      </w:pPr>
    </w:p>
    <w:p w14:paraId="52228124" w14:textId="3745FAA6" w:rsidR="00AE4CE0" w:rsidRDefault="00AE4CE0" w:rsidP="00AE4CE0">
      <w:pPr>
        <w:pStyle w:val="Geenafstand"/>
        <w:spacing w:line="360" w:lineRule="auto"/>
        <w:jc w:val="both"/>
        <w:rPr>
          <w:lang w:val="en-US"/>
        </w:rPr>
      </w:pPr>
      <w:r>
        <w:rPr>
          <w:lang w:val="en-US"/>
        </w:rPr>
        <w:t>Next, there is also overlap between the NTA and the VOC framework. This concerns the distribution of relationships in capitalist system and the inter-firm relationships.  This secondary sphere and economic sphere are split from each other because the firms are the central focus. But it is more realistic to combine the two spheres as there is considerable interaction. The presence of market, hierarchical and network ties are greatly influenced by the functioning of the state and are also intertwined. This means that the ties run through both private and public sectors. Therefore, this affects the degree in which relationships are affected by the market, and whether there is a certain type of hierarchy when interacting</w:t>
      </w:r>
      <w:r w:rsidR="000D02C1">
        <w:rPr>
          <w:lang w:val="en-US"/>
        </w:rPr>
        <w:t xml:space="preserve"> (McMenamin &amp; </w:t>
      </w:r>
      <w:proofErr w:type="spellStart"/>
      <w:r w:rsidR="000D02C1">
        <w:rPr>
          <w:lang w:val="en-US"/>
        </w:rPr>
        <w:t>Schoenman</w:t>
      </w:r>
      <w:proofErr w:type="spellEnd"/>
      <w:r w:rsidR="000D02C1">
        <w:rPr>
          <w:lang w:val="en-US"/>
        </w:rPr>
        <w:t>, 2007).</w:t>
      </w:r>
      <w:r>
        <w:rPr>
          <w:lang w:val="en-US"/>
        </w:rPr>
        <w:t xml:space="preserve"> </w:t>
      </w:r>
      <w:r w:rsidR="000D02C1">
        <w:rPr>
          <w:lang w:val="en-US"/>
        </w:rPr>
        <w:t>N</w:t>
      </w:r>
      <w:r>
        <w:rPr>
          <w:lang w:val="en-US"/>
        </w:rPr>
        <w:t>etwork cronyism can create different kinds of network ties within a state. Whether there is a broad corporate network present can have large implications for both the position of the government and the firms. Ties between government officials and firms can also facilitate dealings based on corruption which allow biased decisions in exchange for investment or financial support (</w:t>
      </w:r>
      <w:proofErr w:type="spellStart"/>
      <w:r>
        <w:rPr>
          <w:lang w:val="en-US"/>
        </w:rPr>
        <w:t>Schoenman</w:t>
      </w:r>
      <w:proofErr w:type="spellEnd"/>
      <w:r>
        <w:rPr>
          <w:lang w:val="en-US"/>
        </w:rPr>
        <w:t xml:space="preserve">, 2014). To further strengthen this combination of spheres, it can be complemented with NTA, in order to systematically analyze the entire network of interactions. </w:t>
      </w:r>
    </w:p>
    <w:p w14:paraId="10C129A2" w14:textId="77777777" w:rsidR="00AE4CE0" w:rsidRDefault="00AE4CE0" w:rsidP="00AE4CE0">
      <w:pPr>
        <w:pStyle w:val="Geenafstand"/>
        <w:spacing w:line="360" w:lineRule="auto"/>
        <w:jc w:val="both"/>
        <w:rPr>
          <w:lang w:val="en-US"/>
        </w:rPr>
      </w:pPr>
    </w:p>
    <w:p w14:paraId="5D66E060" w14:textId="77777777" w:rsidR="00AE4CE0" w:rsidRDefault="00AE4CE0" w:rsidP="00AE4CE0">
      <w:pPr>
        <w:pStyle w:val="Geenafstand"/>
        <w:spacing w:line="360" w:lineRule="auto"/>
        <w:jc w:val="both"/>
        <w:rPr>
          <w:lang w:val="en-US"/>
        </w:rPr>
      </w:pPr>
      <w:r>
        <w:rPr>
          <w:lang w:val="en-US"/>
        </w:rPr>
        <w:lastRenderedPageBreak/>
        <w:t xml:space="preserve">The last secondary sphere, the </w:t>
      </w:r>
      <w:r w:rsidRPr="007164D6">
        <w:rPr>
          <w:i/>
          <w:iCs/>
          <w:lang w:val="en-US"/>
        </w:rPr>
        <w:t>context of strategic action</w:t>
      </w:r>
      <w:r>
        <w:rPr>
          <w:lang w:val="en-US"/>
        </w:rPr>
        <w:t xml:space="preserve"> has overlap with both SPM and NTA. This because the national, social and political conditions affect the forming of relationships in an economic system. This can be done by focusing on certain historical events, political aspects or cultural traits of a country. Because it shows in great detail how the practice works in the system of a state (Bohle, 2009). The relationship that firms have with the government is also important for the context. Which can be determined by the dominant parties or whether both act in concertation. This also affects the basis on which firms can operate within a certain country. The sphere as discussed in the VOC framework was more subtle and more culture oriented. While this has its merits, it results in culture being absent from the larger picture. Therefore, the effects of cultural, social and historical event in government functioning show a more representable and measurable view in addition to the VOC framework (</w:t>
      </w:r>
      <w:proofErr w:type="spellStart"/>
      <w:r>
        <w:rPr>
          <w:lang w:val="en-US"/>
        </w:rPr>
        <w:t>Jiyan</w:t>
      </w:r>
      <w:proofErr w:type="spellEnd"/>
      <w:r>
        <w:rPr>
          <w:lang w:val="en-US"/>
        </w:rPr>
        <w:t xml:space="preserve">, 2018). </w:t>
      </w:r>
    </w:p>
    <w:p w14:paraId="4EBAA960" w14:textId="77777777" w:rsidR="00AE4CE0" w:rsidRDefault="00AE4CE0" w:rsidP="00AE4CE0">
      <w:pPr>
        <w:pStyle w:val="Geenafstand"/>
        <w:jc w:val="both"/>
        <w:rPr>
          <w:lang w:val="en-US"/>
        </w:rPr>
      </w:pPr>
    </w:p>
    <w:p w14:paraId="6A00B44B" w14:textId="77777777" w:rsidR="00AE4CE0" w:rsidRDefault="00AE4CE0" w:rsidP="00AE4CE0">
      <w:pPr>
        <w:pStyle w:val="Geenafstand"/>
        <w:spacing w:line="360" w:lineRule="auto"/>
        <w:jc w:val="both"/>
        <w:rPr>
          <w:lang w:val="en-US"/>
        </w:rPr>
      </w:pPr>
      <w:r>
        <w:rPr>
          <w:lang w:val="en-US"/>
        </w:rPr>
        <w:t>By fusing the additions of NTA and SPM to the VOC framework and limiting the economic spheres to just firms, two new spheres can be created. In the renewed VOC framework, the economic sphere now becomes the corporate sphere, which consists of Vocational training and education, corporate governance and industrial &amp; workforce relations. The latter sphere is a combination of the former industrial relations and relations between employees. By incorporating the two, the labor relations as a whole can be addressed in a uniform way. The former secondary spheres become government spheres, primarily focused on institutional relationships alongside firm relationships of the corporate spheres. This means that both corporate and government spheres now hold equal value in this renewed VOC framework. The government spheres consist of state property management, socio-political context and inter-firm &amp; state-firm relations. Here, the last sphere overlaps with the corporate sphere, but this necessary because this network interactions cannot be split from each other in an analysis.  An overview of the spheres in the renewed VOC framework can be seen in table 4.</w:t>
      </w:r>
    </w:p>
    <w:p w14:paraId="2C9F87AE" w14:textId="77777777" w:rsidR="00B15F1A" w:rsidRDefault="00B15F1A" w:rsidP="00AE4CE0">
      <w:pPr>
        <w:pStyle w:val="Bijschrift"/>
        <w:keepNext/>
        <w:rPr>
          <w:sz w:val="22"/>
          <w:szCs w:val="22"/>
          <w:lang w:val="en-US"/>
        </w:rPr>
      </w:pPr>
      <w:bookmarkStart w:id="15" w:name="_Hlk75400044"/>
    </w:p>
    <w:p w14:paraId="38119B15" w14:textId="3973DAD9" w:rsidR="00AE4CE0" w:rsidRPr="004B1DB9" w:rsidRDefault="00AE4CE0" w:rsidP="00AE4CE0">
      <w:pPr>
        <w:pStyle w:val="Bijschrift"/>
        <w:keepNext/>
        <w:rPr>
          <w:sz w:val="22"/>
          <w:szCs w:val="22"/>
          <w:lang w:val="en-US"/>
        </w:rPr>
      </w:pPr>
      <w:r w:rsidRPr="004B1DB9">
        <w:rPr>
          <w:sz w:val="22"/>
          <w:szCs w:val="22"/>
          <w:lang w:val="en-US"/>
        </w:rPr>
        <w:t xml:space="preserve">Table </w:t>
      </w:r>
      <w:r w:rsidR="002F6582">
        <w:rPr>
          <w:sz w:val="22"/>
          <w:szCs w:val="22"/>
          <w:lang w:val="en-US"/>
        </w:rPr>
        <w:t>1.</w:t>
      </w:r>
      <w:r>
        <w:rPr>
          <w:sz w:val="22"/>
          <w:szCs w:val="22"/>
          <w:lang w:val="en-US"/>
        </w:rPr>
        <w:t>5</w:t>
      </w:r>
      <w:r w:rsidRPr="004B1DB9">
        <w:rPr>
          <w:sz w:val="22"/>
          <w:szCs w:val="22"/>
          <w:lang w:val="en-US"/>
        </w:rPr>
        <w:t>: Adaption of the Spheres in the VOC framework</w:t>
      </w:r>
    </w:p>
    <w:tbl>
      <w:tblPr>
        <w:tblStyle w:val="Tabelraster"/>
        <w:tblW w:w="0" w:type="auto"/>
        <w:tblLook w:val="04A0" w:firstRow="1" w:lastRow="0" w:firstColumn="1" w:lastColumn="0" w:noHBand="0" w:noVBand="1"/>
      </w:tblPr>
      <w:tblGrid>
        <w:gridCol w:w="4531"/>
        <w:gridCol w:w="4531"/>
      </w:tblGrid>
      <w:tr w:rsidR="00AE4CE0" w:rsidRPr="0039398B" w14:paraId="1219999D" w14:textId="77777777" w:rsidTr="00E715B4">
        <w:tc>
          <w:tcPr>
            <w:tcW w:w="4531" w:type="dxa"/>
          </w:tcPr>
          <w:bookmarkEnd w:id="15"/>
          <w:p w14:paraId="16773572" w14:textId="77777777" w:rsidR="00AE4CE0" w:rsidRPr="0039398B" w:rsidRDefault="00AE4CE0" w:rsidP="00E715B4">
            <w:pPr>
              <w:pStyle w:val="Geenafstand"/>
              <w:spacing w:line="360" w:lineRule="auto"/>
              <w:jc w:val="both"/>
              <w:rPr>
                <w:b/>
                <w:bCs/>
                <w:lang w:val="en-US"/>
              </w:rPr>
            </w:pPr>
            <w:r>
              <w:rPr>
                <w:b/>
                <w:bCs/>
                <w:lang w:val="en-US"/>
              </w:rPr>
              <w:t>Corporate</w:t>
            </w:r>
            <w:r w:rsidRPr="0039398B">
              <w:rPr>
                <w:b/>
                <w:bCs/>
                <w:lang w:val="en-US"/>
              </w:rPr>
              <w:t xml:space="preserve"> Spheres</w:t>
            </w:r>
          </w:p>
        </w:tc>
        <w:tc>
          <w:tcPr>
            <w:tcW w:w="4531" w:type="dxa"/>
          </w:tcPr>
          <w:p w14:paraId="764A0E75" w14:textId="77777777" w:rsidR="00AE4CE0" w:rsidRPr="0039398B" w:rsidRDefault="00AE4CE0" w:rsidP="00E715B4">
            <w:pPr>
              <w:pStyle w:val="Geenafstand"/>
              <w:spacing w:line="360" w:lineRule="auto"/>
              <w:jc w:val="both"/>
              <w:rPr>
                <w:b/>
                <w:bCs/>
                <w:lang w:val="en-US"/>
              </w:rPr>
            </w:pPr>
            <w:r>
              <w:rPr>
                <w:b/>
                <w:bCs/>
                <w:lang w:val="en-US"/>
              </w:rPr>
              <w:t xml:space="preserve">Government </w:t>
            </w:r>
            <w:r w:rsidRPr="0039398B">
              <w:rPr>
                <w:b/>
                <w:bCs/>
                <w:lang w:val="en-US"/>
              </w:rPr>
              <w:t>spheres</w:t>
            </w:r>
          </w:p>
        </w:tc>
      </w:tr>
      <w:tr w:rsidR="00AE4CE0" w14:paraId="0DDAD964" w14:textId="77777777" w:rsidTr="00E715B4">
        <w:tc>
          <w:tcPr>
            <w:tcW w:w="4531" w:type="dxa"/>
          </w:tcPr>
          <w:p w14:paraId="7B26E04B" w14:textId="77777777" w:rsidR="00AE4CE0" w:rsidRDefault="00AE4CE0" w:rsidP="00E715B4">
            <w:pPr>
              <w:pStyle w:val="Geenafstand"/>
              <w:spacing w:line="360" w:lineRule="auto"/>
              <w:jc w:val="both"/>
              <w:rPr>
                <w:lang w:val="en-US"/>
              </w:rPr>
            </w:pPr>
            <w:r>
              <w:rPr>
                <w:lang w:val="en-US"/>
              </w:rPr>
              <w:t>Industrial &amp; workforce relations</w:t>
            </w:r>
          </w:p>
        </w:tc>
        <w:tc>
          <w:tcPr>
            <w:tcW w:w="4531" w:type="dxa"/>
          </w:tcPr>
          <w:p w14:paraId="1D77894C" w14:textId="77777777" w:rsidR="00AE4CE0" w:rsidRDefault="00AE4CE0" w:rsidP="00E715B4">
            <w:pPr>
              <w:pStyle w:val="Geenafstand"/>
              <w:spacing w:line="360" w:lineRule="auto"/>
              <w:jc w:val="both"/>
              <w:rPr>
                <w:lang w:val="en-US"/>
              </w:rPr>
            </w:pPr>
            <w:r>
              <w:rPr>
                <w:lang w:val="en-US"/>
              </w:rPr>
              <w:t>State property management</w:t>
            </w:r>
          </w:p>
        </w:tc>
      </w:tr>
      <w:tr w:rsidR="00AE4CE0" w14:paraId="0ECB70BC" w14:textId="77777777" w:rsidTr="00E715B4">
        <w:tc>
          <w:tcPr>
            <w:tcW w:w="4531" w:type="dxa"/>
          </w:tcPr>
          <w:p w14:paraId="1FD28E52" w14:textId="77777777" w:rsidR="00AE4CE0" w:rsidRDefault="00AE4CE0" w:rsidP="00E715B4">
            <w:pPr>
              <w:pStyle w:val="Geenafstand"/>
              <w:spacing w:line="360" w:lineRule="auto"/>
              <w:jc w:val="both"/>
              <w:rPr>
                <w:lang w:val="en-US"/>
              </w:rPr>
            </w:pPr>
            <w:r>
              <w:rPr>
                <w:lang w:val="en-US"/>
              </w:rPr>
              <w:t>Vocational training and education</w:t>
            </w:r>
          </w:p>
        </w:tc>
        <w:tc>
          <w:tcPr>
            <w:tcW w:w="4531" w:type="dxa"/>
          </w:tcPr>
          <w:p w14:paraId="6BAAB415" w14:textId="77777777" w:rsidR="00AE4CE0" w:rsidRDefault="00AE4CE0" w:rsidP="00E715B4">
            <w:pPr>
              <w:pStyle w:val="Geenafstand"/>
              <w:spacing w:line="360" w:lineRule="auto"/>
              <w:jc w:val="both"/>
              <w:rPr>
                <w:lang w:val="en-US"/>
              </w:rPr>
            </w:pPr>
            <w:r>
              <w:rPr>
                <w:lang w:val="en-US"/>
              </w:rPr>
              <w:t>Socio-political context</w:t>
            </w:r>
          </w:p>
        </w:tc>
      </w:tr>
      <w:tr w:rsidR="00AE4CE0" w:rsidRPr="006234E4" w14:paraId="698760D5" w14:textId="77777777" w:rsidTr="00E715B4">
        <w:tc>
          <w:tcPr>
            <w:tcW w:w="4531" w:type="dxa"/>
          </w:tcPr>
          <w:p w14:paraId="2DB08D60" w14:textId="77777777" w:rsidR="00AE4CE0" w:rsidRDefault="00AE4CE0" w:rsidP="00E715B4">
            <w:pPr>
              <w:pStyle w:val="Geenafstand"/>
              <w:spacing w:line="360" w:lineRule="auto"/>
              <w:jc w:val="both"/>
              <w:rPr>
                <w:lang w:val="en-US"/>
              </w:rPr>
            </w:pPr>
            <w:r>
              <w:rPr>
                <w:lang w:val="en-US"/>
              </w:rPr>
              <w:t>Corporate governance</w:t>
            </w:r>
          </w:p>
        </w:tc>
        <w:tc>
          <w:tcPr>
            <w:tcW w:w="4531" w:type="dxa"/>
          </w:tcPr>
          <w:p w14:paraId="692C74BD" w14:textId="77777777" w:rsidR="00AE4CE0" w:rsidRDefault="00AE4CE0" w:rsidP="00E715B4">
            <w:pPr>
              <w:pStyle w:val="Geenafstand"/>
              <w:keepNext/>
              <w:spacing w:line="360" w:lineRule="auto"/>
              <w:jc w:val="both"/>
              <w:rPr>
                <w:lang w:val="en-US"/>
              </w:rPr>
            </w:pPr>
            <w:r>
              <w:rPr>
                <w:lang w:val="en-US"/>
              </w:rPr>
              <w:t>Inter-firm &amp; state-firm relations</w:t>
            </w:r>
          </w:p>
        </w:tc>
      </w:tr>
    </w:tbl>
    <w:p w14:paraId="099AB3FC" w14:textId="77777777" w:rsidR="00AE4CE0" w:rsidRPr="004B1DB9" w:rsidRDefault="00AE4CE0" w:rsidP="00AE4CE0">
      <w:pPr>
        <w:pStyle w:val="Bijschrift"/>
        <w:rPr>
          <w:sz w:val="22"/>
          <w:szCs w:val="22"/>
          <w:lang w:val="en-US"/>
        </w:rPr>
      </w:pPr>
      <w:r w:rsidRPr="004B1DB9">
        <w:rPr>
          <w:sz w:val="22"/>
          <w:szCs w:val="22"/>
          <w:lang w:val="en-US"/>
        </w:rPr>
        <w:t xml:space="preserve"> Sources: Hall &amp; Soskice, 2001; </w:t>
      </w:r>
      <w:proofErr w:type="spellStart"/>
      <w:r w:rsidRPr="004B1DB9">
        <w:rPr>
          <w:sz w:val="22"/>
          <w:szCs w:val="22"/>
          <w:lang w:val="en-US"/>
        </w:rPr>
        <w:t>Schoenman</w:t>
      </w:r>
      <w:proofErr w:type="spellEnd"/>
      <w:r w:rsidRPr="004B1DB9">
        <w:rPr>
          <w:sz w:val="22"/>
          <w:szCs w:val="22"/>
          <w:lang w:val="en-US"/>
        </w:rPr>
        <w:t xml:space="preserve">, 2014; </w:t>
      </w:r>
      <w:proofErr w:type="spellStart"/>
      <w:r w:rsidRPr="004B1DB9">
        <w:rPr>
          <w:sz w:val="22"/>
          <w:szCs w:val="22"/>
          <w:lang w:val="en-US"/>
        </w:rPr>
        <w:t>Szanyi</w:t>
      </w:r>
      <w:proofErr w:type="spellEnd"/>
      <w:r w:rsidRPr="004B1DB9">
        <w:rPr>
          <w:sz w:val="22"/>
          <w:szCs w:val="22"/>
          <w:lang w:val="en-US"/>
        </w:rPr>
        <w:t>, 2019.</w:t>
      </w:r>
    </w:p>
    <w:p w14:paraId="0EF76D8B" w14:textId="77777777" w:rsidR="00AE4CE0" w:rsidRDefault="00AE4CE0" w:rsidP="00AE4CE0">
      <w:pPr>
        <w:pStyle w:val="Geenafstand"/>
        <w:spacing w:line="360" w:lineRule="auto"/>
        <w:jc w:val="both"/>
        <w:rPr>
          <w:lang w:val="en-US"/>
        </w:rPr>
      </w:pPr>
    </w:p>
    <w:p w14:paraId="45321A4E" w14:textId="6BD0EB7D" w:rsidR="00AE4CE0" w:rsidRPr="0003624B" w:rsidRDefault="00AE4CE0" w:rsidP="00AE4CE0">
      <w:pPr>
        <w:pStyle w:val="Geenafstand"/>
        <w:spacing w:line="360" w:lineRule="auto"/>
        <w:jc w:val="both"/>
        <w:rPr>
          <w:lang w:val="en-US"/>
        </w:rPr>
      </w:pPr>
      <w:r w:rsidRPr="0003624B">
        <w:rPr>
          <w:lang w:val="en-US"/>
        </w:rPr>
        <w:t xml:space="preserve">The above spheres can also attribute to institutional complementarities, which is the increased efficiency as a result of a focus on a specific element of an economic system. </w:t>
      </w:r>
      <w:r>
        <w:rPr>
          <w:lang w:val="en-US"/>
        </w:rPr>
        <w:t xml:space="preserve">By focusing on both the </w:t>
      </w:r>
      <w:r>
        <w:rPr>
          <w:lang w:val="en-US"/>
        </w:rPr>
        <w:lastRenderedPageBreak/>
        <w:t>institutional and the corporate relationships, these complementarities become even more pronounced</w:t>
      </w:r>
      <w:r w:rsidR="00B15F1A">
        <w:rPr>
          <w:lang w:val="en-US"/>
        </w:rPr>
        <w:t xml:space="preserve"> (Pula, 2018).</w:t>
      </w:r>
      <w:r>
        <w:rPr>
          <w:lang w:val="en-US"/>
        </w:rPr>
        <w:t xml:space="preserve"> </w:t>
      </w:r>
      <w:r w:rsidRPr="0003624B">
        <w:rPr>
          <w:lang w:val="en-US"/>
        </w:rPr>
        <w:t>This can work in</w:t>
      </w:r>
      <w:r>
        <w:rPr>
          <w:lang w:val="en-US"/>
        </w:rPr>
        <w:t xml:space="preserve"> a variety of</w:t>
      </w:r>
      <w:r w:rsidRPr="0003624B">
        <w:rPr>
          <w:lang w:val="en-US"/>
        </w:rPr>
        <w:t xml:space="preserve"> ways. For example, in DMEs the </w:t>
      </w:r>
      <w:r>
        <w:rPr>
          <w:lang w:val="en-US"/>
        </w:rPr>
        <w:t>transnational corporations</w:t>
      </w:r>
      <w:r w:rsidRPr="0003624B">
        <w:rPr>
          <w:lang w:val="en-US"/>
        </w:rPr>
        <w:t xml:space="preserve"> present will seek to get a privileged position in order for their investment in those specific countries. Network ties have shown that this could work both to the benefit and detriment of the government</w:t>
      </w:r>
      <w:r>
        <w:rPr>
          <w:lang w:val="en-US"/>
        </w:rPr>
        <w:t xml:space="preserve"> (Ban, 2013).</w:t>
      </w:r>
      <w:r w:rsidRPr="0003624B">
        <w:rPr>
          <w:lang w:val="en-US"/>
        </w:rPr>
        <w:t xml:space="preserve"> As the nature of these ties could be mutually beneficial or a result of TNC dominance over government actions. The favor is in both cases towards the TNC, but whether the state as whole profits from this arrangement is not always clear. Therefore, it adds an additional critical view on whether such an institutional complementarity is desirable as the VOC framework makes it out to be. As the trade-off could be worse in the larger picture. What is also notable is that this shows the interdependence between</w:t>
      </w:r>
      <w:r>
        <w:rPr>
          <w:lang w:val="en-US"/>
        </w:rPr>
        <w:t xml:space="preserve"> a</w:t>
      </w:r>
      <w:r w:rsidRPr="0003624B">
        <w:rPr>
          <w:lang w:val="en-US"/>
        </w:rPr>
        <w:t xml:space="preserve"> TNC and the government</w:t>
      </w:r>
      <w:r>
        <w:rPr>
          <w:lang w:val="en-US"/>
        </w:rPr>
        <w:t xml:space="preserve"> (Appel, 2004).</w:t>
      </w:r>
    </w:p>
    <w:p w14:paraId="2E27EDA4" w14:textId="77777777" w:rsidR="00AE4CE0" w:rsidRDefault="00AE4CE0" w:rsidP="00AE4CE0">
      <w:pPr>
        <w:pStyle w:val="Geenafstand"/>
        <w:rPr>
          <w:lang w:val="en-US"/>
        </w:rPr>
      </w:pPr>
    </w:p>
    <w:p w14:paraId="4CD4751C" w14:textId="3BEB6436" w:rsidR="00AE4CE0" w:rsidRDefault="00AE4CE0" w:rsidP="00AE4CE0">
      <w:pPr>
        <w:spacing w:line="360" w:lineRule="auto"/>
        <w:jc w:val="both"/>
        <w:rPr>
          <w:lang w:val="en-US"/>
        </w:rPr>
      </w:pPr>
      <w:r>
        <w:rPr>
          <w:lang w:val="en-US"/>
        </w:rPr>
        <w:t>The proposed additions to the VOC framework are mainly aimed at the first point of criticism, namely that the approach is too firm-centric. As established above, the interaction between state and corporate institutions are often so interlinked, that is hard to separate the two instances. Instead, it would be more appropriate if each of the government spheres has its own delineation on what it should entail (</w:t>
      </w:r>
      <w:proofErr w:type="spellStart"/>
      <w:r>
        <w:rPr>
          <w:lang w:val="en-US"/>
        </w:rPr>
        <w:t>Szanyi</w:t>
      </w:r>
      <w:proofErr w:type="spellEnd"/>
      <w:r>
        <w:rPr>
          <w:lang w:val="en-US"/>
        </w:rPr>
        <w:t>, 2019). This way, each of the explanatory spheres could become more similar to an evaluation of certain elements. Something that is already present the in the VOC approach, but the explanatory nature focusses more on the greater picture. Therefore, each of these elements get analyzed together in a large context, while the individual context and elements are just as important</w:t>
      </w:r>
      <w:r w:rsidR="00B15F1A">
        <w:rPr>
          <w:lang w:val="en-US"/>
        </w:rPr>
        <w:t xml:space="preserve"> (Peck, 2013). </w:t>
      </w:r>
      <w:r>
        <w:rPr>
          <w:lang w:val="en-US"/>
        </w:rPr>
        <w:t xml:space="preserve">A clear classification on what each element and sphere should entail could work to the benefit of the explanatory power of the VOC framework. This is because an analysis on two scales could be realized, one on the implicit workings of each separate element in a country, and one on the overarching economic picture when taking everything together. </w:t>
      </w:r>
    </w:p>
    <w:p w14:paraId="0D9D866C" w14:textId="77777777" w:rsidR="00AE4CE0" w:rsidRDefault="00AE4CE0" w:rsidP="00AE4CE0">
      <w:pPr>
        <w:spacing w:line="360" w:lineRule="auto"/>
        <w:jc w:val="both"/>
        <w:rPr>
          <w:lang w:val="en-US"/>
        </w:rPr>
      </w:pPr>
      <w:r>
        <w:rPr>
          <w:lang w:val="en-US"/>
        </w:rPr>
        <w:t xml:space="preserve">This can also be used with regard to the second criticism, which is that the VOC framework would be too bloated and inclusive for clear conclusions. A clear structure on what each part of the framework should analyze can serve as a counter to this criticism. As this could allow for a revision of the VOC approach to make it more specific and less catch-all (Peck, 2013). This could even translate to a multitude of approaches with each a specific focus that could be taken together for the larger picture. It would also result in a framework where every discussed facet is maintained throughout the analysis. Current criticism focusses on parts of the approach being left behind if they are not impactful enough. An example would be certain social or cultural elements. This can be used as response to the last criticism, as the shallow application of the VOC framework to multiple countries could be strengthened. The western-oriented foundation of the capitalist systems would be less applicable and reproducible in different contexts (Bohle, 2018). As a result, these contexts in both the state and corporate structures can become more easily assessable. This would make the western bias of the </w:t>
      </w:r>
      <w:r>
        <w:rPr>
          <w:lang w:val="en-US"/>
        </w:rPr>
        <w:lastRenderedPageBreak/>
        <w:t>theory less of an obstacle when using the VOC approach in other parts of the world. In the end, this would only aid the usefulness of the VOC framework.</w:t>
      </w:r>
    </w:p>
    <w:p w14:paraId="6F3A8924" w14:textId="4F52D16E" w:rsidR="00AE4CE0" w:rsidRDefault="00AE4CE0" w:rsidP="00AE4CE0">
      <w:pPr>
        <w:pStyle w:val="Kop2"/>
        <w:numPr>
          <w:ilvl w:val="1"/>
          <w:numId w:val="1"/>
        </w:numPr>
        <w:rPr>
          <w:lang w:val="en-US"/>
        </w:rPr>
      </w:pPr>
      <w:bookmarkStart w:id="16" w:name="_Toc75401334"/>
      <w:r>
        <w:rPr>
          <w:lang w:val="en-US"/>
        </w:rPr>
        <w:t xml:space="preserve">Causal </w:t>
      </w:r>
      <w:r w:rsidR="000E0335">
        <w:rPr>
          <w:lang w:val="en-US"/>
        </w:rPr>
        <w:t>M</w:t>
      </w:r>
      <w:r>
        <w:rPr>
          <w:lang w:val="en-US"/>
        </w:rPr>
        <w:t xml:space="preserve">echanisms of the </w:t>
      </w:r>
      <w:r w:rsidR="000E0335">
        <w:rPr>
          <w:lang w:val="en-US"/>
        </w:rPr>
        <w:t>R</w:t>
      </w:r>
      <w:r>
        <w:rPr>
          <w:lang w:val="en-US"/>
        </w:rPr>
        <w:t xml:space="preserve">enewed Varieties of Capitalism </w:t>
      </w:r>
      <w:r w:rsidR="000E0335">
        <w:rPr>
          <w:lang w:val="en-US"/>
        </w:rPr>
        <w:t>F</w:t>
      </w:r>
      <w:r>
        <w:rPr>
          <w:lang w:val="en-US"/>
        </w:rPr>
        <w:t>ramework</w:t>
      </w:r>
      <w:bookmarkEnd w:id="16"/>
    </w:p>
    <w:p w14:paraId="33AC14DA" w14:textId="77777777" w:rsidR="00AE4CE0" w:rsidRDefault="00AE4CE0" w:rsidP="00AE4CE0">
      <w:pPr>
        <w:pStyle w:val="Geenafstand"/>
        <w:rPr>
          <w:lang w:val="en-US"/>
        </w:rPr>
      </w:pPr>
    </w:p>
    <w:p w14:paraId="6BA8C2E3" w14:textId="06D7537B" w:rsidR="00AE4CE0" w:rsidRDefault="00AE4CE0" w:rsidP="00AE4CE0">
      <w:pPr>
        <w:spacing w:line="360" w:lineRule="auto"/>
        <w:jc w:val="both"/>
        <w:rPr>
          <w:lang w:val="en-US"/>
        </w:rPr>
      </w:pPr>
      <w:r>
        <w:rPr>
          <w:lang w:val="en-US"/>
        </w:rPr>
        <w:t>By choosing to look at both the role of corporations and the role of institutions, an economic system within a country can be more thoroughly analyzed through the VOC framework.  This framework is built around the notion that a certain economic capitalist system can result in a comparative advantage over other nations. This is often the result of an institutional complementarity between the instructions and networks within a certain country. The original VOC framework has shown extensively how interaction between several economic spheres allows for specialization</w:t>
      </w:r>
      <w:r w:rsidR="00E2108E">
        <w:rPr>
          <w:lang w:val="en-US"/>
        </w:rPr>
        <w:t xml:space="preserve"> (Hall &amp; Soskice, 2001).</w:t>
      </w:r>
      <w:r>
        <w:rPr>
          <w:lang w:val="en-US"/>
        </w:rPr>
        <w:t xml:space="preserve"> This specialization and focus allow for additional returns and efficiency. This makes the present economic system more beneficial and therefore more valuable to maintain. These complementarities also create interdependencies across these spheres</w:t>
      </w:r>
      <w:r w:rsidR="00E2108E">
        <w:rPr>
          <w:lang w:val="en-US"/>
        </w:rPr>
        <w:t xml:space="preserve"> (Bohle, 2018). </w:t>
      </w:r>
      <w:r>
        <w:rPr>
          <w:lang w:val="en-US"/>
        </w:rPr>
        <w:t xml:space="preserve">The arguments from an economic corporate viewpoint are clear. However, this also ties in to criticism of the VOC framework. Because this firm-centric approach neglects other explanations for the presence of institutional complementarities. </w:t>
      </w:r>
    </w:p>
    <w:p w14:paraId="44497A8C" w14:textId="44D2713C" w:rsidR="00AE4CE0" w:rsidRDefault="00AE4CE0" w:rsidP="00AE4CE0">
      <w:pPr>
        <w:spacing w:line="360" w:lineRule="auto"/>
        <w:jc w:val="both"/>
        <w:rPr>
          <w:lang w:val="en-US"/>
        </w:rPr>
      </w:pPr>
      <w:r>
        <w:rPr>
          <w:lang w:val="en-US"/>
        </w:rPr>
        <w:t>This where a more state-centric approach comes in. The argument here is that there are also state government spheres that also attribute to the presence of institutional complementarities. However, the outlook is not as positive as it is from a solely economic perspective. Each element addressed by the government spheres can show the interdependence between the state government and the economic system</w:t>
      </w:r>
      <w:r w:rsidR="00E2108E">
        <w:rPr>
          <w:lang w:val="en-US"/>
        </w:rPr>
        <w:t xml:space="preserve"> (</w:t>
      </w:r>
      <w:proofErr w:type="spellStart"/>
      <w:r w:rsidR="00E2108E">
        <w:rPr>
          <w:lang w:val="en-US"/>
        </w:rPr>
        <w:t>Schoenman</w:t>
      </w:r>
      <w:proofErr w:type="spellEnd"/>
      <w:r w:rsidR="00E2108E">
        <w:rPr>
          <w:lang w:val="en-US"/>
        </w:rPr>
        <w:t>, 2014).</w:t>
      </w:r>
      <w:r>
        <w:rPr>
          <w:lang w:val="en-US"/>
        </w:rPr>
        <w:t xml:space="preserve"> This means that there are political, social and economic interests that need to be taken into account. These interests can be analyzed by means of the government spheres. This results in the expectation that inclusion of the role of the state to the VOC framework will result in even bigger institutional complementarities in an economic system. The interdependence between the state and the economic system will create bigger efficiency and specialization benefits, but will come at a cost. Namely, that it will result in a set of social and economic problems, such as corruption, cronyism and reduced independence. All of these will also affect institutional complementarities in a country</w:t>
      </w:r>
      <w:r w:rsidR="00E2108E">
        <w:rPr>
          <w:lang w:val="en-US"/>
        </w:rPr>
        <w:t xml:space="preserve"> (</w:t>
      </w:r>
      <w:proofErr w:type="spellStart"/>
      <w:r w:rsidR="00E2108E">
        <w:rPr>
          <w:lang w:val="en-US"/>
        </w:rPr>
        <w:t>Szanyi</w:t>
      </w:r>
      <w:proofErr w:type="spellEnd"/>
      <w:r w:rsidR="00E2108E">
        <w:rPr>
          <w:lang w:val="en-US"/>
        </w:rPr>
        <w:t>, 2019).</w:t>
      </w:r>
      <w:r>
        <w:rPr>
          <w:lang w:val="en-US"/>
        </w:rPr>
        <w:t xml:space="preserve"> As a result of this renewed research framework, it now becomes possible to create expectations for each of the six spheres in the framework below. These each have to do with creating optimal situations for economic development during an economic transition, and thus also larger institutional complementarities by extension.</w:t>
      </w:r>
    </w:p>
    <w:p w14:paraId="51EF1EE8" w14:textId="693DEE17" w:rsidR="00AE4CE0" w:rsidRPr="00CA65F1" w:rsidRDefault="00AE4CE0" w:rsidP="00AE4CE0">
      <w:pPr>
        <w:pStyle w:val="Bijschrift"/>
        <w:keepNext/>
        <w:jc w:val="both"/>
        <w:rPr>
          <w:sz w:val="24"/>
          <w:szCs w:val="24"/>
          <w:lang w:val="en-US"/>
        </w:rPr>
      </w:pPr>
      <w:bookmarkStart w:id="17" w:name="_Hlk75400055"/>
      <w:r w:rsidRPr="00CA65F1">
        <w:rPr>
          <w:sz w:val="24"/>
          <w:szCs w:val="24"/>
          <w:lang w:val="en-US"/>
        </w:rPr>
        <w:lastRenderedPageBreak/>
        <w:t>Figure 1</w:t>
      </w:r>
      <w:r w:rsidR="002F6582">
        <w:rPr>
          <w:sz w:val="24"/>
          <w:szCs w:val="24"/>
          <w:lang w:val="en-US"/>
        </w:rPr>
        <w:t>.1</w:t>
      </w:r>
      <w:r w:rsidRPr="00CA65F1">
        <w:rPr>
          <w:sz w:val="24"/>
          <w:szCs w:val="24"/>
          <w:lang w:val="en-US"/>
        </w:rPr>
        <w:t>: Research framework for institutional complementarity</w:t>
      </w:r>
    </w:p>
    <w:bookmarkEnd w:id="17"/>
    <w:p w14:paraId="5D818026" w14:textId="77777777" w:rsidR="00AE4CE0" w:rsidRDefault="00AE4CE0" w:rsidP="00AE4CE0">
      <w:pPr>
        <w:keepNext/>
        <w:spacing w:line="360" w:lineRule="auto"/>
        <w:jc w:val="both"/>
      </w:pPr>
      <w:r>
        <w:rPr>
          <w:noProof/>
          <w:lang w:val="en-US"/>
        </w:rPr>
        <w:drawing>
          <wp:inline distT="0" distB="0" distL="0" distR="0" wp14:anchorId="736B8DE5" wp14:editId="002F79EA">
            <wp:extent cx="5760720" cy="2792730"/>
            <wp:effectExtent l="0" t="0" r="0" b="762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2"/>
                    <pic:cNvPicPr/>
                  </pic:nvPicPr>
                  <pic:blipFill>
                    <a:blip r:embed="rId9">
                      <a:extLst>
                        <a:ext uri="{28A0092B-C50C-407E-A947-70E740481C1C}">
                          <a14:useLocalDpi xmlns:a14="http://schemas.microsoft.com/office/drawing/2010/main" val="0"/>
                        </a:ext>
                      </a:extLst>
                    </a:blip>
                    <a:stretch>
                      <a:fillRect/>
                    </a:stretch>
                  </pic:blipFill>
                  <pic:spPr>
                    <a:xfrm>
                      <a:off x="0" y="0"/>
                      <a:ext cx="5760720" cy="2792730"/>
                    </a:xfrm>
                    <a:prstGeom prst="rect">
                      <a:avLst/>
                    </a:prstGeom>
                  </pic:spPr>
                </pic:pic>
              </a:graphicData>
            </a:graphic>
          </wp:inline>
        </w:drawing>
      </w:r>
    </w:p>
    <w:p w14:paraId="4C1E11CA" w14:textId="77777777" w:rsidR="00AE4CE0" w:rsidRPr="004458FF" w:rsidRDefault="00AE4CE0" w:rsidP="00AE4CE0">
      <w:pPr>
        <w:pStyle w:val="Bijschrift"/>
        <w:jc w:val="both"/>
        <w:rPr>
          <w:sz w:val="22"/>
          <w:szCs w:val="22"/>
          <w:lang w:val="en-US"/>
        </w:rPr>
      </w:pPr>
      <w:r w:rsidRPr="004458FF">
        <w:rPr>
          <w:sz w:val="22"/>
          <w:szCs w:val="22"/>
          <w:lang w:val="en-US"/>
        </w:rPr>
        <w:t xml:space="preserve">Sources: Hall &amp; Soskice, 2001; </w:t>
      </w:r>
      <w:proofErr w:type="spellStart"/>
      <w:r w:rsidRPr="004458FF">
        <w:rPr>
          <w:sz w:val="22"/>
          <w:szCs w:val="22"/>
          <w:lang w:val="en-US"/>
        </w:rPr>
        <w:t>Schoenman</w:t>
      </w:r>
      <w:proofErr w:type="spellEnd"/>
      <w:r w:rsidRPr="004458FF">
        <w:rPr>
          <w:sz w:val="22"/>
          <w:szCs w:val="22"/>
          <w:lang w:val="en-US"/>
        </w:rPr>
        <w:t xml:space="preserve">, 2014; </w:t>
      </w:r>
      <w:proofErr w:type="spellStart"/>
      <w:r w:rsidRPr="004458FF">
        <w:rPr>
          <w:sz w:val="22"/>
          <w:szCs w:val="22"/>
          <w:lang w:val="en-US"/>
        </w:rPr>
        <w:t>Szanyi</w:t>
      </w:r>
      <w:proofErr w:type="spellEnd"/>
      <w:r w:rsidRPr="004458FF">
        <w:rPr>
          <w:sz w:val="22"/>
          <w:szCs w:val="22"/>
          <w:lang w:val="en-US"/>
        </w:rPr>
        <w:t>, 2019.</w:t>
      </w:r>
    </w:p>
    <w:p w14:paraId="389D4002" w14:textId="17D91070" w:rsidR="00AE4CE0" w:rsidRDefault="00AE4CE0" w:rsidP="00AE4CE0">
      <w:pPr>
        <w:spacing w:line="360" w:lineRule="auto"/>
        <w:jc w:val="both"/>
        <w:rPr>
          <w:lang w:val="en-US"/>
        </w:rPr>
      </w:pPr>
      <w:r w:rsidRPr="00613337">
        <w:rPr>
          <w:lang w:val="en-US"/>
        </w:rPr>
        <w:t>The first expectation is based on the notion of asymmetrical labor relations. Asymmetry in these relations allows for more efficient functioning of sectors, as the dominant party is better suited to act in the most beneficial way, leading to a better economic performance overall</w:t>
      </w:r>
      <w:r w:rsidR="00E2108E">
        <w:rPr>
          <w:lang w:val="en-US"/>
        </w:rPr>
        <w:t xml:space="preserve"> (</w:t>
      </w:r>
      <w:proofErr w:type="spellStart"/>
      <w:r w:rsidR="00E2108E">
        <w:rPr>
          <w:lang w:val="en-US"/>
        </w:rPr>
        <w:t>Schoenman</w:t>
      </w:r>
      <w:proofErr w:type="spellEnd"/>
      <w:r w:rsidR="00E2108E">
        <w:rPr>
          <w:lang w:val="en-US"/>
        </w:rPr>
        <w:t>, 2014).</w:t>
      </w:r>
      <w:r w:rsidRPr="00613337">
        <w:rPr>
          <w:lang w:val="en-US"/>
        </w:rPr>
        <w:t xml:space="preserve"> </w:t>
      </w:r>
      <w:r>
        <w:rPr>
          <w:lang w:val="en-US"/>
        </w:rPr>
        <w:t xml:space="preserve">In these asymmetric relations, the power is skewed towards the employer who can shape the labor relations without being constrained by a lot of requirements or </w:t>
      </w:r>
      <w:r w:rsidR="00E2108E">
        <w:rPr>
          <w:lang w:val="en-US"/>
        </w:rPr>
        <w:t>workers’</w:t>
      </w:r>
      <w:r>
        <w:rPr>
          <w:lang w:val="en-US"/>
        </w:rPr>
        <w:t xml:space="preserve"> rights that limit their autonomy. While this can be detrimental for the quality of workplace standards, the increased ability of firms to adapt during a</w:t>
      </w:r>
      <w:r w:rsidR="00E2108E">
        <w:rPr>
          <w:lang w:val="en-US"/>
        </w:rPr>
        <w:t>n</w:t>
      </w:r>
      <w:r>
        <w:rPr>
          <w:lang w:val="en-US"/>
        </w:rPr>
        <w:t xml:space="preserve"> economic transition will then result in a larger potential for economic development</w:t>
      </w:r>
      <w:r w:rsidR="00E2108E">
        <w:rPr>
          <w:lang w:val="en-US"/>
        </w:rPr>
        <w:t xml:space="preserve"> (McMenamin &amp; </w:t>
      </w:r>
      <w:proofErr w:type="spellStart"/>
      <w:r w:rsidR="00E2108E">
        <w:rPr>
          <w:lang w:val="en-US"/>
        </w:rPr>
        <w:t>Schoenman</w:t>
      </w:r>
      <w:proofErr w:type="spellEnd"/>
      <w:r w:rsidR="00E2108E">
        <w:rPr>
          <w:lang w:val="en-US"/>
        </w:rPr>
        <w:t>, 2007).</w:t>
      </w:r>
      <w:r>
        <w:rPr>
          <w:lang w:val="en-US"/>
        </w:rPr>
        <w:t xml:space="preserve"> This expectation results in the following hypothesis:</w:t>
      </w:r>
    </w:p>
    <w:p w14:paraId="03AD6D77" w14:textId="77777777" w:rsidR="00AE4CE0" w:rsidRDefault="00AE4CE0" w:rsidP="00AE4CE0">
      <w:pPr>
        <w:spacing w:line="360" w:lineRule="auto"/>
        <w:jc w:val="both"/>
        <w:rPr>
          <w:i/>
          <w:iCs/>
          <w:lang w:val="en-US"/>
        </w:rPr>
      </w:pPr>
      <w:r>
        <w:rPr>
          <w:i/>
          <w:iCs/>
          <w:lang w:val="en-US"/>
        </w:rPr>
        <w:t>H1: Economic development is higher if industry &amp; workforce relations are more asymmetrical and thus allow for more potent utility maximalization</w:t>
      </w:r>
    </w:p>
    <w:p w14:paraId="2F4D0E73" w14:textId="3A2B76C1" w:rsidR="00AE4CE0" w:rsidRPr="00613337" w:rsidRDefault="00AE4CE0" w:rsidP="00AE4CE0">
      <w:pPr>
        <w:spacing w:line="360" w:lineRule="auto"/>
        <w:jc w:val="both"/>
        <w:rPr>
          <w:lang w:val="en-US"/>
        </w:rPr>
      </w:pPr>
      <w:r>
        <w:rPr>
          <w:lang w:val="en-US"/>
        </w:rPr>
        <w:t>The second expectation has to do with the historical character of corporate structure. A more traditional structure is more resistant to reforms and other changes that are implemented during an economic transition</w:t>
      </w:r>
      <w:r w:rsidR="00E2108E">
        <w:rPr>
          <w:lang w:val="en-US"/>
        </w:rPr>
        <w:t xml:space="preserve"> (</w:t>
      </w:r>
      <w:proofErr w:type="spellStart"/>
      <w:r w:rsidR="00E2108E">
        <w:rPr>
          <w:lang w:val="en-US"/>
        </w:rPr>
        <w:t>Szanyi</w:t>
      </w:r>
      <w:proofErr w:type="spellEnd"/>
      <w:r w:rsidR="00E2108E">
        <w:rPr>
          <w:lang w:val="en-US"/>
        </w:rPr>
        <w:t xml:space="preserve">, 2019). </w:t>
      </w:r>
      <w:r>
        <w:rPr>
          <w:lang w:val="en-US"/>
        </w:rPr>
        <w:t>This resistance will then result in firms that function more according to the traditional ways, instead of adapting to the new standards during the economic transition. As a result, stagnation may hamper economic development, which could then lead to two kinds of firms. These are the firms that adapt to the new economic systems, and those who stay behind</w:t>
      </w:r>
      <w:r w:rsidR="00E2108E">
        <w:rPr>
          <w:lang w:val="en-US"/>
        </w:rPr>
        <w:t xml:space="preserve"> (Paraskevopoulos, 2001). </w:t>
      </w:r>
      <w:r>
        <w:rPr>
          <w:lang w:val="en-US"/>
        </w:rPr>
        <w:t>This results in the following hypothesis:</w:t>
      </w:r>
    </w:p>
    <w:p w14:paraId="3A302FAA" w14:textId="77777777" w:rsidR="00AE4CE0" w:rsidRDefault="00AE4CE0" w:rsidP="00AE4CE0">
      <w:pPr>
        <w:spacing w:line="360" w:lineRule="auto"/>
        <w:jc w:val="both"/>
        <w:rPr>
          <w:i/>
          <w:iCs/>
          <w:lang w:val="en-US"/>
        </w:rPr>
      </w:pPr>
      <w:r>
        <w:rPr>
          <w:i/>
          <w:iCs/>
          <w:lang w:val="en-US"/>
        </w:rPr>
        <w:t>H2: Economic development is lower if firms in a country have a more traditional corporate structure.</w:t>
      </w:r>
    </w:p>
    <w:p w14:paraId="65A15716" w14:textId="1669EB1B" w:rsidR="00AE4CE0" w:rsidRPr="00967735" w:rsidRDefault="00AE4CE0" w:rsidP="00AE4CE0">
      <w:pPr>
        <w:spacing w:line="360" w:lineRule="auto"/>
        <w:jc w:val="both"/>
        <w:rPr>
          <w:lang w:val="en-US"/>
        </w:rPr>
      </w:pPr>
      <w:r>
        <w:rPr>
          <w:lang w:val="en-US"/>
        </w:rPr>
        <w:lastRenderedPageBreak/>
        <w:t>The third expectation is focused on diversity in required skills. A greater</w:t>
      </w:r>
      <w:r w:rsidRPr="001C34DE">
        <w:rPr>
          <w:lang w:val="en-US"/>
        </w:rPr>
        <w:t xml:space="preserve"> diversity in skills leads to more autonomy for the workforce in a country. </w:t>
      </w:r>
      <w:r w:rsidR="00BF2EAA">
        <w:rPr>
          <w:lang w:val="en-US"/>
        </w:rPr>
        <w:t xml:space="preserve">(Muller et al., 2019). </w:t>
      </w:r>
      <w:r w:rsidRPr="001C34DE">
        <w:rPr>
          <w:lang w:val="en-US"/>
        </w:rPr>
        <w:t xml:space="preserve">This means that they can better adapt to different situations, and are less disadvantaged when reforms or restructuring is required. </w:t>
      </w:r>
      <w:r>
        <w:rPr>
          <w:lang w:val="en-US"/>
        </w:rPr>
        <w:t>This is especially useful during an economic transition as this may result in low job security. A more diverse labor pool could then mean that the changing economy would have less trouble with finding suitable labor. This in turn benefits economic development</w:t>
      </w:r>
      <w:r w:rsidR="00BF2EAA">
        <w:rPr>
          <w:lang w:val="en-US"/>
        </w:rPr>
        <w:t xml:space="preserve"> (</w:t>
      </w:r>
      <w:r w:rsidR="00154E21">
        <w:rPr>
          <w:lang w:val="en-US"/>
        </w:rPr>
        <w:t xml:space="preserve">Karo &amp; </w:t>
      </w:r>
      <w:proofErr w:type="spellStart"/>
      <w:r w:rsidR="00154E21">
        <w:rPr>
          <w:lang w:val="en-US"/>
        </w:rPr>
        <w:t>Looga</w:t>
      </w:r>
      <w:proofErr w:type="spellEnd"/>
      <w:r w:rsidR="00154E21">
        <w:rPr>
          <w:lang w:val="en-US"/>
        </w:rPr>
        <w:t>, 2016).</w:t>
      </w:r>
      <w:r>
        <w:rPr>
          <w:lang w:val="en-US"/>
        </w:rPr>
        <w:t xml:space="preserve"> This results in the following hypothesis:</w:t>
      </w:r>
    </w:p>
    <w:p w14:paraId="7996C805" w14:textId="77777777" w:rsidR="00AE4CE0" w:rsidRDefault="00AE4CE0" w:rsidP="00AE4CE0">
      <w:pPr>
        <w:spacing w:line="360" w:lineRule="auto"/>
        <w:jc w:val="both"/>
        <w:rPr>
          <w:i/>
          <w:iCs/>
          <w:lang w:val="en-US"/>
        </w:rPr>
      </w:pPr>
      <w:r>
        <w:rPr>
          <w:i/>
          <w:iCs/>
          <w:lang w:val="en-US"/>
        </w:rPr>
        <w:t>H3: Economic development is higher if firms require more diversity in labor skills and therefore more universal education</w:t>
      </w:r>
    </w:p>
    <w:p w14:paraId="7BE1EAC3" w14:textId="6E41BA71" w:rsidR="00AE4CE0" w:rsidRPr="00C23651" w:rsidRDefault="00AE4CE0" w:rsidP="00AE4CE0">
      <w:pPr>
        <w:spacing w:line="360" w:lineRule="auto"/>
        <w:jc w:val="both"/>
        <w:rPr>
          <w:lang w:val="en-US"/>
        </w:rPr>
      </w:pPr>
      <w:r>
        <w:rPr>
          <w:lang w:val="en-US"/>
        </w:rPr>
        <w:t xml:space="preserve">The fourth expectation is rooted in equality within networks. This expectation is the same for both inter-firm and firm-state relationships. </w:t>
      </w:r>
      <w:r w:rsidRPr="00C23651">
        <w:rPr>
          <w:lang w:val="en-US"/>
        </w:rPr>
        <w:t>Equal power relationships between government and other economic partners, such as countries and firms, must not be subject to dominance from either side</w:t>
      </w:r>
      <w:r w:rsidR="00154E21">
        <w:rPr>
          <w:lang w:val="en-US"/>
        </w:rPr>
        <w:t xml:space="preserve"> (McMenamin &amp; </w:t>
      </w:r>
      <w:proofErr w:type="spellStart"/>
      <w:r w:rsidR="00154E21">
        <w:rPr>
          <w:lang w:val="en-US"/>
        </w:rPr>
        <w:t>Schoenman</w:t>
      </w:r>
      <w:proofErr w:type="spellEnd"/>
      <w:r w:rsidR="00154E21">
        <w:rPr>
          <w:lang w:val="en-US"/>
        </w:rPr>
        <w:t>, 2007)</w:t>
      </w:r>
      <w:r w:rsidRPr="00C23651">
        <w:rPr>
          <w:lang w:val="en-US"/>
        </w:rPr>
        <w:t xml:space="preserve">. This causes one party to subject the other to their interests. </w:t>
      </w:r>
      <w:r>
        <w:rPr>
          <w:lang w:val="en-US"/>
        </w:rPr>
        <w:t>As a result, inequality in economic development emerges, meaning that the dominant party enjoys more growth at the cost of the subordinate party. The possible disparity during an economic transition means that only the dominant actors will profit from the transition, while others fall behind</w:t>
      </w:r>
      <w:r w:rsidR="00154E21">
        <w:rPr>
          <w:lang w:val="en-US"/>
        </w:rPr>
        <w:t xml:space="preserve"> (Pula, 2018).</w:t>
      </w:r>
      <w:r>
        <w:rPr>
          <w:lang w:val="en-US"/>
        </w:rPr>
        <w:t xml:space="preserve"> This also affects economic development as a whole. Therefore, this results in the following hypothesis:</w:t>
      </w:r>
    </w:p>
    <w:p w14:paraId="24F83AF8" w14:textId="77777777" w:rsidR="00AE4CE0" w:rsidRDefault="00AE4CE0" w:rsidP="00AE4CE0">
      <w:pPr>
        <w:spacing w:line="360" w:lineRule="auto"/>
        <w:jc w:val="both"/>
        <w:rPr>
          <w:i/>
          <w:iCs/>
          <w:lang w:val="en-US"/>
        </w:rPr>
      </w:pPr>
      <w:r>
        <w:rPr>
          <w:i/>
          <w:iCs/>
          <w:lang w:val="en-US"/>
        </w:rPr>
        <w:t>H4: Economic development is higher if there is more equality in inter-firm &amp; firm-state networks</w:t>
      </w:r>
    </w:p>
    <w:p w14:paraId="61FB06F2" w14:textId="744192DD" w:rsidR="00AE4CE0" w:rsidRPr="003B144B" w:rsidRDefault="00AE4CE0" w:rsidP="00AE4CE0">
      <w:pPr>
        <w:spacing w:line="360" w:lineRule="auto"/>
        <w:jc w:val="both"/>
        <w:rPr>
          <w:lang w:val="en-US"/>
        </w:rPr>
      </w:pPr>
      <w:r>
        <w:rPr>
          <w:lang w:val="en-US"/>
        </w:rPr>
        <w:t xml:space="preserve">The fifth expectation concerns privatization and how it is conducted. </w:t>
      </w:r>
      <w:r w:rsidRPr="003B144B">
        <w:rPr>
          <w:lang w:val="en-US"/>
        </w:rPr>
        <w:t>Privatization is only beneficial for economic development when it is used in the national interest</w:t>
      </w:r>
      <w:r w:rsidR="00154E21">
        <w:rPr>
          <w:lang w:val="en-US"/>
        </w:rPr>
        <w:t xml:space="preserve"> (</w:t>
      </w:r>
      <w:proofErr w:type="spellStart"/>
      <w:r w:rsidR="00154E21">
        <w:rPr>
          <w:lang w:val="en-US"/>
        </w:rPr>
        <w:t>Szanyi</w:t>
      </w:r>
      <w:proofErr w:type="spellEnd"/>
      <w:r w:rsidR="00154E21">
        <w:rPr>
          <w:lang w:val="en-US"/>
        </w:rPr>
        <w:t>, 2009).</w:t>
      </w:r>
      <w:r w:rsidRPr="003B144B">
        <w:rPr>
          <w:lang w:val="en-US"/>
        </w:rPr>
        <w:t xml:space="preserve"> It must not serve specific interests or political gain. </w:t>
      </w:r>
      <w:r>
        <w:rPr>
          <w:lang w:val="en-US"/>
        </w:rPr>
        <w:t>Any opportunistic usage of privatization will result in inefficient functioning of these institutions. This in turn will result in a situation where the institutions are not operating (entirely) in the public interest. Instead, it the privatization of public institutions will only benefit economic development if it is done in such a way that the whole population profits, and not a select few</w:t>
      </w:r>
      <w:r w:rsidR="00154E21">
        <w:rPr>
          <w:lang w:val="en-US"/>
        </w:rPr>
        <w:t xml:space="preserve"> (Appel, 2004).</w:t>
      </w:r>
      <w:r>
        <w:rPr>
          <w:lang w:val="en-US"/>
        </w:rPr>
        <w:t xml:space="preserve"> </w:t>
      </w:r>
      <w:r w:rsidRPr="003B144B">
        <w:rPr>
          <w:lang w:val="en-US"/>
        </w:rPr>
        <w:t xml:space="preserve">Therefore, state property management must not be subject to opportunist usage in order to benefit development. </w:t>
      </w:r>
      <w:r>
        <w:rPr>
          <w:lang w:val="en-US"/>
        </w:rPr>
        <w:t>This results in the following hypothesis:</w:t>
      </w:r>
    </w:p>
    <w:p w14:paraId="76465D5C" w14:textId="77777777" w:rsidR="00AE4CE0" w:rsidRDefault="00AE4CE0" w:rsidP="00AE4CE0">
      <w:pPr>
        <w:spacing w:line="360" w:lineRule="auto"/>
        <w:jc w:val="both"/>
        <w:rPr>
          <w:i/>
          <w:iCs/>
          <w:lang w:val="en-US"/>
        </w:rPr>
      </w:pPr>
      <w:r>
        <w:rPr>
          <w:i/>
          <w:iCs/>
          <w:lang w:val="en-US"/>
        </w:rPr>
        <w:t>H5: Economic development is higher if state property management is done on basis of their original public purpose, without any ulterior motive</w:t>
      </w:r>
    </w:p>
    <w:p w14:paraId="04787E66" w14:textId="07D8B935" w:rsidR="00AE4CE0" w:rsidRPr="00F4751F" w:rsidRDefault="00AE4CE0" w:rsidP="00AE4CE0">
      <w:pPr>
        <w:spacing w:line="360" w:lineRule="auto"/>
        <w:jc w:val="both"/>
        <w:rPr>
          <w:lang w:val="en-US"/>
        </w:rPr>
      </w:pPr>
      <w:r>
        <w:rPr>
          <w:lang w:val="en-US"/>
        </w:rPr>
        <w:t xml:space="preserve">The last expectation is based on increased political stability in a country during the reform period. </w:t>
      </w:r>
      <w:r w:rsidRPr="00F4751F">
        <w:rPr>
          <w:lang w:val="en-US"/>
        </w:rPr>
        <w:t xml:space="preserve">Political stability causes the government to be a more reliable partner, as well as reducing uncertainty within a country. </w:t>
      </w:r>
      <w:r>
        <w:rPr>
          <w:lang w:val="en-US"/>
        </w:rPr>
        <w:t xml:space="preserve">It also increases the capability of the government to manage the reforms during the </w:t>
      </w:r>
      <w:r>
        <w:rPr>
          <w:lang w:val="en-US"/>
        </w:rPr>
        <w:lastRenderedPageBreak/>
        <w:t>economic transition</w:t>
      </w:r>
      <w:r w:rsidR="00154E21">
        <w:rPr>
          <w:lang w:val="en-US"/>
        </w:rPr>
        <w:t xml:space="preserve"> (Bohle &amp; </w:t>
      </w:r>
      <w:proofErr w:type="spellStart"/>
      <w:r w:rsidR="00154E21">
        <w:rPr>
          <w:lang w:val="en-US"/>
        </w:rPr>
        <w:t>Greskovits</w:t>
      </w:r>
      <w:proofErr w:type="spellEnd"/>
      <w:r w:rsidR="00154E21">
        <w:rPr>
          <w:lang w:val="en-US"/>
        </w:rPr>
        <w:t>, 2009).</w:t>
      </w:r>
      <w:r>
        <w:rPr>
          <w:lang w:val="en-US"/>
        </w:rPr>
        <w:t xml:space="preserve"> As a result, the e</w:t>
      </w:r>
      <w:r w:rsidRPr="00F4751F">
        <w:rPr>
          <w:lang w:val="en-US"/>
        </w:rPr>
        <w:t xml:space="preserve">conomic performance </w:t>
      </w:r>
      <w:r>
        <w:rPr>
          <w:lang w:val="en-US"/>
        </w:rPr>
        <w:t>of the whole country increases. This results in more economic development</w:t>
      </w:r>
      <w:r w:rsidRPr="00F4751F">
        <w:rPr>
          <w:lang w:val="en-US"/>
        </w:rPr>
        <w:t xml:space="preserve"> if the government functions efficiently without structural problems</w:t>
      </w:r>
      <w:r w:rsidR="00154E21">
        <w:rPr>
          <w:lang w:val="en-US"/>
        </w:rPr>
        <w:t xml:space="preserve"> (Blondel, 2001).</w:t>
      </w:r>
      <w:r>
        <w:rPr>
          <w:lang w:val="en-US"/>
        </w:rPr>
        <w:t xml:space="preserve"> Therefore, this results in the following hypothesis:</w:t>
      </w:r>
    </w:p>
    <w:p w14:paraId="1D95B8CB" w14:textId="77777777" w:rsidR="00AE4CE0" w:rsidRDefault="00AE4CE0" w:rsidP="00AE4CE0">
      <w:pPr>
        <w:spacing w:line="360" w:lineRule="auto"/>
        <w:jc w:val="both"/>
        <w:rPr>
          <w:i/>
          <w:iCs/>
          <w:lang w:val="en-US"/>
        </w:rPr>
      </w:pPr>
      <w:r>
        <w:rPr>
          <w:i/>
          <w:iCs/>
          <w:lang w:val="en-US"/>
        </w:rPr>
        <w:t>H6: Economic development is higher if there is more political stability in government</w:t>
      </w:r>
    </w:p>
    <w:p w14:paraId="13DEFDE5" w14:textId="77777777" w:rsidR="00AE4CE0" w:rsidRPr="003C67B4" w:rsidRDefault="00AE4CE0" w:rsidP="00AE4CE0">
      <w:pPr>
        <w:spacing w:line="360" w:lineRule="auto"/>
        <w:jc w:val="both"/>
        <w:rPr>
          <w:lang w:val="en-US"/>
        </w:rPr>
      </w:pPr>
      <w:r>
        <w:rPr>
          <w:lang w:val="en-US"/>
        </w:rPr>
        <w:t>The hypotheses above are each based on one of the six spheres of the research framework. This research framework is the result of the original VOC framework and the additions made during this chapter. These hypotheses will now need to be tested in an empirical analysis. This will be done through a methodology that will be outlined in the next chapter.</w:t>
      </w:r>
    </w:p>
    <w:p w14:paraId="6CBEEBDE" w14:textId="77777777" w:rsidR="00AE4CE0" w:rsidRPr="00D347F9" w:rsidRDefault="00AE4CE0" w:rsidP="00AE4CE0">
      <w:pPr>
        <w:spacing w:line="360" w:lineRule="auto"/>
        <w:jc w:val="both"/>
        <w:rPr>
          <w:i/>
          <w:iCs/>
          <w:lang w:val="en-US"/>
        </w:rPr>
      </w:pPr>
    </w:p>
    <w:p w14:paraId="2A66BC44" w14:textId="30BF48FA" w:rsidR="00AE4CE0" w:rsidRDefault="00AE4CE0" w:rsidP="007C7610">
      <w:pPr>
        <w:spacing w:line="360" w:lineRule="auto"/>
        <w:jc w:val="both"/>
        <w:rPr>
          <w:lang w:val="en-US"/>
        </w:rPr>
      </w:pPr>
    </w:p>
    <w:p w14:paraId="355F60E8" w14:textId="27158611" w:rsidR="00AE4CE0" w:rsidRDefault="00AE4CE0" w:rsidP="007C7610">
      <w:pPr>
        <w:spacing w:line="360" w:lineRule="auto"/>
        <w:jc w:val="both"/>
        <w:rPr>
          <w:lang w:val="en-US"/>
        </w:rPr>
      </w:pPr>
    </w:p>
    <w:p w14:paraId="6B81DDB8" w14:textId="7023BBE6" w:rsidR="00AE4CE0" w:rsidRDefault="00AE4CE0" w:rsidP="00AE4CE0">
      <w:pPr>
        <w:pStyle w:val="Kop1"/>
        <w:rPr>
          <w:lang w:val="en-US"/>
        </w:rPr>
      </w:pPr>
    </w:p>
    <w:p w14:paraId="25EC61AA" w14:textId="786B7B04" w:rsidR="00AE4CE0" w:rsidRDefault="00AE4CE0" w:rsidP="00AE4CE0">
      <w:pPr>
        <w:rPr>
          <w:lang w:val="en-US"/>
        </w:rPr>
      </w:pPr>
    </w:p>
    <w:p w14:paraId="4E5B3480" w14:textId="77777777" w:rsidR="00AE4CE0" w:rsidRPr="00AE4CE0" w:rsidRDefault="00AE4CE0" w:rsidP="00AE4CE0">
      <w:pPr>
        <w:rPr>
          <w:lang w:val="en-US"/>
        </w:rPr>
      </w:pPr>
    </w:p>
    <w:p w14:paraId="384307D8" w14:textId="77777777" w:rsidR="00E15978" w:rsidRDefault="00E15978" w:rsidP="00AE4CE0">
      <w:pPr>
        <w:pStyle w:val="Kop1"/>
        <w:rPr>
          <w:lang w:val="en-US"/>
        </w:rPr>
      </w:pPr>
      <w:bookmarkStart w:id="18" w:name="_Toc75401335"/>
    </w:p>
    <w:p w14:paraId="301B2B00" w14:textId="77777777" w:rsidR="00154E21" w:rsidRDefault="00154E21" w:rsidP="00AE4CE0">
      <w:pPr>
        <w:pStyle w:val="Kop1"/>
        <w:rPr>
          <w:lang w:val="en-US"/>
        </w:rPr>
      </w:pPr>
    </w:p>
    <w:p w14:paraId="3BB7F49A" w14:textId="77777777" w:rsidR="00154E21" w:rsidRDefault="00154E21" w:rsidP="00AE4CE0">
      <w:pPr>
        <w:pStyle w:val="Kop1"/>
        <w:rPr>
          <w:lang w:val="en-US"/>
        </w:rPr>
      </w:pPr>
    </w:p>
    <w:p w14:paraId="0C26701E" w14:textId="77777777" w:rsidR="00154E21" w:rsidRDefault="00154E21" w:rsidP="00AE4CE0">
      <w:pPr>
        <w:pStyle w:val="Kop1"/>
        <w:rPr>
          <w:lang w:val="en-US"/>
        </w:rPr>
      </w:pPr>
    </w:p>
    <w:p w14:paraId="76F801D0" w14:textId="77777777" w:rsidR="00154E21" w:rsidRDefault="00154E21" w:rsidP="00AE4CE0">
      <w:pPr>
        <w:pStyle w:val="Kop1"/>
        <w:rPr>
          <w:lang w:val="en-US"/>
        </w:rPr>
      </w:pPr>
    </w:p>
    <w:p w14:paraId="4904F943" w14:textId="77777777" w:rsidR="00154E21" w:rsidRDefault="00154E21" w:rsidP="00AE4CE0">
      <w:pPr>
        <w:pStyle w:val="Kop1"/>
        <w:rPr>
          <w:lang w:val="en-US"/>
        </w:rPr>
      </w:pPr>
    </w:p>
    <w:p w14:paraId="21C216D2" w14:textId="77777777" w:rsidR="00154E21" w:rsidRDefault="00154E21" w:rsidP="00AE4CE0">
      <w:pPr>
        <w:pStyle w:val="Kop1"/>
        <w:rPr>
          <w:lang w:val="en-US"/>
        </w:rPr>
      </w:pPr>
    </w:p>
    <w:p w14:paraId="4371B9BD" w14:textId="77777777" w:rsidR="00154E21" w:rsidRDefault="00154E21" w:rsidP="00AE4CE0">
      <w:pPr>
        <w:pStyle w:val="Kop1"/>
        <w:rPr>
          <w:lang w:val="en-US"/>
        </w:rPr>
      </w:pPr>
    </w:p>
    <w:p w14:paraId="6632F6D2" w14:textId="4C33CE19" w:rsidR="00154E21" w:rsidRDefault="00154E21" w:rsidP="00AE4CE0">
      <w:pPr>
        <w:pStyle w:val="Kop1"/>
        <w:rPr>
          <w:lang w:val="en-US"/>
        </w:rPr>
      </w:pPr>
    </w:p>
    <w:p w14:paraId="7A767FED" w14:textId="2F16A80D" w:rsidR="00154E21" w:rsidRDefault="00154E21" w:rsidP="00154E21">
      <w:pPr>
        <w:rPr>
          <w:lang w:val="en-US"/>
        </w:rPr>
      </w:pPr>
    </w:p>
    <w:p w14:paraId="1339C56E" w14:textId="77777777" w:rsidR="00154E21" w:rsidRPr="00154E21" w:rsidRDefault="00154E21" w:rsidP="00154E21">
      <w:pPr>
        <w:rPr>
          <w:lang w:val="en-US"/>
        </w:rPr>
      </w:pPr>
    </w:p>
    <w:p w14:paraId="2AEA83FD" w14:textId="167D7660" w:rsidR="00AE4CE0" w:rsidRDefault="00AE4CE0" w:rsidP="00AE4CE0">
      <w:pPr>
        <w:pStyle w:val="Kop1"/>
        <w:rPr>
          <w:lang w:val="en-US"/>
        </w:rPr>
      </w:pPr>
      <w:r w:rsidRPr="00FE5E5D">
        <w:rPr>
          <w:lang w:val="en-US"/>
        </w:rPr>
        <w:lastRenderedPageBreak/>
        <w:t>Chapter 2: Methodology</w:t>
      </w:r>
      <w:bookmarkEnd w:id="18"/>
    </w:p>
    <w:p w14:paraId="01D64BB1" w14:textId="77777777" w:rsidR="00AE4CE0" w:rsidRPr="006067A0" w:rsidRDefault="00AE4CE0" w:rsidP="00AE4CE0">
      <w:pPr>
        <w:pStyle w:val="Geenafstand"/>
        <w:rPr>
          <w:lang w:val="en-US"/>
        </w:rPr>
      </w:pPr>
    </w:p>
    <w:p w14:paraId="1522836B" w14:textId="77777777" w:rsidR="00AE4CE0" w:rsidRDefault="00AE4CE0" w:rsidP="00AE4CE0">
      <w:pPr>
        <w:pStyle w:val="Geenafstand"/>
        <w:spacing w:line="360" w:lineRule="auto"/>
        <w:jc w:val="both"/>
        <w:rPr>
          <w:lang w:val="en-US"/>
        </w:rPr>
      </w:pPr>
      <w:r>
        <w:rPr>
          <w:lang w:val="en-US"/>
        </w:rPr>
        <w:t xml:space="preserve">This chapter will consist of the method used during this research. It will begin with the aspects of the case study method; this is followed by the justification of the used sources. The last part consists of the operationalization of the hypotheses from the previous section, in the which the abstract constructs will be transformed into measurable aspects. </w:t>
      </w:r>
    </w:p>
    <w:p w14:paraId="6818699A" w14:textId="77777777" w:rsidR="00AE4CE0" w:rsidRDefault="00AE4CE0" w:rsidP="00AE4CE0">
      <w:pPr>
        <w:pStyle w:val="Geenafstand"/>
        <w:spacing w:line="360" w:lineRule="auto"/>
        <w:jc w:val="both"/>
        <w:rPr>
          <w:lang w:val="en-US"/>
        </w:rPr>
      </w:pPr>
    </w:p>
    <w:p w14:paraId="0B981F9A" w14:textId="6797AAEE" w:rsidR="00AE4CE0" w:rsidRDefault="00AE4CE0" w:rsidP="00AE4CE0">
      <w:pPr>
        <w:pStyle w:val="Kop2"/>
        <w:rPr>
          <w:lang w:val="en-US"/>
        </w:rPr>
      </w:pPr>
      <w:bookmarkStart w:id="19" w:name="_Toc75401336"/>
      <w:r>
        <w:rPr>
          <w:lang w:val="en-US"/>
        </w:rPr>
        <w:t xml:space="preserve">2.1 Aspects of </w:t>
      </w:r>
      <w:r w:rsidR="000E0335">
        <w:rPr>
          <w:lang w:val="en-US"/>
        </w:rPr>
        <w:t>T</w:t>
      </w:r>
      <w:r>
        <w:rPr>
          <w:lang w:val="en-US"/>
        </w:rPr>
        <w:t xml:space="preserve">he </w:t>
      </w:r>
      <w:r w:rsidR="000E0335">
        <w:rPr>
          <w:lang w:val="en-US"/>
        </w:rPr>
        <w:t>C</w:t>
      </w:r>
      <w:r>
        <w:rPr>
          <w:lang w:val="en-US"/>
        </w:rPr>
        <w:t xml:space="preserve">ase </w:t>
      </w:r>
      <w:r w:rsidR="000E0335">
        <w:rPr>
          <w:lang w:val="en-US"/>
        </w:rPr>
        <w:t>S</w:t>
      </w:r>
      <w:r>
        <w:rPr>
          <w:lang w:val="en-US"/>
        </w:rPr>
        <w:t xml:space="preserve">tudy </w:t>
      </w:r>
      <w:r w:rsidR="000E0335">
        <w:rPr>
          <w:lang w:val="en-US"/>
        </w:rPr>
        <w:t>M</w:t>
      </w:r>
      <w:r>
        <w:rPr>
          <w:lang w:val="en-US"/>
        </w:rPr>
        <w:t xml:space="preserve">ethod and </w:t>
      </w:r>
      <w:r w:rsidR="000E0335">
        <w:rPr>
          <w:lang w:val="en-US"/>
        </w:rPr>
        <w:t>C</w:t>
      </w:r>
      <w:r>
        <w:rPr>
          <w:lang w:val="en-US"/>
        </w:rPr>
        <w:t xml:space="preserve">ase </w:t>
      </w:r>
      <w:r w:rsidR="000E0335">
        <w:rPr>
          <w:lang w:val="en-US"/>
        </w:rPr>
        <w:t>S</w:t>
      </w:r>
      <w:r>
        <w:rPr>
          <w:lang w:val="en-US"/>
        </w:rPr>
        <w:t>election</w:t>
      </w:r>
      <w:bookmarkEnd w:id="19"/>
    </w:p>
    <w:p w14:paraId="66010493" w14:textId="77777777" w:rsidR="00AE4CE0" w:rsidRPr="009D0625" w:rsidRDefault="00AE4CE0" w:rsidP="00AE4CE0">
      <w:pPr>
        <w:pStyle w:val="Geenafstand"/>
        <w:rPr>
          <w:lang w:val="en-US"/>
        </w:rPr>
      </w:pPr>
    </w:p>
    <w:p w14:paraId="50196CFE" w14:textId="047E39E8" w:rsidR="00AE4CE0" w:rsidRDefault="00AE4CE0" w:rsidP="00AE4CE0">
      <w:pPr>
        <w:spacing w:line="360" w:lineRule="auto"/>
        <w:jc w:val="both"/>
        <w:rPr>
          <w:lang w:val="en-US"/>
        </w:rPr>
      </w:pPr>
      <w:r>
        <w:rPr>
          <w:lang w:val="en-US"/>
        </w:rPr>
        <w:t>The case study method is an in-depth examination of a particular sample of a population over a specific time period. The case that is selected often holds specific importance in the greater group of cases. Next to highlighting a specific case, important cases can also be compared. This is beneficial when there are two similar cases with different outcomes. Or different cases with similar outcomes. A case-by-case comparison is can led to new insight by looking at the differences and similarities and pinpointing what the root cause is</w:t>
      </w:r>
      <w:r w:rsidR="0022488E">
        <w:rPr>
          <w:lang w:val="en-US"/>
        </w:rPr>
        <w:t xml:space="preserve"> (</w:t>
      </w:r>
      <w:proofErr w:type="spellStart"/>
      <w:r w:rsidR="0022488E">
        <w:rPr>
          <w:lang w:val="en-US"/>
        </w:rPr>
        <w:t>Gerring</w:t>
      </w:r>
      <w:proofErr w:type="spellEnd"/>
      <w:r w:rsidR="0022488E">
        <w:rPr>
          <w:lang w:val="en-US"/>
        </w:rPr>
        <w:t>, 2007).</w:t>
      </w:r>
      <w:r>
        <w:rPr>
          <w:lang w:val="en-US"/>
        </w:rPr>
        <w:t xml:space="preserve"> This can be done with both qualitative and quantitative data, or a combination of the two.</w:t>
      </w:r>
    </w:p>
    <w:p w14:paraId="7A773432" w14:textId="2A82EFA0" w:rsidR="00AE4CE0" w:rsidRDefault="00AE4CE0" w:rsidP="00AE4CE0">
      <w:pPr>
        <w:spacing w:line="360" w:lineRule="auto"/>
        <w:jc w:val="both"/>
        <w:rPr>
          <w:lang w:val="en-US"/>
        </w:rPr>
      </w:pPr>
      <w:r>
        <w:rPr>
          <w:lang w:val="en-US"/>
        </w:rPr>
        <w:t>In the context of this research, the population is the group of eastern European countries that have undergone the transition to EU member state. To further understand the aspects of what makes a successful transition the focus will lie at two European Union members that have undergone a similar process from a similar position to different outcomes. These difference in outcomes can possibly be explained by subtle differences in the process. The method used will therefore contain elements of analytical narrative and comparative case study research. The analytical narrative will concern the difference in outcome between the two cases, this will focus on changes that have caused this in retrospect. The case study elements will concern the method of difference, looking at the similarities but different outcomes between the two cases, also known as most similar case study design</w:t>
      </w:r>
      <w:r w:rsidR="0022488E">
        <w:rPr>
          <w:lang w:val="en-US"/>
        </w:rPr>
        <w:t xml:space="preserve"> (</w:t>
      </w:r>
      <w:proofErr w:type="spellStart"/>
      <w:r w:rsidR="0022488E">
        <w:rPr>
          <w:lang w:val="en-US"/>
        </w:rPr>
        <w:t>Gerring</w:t>
      </w:r>
      <w:proofErr w:type="spellEnd"/>
      <w:r w:rsidR="0022488E">
        <w:rPr>
          <w:lang w:val="en-US"/>
        </w:rPr>
        <w:t xml:space="preserve">, 2007). </w:t>
      </w:r>
      <w:r>
        <w:rPr>
          <w:lang w:val="en-US"/>
        </w:rPr>
        <w:t xml:space="preserve">The aspects discussed above will allow for the construction of a narrative in which the hypotheses will become the main focus of the research. From there, the implications from the hypothesis could clarify what has led to the different outcome between these two cases. </w:t>
      </w:r>
    </w:p>
    <w:p w14:paraId="4A1A5FE5" w14:textId="77777777" w:rsidR="00AE4CE0" w:rsidRDefault="00AE4CE0" w:rsidP="00AE4CE0">
      <w:pPr>
        <w:spacing w:line="360" w:lineRule="auto"/>
        <w:jc w:val="both"/>
        <w:rPr>
          <w:lang w:val="en-US"/>
        </w:rPr>
      </w:pPr>
      <w:r>
        <w:rPr>
          <w:lang w:val="en-US"/>
        </w:rPr>
        <w:t xml:space="preserve">Specifically, the two cases of Latvia and Bulgaria will be analyzed in the context the economic transition, why this is the case will be underlined in the next chapter. For the period of study, the developments from 1992 to 2016 are the most suitable. This is because it includes most of the transition period of the last thirty years, with the exclusion of the most recent years. Therefore, most of the data is readily available. Furthermore, this period also includes both countries for a minimum of ten years within the EU. This means that both cases can be studied accordingly in all stages of their </w:t>
      </w:r>
      <w:r>
        <w:rPr>
          <w:lang w:val="en-US"/>
        </w:rPr>
        <w:lastRenderedPageBreak/>
        <w:t xml:space="preserve">transition. Three phases will be distinguished within the time period. The first period will be the one from 1991 until their application for membership. Then, the second period will consist of the membership negotiations and reform process until membership. This is then concluded by the last period in which the respective country is a full-fledged member until 2016. These three periods allow for context in which certain developments have occurred and can therefore be used to organize the narrative within these cases. These narratives are what has driven the developments and reforms within these countries. Thus, a change throughout each of these periods which can have implications for the development of the respective narrative, which can in turn led to subtle differences. </w:t>
      </w:r>
    </w:p>
    <w:p w14:paraId="70DDA63C" w14:textId="2C17F49E" w:rsidR="00AE4CE0" w:rsidRDefault="00AE4CE0" w:rsidP="00AE4CE0">
      <w:pPr>
        <w:pStyle w:val="Kop2"/>
        <w:rPr>
          <w:lang w:val="en-US"/>
        </w:rPr>
      </w:pPr>
      <w:bookmarkStart w:id="20" w:name="_Toc75401337"/>
      <w:r>
        <w:rPr>
          <w:lang w:val="en-US"/>
        </w:rPr>
        <w:t xml:space="preserve">2.2 Justification and </w:t>
      </w:r>
      <w:r w:rsidR="000E0335">
        <w:rPr>
          <w:lang w:val="en-US"/>
        </w:rPr>
        <w:t>U</w:t>
      </w:r>
      <w:r>
        <w:rPr>
          <w:lang w:val="en-US"/>
        </w:rPr>
        <w:t xml:space="preserve">sage of </w:t>
      </w:r>
      <w:r w:rsidR="000E0335">
        <w:rPr>
          <w:lang w:val="en-US"/>
        </w:rPr>
        <w:t>S</w:t>
      </w:r>
      <w:r>
        <w:rPr>
          <w:lang w:val="en-US"/>
        </w:rPr>
        <w:t xml:space="preserve">ources and </w:t>
      </w:r>
      <w:r w:rsidR="000E0335">
        <w:rPr>
          <w:lang w:val="en-US"/>
        </w:rPr>
        <w:t>D</w:t>
      </w:r>
      <w:r>
        <w:rPr>
          <w:lang w:val="en-US"/>
        </w:rPr>
        <w:t>ata</w:t>
      </w:r>
      <w:bookmarkEnd w:id="20"/>
    </w:p>
    <w:p w14:paraId="023F4808" w14:textId="77777777" w:rsidR="00AE4CE0" w:rsidRPr="00FE5E5D" w:rsidRDefault="00AE4CE0" w:rsidP="00AE4CE0">
      <w:pPr>
        <w:pStyle w:val="Geenafstand"/>
        <w:rPr>
          <w:lang w:val="en-US"/>
        </w:rPr>
      </w:pPr>
    </w:p>
    <w:p w14:paraId="50BB14AD" w14:textId="77777777" w:rsidR="00AE4CE0" w:rsidRDefault="00AE4CE0" w:rsidP="00AE4CE0">
      <w:pPr>
        <w:spacing w:line="360" w:lineRule="auto"/>
        <w:jc w:val="both"/>
        <w:rPr>
          <w:lang w:val="en-US"/>
        </w:rPr>
      </w:pPr>
      <w:r>
        <w:rPr>
          <w:lang w:val="en-US"/>
        </w:rPr>
        <w:t xml:space="preserve">The data used in this research will consist of both primary and secondary sources. This is because of the different insights that both types will add to the research. To test the hypotheses, it is necessary that both quantitative and qualitative data are included. The quantitative data mostly consists of economic data from various organizations, such as the European Union, Organization for Economic Co-operation &amp; Development (OECD), European Trade Union Institute (ETUI), national statistics offices and the </w:t>
      </w:r>
      <w:proofErr w:type="spellStart"/>
      <w:r>
        <w:rPr>
          <w:lang w:val="en-US"/>
        </w:rPr>
        <w:t>Worldbank</w:t>
      </w:r>
      <w:proofErr w:type="spellEnd"/>
      <w:r>
        <w:rPr>
          <w:lang w:val="en-US"/>
        </w:rPr>
        <w:t>. The data from these sources can give a perspective on the development of the various aspects discussed in the operationalization. The qualitative data is then used to get a better understanding of the context surrounding these developments. This data consists of evaluation reports concerning the accession process to EU membership, as well additions from monitoring organizations, such as Freedom House and the OECD. The main inclusion from secondary sources will come from research articles and regional development books. This will be done in order to cover the historical context during the entire time period, as well as important events that had effect on the aspects in the hypotheses. Furthermore, the perspective that other scholars have on the developments within this time period can also attribute to this research. The combination of these various forms of data can be seen as a form of data triangulation. Therefore, the findings can be confirmed by multiple sources and will give a more detailed an insightful look into the complex nature of this research.</w:t>
      </w:r>
    </w:p>
    <w:p w14:paraId="34150C6A" w14:textId="6D440279" w:rsidR="00AE4CE0" w:rsidRDefault="00AE4CE0" w:rsidP="00AE4CE0">
      <w:pPr>
        <w:pStyle w:val="Kop2"/>
        <w:rPr>
          <w:lang w:val="en-US"/>
        </w:rPr>
      </w:pPr>
      <w:bookmarkStart w:id="21" w:name="_Toc75401338"/>
      <w:r>
        <w:rPr>
          <w:lang w:val="en-US"/>
        </w:rPr>
        <w:t xml:space="preserve">2.3 Operationalization of the </w:t>
      </w:r>
      <w:r w:rsidR="000E0335">
        <w:rPr>
          <w:lang w:val="en-US"/>
        </w:rPr>
        <w:t>H</w:t>
      </w:r>
      <w:r>
        <w:rPr>
          <w:lang w:val="en-US"/>
        </w:rPr>
        <w:t>ypotheses</w:t>
      </w:r>
      <w:bookmarkEnd w:id="21"/>
    </w:p>
    <w:p w14:paraId="268A07A4" w14:textId="77777777" w:rsidR="00AE4CE0" w:rsidRDefault="00AE4CE0" w:rsidP="00AE4CE0">
      <w:pPr>
        <w:pStyle w:val="Geenafstand"/>
        <w:rPr>
          <w:lang w:val="en-US"/>
        </w:rPr>
      </w:pPr>
    </w:p>
    <w:p w14:paraId="1853DCD9" w14:textId="77777777" w:rsidR="00AE4CE0" w:rsidRDefault="00AE4CE0" w:rsidP="00AE4CE0">
      <w:pPr>
        <w:pStyle w:val="Geenafstand"/>
        <w:spacing w:line="360" w:lineRule="auto"/>
        <w:jc w:val="both"/>
        <w:rPr>
          <w:lang w:val="en-US"/>
        </w:rPr>
      </w:pPr>
      <w:r>
        <w:rPr>
          <w:lang w:val="en-US"/>
        </w:rPr>
        <w:t xml:space="preserve">In the previous chapter six hypotheses were formed, these will form the focus of this research. These will be assessed for both cases. Any difference in aspects between the cases will then be portrayed in its entirety. How the aspects are measured is specified below. </w:t>
      </w:r>
    </w:p>
    <w:p w14:paraId="644C2222" w14:textId="77777777" w:rsidR="00AE4CE0" w:rsidRPr="00FE5E5D" w:rsidRDefault="00AE4CE0" w:rsidP="00AE4CE0">
      <w:pPr>
        <w:pStyle w:val="Geenafstand"/>
        <w:rPr>
          <w:lang w:val="en-US"/>
        </w:rPr>
      </w:pPr>
    </w:p>
    <w:p w14:paraId="57C6601F" w14:textId="77777777" w:rsidR="00AE4CE0" w:rsidRDefault="00AE4CE0" w:rsidP="00AE4CE0">
      <w:pPr>
        <w:pStyle w:val="Geenafstand"/>
        <w:spacing w:line="360" w:lineRule="auto"/>
        <w:jc w:val="both"/>
        <w:rPr>
          <w:lang w:val="en-US"/>
        </w:rPr>
      </w:pPr>
      <w:r w:rsidRPr="00EC1BBF">
        <w:rPr>
          <w:i/>
          <w:iCs/>
          <w:lang w:val="en-US"/>
        </w:rPr>
        <w:t>Asymmetry in labor &amp; workforce relations</w:t>
      </w:r>
      <w:r>
        <w:rPr>
          <w:lang w:val="en-US"/>
        </w:rPr>
        <w:t xml:space="preserve"> is measured by looking at the influence differences in the relationships between firms and their workers. This is done by analyzing four forms of these relationships. In each of these relationships will then be assessed whether there as an asymmetry </w:t>
      </w:r>
      <w:r>
        <w:rPr>
          <w:lang w:val="en-US"/>
        </w:rPr>
        <w:lastRenderedPageBreak/>
        <w:t xml:space="preserve">present and if this is in favor of the employers or the employees. The first of these is the influence of the workers is measured on basis of the influence of the respective labor unions. This can be assessed by the number of labor unions memberships in a country, as well as the context that the labor union operates in. The context can be determined by the amount of influence that the unions have in agreements between the government, firms and their members. The second is the amount of collective bargaining options and level of influence that this has on labor relations, as well how the structure holds on a national level. The third concerns the worker representation options available and how these are used. These forms of representative influence do not solely have to be present in structures, but the context in which they operate are similarly important. The last relationship is the financial participation, this concerns the amount of leverage that employees can have with regard to financial investment in their workplace. The main sources for this information will come from EU related organizations, such as the European Trade Union Institute and reports from the European Commission. </w:t>
      </w:r>
    </w:p>
    <w:p w14:paraId="70626312" w14:textId="77777777" w:rsidR="00AE4CE0" w:rsidRPr="00FE5E5D" w:rsidRDefault="00AE4CE0" w:rsidP="00AE4CE0">
      <w:pPr>
        <w:pStyle w:val="Geenafstand"/>
        <w:spacing w:line="360" w:lineRule="auto"/>
        <w:jc w:val="both"/>
        <w:rPr>
          <w:lang w:val="en-US"/>
        </w:rPr>
      </w:pPr>
    </w:p>
    <w:p w14:paraId="097F9344" w14:textId="77777777" w:rsidR="00AE4CE0" w:rsidRDefault="00AE4CE0" w:rsidP="00AE4CE0">
      <w:pPr>
        <w:pStyle w:val="Geenafstand"/>
        <w:spacing w:line="360" w:lineRule="auto"/>
        <w:jc w:val="both"/>
        <w:rPr>
          <w:lang w:val="en-US"/>
        </w:rPr>
      </w:pPr>
      <w:r w:rsidRPr="00EC1BBF">
        <w:rPr>
          <w:i/>
          <w:iCs/>
          <w:lang w:val="en-US"/>
        </w:rPr>
        <w:t>Traditionality in corporate governance</w:t>
      </w:r>
      <w:r w:rsidRPr="007F775D">
        <w:rPr>
          <w:lang w:val="en-US"/>
        </w:rPr>
        <w:t xml:space="preserve"> is measured </w:t>
      </w:r>
      <w:r>
        <w:rPr>
          <w:lang w:val="en-US"/>
        </w:rPr>
        <w:t>by the number of family businesses in a country, particularly the small and medium sized businesses. This is because family businesses in a country often follow a long tradition within the established firms and are subject to a lot of informal dealings. This can be assessed by looking at the development of family businesses over time. Both the number of the family business and the context of the dealings that they have within the country can reflect on this. In this regard, family businesses are considered the more traditional firms within a country. The portrayal of family business then allows for a more general verdict on the practice of corporate governance in both countries. The primary sources that will be used are specialized research reports on common problems with family business by the European commission and OECD.</w:t>
      </w:r>
    </w:p>
    <w:p w14:paraId="7E415691" w14:textId="77777777" w:rsidR="00AE4CE0" w:rsidRPr="00FE5E5D" w:rsidRDefault="00AE4CE0" w:rsidP="00AE4CE0">
      <w:pPr>
        <w:pStyle w:val="Geenafstand"/>
        <w:spacing w:line="360" w:lineRule="auto"/>
        <w:jc w:val="both"/>
        <w:rPr>
          <w:lang w:val="en-US"/>
        </w:rPr>
      </w:pPr>
    </w:p>
    <w:p w14:paraId="2BA2E1BA" w14:textId="77777777" w:rsidR="00AE4CE0" w:rsidRPr="00FE5E5D" w:rsidRDefault="00AE4CE0" w:rsidP="00AE4CE0">
      <w:pPr>
        <w:spacing w:line="360" w:lineRule="auto"/>
        <w:jc w:val="both"/>
        <w:rPr>
          <w:lang w:val="en-US"/>
        </w:rPr>
      </w:pPr>
      <w:r w:rsidRPr="00EC1BBF">
        <w:rPr>
          <w:i/>
          <w:iCs/>
          <w:lang w:val="en-US"/>
        </w:rPr>
        <w:t>Diversity in training and education</w:t>
      </w:r>
      <w:r w:rsidRPr="0065013A">
        <w:rPr>
          <w:lang w:val="en-US"/>
        </w:rPr>
        <w:t xml:space="preserve"> i</w:t>
      </w:r>
      <w:r>
        <w:rPr>
          <w:lang w:val="en-US"/>
        </w:rPr>
        <w:t xml:space="preserve">s measured by the development of the labor market within the various economic sectors. The expansion or shrinking of a certain economic sector will lead to more demand for various forms of labor. This will by extension also lead to increases or decreases in labor diversity and thereby the ability of the workforce to adapt to economic circumstances. Therefore, the interplay between the type of education given and the labor required in a country can </w:t>
      </w:r>
      <w:proofErr w:type="gramStart"/>
      <w:r>
        <w:rPr>
          <w:lang w:val="en-US"/>
        </w:rPr>
        <w:t>lead</w:t>
      </w:r>
      <w:proofErr w:type="gramEnd"/>
      <w:r>
        <w:rPr>
          <w:lang w:val="en-US"/>
        </w:rPr>
        <w:t xml:space="preserve"> to scarcity or abundance of a certain type of labor. The examination of this relationship will show the situation on the labor market and the diversity of education in both countries. The primary sources that will be used for this assessment are OECD country reports of the economies.</w:t>
      </w:r>
    </w:p>
    <w:p w14:paraId="22BA6986" w14:textId="77777777" w:rsidR="00AE4CE0" w:rsidRDefault="00AE4CE0" w:rsidP="00AE4CE0">
      <w:pPr>
        <w:pStyle w:val="Geenafstand"/>
        <w:spacing w:line="360" w:lineRule="auto"/>
        <w:jc w:val="both"/>
        <w:rPr>
          <w:lang w:val="en-US"/>
        </w:rPr>
      </w:pPr>
      <w:r w:rsidRPr="00EC1BBF">
        <w:rPr>
          <w:i/>
          <w:iCs/>
          <w:lang w:val="en-US"/>
        </w:rPr>
        <w:t>Equality in inter-firm and state-firm networks</w:t>
      </w:r>
      <w:r>
        <w:rPr>
          <w:lang w:val="en-US"/>
        </w:rPr>
        <w:t xml:space="preserve"> is measured by the amount of influence that one party has over the other. This can be the result of dominance because of an economic or political position. </w:t>
      </w:r>
      <w:r>
        <w:rPr>
          <w:lang w:val="en-US"/>
        </w:rPr>
        <w:lastRenderedPageBreak/>
        <w:t>This can be assessed by looking at the characteristics of the networks within a certain country. This includes the nature of the formal and informal ties, the scope of the respective networks and the transparency of the different networks. All these characteristics can be used to sum up the workings of these networks and whether they benefit certain parties or are based on equal relationships. The main sources that will be used are academic articles and analysis on networks in the respective countries.</w:t>
      </w:r>
    </w:p>
    <w:p w14:paraId="646F020F" w14:textId="77777777" w:rsidR="00AE4CE0" w:rsidRDefault="00AE4CE0" w:rsidP="00AE4CE0">
      <w:pPr>
        <w:pStyle w:val="Geenafstand"/>
        <w:spacing w:line="360" w:lineRule="auto"/>
        <w:jc w:val="both"/>
        <w:rPr>
          <w:lang w:val="en-US"/>
        </w:rPr>
      </w:pPr>
    </w:p>
    <w:p w14:paraId="11AEE520" w14:textId="77777777" w:rsidR="00AE4CE0" w:rsidRDefault="00AE4CE0" w:rsidP="00AE4CE0">
      <w:pPr>
        <w:pStyle w:val="Geenafstand"/>
        <w:spacing w:line="360" w:lineRule="auto"/>
        <w:jc w:val="both"/>
        <w:rPr>
          <w:lang w:val="en-US"/>
        </w:rPr>
      </w:pPr>
      <w:r w:rsidRPr="00EC1BBF">
        <w:rPr>
          <w:i/>
          <w:iCs/>
          <w:lang w:val="en-US"/>
        </w:rPr>
        <w:t>Privatization on the basis of the original public purpose in state property management</w:t>
      </w:r>
      <w:r>
        <w:rPr>
          <w:lang w:val="en-US"/>
        </w:rPr>
        <w:t xml:space="preserve"> is measured by the political and economic motivations behind it. There is a difference between privatization for public interest and private interest (often of a more opportunist nature). This can be done by assessing political, economic and social contexts behind a certain decision, as well as the development of the public sector as a whole. These contexts can then be used to determine the motivations behind privatization decisions. The main sources for this will be academic studies on the development of privations in the respective countries.  </w:t>
      </w:r>
    </w:p>
    <w:p w14:paraId="7D98B0C6" w14:textId="77777777" w:rsidR="00AE4CE0" w:rsidRPr="00FE5E5D" w:rsidRDefault="00AE4CE0" w:rsidP="00AE4CE0">
      <w:pPr>
        <w:pStyle w:val="Geenafstand"/>
        <w:spacing w:line="360" w:lineRule="auto"/>
        <w:jc w:val="both"/>
        <w:rPr>
          <w:lang w:val="en-US"/>
        </w:rPr>
      </w:pPr>
    </w:p>
    <w:p w14:paraId="65C285F4" w14:textId="77777777" w:rsidR="00AE4CE0" w:rsidRPr="00FE5E5D" w:rsidRDefault="00AE4CE0" w:rsidP="00AE4CE0">
      <w:pPr>
        <w:spacing w:line="360" w:lineRule="auto"/>
        <w:jc w:val="both"/>
        <w:rPr>
          <w:lang w:val="en-US"/>
        </w:rPr>
      </w:pPr>
      <w:r w:rsidRPr="00EC1BBF">
        <w:rPr>
          <w:i/>
          <w:iCs/>
          <w:lang w:val="en-US"/>
        </w:rPr>
        <w:t xml:space="preserve">Political stability in the socio-political context </w:t>
      </w:r>
      <w:r w:rsidRPr="008203FB">
        <w:rPr>
          <w:lang w:val="en-US"/>
        </w:rPr>
        <w:t>is measured b</w:t>
      </w:r>
      <w:r>
        <w:rPr>
          <w:lang w:val="en-US"/>
        </w:rPr>
        <w:t>y the number and length of governments that have been in power. Instability can lead to a premature end of cabinets and early elections as a consequence, while serving out the term can be the result of stability. Prolonged stability or instability in a country will affect development in the long term, as this will affect the reputation of the government. This in turn will make the government a less preferred partner or the country as a whole a less attractive place to conduct business. Next to the longevity of governments, the context also plays a role, as this will be used whether government shifts are the consequence of instability or have other causes. The main sources for this are political yearbooks for the dates and number of governments, as well as historical narrative books for the surrounding context.</w:t>
      </w:r>
    </w:p>
    <w:p w14:paraId="7299BC60" w14:textId="77777777" w:rsidR="00AE4CE0" w:rsidRPr="00475B88" w:rsidRDefault="00AE4CE0" w:rsidP="00AE4CE0">
      <w:pPr>
        <w:pStyle w:val="Geenafstand"/>
        <w:spacing w:line="360" w:lineRule="auto"/>
        <w:jc w:val="both"/>
        <w:rPr>
          <w:lang w:val="en-US"/>
        </w:rPr>
      </w:pPr>
    </w:p>
    <w:p w14:paraId="559099AD" w14:textId="276469DA" w:rsidR="00AE4CE0" w:rsidRDefault="00AE4CE0" w:rsidP="007C7610">
      <w:pPr>
        <w:spacing w:line="360" w:lineRule="auto"/>
        <w:jc w:val="both"/>
        <w:rPr>
          <w:lang w:val="en-US"/>
        </w:rPr>
      </w:pPr>
    </w:p>
    <w:p w14:paraId="523D882A" w14:textId="1BF9E9A5" w:rsidR="00AE4CE0" w:rsidRDefault="00AE4CE0" w:rsidP="007C7610">
      <w:pPr>
        <w:spacing w:line="360" w:lineRule="auto"/>
        <w:jc w:val="both"/>
        <w:rPr>
          <w:lang w:val="en-US"/>
        </w:rPr>
      </w:pPr>
    </w:p>
    <w:p w14:paraId="5D851BEE" w14:textId="568D741E" w:rsidR="00AE4CE0" w:rsidRDefault="00AE4CE0" w:rsidP="007C7610">
      <w:pPr>
        <w:spacing w:line="360" w:lineRule="auto"/>
        <w:jc w:val="both"/>
        <w:rPr>
          <w:lang w:val="en-US"/>
        </w:rPr>
      </w:pPr>
    </w:p>
    <w:p w14:paraId="0BAC8A01" w14:textId="7536F970" w:rsidR="00AE4CE0" w:rsidRDefault="00AE4CE0" w:rsidP="007C7610">
      <w:pPr>
        <w:spacing w:line="360" w:lineRule="auto"/>
        <w:jc w:val="both"/>
        <w:rPr>
          <w:lang w:val="en-US"/>
        </w:rPr>
      </w:pPr>
    </w:p>
    <w:p w14:paraId="51B0D80D" w14:textId="085D5234" w:rsidR="00AE4CE0" w:rsidRDefault="00AE4CE0" w:rsidP="007C7610">
      <w:pPr>
        <w:spacing w:line="360" w:lineRule="auto"/>
        <w:jc w:val="both"/>
        <w:rPr>
          <w:lang w:val="en-US"/>
        </w:rPr>
      </w:pPr>
    </w:p>
    <w:p w14:paraId="7254DF7C" w14:textId="77777777" w:rsidR="00AE4CE0" w:rsidRDefault="00AE4CE0" w:rsidP="00AE4CE0">
      <w:pPr>
        <w:pStyle w:val="Kop1"/>
        <w:spacing w:line="360" w:lineRule="auto"/>
        <w:rPr>
          <w:lang w:val="en-US"/>
        </w:rPr>
      </w:pPr>
      <w:bookmarkStart w:id="22" w:name="_Toc75401339"/>
      <w:r w:rsidRPr="00D26547">
        <w:rPr>
          <w:lang w:val="en-US"/>
        </w:rPr>
        <w:lastRenderedPageBreak/>
        <w:t>Chapter 3: Empirical Analysis</w:t>
      </w:r>
      <w:bookmarkEnd w:id="22"/>
    </w:p>
    <w:p w14:paraId="3D0E8811" w14:textId="77777777" w:rsidR="00AE4CE0" w:rsidRPr="005D2CE2" w:rsidRDefault="00AE4CE0" w:rsidP="00AE4CE0">
      <w:pPr>
        <w:spacing w:line="360" w:lineRule="auto"/>
        <w:jc w:val="both"/>
        <w:rPr>
          <w:lang w:val="en-US"/>
        </w:rPr>
      </w:pPr>
      <w:r>
        <w:rPr>
          <w:lang w:val="en-US"/>
        </w:rPr>
        <w:t xml:space="preserve">The phenomenon that will be analyzed in this chapter is the difference in economic development in Latvia and Bulgaria between 1992 and 2016. These are two countries that have started their economic transition from former Soviet (satellite) states to EU member states at the same time and with similar economic circumstances as points of departure, yet their development trajectories have turned out differently. Latvia has had one of the most successful transitions in terms of reform and economic performance, while Bulgaria falls behind every other EU member in multiple domains of economic development. These divergent paths will be analyzed and explained on the basis of differences in the degree of institutional complementarity, the central causal mechanism offered by the Varieties of capitalism approach (VOC). The logic of complementarity suggests synergetic benefits arising from the interplay and interdependence of multiple economic and political institutions within a country. The institutional complementarity will be assessed on the basis of six dimensions, which can be grouped together in the corporate or governmental sphere of institutions. There is also one dimension which overlaps within both spheres. These will each be discussed in the sections below, after which the interplay of these spheres will be summarized. Each of the sections will also discuss the economic trajectories of the respective countries within these spheres. The different paths that have been taken can then be analyzed, which will result in a reflection on what the implications are for the institutional complementarities. </w:t>
      </w:r>
    </w:p>
    <w:p w14:paraId="7186BCEE" w14:textId="6F9604D1" w:rsidR="00AE4CE0" w:rsidRPr="00CA65F1" w:rsidRDefault="00AE4CE0" w:rsidP="00AE4CE0">
      <w:pPr>
        <w:pStyle w:val="Bijschrift"/>
        <w:keepNext/>
        <w:jc w:val="both"/>
        <w:rPr>
          <w:sz w:val="24"/>
          <w:szCs w:val="24"/>
          <w:lang w:val="en-US"/>
        </w:rPr>
      </w:pPr>
      <w:r w:rsidRPr="00CA65F1">
        <w:rPr>
          <w:sz w:val="24"/>
          <w:szCs w:val="24"/>
          <w:lang w:val="en-US"/>
        </w:rPr>
        <w:t xml:space="preserve">Figure </w:t>
      </w:r>
      <w:r w:rsidR="002F6582">
        <w:rPr>
          <w:sz w:val="24"/>
          <w:szCs w:val="24"/>
          <w:lang w:val="en-US"/>
        </w:rPr>
        <w:t>3.1</w:t>
      </w:r>
      <w:r w:rsidRPr="00CA65F1">
        <w:rPr>
          <w:sz w:val="24"/>
          <w:szCs w:val="24"/>
          <w:lang w:val="en-US"/>
        </w:rPr>
        <w:t>: Research framework for institutional complementarity</w:t>
      </w:r>
    </w:p>
    <w:p w14:paraId="590ADE9C" w14:textId="77777777" w:rsidR="00AE4CE0" w:rsidRDefault="00AE4CE0" w:rsidP="00AE4CE0">
      <w:pPr>
        <w:keepNext/>
        <w:spacing w:line="360" w:lineRule="auto"/>
        <w:jc w:val="both"/>
      </w:pPr>
      <w:r>
        <w:rPr>
          <w:noProof/>
        </w:rPr>
        <mc:AlternateContent>
          <mc:Choice Requires="wps">
            <w:drawing>
              <wp:anchor distT="0" distB="0" distL="114300" distR="114300" simplePos="0" relativeHeight="251663360" behindDoc="0" locked="0" layoutInCell="1" allowOverlap="1" wp14:anchorId="597A45D6" wp14:editId="42D60247">
                <wp:simplePos x="0" y="0"/>
                <wp:positionH relativeFrom="column">
                  <wp:posOffset>2310130</wp:posOffset>
                </wp:positionH>
                <wp:positionV relativeFrom="paragraph">
                  <wp:posOffset>2063115</wp:posOffset>
                </wp:positionV>
                <wp:extent cx="1085850" cy="0"/>
                <wp:effectExtent l="0" t="0" r="0" b="0"/>
                <wp:wrapNone/>
                <wp:docPr id="4" name="Rechte verbindingslijn 4"/>
                <wp:cNvGraphicFramePr/>
                <a:graphic xmlns:a="http://schemas.openxmlformats.org/drawingml/2006/main">
                  <a:graphicData uri="http://schemas.microsoft.com/office/word/2010/wordprocessingShape">
                    <wps:wsp>
                      <wps:cNvCnPr/>
                      <wps:spPr>
                        <a:xfrm>
                          <a:off x="0" y="0"/>
                          <a:ext cx="1085850" cy="0"/>
                        </a:xfrm>
                        <a:prstGeom prst="line">
                          <a:avLst/>
                        </a:prstGeom>
                        <a:ln>
                          <a:solidFill>
                            <a:schemeClr val="accent1">
                              <a:lumMod val="60000"/>
                              <a:lumOff val="4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600C676" id="Rechte verbindingslijn 4"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181.9pt,162.45pt" to="267.4pt,16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" strokecolor="#8eaadb [1940]" strokeweight=".5pt">
                <v:stroke joinstyle="miter"/>
              </v:line>
            </w:pict>
          </mc:Fallback>
        </mc:AlternateContent>
      </w:r>
      <w:r w:rsidRPr="00103763">
        <w:rPr>
          <w:noProof/>
        </w:rPr>
        <mc:AlternateContent>
          <mc:Choice Requires="wps">
            <w:drawing>
              <wp:anchor distT="0" distB="0" distL="114300" distR="114300" simplePos="0" relativeHeight="251662336" behindDoc="0" locked="0" layoutInCell="1" allowOverlap="1" wp14:anchorId="272227F9" wp14:editId="64644E8D">
                <wp:simplePos x="0" y="0"/>
                <wp:positionH relativeFrom="column">
                  <wp:posOffset>2967355</wp:posOffset>
                </wp:positionH>
                <wp:positionV relativeFrom="paragraph">
                  <wp:posOffset>195580</wp:posOffset>
                </wp:positionV>
                <wp:extent cx="676275" cy="248285"/>
                <wp:effectExtent l="0" t="19050" r="47625" b="37465"/>
                <wp:wrapNone/>
                <wp:docPr id="5" name="Pijl: rechts 4">
                  <a:extLst xmlns:a="http://schemas.openxmlformats.org/drawingml/2006/main">
                    <a:ext uri="{FF2B5EF4-FFF2-40B4-BE49-F238E27FC236}">
                      <a16:creationId xmlns:a16="http://schemas.microsoft.com/office/drawing/2014/main" id="{63CC57CE-6E92-4D68-9BC9-2EA1639FC618}"/>
                    </a:ext>
                  </a:extLst>
                </wp:docPr>
                <wp:cNvGraphicFramePr/>
                <a:graphic xmlns:a="http://schemas.openxmlformats.org/drawingml/2006/main">
                  <a:graphicData uri="http://schemas.microsoft.com/office/word/2010/wordprocessingShape">
                    <wps:wsp>
                      <wps:cNvSpPr/>
                      <wps:spPr>
                        <a:xfrm>
                          <a:off x="0" y="0"/>
                          <a:ext cx="676275" cy="24828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shapetype w14:anchorId="0E348D40"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Pijl: rechts 4" o:spid="_x0000_s1026" type="#_x0000_t13" style="position:absolute;margin-left:233.65pt;margin-top:15.4pt;width:53.25pt;height:19.5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" adj="17635" fillcolor="#4472c4 [3204]" strokecolor="#1f3763 [1604]" strokeweight="1pt"/>
            </w:pict>
          </mc:Fallback>
        </mc:AlternateContent>
      </w:r>
      <w:r>
        <w:rPr>
          <w:noProof/>
          <w:lang w:val="en-US"/>
        </w:rPr>
        <w:drawing>
          <wp:inline distT="0" distB="0" distL="0" distR="0" wp14:anchorId="772661EB" wp14:editId="16876764">
            <wp:extent cx="5760720" cy="2771775"/>
            <wp:effectExtent l="0" t="0" r="0" b="9525"/>
            <wp:docPr id="7"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fbeelding 7"/>
                    <pic:cNvPicPr/>
                  </pic:nvPicPr>
                  <pic:blipFill rotWithShape="1">
                    <a:blip r:embed="rId10" cstate="print">
                      <a:extLst>
                        <a:ext uri="{28A0092B-C50C-407E-A947-70E740481C1C}">
                          <a14:useLocalDpi xmlns:a14="http://schemas.microsoft.com/office/drawing/2010/main" val="0"/>
                        </a:ext>
                      </a:extLst>
                    </a:blip>
                    <a:srcRect b="16603"/>
                    <a:stretch/>
                  </pic:blipFill>
                  <pic:spPr bwMode="auto">
                    <a:xfrm>
                      <a:off x="0" y="0"/>
                      <a:ext cx="5760720" cy="2771775"/>
                    </a:xfrm>
                    <a:prstGeom prst="rect">
                      <a:avLst/>
                    </a:prstGeom>
                    <a:ln>
                      <a:noFill/>
                    </a:ln>
                    <a:extLst>
                      <a:ext uri="{53640926-AAD7-44D8-BBD7-CCE9431645EC}">
                        <a14:shadowObscured xmlns:a14="http://schemas.microsoft.com/office/drawing/2010/main"/>
                      </a:ext>
                    </a:extLst>
                  </pic:spPr>
                </pic:pic>
              </a:graphicData>
            </a:graphic>
          </wp:inline>
        </w:drawing>
      </w:r>
    </w:p>
    <w:p w14:paraId="1C6DB947" w14:textId="4886D314" w:rsidR="001666AE" w:rsidRDefault="00AE4CE0" w:rsidP="001666AE">
      <w:pPr>
        <w:pStyle w:val="Bijschrift"/>
        <w:jc w:val="both"/>
        <w:rPr>
          <w:sz w:val="22"/>
          <w:szCs w:val="22"/>
          <w:lang w:val="en-US"/>
        </w:rPr>
      </w:pPr>
      <w:r w:rsidRPr="004458FF">
        <w:rPr>
          <w:sz w:val="22"/>
          <w:szCs w:val="22"/>
          <w:lang w:val="en-US"/>
        </w:rPr>
        <w:t xml:space="preserve">Sources: Hall &amp; Soskice, 2001; </w:t>
      </w:r>
      <w:proofErr w:type="spellStart"/>
      <w:r w:rsidRPr="004458FF">
        <w:rPr>
          <w:sz w:val="22"/>
          <w:szCs w:val="22"/>
          <w:lang w:val="en-US"/>
        </w:rPr>
        <w:t>Schoenman</w:t>
      </w:r>
      <w:proofErr w:type="spellEnd"/>
      <w:r w:rsidRPr="004458FF">
        <w:rPr>
          <w:sz w:val="22"/>
          <w:szCs w:val="22"/>
          <w:lang w:val="en-US"/>
        </w:rPr>
        <w:t xml:space="preserve">, 2014; </w:t>
      </w:r>
      <w:proofErr w:type="spellStart"/>
      <w:r w:rsidRPr="004458FF">
        <w:rPr>
          <w:sz w:val="22"/>
          <w:szCs w:val="22"/>
          <w:lang w:val="en-US"/>
        </w:rPr>
        <w:t>Szanyi</w:t>
      </w:r>
      <w:proofErr w:type="spellEnd"/>
      <w:r w:rsidRPr="004458FF">
        <w:rPr>
          <w:sz w:val="22"/>
          <w:szCs w:val="22"/>
          <w:lang w:val="en-US"/>
        </w:rPr>
        <w:t>, 2019.</w:t>
      </w:r>
      <w:bookmarkStart w:id="23" w:name="_Toc75401340"/>
    </w:p>
    <w:p w14:paraId="775C7610" w14:textId="77777777" w:rsidR="001666AE" w:rsidRPr="001666AE" w:rsidRDefault="001666AE" w:rsidP="001666AE">
      <w:pPr>
        <w:rPr>
          <w:lang w:val="en-US"/>
        </w:rPr>
      </w:pPr>
    </w:p>
    <w:p w14:paraId="6C1CB330" w14:textId="07ECA474" w:rsidR="00AE4CE0" w:rsidRDefault="00AE4CE0" w:rsidP="00AE4CE0">
      <w:pPr>
        <w:pStyle w:val="Kop3"/>
        <w:rPr>
          <w:lang w:val="en-US"/>
        </w:rPr>
      </w:pPr>
      <w:r w:rsidRPr="00D83C3B">
        <w:rPr>
          <w:lang w:val="en-US"/>
        </w:rPr>
        <w:lastRenderedPageBreak/>
        <w:t>3.1 Industrial &amp; Workforce Relations</w:t>
      </w:r>
      <w:bookmarkEnd w:id="23"/>
    </w:p>
    <w:p w14:paraId="24131F9E" w14:textId="77777777" w:rsidR="00AE4CE0" w:rsidRPr="00B131FC" w:rsidRDefault="00AE4CE0" w:rsidP="00AE4CE0">
      <w:pPr>
        <w:rPr>
          <w:lang w:val="en-US"/>
        </w:rPr>
      </w:pPr>
    </w:p>
    <w:p w14:paraId="0CB0A886" w14:textId="77777777" w:rsidR="00AE4CE0" w:rsidRDefault="00AE4CE0" w:rsidP="00AE4CE0">
      <w:pPr>
        <w:spacing w:line="360" w:lineRule="auto"/>
        <w:jc w:val="both"/>
        <w:rPr>
          <w:lang w:val="en-US"/>
        </w:rPr>
      </w:pPr>
      <w:r>
        <w:rPr>
          <w:lang w:val="en-US"/>
        </w:rPr>
        <w:t>The industrial and workforce relations in Latvia and Bulgaria can be summed up in trade union membership, collective bargaining structures, workforce representation and financial participation. Firstly, when looking at the labor union membership in both countries, there can be stated that both countries have a relatively low union density. This has remained constant over the entire period 1992-2016, with only small fluctuations. This is because both countries saw a large drop in union membership after abandoning socialism in 1990-1991. At the end of the period the union density in Bulgaria attributes to 20% of the workforce and in Latvia this is even lower, at 13% (Visser, 2019). When looking at the functioning of the labor unions, Latvia has one labor union, who aside from negotiating power, has relatively little power in shaping industrial relations (Fuller, 2020). In contrast, Bulgaria has two labor unions, who operate separately from each other but maintain good relations. They also maintain advisory relations with the Bulgarian Socialist Party, who was in government multiple times. This gives the labor unions, aside from their power in social negotiations, also political sway with the government (Dimitrov, 2018).</w:t>
      </w:r>
    </w:p>
    <w:p w14:paraId="703DD207" w14:textId="77777777" w:rsidR="00AE4CE0" w:rsidRDefault="00AE4CE0" w:rsidP="00AE4CE0">
      <w:pPr>
        <w:spacing w:line="360" w:lineRule="auto"/>
        <w:jc w:val="both"/>
        <w:rPr>
          <w:lang w:val="en-US"/>
        </w:rPr>
      </w:pPr>
      <w:r>
        <w:rPr>
          <w:lang w:val="en-US"/>
        </w:rPr>
        <w:t xml:space="preserve">Secondly, the corporate bargaining coverage in Latvia and Bulgaria are on similar levels, with 34% and 30% respectively in 2016 (Visser, 2019). The difference is that the collective bargaining structure in Latvia is much more minimalist than in Bulgaria (Dimitrov, 2018). The Latvian law allows for representation and agreements on industry, organization and regional level, but only the first two options are used. The Latvian law also includes provisions to extend specific organizational agreements to the whole industry, given that such an organization is an influential and large enough part of the sector. However, these legal provisions are hardly used (Müller et al., 2019). This results in significantly differing the social positions of workers between various private industries and also within the public sector. On a national level, the main collective bargaining element that applies to everyone is the minimum wage. However, in 2016 negotiations have started between the government, the labor union and major firms to reform the fragmented regulations to one uniform system. In practice, this means that any expansion of collective bargaining outside of the minimum wage is still far away, as reforms have been stagnant over the entire period (Fuller, 2020). In Bulgaria, collective bargaining was continued in the communist tradition and therefore saw small changes since 1992 (Dimitrov, 2018). There are three levels on which negotiations are undertaken. These are: industry, company and municipal levels. While this is similar to the Latvian levels, the major difference here is that all three levels are used and primarily serve to complement workers’ rights. There is often friction between labor unions and employers about what to cover in collective bargaining as there are no national provisions to do so. This results in a labor code that is not always interpreted the same way in </w:t>
      </w:r>
      <w:r>
        <w:rPr>
          <w:lang w:val="en-US"/>
        </w:rPr>
        <w:lastRenderedPageBreak/>
        <w:t>negotiations. An example is that smaller corporations often forgo their obligation to include their personnel in collective bargaining as they can do so by not having any union structure. Therefore, the field of collective bargaining is fragmented in a similar way as in Latvia (Müller et al., 2019).</w:t>
      </w:r>
    </w:p>
    <w:p w14:paraId="0EAF3CF9" w14:textId="1A8BEBAE" w:rsidR="00AE4CE0" w:rsidRDefault="00AE4CE0" w:rsidP="00AE4CE0">
      <w:pPr>
        <w:spacing w:line="360" w:lineRule="auto"/>
        <w:jc w:val="both"/>
        <w:rPr>
          <w:lang w:val="en-US"/>
        </w:rPr>
      </w:pPr>
      <w:r>
        <w:rPr>
          <w:lang w:val="en-US"/>
        </w:rPr>
        <w:t>Thirdly, worker representation in both countries is primary done by the labor unions. These organization elect representatives which handle business on their behalf. However, this representation is not applicable in every case, as there are a lot of regional varieties. In addition to this, there are also other forms present in both countries. In Latvia, there are also forms of employee representation. This is a representative within the organization that acts on the behalf of their co-workers. Yet, only 9% of registered working places, public or private, has such a representative that is active. Something which shows that this option is not used much (Fuller, 2020). In Bulgaria, there is a similar construction. Here, the amount of employee representatives is double that of Latvia, at 20%. However, relative to the EU average of 32%, this is still not very high. The final form of representation is on the board level, but contrary to some EU members, both Latvia and Bulgaria do not have any options for workers to gain a representative on corporate boards (Dimitrov, 2018). Lastly, there is the financial participation of workers in their workplace. In Bulgaria, there is the option of employee ownership. This is a construction in which workers can opt to hold shares and become an owner of their workplace. This is a continuation of the voucher system of privatization that was used in the 1990s. Despite the long usage of employee ownership, it is not a popular option under workers. Instead, shares are often bought by executives</w:t>
      </w:r>
      <w:r w:rsidR="001735F5">
        <w:rPr>
          <w:lang w:val="en-US"/>
        </w:rPr>
        <w:t xml:space="preserve"> (Visser, 2019).</w:t>
      </w:r>
      <w:r>
        <w:rPr>
          <w:lang w:val="en-US"/>
        </w:rPr>
        <w:t xml:space="preserve"> Next to this, there also the option to establish cooperatives, something which exists as part of the Bulgarian tradition and is thus used in a more common fashion. In contrast, Latvia does not have any forms of employee ownership. This form was abolished after independence in the 1990s. Rather, there is no dominant form of financial participation except from acquiring them on financial markets. The only exception to this is that cooperatives exist in Latvia, but they are relatively rare on a national scale (</w:t>
      </w:r>
      <w:proofErr w:type="spellStart"/>
      <w:r>
        <w:rPr>
          <w:lang w:val="en-US"/>
        </w:rPr>
        <w:t>Mygind</w:t>
      </w:r>
      <w:proofErr w:type="spellEnd"/>
      <w:r>
        <w:rPr>
          <w:lang w:val="en-US"/>
        </w:rPr>
        <w:t>, 2012).</w:t>
      </w:r>
    </w:p>
    <w:p w14:paraId="73C2DB9E" w14:textId="4CEEC637" w:rsidR="00AE4CE0" w:rsidRPr="0057446A" w:rsidRDefault="002F6582" w:rsidP="00AE4CE0">
      <w:pPr>
        <w:pStyle w:val="Bijschrift"/>
        <w:keepNext/>
        <w:rPr>
          <w:sz w:val="22"/>
          <w:szCs w:val="22"/>
          <w:lang w:val="en-US"/>
        </w:rPr>
      </w:pPr>
      <w:bookmarkStart w:id="24" w:name="_Hlk75400153"/>
      <w:r>
        <w:rPr>
          <w:sz w:val="22"/>
          <w:szCs w:val="22"/>
          <w:lang w:val="en-US"/>
        </w:rPr>
        <w:t>Table</w:t>
      </w:r>
      <w:r w:rsidR="00AE4CE0" w:rsidRPr="0057446A">
        <w:rPr>
          <w:sz w:val="22"/>
          <w:szCs w:val="22"/>
          <w:lang w:val="en-US"/>
        </w:rPr>
        <w:t xml:space="preserve"> </w:t>
      </w:r>
      <w:r>
        <w:rPr>
          <w:sz w:val="22"/>
          <w:szCs w:val="22"/>
          <w:lang w:val="en-US"/>
        </w:rPr>
        <w:t>3.2</w:t>
      </w:r>
      <w:r w:rsidR="00AE4CE0" w:rsidRPr="0057446A">
        <w:rPr>
          <w:sz w:val="22"/>
          <w:szCs w:val="22"/>
          <w:lang w:val="en-US"/>
        </w:rPr>
        <w:t>: Overview of National L</w:t>
      </w:r>
      <w:r w:rsidR="00AE4CE0">
        <w:rPr>
          <w:sz w:val="22"/>
          <w:szCs w:val="22"/>
          <w:lang w:val="en-US"/>
        </w:rPr>
        <w:t>abor &amp; Workforce Relations</w:t>
      </w:r>
    </w:p>
    <w:bookmarkEnd w:id="24"/>
    <w:tbl>
      <w:tblPr>
        <w:tblStyle w:val="Tabelraster"/>
        <w:tblW w:w="0" w:type="auto"/>
        <w:tblLook w:val="04A0" w:firstRow="1" w:lastRow="0" w:firstColumn="1" w:lastColumn="0" w:noHBand="0" w:noVBand="1"/>
      </w:tblPr>
      <w:tblGrid>
        <w:gridCol w:w="3114"/>
        <w:gridCol w:w="2835"/>
        <w:gridCol w:w="3113"/>
      </w:tblGrid>
      <w:tr w:rsidR="00AE4CE0" w14:paraId="47F94B2A" w14:textId="77777777" w:rsidTr="00E715B4">
        <w:tc>
          <w:tcPr>
            <w:tcW w:w="3114" w:type="dxa"/>
          </w:tcPr>
          <w:p w14:paraId="15704153" w14:textId="77777777" w:rsidR="00AE4CE0" w:rsidRDefault="00AE4CE0" w:rsidP="00E715B4">
            <w:pPr>
              <w:spacing w:line="360" w:lineRule="auto"/>
              <w:jc w:val="both"/>
              <w:rPr>
                <w:lang w:val="en-US"/>
              </w:rPr>
            </w:pPr>
          </w:p>
        </w:tc>
        <w:tc>
          <w:tcPr>
            <w:tcW w:w="2835" w:type="dxa"/>
          </w:tcPr>
          <w:p w14:paraId="0E86C99F" w14:textId="77777777" w:rsidR="00AE4CE0" w:rsidRPr="008A0BE6" w:rsidRDefault="00AE4CE0" w:rsidP="00E715B4">
            <w:pPr>
              <w:spacing w:line="360" w:lineRule="auto"/>
              <w:jc w:val="both"/>
              <w:rPr>
                <w:b/>
                <w:bCs/>
                <w:lang w:val="en-US"/>
              </w:rPr>
            </w:pPr>
            <w:r w:rsidRPr="008A0BE6">
              <w:rPr>
                <w:b/>
                <w:bCs/>
                <w:lang w:val="en-US"/>
              </w:rPr>
              <w:t>Latvia</w:t>
            </w:r>
          </w:p>
        </w:tc>
        <w:tc>
          <w:tcPr>
            <w:tcW w:w="3113" w:type="dxa"/>
          </w:tcPr>
          <w:p w14:paraId="63F1A2A4" w14:textId="77777777" w:rsidR="00AE4CE0" w:rsidRPr="008A0BE6" w:rsidRDefault="00AE4CE0" w:rsidP="00E715B4">
            <w:pPr>
              <w:spacing w:line="360" w:lineRule="auto"/>
              <w:jc w:val="both"/>
              <w:rPr>
                <w:b/>
                <w:bCs/>
                <w:lang w:val="en-US"/>
              </w:rPr>
            </w:pPr>
            <w:r w:rsidRPr="008A0BE6">
              <w:rPr>
                <w:b/>
                <w:bCs/>
                <w:lang w:val="en-US"/>
              </w:rPr>
              <w:t>Bulgaria</w:t>
            </w:r>
          </w:p>
        </w:tc>
      </w:tr>
      <w:tr w:rsidR="00AE4CE0" w14:paraId="24DDBA81" w14:textId="77777777" w:rsidTr="00E715B4">
        <w:tc>
          <w:tcPr>
            <w:tcW w:w="3114" w:type="dxa"/>
          </w:tcPr>
          <w:p w14:paraId="41C55F14" w14:textId="77777777" w:rsidR="00AE4CE0" w:rsidRPr="008A0BE6" w:rsidRDefault="00AE4CE0" w:rsidP="00E715B4">
            <w:pPr>
              <w:spacing w:line="360" w:lineRule="auto"/>
              <w:jc w:val="both"/>
              <w:rPr>
                <w:b/>
                <w:bCs/>
                <w:lang w:val="en-US"/>
              </w:rPr>
            </w:pPr>
            <w:r w:rsidRPr="008A0BE6">
              <w:rPr>
                <w:b/>
                <w:bCs/>
                <w:lang w:val="en-US"/>
              </w:rPr>
              <w:t>Trade Union Influence</w:t>
            </w:r>
          </w:p>
        </w:tc>
        <w:tc>
          <w:tcPr>
            <w:tcW w:w="2835" w:type="dxa"/>
          </w:tcPr>
          <w:p w14:paraId="4BDD4D6B" w14:textId="77777777" w:rsidR="00AE4CE0" w:rsidRDefault="00AE4CE0" w:rsidP="00E715B4">
            <w:pPr>
              <w:spacing w:line="360" w:lineRule="auto"/>
              <w:jc w:val="both"/>
              <w:rPr>
                <w:lang w:val="en-US"/>
              </w:rPr>
            </w:pPr>
            <w:r>
              <w:rPr>
                <w:lang w:val="en-US"/>
              </w:rPr>
              <w:t>Low</w:t>
            </w:r>
          </w:p>
        </w:tc>
        <w:tc>
          <w:tcPr>
            <w:tcW w:w="3113" w:type="dxa"/>
          </w:tcPr>
          <w:p w14:paraId="03EFE2D5" w14:textId="77777777" w:rsidR="00AE4CE0" w:rsidRDefault="00AE4CE0" w:rsidP="00E715B4">
            <w:pPr>
              <w:spacing w:line="360" w:lineRule="auto"/>
              <w:jc w:val="both"/>
              <w:rPr>
                <w:lang w:val="en-US"/>
              </w:rPr>
            </w:pPr>
            <w:r>
              <w:rPr>
                <w:lang w:val="en-US"/>
              </w:rPr>
              <w:t>Intermediate</w:t>
            </w:r>
          </w:p>
        </w:tc>
      </w:tr>
      <w:tr w:rsidR="00AE4CE0" w14:paraId="116AD89D" w14:textId="77777777" w:rsidTr="00E715B4">
        <w:tc>
          <w:tcPr>
            <w:tcW w:w="3114" w:type="dxa"/>
          </w:tcPr>
          <w:p w14:paraId="6948B862" w14:textId="77777777" w:rsidR="00AE4CE0" w:rsidRPr="008A0BE6" w:rsidRDefault="00AE4CE0" w:rsidP="00E715B4">
            <w:pPr>
              <w:spacing w:line="360" w:lineRule="auto"/>
              <w:jc w:val="both"/>
              <w:rPr>
                <w:b/>
                <w:bCs/>
                <w:lang w:val="en-US"/>
              </w:rPr>
            </w:pPr>
            <w:r w:rsidRPr="008A0BE6">
              <w:rPr>
                <w:b/>
                <w:bCs/>
                <w:lang w:val="en-US"/>
              </w:rPr>
              <w:t>Collective Bargaining</w:t>
            </w:r>
          </w:p>
        </w:tc>
        <w:tc>
          <w:tcPr>
            <w:tcW w:w="2835" w:type="dxa"/>
          </w:tcPr>
          <w:p w14:paraId="25D6796B" w14:textId="77777777" w:rsidR="00AE4CE0" w:rsidRDefault="00AE4CE0" w:rsidP="00E715B4">
            <w:pPr>
              <w:spacing w:line="360" w:lineRule="auto"/>
              <w:jc w:val="both"/>
              <w:rPr>
                <w:lang w:val="en-US"/>
              </w:rPr>
            </w:pPr>
            <w:r>
              <w:rPr>
                <w:lang w:val="en-US"/>
              </w:rPr>
              <w:t>Fragmented</w:t>
            </w:r>
          </w:p>
        </w:tc>
        <w:tc>
          <w:tcPr>
            <w:tcW w:w="3113" w:type="dxa"/>
          </w:tcPr>
          <w:p w14:paraId="2FFCD457" w14:textId="77777777" w:rsidR="00AE4CE0" w:rsidRDefault="00AE4CE0" w:rsidP="00E715B4">
            <w:pPr>
              <w:spacing w:line="360" w:lineRule="auto"/>
              <w:jc w:val="both"/>
              <w:rPr>
                <w:lang w:val="en-US"/>
              </w:rPr>
            </w:pPr>
            <w:r>
              <w:rPr>
                <w:lang w:val="en-US"/>
              </w:rPr>
              <w:t>Fragmented</w:t>
            </w:r>
          </w:p>
        </w:tc>
      </w:tr>
      <w:tr w:rsidR="00AE4CE0" w14:paraId="12938DB6" w14:textId="77777777" w:rsidTr="00E715B4">
        <w:tc>
          <w:tcPr>
            <w:tcW w:w="3114" w:type="dxa"/>
          </w:tcPr>
          <w:p w14:paraId="4B04ABB1" w14:textId="77777777" w:rsidR="00AE4CE0" w:rsidRPr="008A0BE6" w:rsidRDefault="00AE4CE0" w:rsidP="00E715B4">
            <w:pPr>
              <w:spacing w:line="360" w:lineRule="auto"/>
              <w:jc w:val="both"/>
              <w:rPr>
                <w:b/>
                <w:bCs/>
                <w:lang w:val="en-US"/>
              </w:rPr>
            </w:pPr>
            <w:r w:rsidRPr="008A0BE6">
              <w:rPr>
                <w:b/>
                <w:bCs/>
                <w:lang w:val="en-US"/>
              </w:rPr>
              <w:t>Worker Representation Options</w:t>
            </w:r>
          </w:p>
        </w:tc>
        <w:tc>
          <w:tcPr>
            <w:tcW w:w="2835" w:type="dxa"/>
          </w:tcPr>
          <w:p w14:paraId="0D3B8909" w14:textId="77777777" w:rsidR="00AE4CE0" w:rsidRDefault="00AE4CE0" w:rsidP="00E715B4">
            <w:pPr>
              <w:spacing w:line="360" w:lineRule="auto"/>
              <w:jc w:val="both"/>
              <w:rPr>
                <w:lang w:val="en-US"/>
              </w:rPr>
            </w:pPr>
            <w:r>
              <w:rPr>
                <w:lang w:val="en-US"/>
              </w:rPr>
              <w:t>Rarely used</w:t>
            </w:r>
          </w:p>
        </w:tc>
        <w:tc>
          <w:tcPr>
            <w:tcW w:w="3113" w:type="dxa"/>
          </w:tcPr>
          <w:p w14:paraId="4004C8AE" w14:textId="77777777" w:rsidR="00AE4CE0" w:rsidRDefault="00AE4CE0" w:rsidP="00E715B4">
            <w:pPr>
              <w:spacing w:line="360" w:lineRule="auto"/>
              <w:jc w:val="both"/>
              <w:rPr>
                <w:lang w:val="en-US"/>
              </w:rPr>
            </w:pPr>
            <w:r>
              <w:rPr>
                <w:lang w:val="en-US"/>
              </w:rPr>
              <w:t>Sometimes used</w:t>
            </w:r>
          </w:p>
        </w:tc>
      </w:tr>
      <w:tr w:rsidR="00AE4CE0" w14:paraId="0256C727" w14:textId="77777777" w:rsidTr="00E715B4">
        <w:tc>
          <w:tcPr>
            <w:tcW w:w="3114" w:type="dxa"/>
          </w:tcPr>
          <w:p w14:paraId="41B03212" w14:textId="77777777" w:rsidR="00AE4CE0" w:rsidRPr="008A0BE6" w:rsidRDefault="00AE4CE0" w:rsidP="00E715B4">
            <w:pPr>
              <w:spacing w:line="360" w:lineRule="auto"/>
              <w:jc w:val="both"/>
              <w:rPr>
                <w:b/>
                <w:bCs/>
                <w:lang w:val="en-US"/>
              </w:rPr>
            </w:pPr>
            <w:r w:rsidRPr="008A0BE6">
              <w:rPr>
                <w:b/>
                <w:bCs/>
                <w:lang w:val="en-US"/>
              </w:rPr>
              <w:t>Financial Participation</w:t>
            </w:r>
          </w:p>
        </w:tc>
        <w:tc>
          <w:tcPr>
            <w:tcW w:w="2835" w:type="dxa"/>
          </w:tcPr>
          <w:p w14:paraId="1F7DA3CC" w14:textId="77777777" w:rsidR="00AE4CE0" w:rsidRDefault="00AE4CE0" w:rsidP="00E715B4">
            <w:pPr>
              <w:spacing w:line="360" w:lineRule="auto"/>
              <w:jc w:val="both"/>
              <w:rPr>
                <w:lang w:val="en-US"/>
              </w:rPr>
            </w:pPr>
            <w:r>
              <w:rPr>
                <w:lang w:val="en-US"/>
              </w:rPr>
              <w:t>No employee specific options</w:t>
            </w:r>
          </w:p>
        </w:tc>
        <w:tc>
          <w:tcPr>
            <w:tcW w:w="3113" w:type="dxa"/>
          </w:tcPr>
          <w:p w14:paraId="320198FC" w14:textId="77777777" w:rsidR="00AE4CE0" w:rsidRDefault="00AE4CE0" w:rsidP="00E715B4">
            <w:pPr>
              <w:keepNext/>
              <w:spacing w:line="360" w:lineRule="auto"/>
              <w:jc w:val="both"/>
              <w:rPr>
                <w:lang w:val="en-US"/>
              </w:rPr>
            </w:pPr>
            <w:r>
              <w:rPr>
                <w:lang w:val="en-US"/>
              </w:rPr>
              <w:t>Some employee specific options</w:t>
            </w:r>
          </w:p>
        </w:tc>
      </w:tr>
    </w:tbl>
    <w:p w14:paraId="5622E135" w14:textId="77777777" w:rsidR="00AE4CE0" w:rsidRPr="0057446A" w:rsidRDefault="00AE4CE0" w:rsidP="00AE4CE0">
      <w:pPr>
        <w:pStyle w:val="Bijschrift"/>
        <w:rPr>
          <w:lang w:val="en-US"/>
        </w:rPr>
      </w:pPr>
      <w:r w:rsidRPr="0057446A">
        <w:rPr>
          <w:lang w:val="en-US"/>
        </w:rPr>
        <w:t>Sources: Dimitrov, 2018; Fulton, 2020; Müller et</w:t>
      </w:r>
      <w:r>
        <w:rPr>
          <w:lang w:val="en-US"/>
        </w:rPr>
        <w:t xml:space="preserve"> al., 2019; </w:t>
      </w:r>
      <w:proofErr w:type="spellStart"/>
      <w:r>
        <w:rPr>
          <w:lang w:val="en-US"/>
        </w:rPr>
        <w:t>Mygind</w:t>
      </w:r>
      <w:proofErr w:type="spellEnd"/>
      <w:r>
        <w:rPr>
          <w:lang w:val="en-US"/>
        </w:rPr>
        <w:t>, 2012.</w:t>
      </w:r>
    </w:p>
    <w:p w14:paraId="4A8A4F03" w14:textId="53E55C89" w:rsidR="00AE4CE0" w:rsidRPr="00936A51" w:rsidRDefault="00AE4CE0" w:rsidP="001666AE">
      <w:pPr>
        <w:spacing w:line="360" w:lineRule="auto"/>
        <w:jc w:val="both"/>
        <w:rPr>
          <w:lang w:val="en-US"/>
        </w:rPr>
      </w:pPr>
      <w:r>
        <w:rPr>
          <w:lang w:val="en-US"/>
        </w:rPr>
        <w:t xml:space="preserve">From the above figure, it can be stated that both Latvia and Bulgaria have relatively asymmetric industrial and workforce relations. With the situation in both countries being better for employers than </w:t>
      </w:r>
      <w:r>
        <w:rPr>
          <w:lang w:val="en-US"/>
        </w:rPr>
        <w:lastRenderedPageBreak/>
        <w:t xml:space="preserve">for employees, however it cannot be determined whether this leads to more economic development, because of the small differences between Latvia and Bulgaria. Additionally, this has to do with the nature of the relations, which can both positively and negatively affect development. This also means that the hypothesis is rejected, </w:t>
      </w:r>
      <w:r w:rsidRPr="00B131FC">
        <w:rPr>
          <w:i/>
          <w:iCs/>
          <w:lang w:val="en-US"/>
        </w:rPr>
        <w:t>as there is no indication that more asymmetry in labor relations results in more economic development</w:t>
      </w:r>
      <w:r>
        <w:rPr>
          <w:lang w:val="en-US"/>
        </w:rPr>
        <w:t xml:space="preserve"> in either country.</w:t>
      </w:r>
    </w:p>
    <w:p w14:paraId="3705F9B6" w14:textId="77777777" w:rsidR="00AE4CE0" w:rsidRDefault="00AE4CE0" w:rsidP="00AE4CE0">
      <w:pPr>
        <w:pStyle w:val="Kop3"/>
        <w:rPr>
          <w:lang w:val="en-US"/>
        </w:rPr>
      </w:pPr>
      <w:bookmarkStart w:id="25" w:name="_Toc75401341"/>
      <w:r>
        <w:rPr>
          <w:lang w:val="en-US"/>
        </w:rPr>
        <w:t>3.2 Corporate Governance</w:t>
      </w:r>
      <w:bookmarkEnd w:id="25"/>
    </w:p>
    <w:p w14:paraId="7B4989DD" w14:textId="77777777" w:rsidR="00AE4CE0" w:rsidRPr="00B131FC" w:rsidRDefault="00AE4CE0" w:rsidP="001666AE">
      <w:pPr>
        <w:pStyle w:val="Geenafstand"/>
        <w:rPr>
          <w:lang w:val="en-US"/>
        </w:rPr>
      </w:pPr>
    </w:p>
    <w:p w14:paraId="4F3ADFD1" w14:textId="77777777" w:rsidR="00AE4CE0" w:rsidRDefault="00AE4CE0" w:rsidP="00AE4CE0">
      <w:pPr>
        <w:spacing w:line="360" w:lineRule="auto"/>
        <w:jc w:val="both"/>
        <w:rPr>
          <w:lang w:val="en-US"/>
        </w:rPr>
      </w:pPr>
      <w:r>
        <w:rPr>
          <w:lang w:val="en-US"/>
        </w:rPr>
        <w:t xml:space="preserve">Traditional forms of corporate governance can best be defined by the oldest forms of corporations. Next to state owned property, family businesses in a country often have a long history and have a specific culture within them. Both Bulgaria and Latvia have a significant number of family businesses within their borders. In Bulgaria, 70% of registered firms can be considered family business, while in Latvia this is 58%. In comparison with other EU member states, Bulgaria is around the average of 73%, while Latvia is among the bottom three (only Sweden and Lithuania have lower percentages) (European Commission, 2016). The large majority of family businesses are small and medium sized </w:t>
      </w:r>
      <w:proofErr w:type="gramStart"/>
      <w:r>
        <w:rPr>
          <w:lang w:val="en-US"/>
        </w:rPr>
        <w:t>firms,</w:t>
      </w:r>
      <w:proofErr w:type="gramEnd"/>
      <w:r>
        <w:rPr>
          <w:lang w:val="en-US"/>
        </w:rPr>
        <w:t xml:space="preserve"> however some large firms exist in both countries. When looking at the legal definition of family business, both countries have different qualifications of what it entails. (European Commission, 2016). The Bulgarian definition is that it must be run by at least a second-generation family member or that these persons must at least be a majority owner. While the Latvian definition is that the family must completely own the firm. In addition to this difference in conception, another difference in these countries lies in the conduct and regulations in these countries (Austrian Institute for SME Research, 2009). Both definitions allow for considerable leeway for families to enact power over the firm, resulting in a rather strict grip. This, in combination with the low amount of influence of other bodies of representation allows the corporate structure to be regulated primarily by legal provisions, such as transparency requirements (European Commission, 2016).</w:t>
      </w:r>
    </w:p>
    <w:p w14:paraId="20A92A92" w14:textId="1701564A" w:rsidR="00AE4CE0" w:rsidRDefault="00AE4CE0" w:rsidP="00AE4CE0">
      <w:pPr>
        <w:spacing w:line="360" w:lineRule="auto"/>
        <w:jc w:val="both"/>
        <w:rPr>
          <w:lang w:val="en-US"/>
        </w:rPr>
      </w:pPr>
      <w:r>
        <w:rPr>
          <w:lang w:val="en-US"/>
        </w:rPr>
        <w:t xml:space="preserve">The Bulgarian regulations on family business is rather open, particularly on financial transparency. Therefore, family businesses do not have to give financial information to external parties and are reserved on these matters. Nonetheless, government data shows that the main financial sources are family savings and loans from relatives. By being predominately reliant on close partners, it can be noted that Bulgarian family businesses are averse to financial dependency on external financial partners and the transparency that comes with it (Austrian Institute for SME Research, 2009). This is also a continuation of the tradition that comes with family business in Bulgaria. Because of their reserved nature, there also a limited interest from national (public) financial observers. Instead, family businesses are viewed as an extension of family privacy and therefore subject to little scrutiny. There also the Bulgarian family business association, which functions as a representative of groups of firms </w:t>
      </w:r>
      <w:r>
        <w:rPr>
          <w:lang w:val="en-US"/>
        </w:rPr>
        <w:lastRenderedPageBreak/>
        <w:t>that have specific issues and interests to addre</w:t>
      </w:r>
      <w:r w:rsidR="001735F5">
        <w:rPr>
          <w:lang w:val="en-US"/>
        </w:rPr>
        <w:t>ss (</w:t>
      </w:r>
      <w:proofErr w:type="spellStart"/>
      <w:r w:rsidR="001735F5">
        <w:rPr>
          <w:lang w:val="en-US"/>
        </w:rPr>
        <w:t>Mygind</w:t>
      </w:r>
      <w:proofErr w:type="spellEnd"/>
      <w:r w:rsidR="001735F5">
        <w:rPr>
          <w:lang w:val="en-US"/>
        </w:rPr>
        <w:t>, 2012)</w:t>
      </w:r>
      <w:r>
        <w:rPr>
          <w:lang w:val="en-US"/>
        </w:rPr>
        <w:t xml:space="preserve">. Another aspect of Bulgarian family business is that they do not necessarily account for family subsistence. This means that the family often has other side activities to sustain itself apart from running the firm. An estimation is that only 40% of family business in Bulgaria fully sustain the family that runs it. In the other 60% of the cases, there is some side-activity that the firms partake in or at least have some connection to. (Austrian Institute for SME Research, 2009). </w:t>
      </w:r>
    </w:p>
    <w:p w14:paraId="14D2EE1F" w14:textId="6CD8700B" w:rsidR="00AE4CE0" w:rsidRDefault="00AE4CE0" w:rsidP="00AE4CE0">
      <w:pPr>
        <w:spacing w:line="360" w:lineRule="auto"/>
        <w:jc w:val="both"/>
        <w:rPr>
          <w:lang w:val="en-US"/>
        </w:rPr>
      </w:pPr>
      <w:r>
        <w:rPr>
          <w:lang w:val="en-US"/>
        </w:rPr>
        <w:t xml:space="preserve">The situation is different in Latvia, where family businesses do not have a prominent role in society as they have in the Bulgarian culture. The contrast here is that family businesses are not seen as an extension of tradition, but rather as part of the transition process. Therefore, family businesses were only (re)established in the 1990s. This allows for a different treatment within society, as they are seen solely as an economic entity and less as an extension of family dealings (OECD, 2017a). Something which is also reflected in the regulations, which are less forgiving and open than in Bulgaria. Family businesses are not treated as a specific type of firm and are also not represented as an interest group. Rather, the aspect of family business is seen as a detail and not something important. These firms must meet the same demands for transparency as every other firm and are monitored in the same way as every other corporation. This is formally the same in Bulgaria, but informally different. This position as common firm has led to family businesses often modernizing their executive structure to meet government and EU standards. Any traditional role of family business is thus not present in Latvia. Therefore, family businesses start out in a similar position as every other firm in the country (European Commission, 2016). </w:t>
      </w:r>
    </w:p>
    <w:p w14:paraId="7B05CEE2" w14:textId="77777777" w:rsidR="00AE4CE0" w:rsidRPr="00C27E1A" w:rsidRDefault="00AE4CE0" w:rsidP="00AE4CE0">
      <w:pPr>
        <w:spacing w:line="360" w:lineRule="auto"/>
        <w:jc w:val="both"/>
        <w:rPr>
          <w:lang w:val="en-US"/>
        </w:rPr>
      </w:pPr>
      <w:r>
        <w:rPr>
          <w:lang w:val="en-US"/>
        </w:rPr>
        <w:t xml:space="preserve">The way family businesses operate in both countries shows the ability and regulations of these different countries to modernize their corporate governance structure. While Bulgaria seems to be more traditional in the sense that family businesses need to be preserved, Latvia does not share this sentiment. This leads to different economic visions on these firms, and by extension on corporate governance. In Bulgaria, family businesses enjoy a certain informal leniency with regard to economic transparency, as well as having a representative body. This gives them a different position than non-family businesses (Austrian Institute for SME Research, 2009). In Latvia, this difference does not exist, as all requirements and rules apply to all firms in an equal manner. Therefore, the modernization process of firms towards EU standard is further developed in this country. Furthermore, it also indicates that the position of family businesses in these respective countries allows for different developments in national corporate government structures (European Commission, 2016). This also reflects on the economic development in these countries, as more modern corporate governance structures benefit the development. Thus, it can be stated that </w:t>
      </w:r>
      <w:r w:rsidRPr="00112517">
        <w:rPr>
          <w:i/>
          <w:iCs/>
          <w:lang w:val="en-US"/>
        </w:rPr>
        <w:t xml:space="preserve">more traditional forms of government </w:t>
      </w:r>
      <w:r w:rsidRPr="00112517">
        <w:rPr>
          <w:i/>
          <w:iCs/>
          <w:lang w:val="en-US"/>
        </w:rPr>
        <w:lastRenderedPageBreak/>
        <w:t>negatively impact the development in these countries</w:t>
      </w:r>
      <w:r>
        <w:rPr>
          <w:lang w:val="en-US"/>
        </w:rPr>
        <w:t>. This means that the hypothesis is accepted on grounds of these results.</w:t>
      </w:r>
    </w:p>
    <w:p w14:paraId="28DEBA13" w14:textId="77777777" w:rsidR="00AE4CE0" w:rsidRDefault="00AE4CE0" w:rsidP="00AE4CE0">
      <w:pPr>
        <w:pStyle w:val="Kop3"/>
        <w:rPr>
          <w:lang w:val="en-US"/>
        </w:rPr>
      </w:pPr>
      <w:bookmarkStart w:id="26" w:name="_Toc75401342"/>
      <w:r>
        <w:rPr>
          <w:lang w:val="en-US"/>
        </w:rPr>
        <w:t>3.3 Vocational Training &amp; Education</w:t>
      </w:r>
      <w:bookmarkEnd w:id="26"/>
    </w:p>
    <w:p w14:paraId="03953C0E" w14:textId="77777777" w:rsidR="00AE4CE0" w:rsidRPr="00B131FC" w:rsidRDefault="00AE4CE0" w:rsidP="001666AE">
      <w:pPr>
        <w:pStyle w:val="Geenafstand"/>
        <w:rPr>
          <w:lang w:val="en-US"/>
        </w:rPr>
      </w:pPr>
    </w:p>
    <w:p w14:paraId="0F2D8DB3" w14:textId="06984DA8" w:rsidR="00AE4CE0" w:rsidRDefault="00AE4CE0" w:rsidP="00AE4CE0">
      <w:pPr>
        <w:spacing w:line="360" w:lineRule="auto"/>
        <w:jc w:val="both"/>
        <w:rPr>
          <w:lang w:val="en-US"/>
        </w:rPr>
      </w:pPr>
      <w:r>
        <w:rPr>
          <w:lang w:val="en-US"/>
        </w:rPr>
        <w:t>When looking at the education in Latvia and Bulgaria, it is important to assess the division of labor in various sectors of the economy. From there, the division in high and low skilled labor within a country can reflect on the potential for economic development. Firstly, when looking at the division of labor in Latvia and Bulgaria there are three sectors of note. In Latvia, the largest share of labor is working in the services sector at around 68%. The second biggest sector is the industrial sector, in which around 23% of the workforce is employed. Lastly, the agriculture sector has around 7% of the jobs in the country (OECD, 2017b). The situation in Bulgaria is different, with 63% working in the in services sector, 30% in industry and 7% in agriculture. These numbers apply to the formal sector only. In addition to formalized forms of labor, there is also a sizeable informal sector in both countries. Bulgaria has the largest informal sector in the EU, at 30% of GDP, while Latvia is fourth at 23% (Romania and Estonia are in between)</w:t>
      </w:r>
      <w:r w:rsidR="00F67F60">
        <w:rPr>
          <w:lang w:val="en-US"/>
        </w:rPr>
        <w:t xml:space="preserve"> (OECD, 2017b). </w:t>
      </w:r>
      <w:r>
        <w:rPr>
          <w:lang w:val="en-US"/>
        </w:rPr>
        <w:t>In Bulgaria, informal labor is estimated to be construction work (35%), agriculture (17%), small retail (13%), personal services (13%), with the rest (22%) being mostly seasonal tourism related jobs</w:t>
      </w:r>
      <w:r w:rsidRPr="006E5154">
        <w:rPr>
          <w:lang w:val="en-US"/>
        </w:rPr>
        <w:t xml:space="preserve"> </w:t>
      </w:r>
      <w:r>
        <w:rPr>
          <w:lang w:val="en-US"/>
        </w:rPr>
        <w:t xml:space="preserve">(OECD, 2021). For the Latvian informal sector, no such estimations are available, but informal activities are projected to be primarily low-skill construction jobs. </w:t>
      </w:r>
    </w:p>
    <w:p w14:paraId="61A1D0BC" w14:textId="21ADBCBE" w:rsidR="00AE4CE0" w:rsidRDefault="00AE4CE0" w:rsidP="00AE4CE0">
      <w:pPr>
        <w:spacing w:line="360" w:lineRule="auto"/>
        <w:jc w:val="both"/>
        <w:rPr>
          <w:lang w:val="en-US"/>
        </w:rPr>
      </w:pPr>
      <w:r>
        <w:rPr>
          <w:lang w:val="en-US"/>
        </w:rPr>
        <w:t xml:space="preserve">Secondly, when looking at the education level in both countries, there is a similarity in the proportion between low and high skilled education. In Bulgaria, about 83% of the workforce has completed secondary education, compared to 88% of the Latvian workforce </w:t>
      </w:r>
      <w:r w:rsidR="00F67F60">
        <w:rPr>
          <w:lang w:val="en-US"/>
        </w:rPr>
        <w:t>(</w:t>
      </w:r>
      <w:proofErr w:type="spellStart"/>
      <w:r w:rsidR="00F67F60">
        <w:rPr>
          <w:lang w:val="en-US"/>
        </w:rPr>
        <w:t>Bergseng</w:t>
      </w:r>
      <w:proofErr w:type="spellEnd"/>
      <w:r w:rsidR="00F67F60">
        <w:rPr>
          <w:lang w:val="en-US"/>
        </w:rPr>
        <w:t>, 2019)</w:t>
      </w:r>
      <w:r w:rsidR="00F67F60">
        <w:rPr>
          <w:lang w:val="en-US"/>
        </w:rPr>
        <w:t xml:space="preserve">. </w:t>
      </w:r>
      <w:r>
        <w:rPr>
          <w:lang w:val="en-US"/>
        </w:rPr>
        <w:t>These are two of the highest in the EU, and is considered the minimum qualification for entering the labor market. The continuation from secondary to tertiary education is 17% in Latvia and only 3% in Bulgaria. These numbers exclude students that study abroad (OECD, 2016</w:t>
      </w:r>
      <w:r w:rsidR="00F67F60">
        <w:rPr>
          <w:lang w:val="en-US"/>
        </w:rPr>
        <w:t>)</w:t>
      </w:r>
      <w:r>
        <w:rPr>
          <w:lang w:val="en-US"/>
        </w:rPr>
        <w:t>. This also reflects in the employment rate in both countries. In Latvia, 88% of people, either with or without tertiary education find jobs, while in Bulgaria this is only 67%. A final remark is that both the workforces of Latvia and Bulgaria are shrinking due to emigration to other EU member states. These emigrants mostly concern high-skilled laborers that are unable to find a suitable job in their own country. This affects their future in both countries, opting instead to find a job in other EU members that offer more perspective and certainty (</w:t>
      </w:r>
      <w:proofErr w:type="spellStart"/>
      <w:r>
        <w:rPr>
          <w:lang w:val="en-US"/>
        </w:rPr>
        <w:t>Bergseng</w:t>
      </w:r>
      <w:proofErr w:type="spellEnd"/>
      <w:r>
        <w:rPr>
          <w:lang w:val="en-US"/>
        </w:rPr>
        <w:t>, 2019).</w:t>
      </w:r>
    </w:p>
    <w:p w14:paraId="17D1ABCB" w14:textId="3A9CF268" w:rsidR="00AE4CE0" w:rsidRDefault="00AE4CE0" w:rsidP="00AE4CE0">
      <w:pPr>
        <w:spacing w:line="360" w:lineRule="auto"/>
        <w:jc w:val="both"/>
        <w:rPr>
          <w:lang w:val="en-US"/>
        </w:rPr>
      </w:pPr>
      <w:r>
        <w:rPr>
          <w:lang w:val="en-US"/>
        </w:rPr>
        <w:t xml:space="preserve">From the above information can be observed that both countries have a mismatch between the education in the country and the demand for jobs. Especially in Bulgaria, the most jobs in the country require low-skilled labor. Therefore, there is less incentive to pursue higher education. Instead, those who do so often study abroad in order to create a foundation for their chosen profession in another </w:t>
      </w:r>
      <w:r>
        <w:rPr>
          <w:lang w:val="en-US"/>
        </w:rPr>
        <w:lastRenderedPageBreak/>
        <w:t>part of the EU and find a job there. This is also true for Latvia, but as this country has a bit more demand for high-skilled labor, the problem is less stringent here</w:t>
      </w:r>
      <w:r w:rsidR="00013428">
        <w:rPr>
          <w:lang w:val="en-US"/>
        </w:rPr>
        <w:t xml:space="preserve"> </w:t>
      </w:r>
      <w:r w:rsidR="00013428">
        <w:rPr>
          <w:lang w:val="en-US"/>
        </w:rPr>
        <w:t>(OECD, 2021)</w:t>
      </w:r>
      <w:r>
        <w:rPr>
          <w:lang w:val="en-US"/>
        </w:rPr>
        <w:t>. Another factor is the large size of the informal sector in both countries. Informal labor is often low-skilled, and the presence of a large informal demand for low-skilled atop the formal demand, further affects the already low demand for high-skilled labor. While this attributes to a larger diversity for low-skilled labor, these are not the jobs that have the most effect on economic development (OECD, 2017b</w:t>
      </w:r>
      <w:r w:rsidR="00013428">
        <w:rPr>
          <w:lang w:val="en-US"/>
        </w:rPr>
        <w:t>)</w:t>
      </w:r>
      <w:r>
        <w:rPr>
          <w:lang w:val="en-US"/>
        </w:rPr>
        <w:t>. While the market for high-skilled labor seems saturated in both countries, this does not have to be the case in the future. If this happens, then both Bulgaria and Latvia would encounter scarcity for these high-skilled labor positions. In the current economies, high-skilled labor is only employed in the public sector and in some aspects of the services sector. The agriculture sector in both countries is almost completely dependent on low-skilled labor, and the industry sector often has their high-skill labor subsidiaries in other countries. Therefore, the diversity in high-skilled labor positions is rather limited. The creation of these jobs in a country is fundamentally important for further economic development. This means that this will most likely be a detrimental factor for the development of the economy in both Bulgaria and Latvia (</w:t>
      </w:r>
      <w:proofErr w:type="spellStart"/>
      <w:r>
        <w:rPr>
          <w:lang w:val="en-US"/>
        </w:rPr>
        <w:t>Bergseng</w:t>
      </w:r>
      <w:proofErr w:type="spellEnd"/>
      <w:r>
        <w:rPr>
          <w:lang w:val="en-US"/>
        </w:rPr>
        <w:t>, 2019; OECD, 2016).</w:t>
      </w:r>
    </w:p>
    <w:p w14:paraId="61B84903" w14:textId="20AFDF6D" w:rsidR="00AE4CE0" w:rsidRPr="00EF34EA" w:rsidRDefault="002F6582" w:rsidP="00AE4CE0">
      <w:pPr>
        <w:pStyle w:val="Bijschrift"/>
        <w:keepNext/>
        <w:rPr>
          <w:sz w:val="22"/>
          <w:szCs w:val="22"/>
          <w:lang w:val="en-US"/>
        </w:rPr>
      </w:pPr>
      <w:bookmarkStart w:id="27" w:name="_Hlk75400250"/>
      <w:r>
        <w:rPr>
          <w:sz w:val="22"/>
          <w:szCs w:val="22"/>
          <w:lang w:val="en-US"/>
        </w:rPr>
        <w:t>Table</w:t>
      </w:r>
      <w:r w:rsidR="00AE4CE0" w:rsidRPr="00EF34EA">
        <w:rPr>
          <w:sz w:val="22"/>
          <w:szCs w:val="22"/>
          <w:lang w:val="en-US"/>
        </w:rPr>
        <w:t xml:space="preserve"> 3</w:t>
      </w:r>
      <w:r>
        <w:rPr>
          <w:sz w:val="22"/>
          <w:szCs w:val="22"/>
          <w:lang w:val="en-US"/>
        </w:rPr>
        <w:t>.2</w:t>
      </w:r>
      <w:r w:rsidR="00AE4CE0" w:rsidRPr="00EF34EA">
        <w:rPr>
          <w:sz w:val="22"/>
          <w:szCs w:val="22"/>
          <w:lang w:val="en-US"/>
        </w:rPr>
        <w:t>: Overview of the L</w:t>
      </w:r>
      <w:r w:rsidR="00AE4CE0">
        <w:rPr>
          <w:sz w:val="22"/>
          <w:szCs w:val="22"/>
          <w:lang w:val="en-US"/>
        </w:rPr>
        <w:t xml:space="preserve">abor and Education Diversity </w:t>
      </w:r>
    </w:p>
    <w:bookmarkEnd w:id="27"/>
    <w:tbl>
      <w:tblPr>
        <w:tblStyle w:val="Tabelraster"/>
        <w:tblW w:w="0" w:type="auto"/>
        <w:tblLook w:val="04A0" w:firstRow="1" w:lastRow="0" w:firstColumn="1" w:lastColumn="0" w:noHBand="0" w:noVBand="1"/>
      </w:tblPr>
      <w:tblGrid>
        <w:gridCol w:w="3114"/>
        <w:gridCol w:w="2927"/>
        <w:gridCol w:w="3021"/>
      </w:tblGrid>
      <w:tr w:rsidR="00AE4CE0" w14:paraId="7EE40F3C" w14:textId="77777777" w:rsidTr="00E715B4">
        <w:tc>
          <w:tcPr>
            <w:tcW w:w="3114" w:type="dxa"/>
          </w:tcPr>
          <w:p w14:paraId="75D5CFC1" w14:textId="77777777" w:rsidR="00AE4CE0" w:rsidRDefault="00AE4CE0" w:rsidP="00E715B4">
            <w:pPr>
              <w:spacing w:line="360" w:lineRule="auto"/>
              <w:jc w:val="both"/>
              <w:rPr>
                <w:lang w:val="en-US"/>
              </w:rPr>
            </w:pPr>
          </w:p>
        </w:tc>
        <w:tc>
          <w:tcPr>
            <w:tcW w:w="2927" w:type="dxa"/>
          </w:tcPr>
          <w:p w14:paraId="26900CE3" w14:textId="77777777" w:rsidR="00AE4CE0" w:rsidRPr="00E7205F" w:rsidRDefault="00AE4CE0" w:rsidP="00E715B4">
            <w:pPr>
              <w:spacing w:line="360" w:lineRule="auto"/>
              <w:jc w:val="both"/>
              <w:rPr>
                <w:b/>
                <w:bCs/>
                <w:lang w:val="en-US"/>
              </w:rPr>
            </w:pPr>
            <w:r w:rsidRPr="00E7205F">
              <w:rPr>
                <w:b/>
                <w:bCs/>
                <w:lang w:val="en-US"/>
              </w:rPr>
              <w:t>Latvia</w:t>
            </w:r>
          </w:p>
        </w:tc>
        <w:tc>
          <w:tcPr>
            <w:tcW w:w="3021" w:type="dxa"/>
          </w:tcPr>
          <w:p w14:paraId="7F4B17FC" w14:textId="77777777" w:rsidR="00AE4CE0" w:rsidRPr="00E7205F" w:rsidRDefault="00AE4CE0" w:rsidP="00E715B4">
            <w:pPr>
              <w:spacing w:line="360" w:lineRule="auto"/>
              <w:jc w:val="both"/>
              <w:rPr>
                <w:b/>
                <w:bCs/>
                <w:lang w:val="en-US"/>
              </w:rPr>
            </w:pPr>
            <w:r w:rsidRPr="00E7205F">
              <w:rPr>
                <w:b/>
                <w:bCs/>
                <w:lang w:val="en-US"/>
              </w:rPr>
              <w:t>Bulgaria</w:t>
            </w:r>
          </w:p>
        </w:tc>
      </w:tr>
      <w:tr w:rsidR="00AE4CE0" w14:paraId="4B28EDF5" w14:textId="77777777" w:rsidTr="00E715B4">
        <w:tc>
          <w:tcPr>
            <w:tcW w:w="3114" w:type="dxa"/>
          </w:tcPr>
          <w:p w14:paraId="0E297832" w14:textId="77777777" w:rsidR="00AE4CE0" w:rsidRPr="00E7205F" w:rsidRDefault="00AE4CE0" w:rsidP="00E715B4">
            <w:pPr>
              <w:spacing w:line="360" w:lineRule="auto"/>
              <w:jc w:val="both"/>
              <w:rPr>
                <w:b/>
                <w:bCs/>
                <w:lang w:val="en-US"/>
              </w:rPr>
            </w:pPr>
            <w:r w:rsidRPr="00E7205F">
              <w:rPr>
                <w:b/>
                <w:bCs/>
                <w:lang w:val="en-US"/>
              </w:rPr>
              <w:t>Formal Labor Market Diversity</w:t>
            </w:r>
          </w:p>
        </w:tc>
        <w:tc>
          <w:tcPr>
            <w:tcW w:w="2927" w:type="dxa"/>
          </w:tcPr>
          <w:p w14:paraId="67F4D254" w14:textId="77777777" w:rsidR="00AE4CE0" w:rsidRDefault="00AE4CE0" w:rsidP="00E715B4">
            <w:pPr>
              <w:spacing w:line="360" w:lineRule="auto"/>
              <w:jc w:val="both"/>
              <w:rPr>
                <w:lang w:val="en-US"/>
              </w:rPr>
            </w:pPr>
            <w:r>
              <w:rPr>
                <w:lang w:val="en-US"/>
              </w:rPr>
              <w:t>Some high-skilled, mostly low</w:t>
            </w:r>
          </w:p>
        </w:tc>
        <w:tc>
          <w:tcPr>
            <w:tcW w:w="3021" w:type="dxa"/>
          </w:tcPr>
          <w:p w14:paraId="3635DB40" w14:textId="77777777" w:rsidR="00AE4CE0" w:rsidRDefault="00AE4CE0" w:rsidP="00E715B4">
            <w:pPr>
              <w:spacing w:line="360" w:lineRule="auto"/>
              <w:jc w:val="both"/>
              <w:rPr>
                <w:lang w:val="en-US"/>
              </w:rPr>
            </w:pPr>
            <w:r>
              <w:rPr>
                <w:lang w:val="en-US"/>
              </w:rPr>
              <w:t>Predominately Low-skilled</w:t>
            </w:r>
          </w:p>
        </w:tc>
      </w:tr>
      <w:tr w:rsidR="00AE4CE0" w14:paraId="6E2DEB0C" w14:textId="77777777" w:rsidTr="00E715B4">
        <w:tc>
          <w:tcPr>
            <w:tcW w:w="3114" w:type="dxa"/>
          </w:tcPr>
          <w:p w14:paraId="7C3DA352" w14:textId="77777777" w:rsidR="00AE4CE0" w:rsidRPr="00E7205F" w:rsidRDefault="00AE4CE0" w:rsidP="00E715B4">
            <w:pPr>
              <w:spacing w:line="360" w:lineRule="auto"/>
              <w:jc w:val="both"/>
              <w:rPr>
                <w:b/>
                <w:bCs/>
                <w:lang w:val="en-US"/>
              </w:rPr>
            </w:pPr>
            <w:r w:rsidRPr="00E7205F">
              <w:rPr>
                <w:b/>
                <w:bCs/>
                <w:lang w:val="en-US"/>
              </w:rPr>
              <w:t>Education Diversity</w:t>
            </w:r>
          </w:p>
        </w:tc>
        <w:tc>
          <w:tcPr>
            <w:tcW w:w="2927" w:type="dxa"/>
          </w:tcPr>
          <w:p w14:paraId="63AF8064" w14:textId="77777777" w:rsidR="00AE4CE0" w:rsidRDefault="00AE4CE0" w:rsidP="00E715B4">
            <w:pPr>
              <w:spacing w:line="360" w:lineRule="auto"/>
              <w:jc w:val="both"/>
              <w:rPr>
                <w:lang w:val="en-US"/>
              </w:rPr>
            </w:pPr>
            <w:r>
              <w:rPr>
                <w:lang w:val="en-US"/>
              </w:rPr>
              <w:t>Both High and Low skilled</w:t>
            </w:r>
          </w:p>
        </w:tc>
        <w:tc>
          <w:tcPr>
            <w:tcW w:w="3021" w:type="dxa"/>
          </w:tcPr>
          <w:p w14:paraId="5EDD630E" w14:textId="77777777" w:rsidR="00AE4CE0" w:rsidRDefault="00AE4CE0" w:rsidP="00E715B4">
            <w:pPr>
              <w:spacing w:line="360" w:lineRule="auto"/>
              <w:jc w:val="both"/>
              <w:rPr>
                <w:lang w:val="en-US"/>
              </w:rPr>
            </w:pPr>
            <w:r>
              <w:rPr>
                <w:lang w:val="en-US"/>
              </w:rPr>
              <w:t>Predominately Low-skilled</w:t>
            </w:r>
          </w:p>
        </w:tc>
      </w:tr>
      <w:tr w:rsidR="00AE4CE0" w14:paraId="4AC48C7B" w14:textId="77777777" w:rsidTr="00E715B4">
        <w:tc>
          <w:tcPr>
            <w:tcW w:w="3114" w:type="dxa"/>
          </w:tcPr>
          <w:p w14:paraId="729F18D4" w14:textId="77777777" w:rsidR="00AE4CE0" w:rsidRPr="00E7205F" w:rsidRDefault="00AE4CE0" w:rsidP="00E715B4">
            <w:pPr>
              <w:spacing w:line="360" w:lineRule="auto"/>
              <w:jc w:val="both"/>
              <w:rPr>
                <w:b/>
                <w:bCs/>
                <w:lang w:val="en-US"/>
              </w:rPr>
            </w:pPr>
            <w:r w:rsidRPr="00E7205F">
              <w:rPr>
                <w:b/>
                <w:bCs/>
                <w:lang w:val="en-US"/>
              </w:rPr>
              <w:t>Informal Labor Market Diversity</w:t>
            </w:r>
          </w:p>
        </w:tc>
        <w:tc>
          <w:tcPr>
            <w:tcW w:w="2927" w:type="dxa"/>
          </w:tcPr>
          <w:p w14:paraId="5C886564" w14:textId="77777777" w:rsidR="00AE4CE0" w:rsidRDefault="00AE4CE0" w:rsidP="00E715B4">
            <w:pPr>
              <w:spacing w:line="360" w:lineRule="auto"/>
              <w:jc w:val="both"/>
              <w:rPr>
                <w:lang w:val="en-US"/>
              </w:rPr>
            </w:pPr>
            <w:r>
              <w:rPr>
                <w:lang w:val="en-US"/>
              </w:rPr>
              <w:t>Predominately Low-skilled</w:t>
            </w:r>
          </w:p>
        </w:tc>
        <w:tc>
          <w:tcPr>
            <w:tcW w:w="3021" w:type="dxa"/>
          </w:tcPr>
          <w:p w14:paraId="77A68837" w14:textId="77777777" w:rsidR="00AE4CE0" w:rsidRDefault="00AE4CE0" w:rsidP="00E715B4">
            <w:pPr>
              <w:keepNext/>
              <w:spacing w:line="360" w:lineRule="auto"/>
              <w:jc w:val="both"/>
              <w:rPr>
                <w:lang w:val="en-US"/>
              </w:rPr>
            </w:pPr>
            <w:r>
              <w:rPr>
                <w:lang w:val="en-US"/>
              </w:rPr>
              <w:t>Predominately Low-skilled</w:t>
            </w:r>
          </w:p>
        </w:tc>
      </w:tr>
    </w:tbl>
    <w:p w14:paraId="714E371A" w14:textId="77777777" w:rsidR="00AE4CE0" w:rsidRDefault="00AE4CE0" w:rsidP="00AE4CE0">
      <w:pPr>
        <w:pStyle w:val="Bijschrift"/>
        <w:rPr>
          <w:lang w:val="en-US"/>
        </w:rPr>
      </w:pPr>
      <w:r w:rsidRPr="00EF34EA">
        <w:rPr>
          <w:lang w:val="en-US"/>
        </w:rPr>
        <w:t xml:space="preserve">Sources: </w:t>
      </w:r>
      <w:proofErr w:type="spellStart"/>
      <w:r w:rsidRPr="00EF34EA">
        <w:rPr>
          <w:lang w:val="en-US"/>
        </w:rPr>
        <w:t>Bergseng</w:t>
      </w:r>
      <w:proofErr w:type="spellEnd"/>
      <w:r w:rsidRPr="00EF34EA">
        <w:rPr>
          <w:lang w:val="en-US"/>
        </w:rPr>
        <w:t>, 2019; OECD, 2016; OECD, 2017</w:t>
      </w:r>
      <w:r>
        <w:rPr>
          <w:lang w:val="en-US"/>
        </w:rPr>
        <w:t>b</w:t>
      </w:r>
      <w:r w:rsidRPr="00EF34EA">
        <w:rPr>
          <w:lang w:val="en-US"/>
        </w:rPr>
        <w:t>; OECD, 2021.</w:t>
      </w:r>
    </w:p>
    <w:p w14:paraId="60A4DA47" w14:textId="77777777" w:rsidR="00AE4CE0" w:rsidRDefault="00AE4CE0" w:rsidP="00AE4CE0">
      <w:pPr>
        <w:spacing w:line="360" w:lineRule="auto"/>
        <w:jc w:val="both"/>
        <w:rPr>
          <w:lang w:val="en-US"/>
        </w:rPr>
      </w:pPr>
      <w:r>
        <w:rPr>
          <w:lang w:val="en-US"/>
        </w:rPr>
        <w:t xml:space="preserve">The diversity of labor demand in both countries is two-faced. On the one hand, both countries enjoy a large diversity of low-skilled labor. This is due to the nature of their economy and the presence of a large informal sector. But on the other hand, the diversity of high-skilled labor positions is rather limited. This mismatch between supply and demand for high-skilled labor will impede the position of these countries to further develop in the future. Of the two, Bulgaria is worse off and will see considerable challenges with regard to economic development. Thus, there can be said that </w:t>
      </w:r>
      <w:r w:rsidRPr="00112517">
        <w:rPr>
          <w:i/>
          <w:iCs/>
          <w:lang w:val="en-US"/>
        </w:rPr>
        <w:t>a greater diversity of labor will result in higher economic development</w:t>
      </w:r>
      <w:r>
        <w:rPr>
          <w:lang w:val="en-US"/>
        </w:rPr>
        <w:t>. This means that this hypothesis can be accepted based on these results.</w:t>
      </w:r>
    </w:p>
    <w:p w14:paraId="2F56BD1F" w14:textId="77777777" w:rsidR="00AE4CE0" w:rsidRDefault="00AE4CE0" w:rsidP="00AE4CE0">
      <w:pPr>
        <w:spacing w:line="360" w:lineRule="auto"/>
        <w:jc w:val="both"/>
        <w:rPr>
          <w:lang w:val="en-US"/>
        </w:rPr>
      </w:pPr>
    </w:p>
    <w:p w14:paraId="2DA2143F" w14:textId="77777777" w:rsidR="00AE4CE0" w:rsidRDefault="00AE4CE0" w:rsidP="00AE4CE0">
      <w:pPr>
        <w:spacing w:line="360" w:lineRule="auto"/>
        <w:jc w:val="both"/>
        <w:rPr>
          <w:lang w:val="en-US"/>
        </w:rPr>
      </w:pPr>
    </w:p>
    <w:p w14:paraId="3DEF8164" w14:textId="77777777" w:rsidR="00AE4CE0" w:rsidRPr="00F14786" w:rsidRDefault="00AE4CE0" w:rsidP="00AE4CE0">
      <w:pPr>
        <w:spacing w:line="360" w:lineRule="auto"/>
        <w:jc w:val="both"/>
        <w:rPr>
          <w:lang w:val="en-US"/>
        </w:rPr>
      </w:pPr>
    </w:p>
    <w:p w14:paraId="28439E44" w14:textId="77777777" w:rsidR="00AE4CE0" w:rsidRDefault="00AE4CE0" w:rsidP="00AE4CE0">
      <w:pPr>
        <w:pStyle w:val="Kop3"/>
        <w:rPr>
          <w:lang w:val="en-US"/>
        </w:rPr>
      </w:pPr>
      <w:bookmarkStart w:id="28" w:name="_Toc75401343"/>
      <w:r w:rsidRPr="00D83C3B">
        <w:rPr>
          <w:lang w:val="en-US"/>
        </w:rPr>
        <w:lastRenderedPageBreak/>
        <w:t>3.</w:t>
      </w:r>
      <w:r>
        <w:rPr>
          <w:lang w:val="en-US"/>
        </w:rPr>
        <w:t>4</w:t>
      </w:r>
      <w:r w:rsidRPr="00D83C3B">
        <w:rPr>
          <w:lang w:val="en-US"/>
        </w:rPr>
        <w:t xml:space="preserve"> Inter-firm</w:t>
      </w:r>
      <w:r>
        <w:rPr>
          <w:lang w:val="en-US"/>
        </w:rPr>
        <w:t xml:space="preserve"> &amp; Firm-State Networks</w:t>
      </w:r>
      <w:bookmarkEnd w:id="28"/>
    </w:p>
    <w:p w14:paraId="451B4E60" w14:textId="77777777" w:rsidR="00AE4CE0" w:rsidRPr="00B131FC" w:rsidRDefault="00AE4CE0" w:rsidP="001666AE">
      <w:pPr>
        <w:pStyle w:val="Geenafstand"/>
        <w:rPr>
          <w:lang w:val="en-US"/>
        </w:rPr>
      </w:pPr>
    </w:p>
    <w:p w14:paraId="439A9124" w14:textId="77777777" w:rsidR="00AE4CE0" w:rsidRDefault="00AE4CE0" w:rsidP="00AE4CE0">
      <w:pPr>
        <w:spacing w:line="360" w:lineRule="auto"/>
        <w:jc w:val="both"/>
        <w:rPr>
          <w:lang w:val="en-US"/>
        </w:rPr>
      </w:pPr>
      <w:r>
        <w:rPr>
          <w:lang w:val="en-US"/>
        </w:rPr>
        <w:t>The difference between state-firm and inter-firm interactions in Latvia and Bulgaria is determined by the level of closeness within network structures. In this regard, closeness can be both formal and informal ties between corporate and state institutions. These two countries have varying approaches to the way they conduct their ties and interaction within a network. How these interactions and relationships were established has to do with tradition and power relationships. The interplay and distribution of formal and informal relationships is also dependent on the amount of transparency and political decision making. This differs significantly between the two countries (</w:t>
      </w:r>
      <w:proofErr w:type="spellStart"/>
      <w:r>
        <w:rPr>
          <w:lang w:val="en-US"/>
        </w:rPr>
        <w:t>Schoenman</w:t>
      </w:r>
      <w:proofErr w:type="spellEnd"/>
      <w:r>
        <w:rPr>
          <w:lang w:val="en-US"/>
        </w:rPr>
        <w:t>, 2014).</w:t>
      </w:r>
    </w:p>
    <w:p w14:paraId="1BBEEADF" w14:textId="6A71A4CE" w:rsidR="00AE4CE0" w:rsidRDefault="00AE4CE0" w:rsidP="00AE4CE0">
      <w:pPr>
        <w:spacing w:line="360" w:lineRule="auto"/>
        <w:jc w:val="both"/>
        <w:rPr>
          <w:lang w:val="en-US"/>
        </w:rPr>
      </w:pPr>
      <w:r>
        <w:rPr>
          <w:lang w:val="en-US"/>
        </w:rPr>
        <w:t xml:space="preserve">In Bulgaria, there is a mix between formal and informal ties. But when looking more closely at the interactions, it becomes apparent that the informal ties are more significant in determining the relationships within networks. This has to do with transition process in Bulgaria. In the beginning of this process (1992), the state was still the determining factor in shaping the economy and firms within. Therefore, the people close to those in power often had links with state-owned enterprise. Outside of this, there were a few groups of industrial firms that maintained formal supply relations, but the network of interactions was mostly limited to these small clusters and the big state-led concentration of interactions (Kolev, 2012). This changed during the transitions, during the 2000s there were three main types. The first kind were industrial clusters of firms that operated on an equal, formal basis. The second type consisted of holding companies that tried to integrate firms within a single organization, these mergers were mostly done on a formal basis, but the negotiations and relationships were mostly build on an informal foundation. The last type consists of privatized companies that were considered strategically important (Scholz, 2008). Of these three types, the latter two had a strong informal relationship with state actors, as they were mostly political allies that enjoyed strong relationships on a personal level. This resulted in informal dealings that were almost impossible to follow by observers, this complete lack of transparency was considered to come from the construction of networks that were formally in-line with legal regulations, but informally much more extensive than was visible on the surface. Towards the end of the 2000s these state-led networks began to fade, with smaller isolated clusters of firms emerging in its place. While any formal ties have since then faded, the expectation is that the informal ties have not. However, this has yet to be confirmed by any studies. Given the traditions and the lack of transparency this is difficult to pinpoint. These remaining small clusters of firms, have almost no interaction with other clusters, which has resulted in cooperation on a national scale being limited (McMenamin &amp; </w:t>
      </w:r>
      <w:proofErr w:type="spellStart"/>
      <w:r>
        <w:rPr>
          <w:lang w:val="en-US"/>
        </w:rPr>
        <w:t>Schoenman</w:t>
      </w:r>
      <w:proofErr w:type="spellEnd"/>
      <w:r>
        <w:rPr>
          <w:lang w:val="en-US"/>
        </w:rPr>
        <w:t>, 2007).</w:t>
      </w:r>
    </w:p>
    <w:p w14:paraId="064529DB" w14:textId="77777777" w:rsidR="00AE4CE0" w:rsidRDefault="00AE4CE0" w:rsidP="00AE4CE0">
      <w:pPr>
        <w:spacing w:line="360" w:lineRule="auto"/>
        <w:jc w:val="both"/>
        <w:rPr>
          <w:lang w:val="en-US"/>
        </w:rPr>
      </w:pPr>
      <w:r>
        <w:rPr>
          <w:lang w:val="en-US"/>
        </w:rPr>
        <w:t xml:space="preserve">In Latvia, the inter-firm and state-firm relations were mostly conducted on a formal level. This was done because of a strong desire to establish a new economic system. Therefore, the restructuring of </w:t>
      </w:r>
      <w:r>
        <w:rPr>
          <w:lang w:val="en-US"/>
        </w:rPr>
        <w:lastRenderedPageBreak/>
        <w:t>the economy was subject to extensive monitoring by independent agencies, both national and international. This led to a high level of transparency in the network ties between the state and firms. This was necessary to facilitate the shift from the dominant role of the state in the economy to a more intermediate factor between the firms. As a result, most ties that were established between firms and the state were similar to EU standards (</w:t>
      </w:r>
      <w:proofErr w:type="spellStart"/>
      <w:r>
        <w:rPr>
          <w:lang w:val="en-US"/>
        </w:rPr>
        <w:t>Schoenman</w:t>
      </w:r>
      <w:proofErr w:type="spellEnd"/>
      <w:r>
        <w:rPr>
          <w:lang w:val="en-US"/>
        </w:rPr>
        <w:t xml:space="preserve">, 2014). This resulted in less corruption and people in conflicts of interest were removed from functions. Despite these improvements, corruption levels in Latvia are still above the EU average. The newly established firms in the country worked together in small clusters in their respective sectors, these inter-firm relations can be described as having a competitive nature, meaning that the dealings were only conducted on a formal level, and only when necessary and mutually beneficial. This was to prevent any knowledge spillover, personnel transfer and other factor that could negatively impact their economic position. The absence of informal dealings and formal transparency was only strengthened by the aim to meet EU standards in order to become a member (McMenamin &amp; </w:t>
      </w:r>
      <w:proofErr w:type="spellStart"/>
      <w:r>
        <w:rPr>
          <w:lang w:val="en-US"/>
        </w:rPr>
        <w:t>Schoenman</w:t>
      </w:r>
      <w:proofErr w:type="spellEnd"/>
      <w:r>
        <w:rPr>
          <w:lang w:val="en-US"/>
        </w:rPr>
        <w:t>, 2007).</w:t>
      </w:r>
    </w:p>
    <w:p w14:paraId="26637CEB" w14:textId="337BCA38" w:rsidR="00AE4CE0" w:rsidRPr="00566D02" w:rsidRDefault="002F6582" w:rsidP="00AE4CE0">
      <w:pPr>
        <w:pStyle w:val="Bijschrift"/>
        <w:keepNext/>
        <w:rPr>
          <w:rFonts w:ascii="Calibri" w:hAnsi="Calibri"/>
          <w:sz w:val="22"/>
          <w:szCs w:val="22"/>
          <w:lang w:val="en-US"/>
        </w:rPr>
      </w:pPr>
      <w:bookmarkStart w:id="29" w:name="_Hlk75400272"/>
      <w:r>
        <w:rPr>
          <w:rFonts w:ascii="Calibri" w:hAnsi="Calibri"/>
          <w:sz w:val="22"/>
          <w:szCs w:val="22"/>
          <w:lang w:val="en-US"/>
        </w:rPr>
        <w:t>Table 3.3</w:t>
      </w:r>
      <w:r w:rsidR="00AE4CE0" w:rsidRPr="00566D02">
        <w:rPr>
          <w:rFonts w:ascii="Calibri" w:hAnsi="Calibri"/>
          <w:sz w:val="22"/>
          <w:szCs w:val="22"/>
          <w:lang w:val="en-US"/>
        </w:rPr>
        <w:t xml:space="preserve">: Characteristics of inter-firm and firm state networks </w:t>
      </w:r>
    </w:p>
    <w:bookmarkEnd w:id="29"/>
    <w:tbl>
      <w:tblPr>
        <w:tblStyle w:val="Tabelraster"/>
        <w:tblW w:w="0" w:type="auto"/>
        <w:tblLook w:val="04A0" w:firstRow="1" w:lastRow="0" w:firstColumn="1" w:lastColumn="0" w:noHBand="0" w:noVBand="1"/>
      </w:tblPr>
      <w:tblGrid>
        <w:gridCol w:w="3020"/>
        <w:gridCol w:w="2504"/>
        <w:gridCol w:w="3538"/>
      </w:tblGrid>
      <w:tr w:rsidR="00AE4CE0" w14:paraId="1B1B8009" w14:textId="77777777" w:rsidTr="00E715B4">
        <w:tc>
          <w:tcPr>
            <w:tcW w:w="3020" w:type="dxa"/>
          </w:tcPr>
          <w:p w14:paraId="51BC0C5A" w14:textId="77777777" w:rsidR="00AE4CE0" w:rsidRDefault="00AE4CE0" w:rsidP="00E715B4">
            <w:pPr>
              <w:spacing w:line="360" w:lineRule="auto"/>
              <w:jc w:val="both"/>
              <w:rPr>
                <w:lang w:val="en-US"/>
              </w:rPr>
            </w:pPr>
          </w:p>
        </w:tc>
        <w:tc>
          <w:tcPr>
            <w:tcW w:w="2504" w:type="dxa"/>
          </w:tcPr>
          <w:p w14:paraId="3632AF63" w14:textId="77777777" w:rsidR="00AE4CE0" w:rsidRPr="00E7205F" w:rsidRDefault="00AE4CE0" w:rsidP="00E715B4">
            <w:pPr>
              <w:spacing w:line="360" w:lineRule="auto"/>
              <w:jc w:val="both"/>
              <w:rPr>
                <w:b/>
                <w:bCs/>
                <w:lang w:val="en-US"/>
              </w:rPr>
            </w:pPr>
            <w:r w:rsidRPr="00E7205F">
              <w:rPr>
                <w:b/>
                <w:bCs/>
                <w:lang w:val="en-US"/>
              </w:rPr>
              <w:t>Latvia</w:t>
            </w:r>
          </w:p>
        </w:tc>
        <w:tc>
          <w:tcPr>
            <w:tcW w:w="3538" w:type="dxa"/>
          </w:tcPr>
          <w:p w14:paraId="517F48DF" w14:textId="77777777" w:rsidR="00AE4CE0" w:rsidRPr="00E7205F" w:rsidRDefault="00AE4CE0" w:rsidP="00E715B4">
            <w:pPr>
              <w:spacing w:line="360" w:lineRule="auto"/>
              <w:jc w:val="both"/>
              <w:rPr>
                <w:b/>
                <w:bCs/>
                <w:lang w:val="en-US"/>
              </w:rPr>
            </w:pPr>
            <w:r w:rsidRPr="00E7205F">
              <w:rPr>
                <w:b/>
                <w:bCs/>
                <w:lang w:val="en-US"/>
              </w:rPr>
              <w:t>Bulgaria</w:t>
            </w:r>
          </w:p>
        </w:tc>
      </w:tr>
      <w:tr w:rsidR="00AE4CE0" w14:paraId="639B4123" w14:textId="77777777" w:rsidTr="00E715B4">
        <w:tc>
          <w:tcPr>
            <w:tcW w:w="3020" w:type="dxa"/>
          </w:tcPr>
          <w:p w14:paraId="090B97C3" w14:textId="77777777" w:rsidR="00AE4CE0" w:rsidRPr="00E7205F" w:rsidRDefault="00AE4CE0" w:rsidP="00E715B4">
            <w:pPr>
              <w:spacing w:line="360" w:lineRule="auto"/>
              <w:jc w:val="both"/>
              <w:rPr>
                <w:b/>
                <w:bCs/>
                <w:lang w:val="en-US"/>
              </w:rPr>
            </w:pPr>
            <w:r w:rsidRPr="00E7205F">
              <w:rPr>
                <w:b/>
                <w:bCs/>
                <w:lang w:val="en-US"/>
              </w:rPr>
              <w:t>Network scope</w:t>
            </w:r>
          </w:p>
        </w:tc>
        <w:tc>
          <w:tcPr>
            <w:tcW w:w="2504" w:type="dxa"/>
          </w:tcPr>
          <w:p w14:paraId="1CC9DA0D" w14:textId="77777777" w:rsidR="00AE4CE0" w:rsidRDefault="00AE4CE0" w:rsidP="00E715B4">
            <w:pPr>
              <w:spacing w:line="360" w:lineRule="auto"/>
              <w:jc w:val="both"/>
              <w:rPr>
                <w:lang w:val="en-US"/>
              </w:rPr>
            </w:pPr>
            <w:r>
              <w:rPr>
                <w:lang w:val="en-US"/>
              </w:rPr>
              <w:t>Narrow</w:t>
            </w:r>
          </w:p>
        </w:tc>
        <w:tc>
          <w:tcPr>
            <w:tcW w:w="3538" w:type="dxa"/>
          </w:tcPr>
          <w:p w14:paraId="06BEDFC5" w14:textId="77777777" w:rsidR="00AE4CE0" w:rsidRDefault="00AE4CE0" w:rsidP="00E715B4">
            <w:pPr>
              <w:spacing w:line="360" w:lineRule="auto"/>
              <w:jc w:val="both"/>
              <w:rPr>
                <w:lang w:val="en-US"/>
              </w:rPr>
            </w:pPr>
            <w:r>
              <w:rPr>
                <w:lang w:val="en-US"/>
              </w:rPr>
              <w:t>Narrow</w:t>
            </w:r>
          </w:p>
        </w:tc>
      </w:tr>
      <w:tr w:rsidR="00AE4CE0" w:rsidRPr="006234E4" w14:paraId="38D1F5C5" w14:textId="77777777" w:rsidTr="00E715B4">
        <w:tc>
          <w:tcPr>
            <w:tcW w:w="3020" w:type="dxa"/>
          </w:tcPr>
          <w:p w14:paraId="561EBADF" w14:textId="77777777" w:rsidR="00AE4CE0" w:rsidRPr="00E7205F" w:rsidRDefault="00AE4CE0" w:rsidP="00E715B4">
            <w:pPr>
              <w:spacing w:line="360" w:lineRule="auto"/>
              <w:jc w:val="both"/>
              <w:rPr>
                <w:b/>
                <w:bCs/>
                <w:lang w:val="en-US"/>
              </w:rPr>
            </w:pPr>
            <w:r w:rsidRPr="00E7205F">
              <w:rPr>
                <w:b/>
                <w:bCs/>
                <w:lang w:val="en-US"/>
              </w:rPr>
              <w:t>Nature of network ties</w:t>
            </w:r>
          </w:p>
        </w:tc>
        <w:tc>
          <w:tcPr>
            <w:tcW w:w="2504" w:type="dxa"/>
          </w:tcPr>
          <w:p w14:paraId="73F3F113" w14:textId="77777777" w:rsidR="00AE4CE0" w:rsidRDefault="00AE4CE0" w:rsidP="00E715B4">
            <w:pPr>
              <w:spacing w:line="360" w:lineRule="auto"/>
              <w:jc w:val="both"/>
              <w:rPr>
                <w:lang w:val="en-US"/>
              </w:rPr>
            </w:pPr>
            <w:r>
              <w:rPr>
                <w:lang w:val="en-US"/>
              </w:rPr>
              <w:t>Mostly formal</w:t>
            </w:r>
          </w:p>
        </w:tc>
        <w:tc>
          <w:tcPr>
            <w:tcW w:w="3538" w:type="dxa"/>
          </w:tcPr>
          <w:p w14:paraId="70744D9A" w14:textId="77777777" w:rsidR="00AE4CE0" w:rsidRDefault="00AE4CE0" w:rsidP="00E715B4">
            <w:pPr>
              <w:spacing w:line="360" w:lineRule="auto"/>
              <w:jc w:val="both"/>
              <w:rPr>
                <w:lang w:val="en-US"/>
              </w:rPr>
            </w:pPr>
            <w:r>
              <w:rPr>
                <w:lang w:val="en-US"/>
              </w:rPr>
              <w:t>Mixed between formal and informal</w:t>
            </w:r>
          </w:p>
        </w:tc>
      </w:tr>
      <w:tr w:rsidR="00AE4CE0" w14:paraId="3E2129CC" w14:textId="77777777" w:rsidTr="00E715B4">
        <w:tc>
          <w:tcPr>
            <w:tcW w:w="3020" w:type="dxa"/>
          </w:tcPr>
          <w:p w14:paraId="69CE64E6" w14:textId="77777777" w:rsidR="00AE4CE0" w:rsidRPr="00E7205F" w:rsidRDefault="00AE4CE0" w:rsidP="00E715B4">
            <w:pPr>
              <w:spacing w:line="360" w:lineRule="auto"/>
              <w:jc w:val="both"/>
              <w:rPr>
                <w:b/>
                <w:bCs/>
                <w:lang w:val="en-US"/>
              </w:rPr>
            </w:pPr>
            <w:r w:rsidRPr="00E7205F">
              <w:rPr>
                <w:b/>
                <w:bCs/>
                <w:lang w:val="en-US"/>
              </w:rPr>
              <w:t>Transparency</w:t>
            </w:r>
          </w:p>
        </w:tc>
        <w:tc>
          <w:tcPr>
            <w:tcW w:w="2504" w:type="dxa"/>
          </w:tcPr>
          <w:p w14:paraId="2E01BFB2" w14:textId="77777777" w:rsidR="00AE4CE0" w:rsidRDefault="00AE4CE0" w:rsidP="00E715B4">
            <w:pPr>
              <w:spacing w:line="360" w:lineRule="auto"/>
              <w:jc w:val="both"/>
              <w:rPr>
                <w:lang w:val="en-US"/>
              </w:rPr>
            </w:pPr>
            <w:r>
              <w:rPr>
                <w:lang w:val="en-US"/>
              </w:rPr>
              <w:t>Similar to EU standards</w:t>
            </w:r>
          </w:p>
        </w:tc>
        <w:tc>
          <w:tcPr>
            <w:tcW w:w="3538" w:type="dxa"/>
          </w:tcPr>
          <w:p w14:paraId="1423D7F9" w14:textId="77777777" w:rsidR="00AE4CE0" w:rsidRDefault="00AE4CE0" w:rsidP="00E715B4">
            <w:pPr>
              <w:keepNext/>
              <w:spacing w:line="360" w:lineRule="auto"/>
              <w:jc w:val="both"/>
              <w:rPr>
                <w:lang w:val="en-US"/>
              </w:rPr>
            </w:pPr>
            <w:r>
              <w:rPr>
                <w:lang w:val="en-US"/>
              </w:rPr>
              <w:t>Below EU standards</w:t>
            </w:r>
          </w:p>
        </w:tc>
      </w:tr>
    </w:tbl>
    <w:p w14:paraId="194D55BF" w14:textId="77777777" w:rsidR="00AE4CE0" w:rsidRPr="00566D02" w:rsidRDefault="00AE4CE0" w:rsidP="00AE4CE0">
      <w:pPr>
        <w:pStyle w:val="Bijschrift"/>
      </w:pPr>
      <w:r>
        <w:t xml:space="preserve">Sources: </w:t>
      </w:r>
      <w:proofErr w:type="spellStart"/>
      <w:r>
        <w:t>Kolev</w:t>
      </w:r>
      <w:proofErr w:type="spellEnd"/>
      <w:r>
        <w:t xml:space="preserve">, 2012; </w:t>
      </w:r>
      <w:proofErr w:type="spellStart"/>
      <w:r w:rsidRPr="00566D02">
        <w:t>McMenamin</w:t>
      </w:r>
      <w:proofErr w:type="spellEnd"/>
      <w:r w:rsidRPr="00566D02">
        <w:t xml:space="preserve"> &amp; Schoenman, 2007; </w:t>
      </w:r>
      <w:r>
        <w:t xml:space="preserve">Schoenman, 2014; </w:t>
      </w:r>
      <w:proofErr w:type="spellStart"/>
      <w:r>
        <w:t>Scholz</w:t>
      </w:r>
      <w:proofErr w:type="spellEnd"/>
      <w:r>
        <w:t>, 2008.</w:t>
      </w:r>
    </w:p>
    <w:p w14:paraId="46DF43AC" w14:textId="77777777" w:rsidR="00AE4CE0" w:rsidRDefault="00AE4CE0" w:rsidP="00AE4CE0">
      <w:pPr>
        <w:spacing w:line="360" w:lineRule="auto"/>
        <w:jc w:val="both"/>
        <w:rPr>
          <w:lang w:val="en-US"/>
        </w:rPr>
      </w:pPr>
      <w:r>
        <w:rPr>
          <w:lang w:val="en-US"/>
        </w:rPr>
        <w:t xml:space="preserve">The difference in the nature of the network ties and dealings in Bulgaria and Latvia has resulted in large differences in transparency and cronyism. However, they are also similar in the regard that this has both left these countries with a collection of firms that operate as small isolated clusters. These rather narrow networks contribute to less collaboration and greater vulnerability to economic currents. The difference is that in Latvia, these firms can fall back on formal ties with the government that are transparent and serve as a safeguard. In Bulgaria, this is mostly informal, leading to opaque dealings without any formal influence for the government. From these findings it can be stated that formal dealings are better for economic development, because they are a more reliable and transparent foundation. Therefore, it can be stated that </w:t>
      </w:r>
      <w:r w:rsidRPr="00590781">
        <w:rPr>
          <w:i/>
          <w:iCs/>
          <w:lang w:val="en-US"/>
        </w:rPr>
        <w:t>less informal dealings in inter-firm and state dealings attribute to a better position for economic development</w:t>
      </w:r>
      <w:r>
        <w:rPr>
          <w:lang w:val="en-US"/>
        </w:rPr>
        <w:t xml:space="preserve">. This means that this hypothesis is accepted based on these results. </w:t>
      </w:r>
    </w:p>
    <w:p w14:paraId="7E33FBAA" w14:textId="77777777" w:rsidR="00AE4CE0" w:rsidRDefault="00AE4CE0" w:rsidP="00AE4CE0">
      <w:pPr>
        <w:spacing w:line="360" w:lineRule="auto"/>
        <w:jc w:val="both"/>
        <w:rPr>
          <w:lang w:val="en-US"/>
        </w:rPr>
      </w:pPr>
    </w:p>
    <w:p w14:paraId="2B4AB553" w14:textId="77777777" w:rsidR="00AE4CE0" w:rsidRDefault="00AE4CE0" w:rsidP="00AE4CE0">
      <w:pPr>
        <w:spacing w:line="360" w:lineRule="auto"/>
        <w:jc w:val="both"/>
        <w:rPr>
          <w:lang w:val="en-US"/>
        </w:rPr>
      </w:pPr>
    </w:p>
    <w:p w14:paraId="6C1B01B3" w14:textId="77777777" w:rsidR="00AE4CE0" w:rsidRPr="00683DBF" w:rsidRDefault="00AE4CE0" w:rsidP="00AE4CE0">
      <w:pPr>
        <w:spacing w:line="360" w:lineRule="auto"/>
        <w:jc w:val="both"/>
        <w:rPr>
          <w:lang w:val="en-US"/>
        </w:rPr>
      </w:pPr>
    </w:p>
    <w:p w14:paraId="631D13FB" w14:textId="77777777" w:rsidR="00AE4CE0" w:rsidRDefault="00AE4CE0" w:rsidP="00AE4CE0">
      <w:pPr>
        <w:pStyle w:val="Kop3"/>
        <w:rPr>
          <w:lang w:val="en-US"/>
        </w:rPr>
      </w:pPr>
      <w:bookmarkStart w:id="30" w:name="_Toc75401344"/>
      <w:r>
        <w:rPr>
          <w:lang w:val="en-US"/>
        </w:rPr>
        <w:lastRenderedPageBreak/>
        <w:t>3.5 State Property Management</w:t>
      </w:r>
      <w:bookmarkEnd w:id="30"/>
    </w:p>
    <w:p w14:paraId="6D946A02" w14:textId="77777777" w:rsidR="00AE4CE0" w:rsidRPr="00155AD8" w:rsidRDefault="00AE4CE0" w:rsidP="001666AE">
      <w:pPr>
        <w:pStyle w:val="Geenafstand"/>
        <w:rPr>
          <w:lang w:val="en-US"/>
        </w:rPr>
      </w:pPr>
    </w:p>
    <w:p w14:paraId="71B3C928" w14:textId="77777777" w:rsidR="00AE4CE0" w:rsidRDefault="00AE4CE0" w:rsidP="00AE4CE0">
      <w:pPr>
        <w:spacing w:line="360" w:lineRule="auto"/>
        <w:jc w:val="both"/>
        <w:rPr>
          <w:lang w:val="en-US"/>
        </w:rPr>
      </w:pPr>
      <w:r w:rsidRPr="00ED1EB3">
        <w:rPr>
          <w:lang w:val="en-US"/>
        </w:rPr>
        <w:t>T</w:t>
      </w:r>
      <w:r>
        <w:rPr>
          <w:lang w:val="en-US"/>
        </w:rPr>
        <w:t>he handling of state property has been handled differently in Latvia and Bulgaria. This started with the context in which privatization was enacted. In Latvia, privatization was seen as being the key to breaking with their Soviet past. Therefore, there was consensus that it was a necessary good to begin with. Privatization was a reset for the Latvian majority, which has been treated differently from the sizable Russian minority during the Soviet years (Pula, 2018). The context was rather different in Bulgaria, where proponents and opponents of privatization were equally split, which lead to a half-hearted approach to privatization. One government would incentivize privatization, while the next government would go back on previously passed reforms in order to preserve state ownership. This caused the privatization process to be full of problems and there being a constant struggle on whether the path taken was the right one (</w:t>
      </w:r>
      <w:proofErr w:type="spellStart"/>
      <w:r>
        <w:rPr>
          <w:lang w:val="en-US"/>
        </w:rPr>
        <w:t>Szanyi</w:t>
      </w:r>
      <w:proofErr w:type="spellEnd"/>
      <w:r>
        <w:rPr>
          <w:lang w:val="en-US"/>
        </w:rPr>
        <w:t xml:space="preserve">, 2019). When looking at the private share of the economy, both countries follow a similar trend. Starting at 25% in 1992, developing to around 75% percent in 2016. This similar trend is an indication that both countries saw an almost equal growth of their private sector over these 25 years. In contrast, the share of the public sector decreased from being the largest part of the economy to only a small part of GDP (OECD, 1998; </w:t>
      </w:r>
      <w:proofErr w:type="spellStart"/>
      <w:r>
        <w:rPr>
          <w:lang w:val="en-US"/>
        </w:rPr>
        <w:t>Mygind</w:t>
      </w:r>
      <w:proofErr w:type="spellEnd"/>
      <w:r>
        <w:rPr>
          <w:lang w:val="en-US"/>
        </w:rPr>
        <w:t>, 1999).</w:t>
      </w:r>
    </w:p>
    <w:p w14:paraId="1938FC3E" w14:textId="2EBEE0B7" w:rsidR="00AE4CE0" w:rsidRDefault="00AE4CE0" w:rsidP="00AE4CE0">
      <w:pPr>
        <w:spacing w:line="360" w:lineRule="auto"/>
        <w:jc w:val="both"/>
        <w:rPr>
          <w:lang w:val="en-US"/>
        </w:rPr>
      </w:pPr>
      <w:r>
        <w:rPr>
          <w:lang w:val="en-US"/>
        </w:rPr>
        <w:t xml:space="preserve">The major difference in state property management is the approach between the two countries. In Latvia, the approach to privatization was done through a mixed system. In this system, about 18% of state-owned enterprise was leased to insiders. Who gained control for a period of five years, with a commitment to improve and safeguard the functioning of the enterprise for the Latvian </w:t>
      </w:r>
      <w:proofErr w:type="gramStart"/>
      <w:r>
        <w:rPr>
          <w:lang w:val="en-US"/>
        </w:rPr>
        <w:t>people.</w:t>
      </w:r>
      <w:proofErr w:type="gramEnd"/>
      <w:r>
        <w:rPr>
          <w:lang w:val="en-US"/>
        </w:rPr>
        <w:t xml:space="preserve"> If this was unsatisfactory, the lease could be cancelled (</w:t>
      </w:r>
      <w:proofErr w:type="spellStart"/>
      <w:r>
        <w:rPr>
          <w:lang w:val="en-US"/>
        </w:rPr>
        <w:t>Szanyi</w:t>
      </w:r>
      <w:proofErr w:type="spellEnd"/>
      <w:r>
        <w:rPr>
          <w:lang w:val="en-US"/>
        </w:rPr>
        <w:t>, 2019). The largest share of enterprises (75%) was sold to investors through vouchers or auctions. The remaining 7% remains in government ownership</w:t>
      </w:r>
      <w:r w:rsidR="00013428">
        <w:rPr>
          <w:lang w:val="en-US"/>
        </w:rPr>
        <w:t xml:space="preserve"> (</w:t>
      </w:r>
      <w:proofErr w:type="spellStart"/>
      <w:r w:rsidR="00013428">
        <w:rPr>
          <w:lang w:val="en-US"/>
        </w:rPr>
        <w:t>Mygind</w:t>
      </w:r>
      <w:proofErr w:type="spellEnd"/>
      <w:r w:rsidR="00013428">
        <w:rPr>
          <w:lang w:val="en-US"/>
        </w:rPr>
        <w:t>, 2012)</w:t>
      </w:r>
      <w:r>
        <w:rPr>
          <w:lang w:val="en-US"/>
        </w:rPr>
        <w:t>. An important aspect of these privatization is the small role of foreign investors. Only 13% of the firms were sold to foreign investors, because ethic Latvian investors were given priority</w:t>
      </w:r>
      <w:r w:rsidR="00013428">
        <w:rPr>
          <w:lang w:val="en-US"/>
        </w:rPr>
        <w:t xml:space="preserve"> (OECD, 1998)</w:t>
      </w:r>
      <w:r>
        <w:rPr>
          <w:lang w:val="en-US"/>
        </w:rPr>
        <w:t>. This resulted in predominately Latvian ownership, which was in some cases supported by foreign credit. This influx of foreign credit was monitored by government bodies and was subject to financialization transparency checks (</w:t>
      </w:r>
      <w:proofErr w:type="spellStart"/>
      <w:r>
        <w:rPr>
          <w:lang w:val="en-US"/>
        </w:rPr>
        <w:t>Mygind</w:t>
      </w:r>
      <w:proofErr w:type="spellEnd"/>
      <w:r>
        <w:rPr>
          <w:lang w:val="en-US"/>
        </w:rPr>
        <w:t>, 1999). The Bulgarian approach to privatization was notably different. This can be divided in two main systems. The first one was voucher based, this included means for Bulgarian nationals to invest.  A system which also included provisions for foreign investors, which could also buy these vouchers if they familiarized themselves with the conditions and integrated within the Bulgarian economy. This led to over 40% of privatized enterprise being owned by individual investors</w:t>
      </w:r>
      <w:r w:rsidR="00013428">
        <w:rPr>
          <w:lang w:val="en-US"/>
        </w:rPr>
        <w:t xml:space="preserve"> (</w:t>
      </w:r>
      <w:proofErr w:type="spellStart"/>
      <w:r w:rsidR="00013428">
        <w:rPr>
          <w:lang w:val="en-US"/>
        </w:rPr>
        <w:t>Szanyi</w:t>
      </w:r>
      <w:proofErr w:type="spellEnd"/>
      <w:r w:rsidR="00013428">
        <w:rPr>
          <w:lang w:val="en-US"/>
        </w:rPr>
        <w:t>, 2019).</w:t>
      </w:r>
      <w:r>
        <w:rPr>
          <w:lang w:val="en-US"/>
        </w:rPr>
        <w:t xml:space="preserve"> The other privatization system was government-led restructuring of state-owned sector, something which transferred state ownership to newly established state enterprises. The idea behind this was the alter the power distribution within a specific economic sector and put the old nomenclature out of power (OECD, 1998). However, this negatively </w:t>
      </w:r>
      <w:r>
        <w:rPr>
          <w:lang w:val="en-US"/>
        </w:rPr>
        <w:lastRenderedPageBreak/>
        <w:t xml:space="preserve">impacted the privatization drive as this reversed previously taken plans. Another concern was the transparency of the entire process. Both types of </w:t>
      </w:r>
      <w:proofErr w:type="gramStart"/>
      <w:r>
        <w:rPr>
          <w:lang w:val="en-US"/>
        </w:rPr>
        <w:t>privatization</w:t>
      </w:r>
      <w:proofErr w:type="gramEnd"/>
      <w:r>
        <w:rPr>
          <w:lang w:val="en-US"/>
        </w:rPr>
        <w:t xml:space="preserve"> only took place within a limited circle of people. Insider privatization made it difficult for other parties to gain access to this system. This led a concentration of privatized property to selective parts of the population, while formally being available to every Bulgarian citizen (Pula, 2018).</w:t>
      </w:r>
    </w:p>
    <w:p w14:paraId="1D1FCA4A" w14:textId="222186D6" w:rsidR="00AE4CE0" w:rsidRPr="00ED1EB3" w:rsidRDefault="00AE4CE0" w:rsidP="001666AE">
      <w:pPr>
        <w:spacing w:line="360" w:lineRule="auto"/>
        <w:jc w:val="both"/>
        <w:rPr>
          <w:lang w:val="en-US"/>
        </w:rPr>
      </w:pPr>
      <w:r>
        <w:rPr>
          <w:lang w:val="en-US"/>
        </w:rPr>
        <w:t>The difference in context, foreign dependence and privatization practice resulted in a different outcome in Latvia and Bulgaria. The former country pursued privatization out of social, political and economic interest, while the latter was divided over the issue. This led to diverging practices on the basis of different interests. While in Latvia the government wanted privatization to be a tool that would be beneficial to ethnic Latvians, the Bulgarian government saw it more as a means to serve selected interests (</w:t>
      </w:r>
      <w:proofErr w:type="spellStart"/>
      <w:r>
        <w:rPr>
          <w:lang w:val="en-US"/>
        </w:rPr>
        <w:t>Szanyi</w:t>
      </w:r>
      <w:proofErr w:type="spellEnd"/>
      <w:r>
        <w:rPr>
          <w:lang w:val="en-US"/>
        </w:rPr>
        <w:t>, 2019). This is also reflected in the transparency of the process. The Latvian privatization process was monitored, while in Bulgaria, shadow constructions where also created in order to make sure that assets transferred into the hands of political allies. This difference in conduct shows that the intention and motivation behind a process or decision matters, both on a political and a social level. The economic benefits from the privatization process were larger in Latvia because the process was conducted better</w:t>
      </w:r>
      <w:r w:rsidR="00821FDE">
        <w:rPr>
          <w:lang w:val="en-US"/>
        </w:rPr>
        <w:t xml:space="preserve"> (</w:t>
      </w:r>
      <w:proofErr w:type="spellStart"/>
      <w:r w:rsidR="00821FDE">
        <w:rPr>
          <w:lang w:val="en-US"/>
        </w:rPr>
        <w:t>Kuokstis</w:t>
      </w:r>
      <w:proofErr w:type="spellEnd"/>
      <w:r w:rsidR="00821FDE">
        <w:rPr>
          <w:lang w:val="en-US"/>
        </w:rPr>
        <w:t>, 2011).</w:t>
      </w:r>
      <w:r>
        <w:rPr>
          <w:lang w:val="en-US"/>
        </w:rPr>
        <w:t xml:space="preserve"> This in turn was the result of the intrinsic motivation and context within the country. This motivation was less strong in Bulgaria, causing other interests to gain priority. This ultimately, reduced the economic benefits of the privatization process (Pula, 2018). As a result, it can be stated that </w:t>
      </w:r>
      <w:r w:rsidRPr="00590781">
        <w:rPr>
          <w:i/>
          <w:iCs/>
          <w:lang w:val="en-US"/>
        </w:rPr>
        <w:t>state property management results in more economic development when it is done out of an authentic motivation, instead of rent-seeking or private interests</w:t>
      </w:r>
      <w:r>
        <w:rPr>
          <w:lang w:val="en-US"/>
        </w:rPr>
        <w:t>. This means that this hypothesis is accepted when looking at the results from the difference in conduct of the privatization process in Latvia and Bulgaria.</w:t>
      </w:r>
    </w:p>
    <w:p w14:paraId="67A043E2" w14:textId="77777777" w:rsidR="00AE4CE0" w:rsidRDefault="00AE4CE0" w:rsidP="00AE4CE0">
      <w:pPr>
        <w:pStyle w:val="Kop3"/>
        <w:rPr>
          <w:lang w:val="en-US"/>
        </w:rPr>
      </w:pPr>
      <w:bookmarkStart w:id="31" w:name="_Toc75401345"/>
      <w:r w:rsidRPr="00ED1EB3">
        <w:rPr>
          <w:lang w:val="en-US"/>
        </w:rPr>
        <w:t>3.6 Socio-Political Context</w:t>
      </w:r>
      <w:bookmarkEnd w:id="31"/>
    </w:p>
    <w:p w14:paraId="0A592E7D" w14:textId="77777777" w:rsidR="00AE4CE0" w:rsidRPr="00590781" w:rsidRDefault="00AE4CE0" w:rsidP="001666AE">
      <w:pPr>
        <w:pStyle w:val="Geenafstand"/>
        <w:rPr>
          <w:lang w:val="en-US"/>
        </w:rPr>
      </w:pPr>
    </w:p>
    <w:p w14:paraId="1A592EC7" w14:textId="4BF87397" w:rsidR="00AE4CE0" w:rsidRDefault="00AE4CE0" w:rsidP="00AE4CE0">
      <w:pPr>
        <w:spacing w:line="360" w:lineRule="auto"/>
        <w:jc w:val="both"/>
        <w:rPr>
          <w:noProof/>
          <w:lang w:val="en-US"/>
        </w:rPr>
      </w:pPr>
      <w:r>
        <w:rPr>
          <w:lang w:val="en-US"/>
        </w:rPr>
        <w:t>When looking at the political stability in Latvia and Bulgaria, it becomes apparent that the two countries share a similar pattern in government longevity. In the 25 years between 1992 and 2016, both countries have had a lot of different cabinets. Latvia has had 19 governments with an average length of 16 months</w:t>
      </w:r>
      <w:r w:rsidR="00821FDE">
        <w:rPr>
          <w:lang w:val="en-US"/>
        </w:rPr>
        <w:t xml:space="preserve"> </w:t>
      </w:r>
      <w:r w:rsidR="00821FDE">
        <w:rPr>
          <w:lang w:val="en-US"/>
        </w:rPr>
        <w:t>(</w:t>
      </w:r>
      <w:r w:rsidR="00821FDE" w:rsidRPr="00E25BAA">
        <w:rPr>
          <w:lang w:val="en-US"/>
        </w:rPr>
        <w:t>Political Data Yearbook Interactive, 2015; Sonntag, 2015</w:t>
      </w:r>
      <w:r w:rsidR="00821FDE">
        <w:rPr>
          <w:lang w:val="en-US"/>
        </w:rPr>
        <w:t>)</w:t>
      </w:r>
      <w:r w:rsidR="00821FDE">
        <w:rPr>
          <w:lang w:val="en-US"/>
        </w:rPr>
        <w:t>.</w:t>
      </w:r>
      <w:r>
        <w:rPr>
          <w:lang w:val="en-US"/>
        </w:rPr>
        <w:t xml:space="preserve"> In comparison, Bulgaria has had 13 governments with an average length of 23 months. Both countries thus have an average government length under two years. In a political system where the length of the parliamentary term lasts four years, this is not even halfway. Early elections are therefore not a rarity in both countries (</w:t>
      </w:r>
      <w:r w:rsidRPr="00E25BAA">
        <w:rPr>
          <w:lang w:val="en-US"/>
        </w:rPr>
        <w:t>Political Data Yearbook Interactive, 2015; Sonntag, 2015</w:t>
      </w:r>
      <w:r>
        <w:rPr>
          <w:lang w:val="en-US"/>
        </w:rPr>
        <w:t>)</w:t>
      </w:r>
      <w:r w:rsidRPr="00E25BAA">
        <w:rPr>
          <w:lang w:val="en-US"/>
        </w:rPr>
        <w:t>.</w:t>
      </w:r>
      <w:r>
        <w:rPr>
          <w:noProof/>
          <w:lang w:val="en-US"/>
        </w:rPr>
        <w:t xml:space="preserve"> </w:t>
      </w:r>
      <w:r>
        <w:rPr>
          <w:lang w:val="en-US"/>
        </w:rPr>
        <w:t xml:space="preserve">However, there are some differences between the political systems that contribute to this rather low average length of cabinets in these countries. Firstly, the Latvian political system has fixed election dates which are held separately from </w:t>
      </w:r>
      <w:r>
        <w:rPr>
          <w:lang w:val="en-US"/>
        </w:rPr>
        <w:lastRenderedPageBreak/>
        <w:t xml:space="preserve">early elections. This means that if early elections are held because of political paralysis, the regular election date will not change. Thus, this results in parliaments with terms that can be as short as two years, because the early elections are held halfway through a regular term (Blondel, 2001). The second difference is in the Bulgarian system, in which caretaker governments are appointed if elections result in no new government being formed. The incumbent government is then replaced to ensure independent conduct of the second round of elections, this is a necessary requirement of the Bulgarian electoral law (Gallagher et al., 2011). These two differences in these countries contribute to governments with a shorter lifespan, which in turn affects the number of governments that are in place </w:t>
      </w:r>
      <w:r w:rsidR="00821FDE">
        <w:rPr>
          <w:noProof/>
        </w:rPr>
        <mc:AlternateContent>
          <mc:Choice Requires="wps">
            <w:drawing>
              <wp:anchor distT="0" distB="0" distL="114300" distR="114300" simplePos="0" relativeHeight="251667456" behindDoc="0" locked="0" layoutInCell="1" allowOverlap="1" wp14:anchorId="3CDDA0AD" wp14:editId="1E594331">
                <wp:simplePos x="0" y="0"/>
                <wp:positionH relativeFrom="column">
                  <wp:posOffset>-857103</wp:posOffset>
                </wp:positionH>
                <wp:positionV relativeFrom="paragraph">
                  <wp:posOffset>2438193</wp:posOffset>
                </wp:positionV>
                <wp:extent cx="3689350" cy="297180"/>
                <wp:effectExtent l="0" t="0" r="6350" b="7620"/>
                <wp:wrapTopAndBottom/>
                <wp:docPr id="8" name="Tekstvak 8"/>
                <wp:cNvGraphicFramePr/>
                <a:graphic xmlns:a="http://schemas.openxmlformats.org/drawingml/2006/main">
                  <a:graphicData uri="http://schemas.microsoft.com/office/word/2010/wordprocessingShape">
                    <wps:wsp>
                      <wps:cNvSpPr txBox="1"/>
                      <wps:spPr>
                        <a:xfrm>
                          <a:off x="0" y="0"/>
                          <a:ext cx="3689350" cy="297180"/>
                        </a:xfrm>
                        <a:prstGeom prst="rect">
                          <a:avLst/>
                        </a:prstGeom>
                        <a:solidFill>
                          <a:prstClr val="white"/>
                        </a:solidFill>
                        <a:ln>
                          <a:noFill/>
                        </a:ln>
                      </wps:spPr>
                      <wps:txbx>
                        <w:txbxContent>
                          <w:p w14:paraId="7E67E8D6" w14:textId="7B29416C" w:rsidR="00AE4CE0" w:rsidRPr="00253311" w:rsidRDefault="00AE4CE0" w:rsidP="00AE4CE0">
                            <w:pPr>
                              <w:pStyle w:val="Bijschrift"/>
                              <w:rPr>
                                <w:sz w:val="22"/>
                                <w:szCs w:val="22"/>
                                <w:lang w:val="en-US"/>
                              </w:rPr>
                            </w:pPr>
                            <w:bookmarkStart w:id="32" w:name="_Hlk75400323"/>
                            <w:bookmarkStart w:id="33" w:name="_Hlk75400324"/>
                            <w:r w:rsidRPr="00253311">
                              <w:rPr>
                                <w:sz w:val="22"/>
                                <w:szCs w:val="22"/>
                                <w:lang w:val="en-US"/>
                              </w:rPr>
                              <w:t xml:space="preserve">Figure </w:t>
                            </w:r>
                            <w:r w:rsidR="002F6582">
                              <w:rPr>
                                <w:sz w:val="22"/>
                                <w:szCs w:val="22"/>
                                <w:lang w:val="en-US"/>
                              </w:rPr>
                              <w:t>3.2</w:t>
                            </w:r>
                            <w:r w:rsidRPr="00253311">
                              <w:rPr>
                                <w:sz w:val="22"/>
                                <w:szCs w:val="22"/>
                                <w:lang w:val="en-US"/>
                              </w:rPr>
                              <w:t xml:space="preserve">: Timeline of the Latvian </w:t>
                            </w:r>
                            <w:r>
                              <w:rPr>
                                <w:sz w:val="22"/>
                                <w:szCs w:val="22"/>
                                <w:lang w:val="en-US"/>
                              </w:rPr>
                              <w:t>Governments 1992-2016</w:t>
                            </w:r>
                            <w:bookmarkEnd w:id="32"/>
                            <w:bookmarkEnd w:id="3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CDDA0AD" id="_x0000_t202" coordsize="21600,21600" o:spt="202" path="m,l,21600r21600,l21600,xe">
                <v:stroke joinstyle="miter"/>
                <v:path gradientshapeok="t" o:connecttype="rect"/>
              </v:shapetype>
              <v:shape id="Tekstvak 8" o:spid="_x0000_s1026" type="#_x0000_t202" style="position:absolute;left:0;text-align:left;margin-left:-67.5pt;margin-top:192pt;width:290.5pt;height:23.4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" stroked="f">
                <v:textbox inset="0,0,0,0">
                  <w:txbxContent>
                    <w:p w14:paraId="7E67E8D6" w14:textId="7B29416C" w:rsidR="00AE4CE0" w:rsidRPr="00253311" w:rsidRDefault="00AE4CE0" w:rsidP="00AE4CE0">
                      <w:pPr>
                        <w:pStyle w:val="Bijschrift"/>
                        <w:rPr>
                          <w:sz w:val="22"/>
                          <w:szCs w:val="22"/>
                          <w:lang w:val="en-US"/>
                        </w:rPr>
                      </w:pPr>
                      <w:bookmarkStart w:id="34" w:name="_Hlk75400323"/>
                      <w:bookmarkStart w:id="35" w:name="_Hlk75400324"/>
                      <w:r w:rsidRPr="00253311">
                        <w:rPr>
                          <w:sz w:val="22"/>
                          <w:szCs w:val="22"/>
                          <w:lang w:val="en-US"/>
                        </w:rPr>
                        <w:t xml:space="preserve">Figure </w:t>
                      </w:r>
                      <w:r w:rsidR="002F6582">
                        <w:rPr>
                          <w:sz w:val="22"/>
                          <w:szCs w:val="22"/>
                          <w:lang w:val="en-US"/>
                        </w:rPr>
                        <w:t>3.2</w:t>
                      </w:r>
                      <w:r w:rsidRPr="00253311">
                        <w:rPr>
                          <w:sz w:val="22"/>
                          <w:szCs w:val="22"/>
                          <w:lang w:val="en-US"/>
                        </w:rPr>
                        <w:t xml:space="preserve">: Timeline of the Latvian </w:t>
                      </w:r>
                      <w:r>
                        <w:rPr>
                          <w:sz w:val="22"/>
                          <w:szCs w:val="22"/>
                          <w:lang w:val="en-US"/>
                        </w:rPr>
                        <w:t>Governments 1992-2016</w:t>
                      </w:r>
                      <w:bookmarkEnd w:id="34"/>
                      <w:bookmarkEnd w:id="35"/>
                    </w:p>
                  </w:txbxContent>
                </v:textbox>
                <w10:wrap type="topAndBottom"/>
              </v:shape>
            </w:pict>
          </mc:Fallback>
        </mc:AlternateContent>
      </w:r>
      <w:r w:rsidR="00821FDE">
        <w:rPr>
          <w:noProof/>
        </w:rPr>
        <mc:AlternateContent>
          <mc:Choice Requires="wps">
            <w:drawing>
              <wp:anchor distT="0" distB="0" distL="114300" distR="114300" simplePos="0" relativeHeight="251668480" behindDoc="0" locked="0" layoutInCell="1" allowOverlap="1" wp14:anchorId="639613E9" wp14:editId="05F2006C">
                <wp:simplePos x="0" y="0"/>
                <wp:positionH relativeFrom="page">
                  <wp:align>right</wp:align>
                </wp:positionH>
                <wp:positionV relativeFrom="paragraph">
                  <wp:posOffset>2435742</wp:posOffset>
                </wp:positionV>
                <wp:extent cx="3817620" cy="307975"/>
                <wp:effectExtent l="0" t="0" r="0" b="0"/>
                <wp:wrapTopAndBottom/>
                <wp:docPr id="9" name="Tekstvak 9"/>
                <wp:cNvGraphicFramePr/>
                <a:graphic xmlns:a="http://schemas.openxmlformats.org/drawingml/2006/main">
                  <a:graphicData uri="http://schemas.microsoft.com/office/word/2010/wordprocessingShape">
                    <wps:wsp>
                      <wps:cNvSpPr txBox="1"/>
                      <wps:spPr>
                        <a:xfrm>
                          <a:off x="0" y="0"/>
                          <a:ext cx="3817620" cy="307975"/>
                        </a:xfrm>
                        <a:prstGeom prst="rect">
                          <a:avLst/>
                        </a:prstGeom>
                        <a:solidFill>
                          <a:prstClr val="white"/>
                        </a:solidFill>
                        <a:ln>
                          <a:noFill/>
                        </a:ln>
                      </wps:spPr>
                      <wps:txbx>
                        <w:txbxContent>
                          <w:p w14:paraId="7F7646B3" w14:textId="6E465357" w:rsidR="00AE4CE0" w:rsidRPr="00253311" w:rsidRDefault="00AE4CE0" w:rsidP="00AE4CE0">
                            <w:pPr>
                              <w:pStyle w:val="Bijschrift"/>
                              <w:rPr>
                                <w:sz w:val="22"/>
                                <w:szCs w:val="22"/>
                                <w:lang w:val="en-US"/>
                              </w:rPr>
                            </w:pPr>
                            <w:bookmarkStart w:id="36" w:name="_Hlk75400340"/>
                            <w:bookmarkStart w:id="37" w:name="_Hlk75400341"/>
                            <w:r w:rsidRPr="00253311">
                              <w:rPr>
                                <w:sz w:val="22"/>
                                <w:szCs w:val="22"/>
                                <w:lang w:val="en-US"/>
                              </w:rPr>
                              <w:t xml:space="preserve">Figure </w:t>
                            </w:r>
                            <w:r w:rsidR="002F6582">
                              <w:rPr>
                                <w:sz w:val="22"/>
                                <w:szCs w:val="22"/>
                                <w:lang w:val="en-US"/>
                              </w:rPr>
                              <w:t>3.3</w:t>
                            </w:r>
                            <w:r w:rsidRPr="00253311">
                              <w:rPr>
                                <w:sz w:val="22"/>
                                <w:szCs w:val="22"/>
                                <w:lang w:val="en-US"/>
                              </w:rPr>
                              <w:t>: Timeline of the Bulgarian G</w:t>
                            </w:r>
                            <w:r>
                              <w:rPr>
                                <w:sz w:val="22"/>
                                <w:szCs w:val="22"/>
                                <w:lang w:val="en-US"/>
                              </w:rPr>
                              <w:t>overnments 1992-2016</w:t>
                            </w:r>
                            <w:bookmarkEnd w:id="36"/>
                            <w:bookmarkEnd w:id="3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39613E9" id="Tekstvak 9" o:spid="_x0000_s1027" type="#_x0000_t202" style="position:absolute;left:0;text-align:left;margin-left:249.4pt;margin-top:191.8pt;width:300.6pt;height:24.25pt;z-index:251668480;visibility:visible;mso-wrap-style:square;mso-height-percent:0;mso-wrap-distance-left:9pt;mso-wrap-distance-top:0;mso-wrap-distance-right:9pt;mso-wrap-distance-bottom:0;mso-position-horizontal:right;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" stroked="f">
                <v:textbox inset="0,0,0,0">
                  <w:txbxContent>
                    <w:p w14:paraId="7F7646B3" w14:textId="6E465357" w:rsidR="00AE4CE0" w:rsidRPr="00253311" w:rsidRDefault="00AE4CE0" w:rsidP="00AE4CE0">
                      <w:pPr>
                        <w:pStyle w:val="Bijschrift"/>
                        <w:rPr>
                          <w:sz w:val="22"/>
                          <w:szCs w:val="22"/>
                          <w:lang w:val="en-US"/>
                        </w:rPr>
                      </w:pPr>
                      <w:bookmarkStart w:id="38" w:name="_Hlk75400340"/>
                      <w:bookmarkStart w:id="39" w:name="_Hlk75400341"/>
                      <w:r w:rsidRPr="00253311">
                        <w:rPr>
                          <w:sz w:val="22"/>
                          <w:szCs w:val="22"/>
                          <w:lang w:val="en-US"/>
                        </w:rPr>
                        <w:t xml:space="preserve">Figure </w:t>
                      </w:r>
                      <w:r w:rsidR="002F6582">
                        <w:rPr>
                          <w:sz w:val="22"/>
                          <w:szCs w:val="22"/>
                          <w:lang w:val="en-US"/>
                        </w:rPr>
                        <w:t>3.3</w:t>
                      </w:r>
                      <w:r w:rsidRPr="00253311">
                        <w:rPr>
                          <w:sz w:val="22"/>
                          <w:szCs w:val="22"/>
                          <w:lang w:val="en-US"/>
                        </w:rPr>
                        <w:t>: Timeline of the Bulgarian G</w:t>
                      </w:r>
                      <w:r>
                        <w:rPr>
                          <w:sz w:val="22"/>
                          <w:szCs w:val="22"/>
                          <w:lang w:val="en-US"/>
                        </w:rPr>
                        <w:t>overnments 1992-2016</w:t>
                      </w:r>
                      <w:bookmarkEnd w:id="38"/>
                      <w:bookmarkEnd w:id="39"/>
                    </w:p>
                  </w:txbxContent>
                </v:textbox>
                <w10:wrap type="topAndBottom" anchorx="page"/>
              </v:shape>
            </w:pict>
          </mc:Fallback>
        </mc:AlternateContent>
      </w:r>
      <w:r>
        <w:rPr>
          <w:lang w:val="en-US"/>
        </w:rPr>
        <w:t xml:space="preserve">during a period of political instability. </w:t>
      </w:r>
    </w:p>
    <w:p w14:paraId="6A645910" w14:textId="6B18D546" w:rsidR="00AE4CE0" w:rsidRDefault="00AE4CE0" w:rsidP="00AE4CE0">
      <w:pPr>
        <w:spacing w:line="360" w:lineRule="auto"/>
        <w:jc w:val="both"/>
        <w:rPr>
          <w:noProof/>
          <w:lang w:val="en-US"/>
        </w:rPr>
      </w:pPr>
      <w:r>
        <w:rPr>
          <w:lang w:val="en-US"/>
        </w:rPr>
        <w:t>When looking at the figures above, it becomes apparent that the governments in Bulgaria more often serve out their entire term, and that the lower average is mostly the result of the four caretaker governments (</w:t>
      </w:r>
      <w:proofErr w:type="spellStart"/>
      <w:r>
        <w:rPr>
          <w:lang w:val="en-US"/>
        </w:rPr>
        <w:t>Indzhova</w:t>
      </w:r>
      <w:proofErr w:type="spellEnd"/>
      <w:r>
        <w:rPr>
          <w:lang w:val="en-US"/>
        </w:rPr>
        <w:t xml:space="preserve">, </w:t>
      </w:r>
      <w:proofErr w:type="spellStart"/>
      <w:r>
        <w:rPr>
          <w:lang w:val="en-US"/>
        </w:rPr>
        <w:t>Sofiyanski</w:t>
      </w:r>
      <w:proofErr w:type="spellEnd"/>
      <w:r>
        <w:rPr>
          <w:lang w:val="en-US"/>
        </w:rPr>
        <w:t xml:space="preserve">, </w:t>
      </w:r>
      <w:proofErr w:type="spellStart"/>
      <w:r>
        <w:rPr>
          <w:lang w:val="en-US"/>
        </w:rPr>
        <w:t>Raykov</w:t>
      </w:r>
      <w:proofErr w:type="spellEnd"/>
      <w:r>
        <w:rPr>
          <w:lang w:val="en-US"/>
        </w:rPr>
        <w:t xml:space="preserve"> &amp; </w:t>
      </w:r>
      <w:proofErr w:type="spellStart"/>
      <w:r>
        <w:rPr>
          <w:lang w:val="en-US"/>
        </w:rPr>
        <w:t>Bliznashki</w:t>
      </w:r>
      <w:proofErr w:type="spellEnd"/>
      <w:r>
        <w:rPr>
          <w:lang w:val="en-US"/>
        </w:rPr>
        <w:t>), which each served between two and four months. Latvia has not had a single government complete the regular four-year term. Another contrast is that Latvian governments are more often a continuation of a previous administration</w:t>
      </w:r>
      <w:r w:rsidR="0082001D">
        <w:rPr>
          <w:lang w:val="en-US"/>
        </w:rPr>
        <w:t xml:space="preserve"> (Gallagher et al., 2011).</w:t>
      </w:r>
      <w:r>
        <w:rPr>
          <w:lang w:val="en-US"/>
        </w:rPr>
        <w:t xml:space="preserve"> There are five Latvian prime ministers who have more than one cabinet, while there is only one Bulgarian prime minister with more than one cabinet. The Latvian governments are therefore more often a continuation, while Bulgarian governments are often entirely different from the previous one</w:t>
      </w:r>
      <w:r>
        <w:rPr>
          <w:noProof/>
        </w:rPr>
        <mc:AlternateContent>
          <mc:Choice Requires="wps">
            <w:drawing>
              <wp:anchor distT="0" distB="0" distL="114300" distR="114300" simplePos="0" relativeHeight="251666432" behindDoc="0" locked="0" layoutInCell="1" allowOverlap="1" wp14:anchorId="019BACEF" wp14:editId="4C460253">
                <wp:simplePos x="0" y="0"/>
                <wp:positionH relativeFrom="column">
                  <wp:posOffset>2842895</wp:posOffset>
                </wp:positionH>
                <wp:positionV relativeFrom="paragraph">
                  <wp:posOffset>2487930</wp:posOffset>
                </wp:positionV>
                <wp:extent cx="3817620" cy="635"/>
                <wp:effectExtent l="0" t="0" r="0" b="0"/>
                <wp:wrapTopAndBottom/>
                <wp:docPr id="6" name="Tekstvak 6"/>
                <wp:cNvGraphicFramePr/>
                <a:graphic xmlns:a="http://schemas.openxmlformats.org/drawingml/2006/main">
                  <a:graphicData uri="http://schemas.microsoft.com/office/word/2010/wordprocessingShape">
                    <wps:wsp>
                      <wps:cNvSpPr txBox="1"/>
                      <wps:spPr>
                        <a:xfrm>
                          <a:off x="0" y="0"/>
                          <a:ext cx="3817620" cy="635"/>
                        </a:xfrm>
                        <a:prstGeom prst="rect">
                          <a:avLst/>
                        </a:prstGeom>
                        <a:solidFill>
                          <a:prstClr val="white"/>
                        </a:solidFill>
                        <a:ln>
                          <a:noFill/>
                        </a:ln>
                      </wps:spPr>
                      <wps:txbx>
                        <w:txbxContent>
                          <w:p w14:paraId="38B9ED40" w14:textId="77777777" w:rsidR="00AE4CE0" w:rsidRPr="00EE0ACA" w:rsidRDefault="00AE4CE0" w:rsidP="00AE4CE0">
                            <w:pPr>
                              <w:pStyle w:val="Bijschrift"/>
                              <w:rPr>
                                <w:noProof/>
                                <w:lang w:val="en-US"/>
                              </w:rPr>
                            </w:pPr>
                            <w:r w:rsidRPr="00DA214B">
                              <w:rPr>
                                <w:lang w:val="en-US"/>
                              </w:rPr>
                              <w:t>Sources: Political Data Yearbook Interactive,</w:t>
                            </w:r>
                            <w:r>
                              <w:rPr>
                                <w:lang w:val="en-US"/>
                              </w:rPr>
                              <w:t xml:space="preserve"> 2015; Sonntag, 2015.</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19BACEF" id="Tekstvak 6" o:spid="_x0000_s1028" type="#_x0000_t202" style="position:absolute;left:0;text-align:left;margin-left:223.85pt;margin-top:195.9pt;width:300.6pt;height:.0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" stroked="f">
                <v:textbox style="mso-fit-shape-to-text:t" inset="0,0,0,0">
                  <w:txbxContent>
                    <w:p w14:paraId="38B9ED40" w14:textId="77777777" w:rsidR="00AE4CE0" w:rsidRPr="00EE0ACA" w:rsidRDefault="00AE4CE0" w:rsidP="00AE4CE0">
                      <w:pPr>
                        <w:pStyle w:val="Bijschrift"/>
                        <w:rPr>
                          <w:noProof/>
                          <w:lang w:val="en-US"/>
                        </w:rPr>
                      </w:pPr>
                      <w:r w:rsidRPr="00DA214B">
                        <w:rPr>
                          <w:lang w:val="en-US"/>
                        </w:rPr>
                        <w:t>Sources: Political Data Yearbook Interactive,</w:t>
                      </w:r>
                      <w:r>
                        <w:rPr>
                          <w:lang w:val="en-US"/>
                        </w:rPr>
                        <w:t xml:space="preserve"> 2015; Sonntag, 2015.</w:t>
                      </w:r>
                    </w:p>
                  </w:txbxContent>
                </v:textbox>
                <w10:wrap type="topAndBottom"/>
              </v:shape>
            </w:pict>
          </mc:Fallback>
        </mc:AlternateContent>
      </w:r>
      <w:r>
        <w:rPr>
          <w:noProof/>
          <w:lang w:val="en-US"/>
        </w:rPr>
        <w:drawing>
          <wp:anchor distT="0" distB="0" distL="114300" distR="114300" simplePos="0" relativeHeight="251661312" behindDoc="1" locked="0" layoutInCell="1" allowOverlap="1" wp14:anchorId="34D3F828" wp14:editId="42E3D8D8">
            <wp:simplePos x="0" y="0"/>
            <wp:positionH relativeFrom="page">
              <wp:align>right</wp:align>
            </wp:positionH>
            <wp:positionV relativeFrom="paragraph">
              <wp:posOffset>0</wp:posOffset>
            </wp:positionV>
            <wp:extent cx="3817620" cy="2430780"/>
            <wp:effectExtent l="0" t="0" r="0" b="7620"/>
            <wp:wrapTopAndBottom/>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17620" cy="243078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65408" behindDoc="0" locked="0" layoutInCell="1" allowOverlap="1" wp14:anchorId="3A02A6CB" wp14:editId="12C588CC">
                <wp:simplePos x="0" y="0"/>
                <wp:positionH relativeFrom="column">
                  <wp:posOffset>-857250</wp:posOffset>
                </wp:positionH>
                <wp:positionV relativeFrom="paragraph">
                  <wp:posOffset>3051175</wp:posOffset>
                </wp:positionV>
                <wp:extent cx="3689350" cy="635"/>
                <wp:effectExtent l="0" t="0" r="0" b="0"/>
                <wp:wrapTopAndBottom/>
                <wp:docPr id="10" name="Tekstvak 10"/>
                <wp:cNvGraphicFramePr/>
                <a:graphic xmlns:a="http://schemas.openxmlformats.org/drawingml/2006/main">
                  <a:graphicData uri="http://schemas.microsoft.com/office/word/2010/wordprocessingShape">
                    <wps:wsp>
                      <wps:cNvSpPr txBox="1"/>
                      <wps:spPr>
                        <a:xfrm>
                          <a:off x="0" y="0"/>
                          <a:ext cx="3689350" cy="635"/>
                        </a:xfrm>
                        <a:prstGeom prst="rect">
                          <a:avLst/>
                        </a:prstGeom>
                        <a:solidFill>
                          <a:prstClr val="white"/>
                        </a:solidFill>
                        <a:ln>
                          <a:noFill/>
                        </a:ln>
                      </wps:spPr>
                      <wps:txbx>
                        <w:txbxContent>
                          <w:p w14:paraId="64091308" w14:textId="77777777" w:rsidR="00AE4CE0" w:rsidRPr="00DA214B" w:rsidRDefault="00AE4CE0" w:rsidP="00AE4CE0">
                            <w:pPr>
                              <w:pStyle w:val="Bijschrift"/>
                              <w:rPr>
                                <w:noProof/>
                                <w:lang w:val="en-US"/>
                              </w:rPr>
                            </w:pPr>
                            <w:r w:rsidRPr="00DA214B">
                              <w:rPr>
                                <w:lang w:val="en-US"/>
                              </w:rPr>
                              <w:t>Sources: Political Data Yearbook Interactive,</w:t>
                            </w:r>
                            <w:r>
                              <w:rPr>
                                <w:lang w:val="en-US"/>
                              </w:rPr>
                              <w:t xml:space="preserve"> 2015; Sonntag, 2015.</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A02A6CB" id="Tekstvak 10" o:spid="_x0000_s1029" type="#_x0000_t202" style="position:absolute;left:0;text-align:left;margin-left:-67.5pt;margin-top:240.25pt;width:290.5pt;height:.0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" stroked="f">
                <v:textbox style="mso-fit-shape-to-text:t" inset="0,0,0,0">
                  <w:txbxContent>
                    <w:p w14:paraId="64091308" w14:textId="77777777" w:rsidR="00AE4CE0" w:rsidRPr="00DA214B" w:rsidRDefault="00AE4CE0" w:rsidP="00AE4CE0">
                      <w:pPr>
                        <w:pStyle w:val="Bijschrift"/>
                        <w:rPr>
                          <w:noProof/>
                          <w:lang w:val="en-US"/>
                        </w:rPr>
                      </w:pPr>
                      <w:r w:rsidRPr="00DA214B">
                        <w:rPr>
                          <w:lang w:val="en-US"/>
                        </w:rPr>
                        <w:t>Sources: Political Data Yearbook Interactive,</w:t>
                      </w:r>
                      <w:r>
                        <w:rPr>
                          <w:lang w:val="en-US"/>
                        </w:rPr>
                        <w:t xml:space="preserve"> 2015; Sonntag, 2015.</w:t>
                      </w:r>
                    </w:p>
                  </w:txbxContent>
                </v:textbox>
                <w10:wrap type="topAndBottom"/>
              </v:shape>
            </w:pict>
          </mc:Fallback>
        </mc:AlternateContent>
      </w:r>
      <w:r>
        <w:rPr>
          <w:noProof/>
          <w:lang w:val="en-US"/>
        </w:rPr>
        <w:drawing>
          <wp:anchor distT="0" distB="0" distL="114300" distR="114300" simplePos="0" relativeHeight="251664384" behindDoc="0" locked="0" layoutInCell="1" allowOverlap="1" wp14:anchorId="3F1DC5CA" wp14:editId="74399B64">
            <wp:simplePos x="0" y="0"/>
            <wp:positionH relativeFrom="page">
              <wp:posOffset>42545</wp:posOffset>
            </wp:positionH>
            <wp:positionV relativeFrom="paragraph">
              <wp:posOffset>0</wp:posOffset>
            </wp:positionV>
            <wp:extent cx="3689350" cy="2994025"/>
            <wp:effectExtent l="0" t="0" r="6350" b="0"/>
            <wp:wrapTopAndBottom/>
            <wp:docPr id="11" name="Afbeelding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89350" cy="29940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lang w:val="en-US"/>
        </w:rPr>
        <w:t xml:space="preserve"> (</w:t>
      </w:r>
      <w:r w:rsidRPr="00E25BAA">
        <w:rPr>
          <w:lang w:val="en-US"/>
        </w:rPr>
        <w:t>Political Data Yearbook Interactive, 2015; Sonntag, 2015</w:t>
      </w:r>
      <w:r>
        <w:rPr>
          <w:lang w:val="en-US"/>
        </w:rPr>
        <w:t>)</w:t>
      </w:r>
      <w:r w:rsidRPr="00E25BAA">
        <w:rPr>
          <w:lang w:val="en-US"/>
        </w:rPr>
        <w:t>.</w:t>
      </w:r>
    </w:p>
    <w:p w14:paraId="26B9B3AC" w14:textId="54407345" w:rsidR="00AE4CE0" w:rsidRDefault="00AE4CE0" w:rsidP="00AE4CE0">
      <w:pPr>
        <w:spacing w:line="360" w:lineRule="auto"/>
        <w:jc w:val="both"/>
        <w:rPr>
          <w:lang w:val="en-US"/>
        </w:rPr>
      </w:pPr>
      <w:r>
        <w:rPr>
          <w:lang w:val="en-US"/>
        </w:rPr>
        <w:t xml:space="preserve">Next, the number of early elections is also a factor in political instability. Latvia has had two early elections (1995, 2011), compared to five in Bulgaria (1994, 1997, 2013, 2014, 2017). These early elections were in both countries the result of persistent political instability, in which elections were </w:t>
      </w:r>
      <w:r>
        <w:rPr>
          <w:lang w:val="en-US"/>
        </w:rPr>
        <w:lastRenderedPageBreak/>
        <w:t>seen as the only outcome</w:t>
      </w:r>
      <w:r w:rsidR="00EB7EA6">
        <w:rPr>
          <w:lang w:val="en-US"/>
        </w:rPr>
        <w:t xml:space="preserve"> </w:t>
      </w:r>
      <w:r w:rsidR="00EB7EA6">
        <w:rPr>
          <w:lang w:val="en-US"/>
        </w:rPr>
        <w:t>(Pula, 2018)</w:t>
      </w:r>
      <w:r>
        <w:rPr>
          <w:lang w:val="en-US"/>
        </w:rPr>
        <w:t>. The difference is that in Latvia, a collapse of government does not have to lead to new elections</w:t>
      </w:r>
      <w:r w:rsidR="00EB7EA6">
        <w:rPr>
          <w:lang w:val="en-US"/>
        </w:rPr>
        <w:t xml:space="preserve">. </w:t>
      </w:r>
      <w:r>
        <w:rPr>
          <w:lang w:val="en-US"/>
        </w:rPr>
        <w:t>There is also an option of trying to create new majorities in the existing parliament, thereby circumventing early elections, which are seen as a last resort. In Bulgaria, the collapse of government almost always leads to new elections, which are seen as a necessary reset from the existing stalemate (Gallagher et al., 2011). Another difference is the party landscape between the two countries. In Latvia, the parties in government are often a continuation of existing parties that have fused together because of declining electoral support, this results in a long tradition of parties that has held power in various forms. In Bulgaria, the lifespan of political parties is shorter, with the exclusion of the socialist party, which is a continuation of the former communist party, all parties that were previously in power no longer exist. This means that political parties lose political support after one or two terms, and are then no longer able to survive. Thus, new political parties are created every election to fill this gap of support. This has resulted in different political parties holding power every electoral term (Gallagher et al., 2011).</w:t>
      </w:r>
    </w:p>
    <w:p w14:paraId="41C1CDBB" w14:textId="64ED00BA" w:rsidR="00AE4CE0" w:rsidRPr="003A27B3" w:rsidRDefault="00AE4CE0" w:rsidP="00AE4CE0">
      <w:pPr>
        <w:spacing w:line="360" w:lineRule="auto"/>
        <w:jc w:val="both"/>
        <w:rPr>
          <w:lang w:val="en-US"/>
        </w:rPr>
      </w:pPr>
      <w:r>
        <w:rPr>
          <w:lang w:val="en-US"/>
        </w:rPr>
        <w:t xml:space="preserve">Understanding the political stability within Latvia and Bulgaria is not straightforward. On the one hand, both countries have had a lot of different governments over these 25 years. But the patterns and context in which these have happened are more important than these numbers. The main difference between these two countries is that the Latvian system is more consensus-based and rooted in political tradition, while the Bulgarian political system seems to have various life-cycles in which different political parties exist to hold power for a short amount of time (Blondel, 2001). Therefore, Latvia is more politically stable over the entire period, while Bulgaria has had its ups and downs. This political stability has affected the reputation of the country and thereby the economic performance. Over the entire period, Latvia has profited more from political stability, while Bulgaria could only do in specific years. This is reflected in the economic development of both countries. It can thus be said </w:t>
      </w:r>
      <w:r w:rsidRPr="00253311">
        <w:rPr>
          <w:i/>
          <w:iCs/>
          <w:lang w:val="en-US"/>
        </w:rPr>
        <w:t>that higher political stability leads to more economic development</w:t>
      </w:r>
      <w:r>
        <w:rPr>
          <w:lang w:val="en-US"/>
        </w:rPr>
        <w:t>. This means that this hypothesis is accepted on the basis of these results.</w:t>
      </w:r>
    </w:p>
    <w:p w14:paraId="42FE4ECF" w14:textId="77777777" w:rsidR="00AE4CE0" w:rsidRPr="003742E1" w:rsidRDefault="00AE4CE0" w:rsidP="00AE4CE0">
      <w:pPr>
        <w:pStyle w:val="Kop3"/>
        <w:jc w:val="both"/>
        <w:rPr>
          <w:lang w:val="en-US"/>
        </w:rPr>
      </w:pPr>
      <w:bookmarkStart w:id="40" w:name="_Toc75401346"/>
      <w:r w:rsidRPr="003742E1">
        <w:rPr>
          <w:lang w:val="en-US"/>
        </w:rPr>
        <w:t>3.7 Institutional Complementarity in the Corporate &amp; Governmental Spheres</w:t>
      </w:r>
      <w:bookmarkEnd w:id="40"/>
    </w:p>
    <w:p w14:paraId="312226CE" w14:textId="77777777" w:rsidR="00AE4CE0" w:rsidRPr="00253311" w:rsidRDefault="00AE4CE0" w:rsidP="001666AE">
      <w:pPr>
        <w:pStyle w:val="Geenafstand"/>
        <w:rPr>
          <w:lang w:val="en-US"/>
        </w:rPr>
      </w:pPr>
    </w:p>
    <w:p w14:paraId="06376AE1" w14:textId="77777777" w:rsidR="00AE4CE0" w:rsidRDefault="00AE4CE0" w:rsidP="00AE4CE0">
      <w:pPr>
        <w:spacing w:line="360" w:lineRule="auto"/>
        <w:jc w:val="both"/>
        <w:rPr>
          <w:lang w:val="en-US"/>
        </w:rPr>
      </w:pPr>
      <w:r>
        <w:rPr>
          <w:lang w:val="en-US"/>
        </w:rPr>
        <w:t xml:space="preserve">After having discussed the situation in Latvia and Bulgaria in light of these six dimensions, the effect of corporate institutions and governmental institutions on economic development becomes clear. </w:t>
      </w:r>
    </w:p>
    <w:p w14:paraId="170BFC81" w14:textId="77777777" w:rsidR="00AE4CE0" w:rsidRDefault="00AE4CE0" w:rsidP="00AE4CE0">
      <w:pPr>
        <w:spacing w:line="360" w:lineRule="auto"/>
        <w:jc w:val="both"/>
        <w:rPr>
          <w:lang w:val="en-US"/>
        </w:rPr>
      </w:pPr>
      <w:r>
        <w:rPr>
          <w:lang w:val="en-US"/>
        </w:rPr>
        <w:t xml:space="preserve">Regarding the corporate sphere there can be said that the labor relations in both countries were more skewed towards employers and thus more asymmetrical. However, the effect of this on economic development is ambiguous, as there were almost equally positive and negative consequences. Next, the corporate governance structure in Bulgaria was more traditional than in Latvia, which has had a negative impact on their development, as it led to a more conservative approach to reform. Finally, it </w:t>
      </w:r>
      <w:r>
        <w:rPr>
          <w:lang w:val="en-US"/>
        </w:rPr>
        <w:lastRenderedPageBreak/>
        <w:t xml:space="preserve">can be stated that both Latvia and Bulgaria have more demand for low-skilled work. This makes their labor market less diverse and results in less opportunities for high-skilled workers which are vital for further economic development. This problem is the worst in Bulgaria, which negatively affects their development in the long term. </w:t>
      </w:r>
    </w:p>
    <w:p w14:paraId="41E28E45" w14:textId="77777777" w:rsidR="00AE4CE0" w:rsidRDefault="00AE4CE0" w:rsidP="00AE4CE0">
      <w:pPr>
        <w:spacing w:line="360" w:lineRule="auto"/>
        <w:jc w:val="both"/>
        <w:rPr>
          <w:lang w:val="en-US"/>
        </w:rPr>
      </w:pPr>
      <w:r>
        <w:rPr>
          <w:lang w:val="en-US"/>
        </w:rPr>
        <w:t>Regarding the governmental sphere there can be stated that there are more informal ties between firms and between firms and the government in Bulgaria, which negatively affects their economic development. Next, there can be said that the purpose and motivation regarding privatization was more in line with the original intent of the process in Latvia. This affected the economic development of this country in a more beneficial way than in Bulgaria, where this was less the case. Finally, the political stability in Latvia was much stronger than in Bulgaria during the first twenty-five years of their independence. This positively affected economic development in this country.</w:t>
      </w:r>
    </w:p>
    <w:p w14:paraId="2B78C9C1" w14:textId="77777777" w:rsidR="00AE4CE0" w:rsidRDefault="00AE4CE0" w:rsidP="00AE4CE0">
      <w:pPr>
        <w:spacing w:line="360" w:lineRule="auto"/>
        <w:jc w:val="both"/>
        <w:rPr>
          <w:lang w:val="en-US"/>
        </w:rPr>
      </w:pPr>
      <w:r>
        <w:rPr>
          <w:lang w:val="en-US"/>
        </w:rPr>
        <w:t xml:space="preserve">The differences in the corporate and governmental spheres resulted in two divergent paths from the same starting point in 1991. These paths were shaped by the ability of both countries to adapt. This ability was much stronger in Latvia. Therefore, the economic development was also much higher in this country. This was the result of higher institutional complementarities that were formed during this process. Latvia could profit from these institutional circumstances because they were better suited to the reforms during the transition. Bulgaria underwent the same process, but its institutions proved to be more resistant to the reforms and change during the economic transition. This, in combination with the smaller room to adapt led to less institutional complementarities and thus less economic development. </w:t>
      </w:r>
    </w:p>
    <w:p w14:paraId="53E0BF0A" w14:textId="77777777" w:rsidR="00AE4CE0" w:rsidRDefault="00AE4CE0" w:rsidP="00AE4CE0">
      <w:pPr>
        <w:spacing w:line="360" w:lineRule="auto"/>
        <w:jc w:val="both"/>
        <w:rPr>
          <w:lang w:val="en-US"/>
        </w:rPr>
      </w:pPr>
      <w:r>
        <w:rPr>
          <w:lang w:val="en-US"/>
        </w:rPr>
        <w:t>There are also synergies between the two countries, some economic struggles have had similar outcomes. Firstly, both countries did not have ideal level of labor diversity in the economy. This resulted in difficulties during that the economic transition in various economic sectors that required high-skilled labor. Therefore, Latvia and Bulgaria could not stimulate development accordingly during the economic transition period. Secondly, both countries also had equal level of asymmetry in their labor relations, however this played less of a role in the economic transition as the effect of this characteristic did not prove as influential as expected. But, the similar conduct of labor relations did not lead to any advantages in the economic transitions either.</w:t>
      </w:r>
    </w:p>
    <w:p w14:paraId="3F8ED37C" w14:textId="63F58CDD" w:rsidR="001666AE" w:rsidRDefault="00AE4CE0" w:rsidP="001666AE">
      <w:pPr>
        <w:spacing w:line="360" w:lineRule="auto"/>
        <w:jc w:val="both"/>
        <w:rPr>
          <w:lang w:val="en-US"/>
        </w:rPr>
      </w:pPr>
      <w:r>
        <w:rPr>
          <w:lang w:val="en-US"/>
        </w:rPr>
        <w:t xml:space="preserve">Ultimately, the larger presence of flexible institutional complementarities in Latvia gave that country a larger ability to adapt. This resulted in a more successful economic transition in that country. </w:t>
      </w:r>
      <w:bookmarkStart w:id="41" w:name="_Toc75401347"/>
    </w:p>
    <w:p w14:paraId="5E29D579" w14:textId="77777777" w:rsidR="001666AE" w:rsidRDefault="001666AE" w:rsidP="001666AE">
      <w:pPr>
        <w:spacing w:line="360" w:lineRule="auto"/>
        <w:jc w:val="both"/>
        <w:rPr>
          <w:lang w:val="en-US"/>
        </w:rPr>
      </w:pPr>
    </w:p>
    <w:p w14:paraId="6D989967" w14:textId="7341D4D5" w:rsidR="00AE4CE0" w:rsidRPr="00017818" w:rsidRDefault="00AE4CE0" w:rsidP="00AE4CE0">
      <w:pPr>
        <w:pStyle w:val="Kop1"/>
        <w:spacing w:line="360" w:lineRule="auto"/>
        <w:rPr>
          <w:lang w:val="en-US"/>
        </w:rPr>
      </w:pPr>
      <w:r w:rsidRPr="00017818">
        <w:rPr>
          <w:lang w:val="en-US"/>
        </w:rPr>
        <w:lastRenderedPageBreak/>
        <w:t>Conclusion</w:t>
      </w:r>
      <w:bookmarkEnd w:id="41"/>
    </w:p>
    <w:p w14:paraId="124204B3" w14:textId="77777777" w:rsidR="00AE4CE0" w:rsidRDefault="00AE4CE0" w:rsidP="00AE4CE0">
      <w:pPr>
        <w:spacing w:line="360" w:lineRule="auto"/>
        <w:jc w:val="both"/>
        <w:rPr>
          <w:lang w:val="en-US"/>
        </w:rPr>
      </w:pPr>
      <w:r w:rsidRPr="00017818">
        <w:rPr>
          <w:lang w:val="en-US"/>
        </w:rPr>
        <w:t>This thesis s</w:t>
      </w:r>
      <w:r>
        <w:rPr>
          <w:lang w:val="en-US"/>
        </w:rPr>
        <w:t>ought to explain</w:t>
      </w:r>
      <w:r w:rsidRPr="00017818">
        <w:rPr>
          <w:i/>
          <w:iCs/>
          <w:lang w:val="en-US"/>
        </w:rPr>
        <w:t xml:space="preserve"> </w:t>
      </w:r>
      <w:r w:rsidRPr="00114DC6">
        <w:rPr>
          <w:lang w:val="en-US"/>
        </w:rPr>
        <w:t>the differences in development in the transition of Latvia and Bulgaria</w:t>
      </w:r>
      <w:r>
        <w:rPr>
          <w:lang w:val="en-US"/>
        </w:rPr>
        <w:t xml:space="preserve">. This was done to answer the research question: </w:t>
      </w:r>
      <w:r>
        <w:rPr>
          <w:i/>
          <w:iCs/>
          <w:lang w:val="en-US"/>
        </w:rPr>
        <w:t xml:space="preserve">What explains the difference in economic development in the economic transitions of Latvia and Bulgaria?  </w:t>
      </w:r>
      <w:r>
        <w:rPr>
          <w:lang w:val="en-US"/>
        </w:rPr>
        <w:t xml:space="preserve">With the insight that has been gained in the previous chapters, there can now be stated that these differences can be explained through the varying presence of institutional complementarities. The political and economic institutions in Latvia function better as a result of more fundamental interplay and relations between them. In Bulgaria, there are more fragmented relationships and less efficiency in the interaction between institutions, which results in worse potential for reform and development. More specifically, institutional complementarities have been split in two categories, corporate and governmental, which concern private and public institutions respectively. Within these two categories six hypotheses have been formed in order to validate whether certain institutional characteristics positively affected economic development in a country. The presence of multiple characteristics together would then result in institutional complementarity, which would give the countries that possess this, an advantage over those that do not.  </w:t>
      </w:r>
    </w:p>
    <w:p w14:paraId="09BAF94F" w14:textId="77777777" w:rsidR="00AE4CE0" w:rsidRDefault="00AE4CE0" w:rsidP="00AE4CE0">
      <w:pPr>
        <w:spacing w:line="360" w:lineRule="auto"/>
        <w:jc w:val="both"/>
        <w:rPr>
          <w:lang w:val="en-US"/>
        </w:rPr>
      </w:pPr>
      <w:r>
        <w:rPr>
          <w:lang w:val="en-US"/>
        </w:rPr>
        <w:t xml:space="preserve">Of the six hypotheses it became apparent that Latvia has a more modern corporate government structure that is less dependent on traditional norms and a more diverse labor market and education pool, compared to Bulgaria. In addition to this, Latvia also has had a more authentic motivation as foundation for its approach to privatization, more formally based network ties, and more political stability, compared to Bulgaria. These institutional benefits resulted in a larger institutional complementarity, which in turn allowed for more economic development to take place in Latvia. This was the result of synergies between the different institutions and economic sectors that reinforced the potential for development. Bulgaria lacked these benefits, and was not able to achieve the same level of institutional complementarity, and thereby the same level of economic development. This is what explains the difference between these two countries and why their outcomes of the economic transition process are so different. A final remark is that this was also done with asymmetrical labor relations, but it remains unclear whether this institutional characteristic truly affects institutional complementarity and by extension this research. </w:t>
      </w:r>
    </w:p>
    <w:p w14:paraId="64FAFA9A" w14:textId="77777777" w:rsidR="00AE4CE0" w:rsidRDefault="00AE4CE0" w:rsidP="00AE4CE0">
      <w:pPr>
        <w:spacing w:line="360" w:lineRule="auto"/>
        <w:jc w:val="both"/>
        <w:rPr>
          <w:lang w:val="en-US"/>
        </w:rPr>
      </w:pPr>
      <w:r>
        <w:rPr>
          <w:lang w:val="en-US"/>
        </w:rPr>
        <w:t xml:space="preserve">By choosing institutional complementarities as the approach to this research problem, it becomes possible to hold specific phenomenon in a different light. More distinctively, the approach was taken because evaluation of the institutional capacities of certain countries can pinpoint aspects that were otherwise left out. When an analysis of a certain phenomenon is being set up, the focus often lies on certain economic or political aspects, which further explains how something came to be. Institutional </w:t>
      </w:r>
      <w:r>
        <w:rPr>
          <w:lang w:val="en-US"/>
        </w:rPr>
        <w:lastRenderedPageBreak/>
        <w:t>complementarities are different from this because they take the sum of institutions within a country. The relationships and interactions that stem from this can form a more cohesive portrayal of the phenomenon studied. Additionally, it can also help to compare fundamentally similar cases that have different outcomes. With regard to the results, the hypotheses above are only interpreted and tested in this specific context. There may also be counter claims that could be omitted during this research. For example, this study focusses on the negative effects of traditional corporate government structure on economic development, but in other cases positive effects can outweigh the negative effects. The same can be said for diversity of education, equal power relationships and asymmetric labor relations. The latter has had an ambiguous role in this research and may be more influential in a different context.</w:t>
      </w:r>
    </w:p>
    <w:p w14:paraId="0B6CDAE9" w14:textId="77777777" w:rsidR="00AE4CE0" w:rsidRDefault="00AE4CE0" w:rsidP="00AE4CE0">
      <w:pPr>
        <w:spacing w:line="360" w:lineRule="auto"/>
        <w:jc w:val="both"/>
        <w:rPr>
          <w:lang w:val="en-US"/>
        </w:rPr>
      </w:pPr>
      <w:r>
        <w:rPr>
          <w:lang w:val="en-US"/>
        </w:rPr>
        <w:t>In the broader theoretical perspective, there are a number of points that can be reflected on. The first point is that this research demonstrates the versatility of the varieties of capitalisms approach. By combining this mainly economic approach with some political and social elements, it serves as a foundation for comparative research. The applicability was shown in this comparative case study of the Bulgarian and Latvian institutional framework. It becomes possible to apply this to other cases as well, if the VOC framework can be modified with additional aspects. This, in turn transforms the VOC into a toolkit for comparative research topics. Another point is that this research can be used to set the spotlight on institutional characteristics of a certain country. Structural national problems are often more complex than economic or political analyses make it out to be. The focus should therefore not lie on a specific aspect of a countries economy or political system, but rather how these and other institutional traits interact. This is especially important for the EU reform agenda that all member states have to follow. Because these reforms are often seen as remedies for problems that member states deal with. Instead, the focus should lie on the structural effects that these reforms create, this can be done by putting the emphasis on the institutional characteristics of the countries in question. A third point is that there is not one uniform approach to economic transitions. The large reform procedures are not created in a way that one approach works for every state. Instead of one common approach to transition, there should be multitude of approaches. An example would be that Bulgaria would have benefitted more from a specific approach to corruption and informality.</w:t>
      </w:r>
    </w:p>
    <w:p w14:paraId="6A16E4E0" w14:textId="77777777" w:rsidR="00AE4CE0" w:rsidRDefault="00AE4CE0" w:rsidP="00AE4CE0">
      <w:pPr>
        <w:spacing w:line="360" w:lineRule="auto"/>
        <w:jc w:val="both"/>
        <w:rPr>
          <w:lang w:val="en-US"/>
        </w:rPr>
      </w:pPr>
      <w:r>
        <w:rPr>
          <w:lang w:val="en-US"/>
        </w:rPr>
        <w:t>Another point that must be reflected on is the very nature of comparing capitalisms. This can be seen as an inherently political act. Hence, the view that is created with the comparison of two countries is done from a certain perspective. Therefore, it is important to consider where the researcher is coming from. The same is true for the normative orientations of contributions and sources that are used for comparative research (</w:t>
      </w:r>
      <w:proofErr w:type="spellStart"/>
      <w:r>
        <w:rPr>
          <w:lang w:val="en-US"/>
        </w:rPr>
        <w:t>Orzeck</w:t>
      </w:r>
      <w:proofErr w:type="spellEnd"/>
      <w:r>
        <w:rPr>
          <w:lang w:val="en-US"/>
        </w:rPr>
        <w:t xml:space="preserve">, 2012). To mend some of these biases </w:t>
      </w:r>
      <w:proofErr w:type="spellStart"/>
      <w:r>
        <w:rPr>
          <w:lang w:val="en-US"/>
        </w:rPr>
        <w:t>Bruff</w:t>
      </w:r>
      <w:proofErr w:type="spellEnd"/>
      <w:r>
        <w:rPr>
          <w:lang w:val="en-US"/>
        </w:rPr>
        <w:t xml:space="preserve"> (2021), advocates for juxtaposing cases instead. This could benefit the findings in this thesis. As it would allow for a more </w:t>
      </w:r>
      <w:r>
        <w:rPr>
          <w:lang w:val="en-US"/>
        </w:rPr>
        <w:lastRenderedPageBreak/>
        <w:t>diverse interpretation of the relations, instead of reproducing the same orientations as the author (</w:t>
      </w:r>
      <w:proofErr w:type="spellStart"/>
      <w:r>
        <w:rPr>
          <w:lang w:val="en-US"/>
        </w:rPr>
        <w:t>Bruff</w:t>
      </w:r>
      <w:proofErr w:type="spellEnd"/>
      <w:r>
        <w:rPr>
          <w:lang w:val="en-US"/>
        </w:rPr>
        <w:t>, 2021).  This would also help to see the transition process both countries have gone through in contrasting views, as there is not one way to view and study these complex processes in their respective countries.</w:t>
      </w:r>
    </w:p>
    <w:p w14:paraId="0B57431D" w14:textId="77777777" w:rsidR="00AE4CE0" w:rsidRDefault="00AE4CE0" w:rsidP="00AE4CE0">
      <w:pPr>
        <w:spacing w:line="360" w:lineRule="auto"/>
        <w:jc w:val="both"/>
        <w:rPr>
          <w:lang w:val="en-US"/>
        </w:rPr>
      </w:pPr>
      <w:r>
        <w:rPr>
          <w:lang w:val="en-US"/>
        </w:rPr>
        <w:t xml:space="preserve"> This research has unfolded as a compelling contribution to the VOC framework and comparative analysis in general. This is mostly the result of the combination of social, political and economic elements in the research framework. Five out of six hypothesis have been confirmed, which is a reflection that this framework fits the research goal. The sole hypothesis where an effect was unclear could be addressed to being a poor fit with the institutional context, or being an off-target aspect of the labor relations in both countries. The data collection process is entirely reliant on written information. While these sources were abundant, it was difficult at times to find the right details in very large rapports of text. Therefore, it could be possible that not all available information made it in. It is also important to mention that this research could have benefitted from other forms of information, but time constraints have made this difficult to realize. Overall, it can be stated that this research has been a success.</w:t>
      </w:r>
    </w:p>
    <w:p w14:paraId="2DB66BEE" w14:textId="77777777" w:rsidR="00AE4CE0" w:rsidRDefault="00AE4CE0" w:rsidP="00AE4CE0">
      <w:pPr>
        <w:spacing w:line="360" w:lineRule="auto"/>
        <w:jc w:val="both"/>
        <w:rPr>
          <w:lang w:val="en-US"/>
        </w:rPr>
      </w:pPr>
      <w:r>
        <w:rPr>
          <w:lang w:val="en-US"/>
        </w:rPr>
        <w:t xml:space="preserve">There are also some recommendations that can be made for further research. Firstly, to further verify these findings, it would be good to widen the comparative nature of this research. This can be done by doing a similar analysis with all EU members states that have a former soviet or communist background. Then, if the findings hold true, they are then applicable to a larger group of countries. Thereby yielding more theoretical and practical depth for future transitions of countries, and even for new prospective EU members in the future. Secondly, this research could also benefit from additions from other sources, such as interviews with national officials and experts. This could add different aspects that could have been omitted in this research. </w:t>
      </w:r>
    </w:p>
    <w:p w14:paraId="4A574C5F" w14:textId="77777777" w:rsidR="00AE4CE0" w:rsidRDefault="00AE4CE0" w:rsidP="00AE4CE0">
      <w:pPr>
        <w:spacing w:line="360" w:lineRule="auto"/>
        <w:jc w:val="both"/>
        <w:rPr>
          <w:lang w:val="en-US"/>
        </w:rPr>
      </w:pPr>
      <w:r>
        <w:rPr>
          <w:lang w:val="en-US"/>
        </w:rPr>
        <w:t>Ultimately, this research has shown that institutional structures and characteristics are the foundation for change and reform in countries. Thus, the complementarity that results from the sum of these institutions is what affects and changes outcomes of economic transitions.</w:t>
      </w:r>
    </w:p>
    <w:p w14:paraId="1219BA39" w14:textId="77777777" w:rsidR="00AE4CE0" w:rsidRDefault="00AE4CE0" w:rsidP="00AE4CE0">
      <w:pPr>
        <w:spacing w:line="360" w:lineRule="auto"/>
        <w:jc w:val="both"/>
        <w:rPr>
          <w:lang w:val="en-US"/>
        </w:rPr>
      </w:pPr>
    </w:p>
    <w:p w14:paraId="0009CACB" w14:textId="77777777" w:rsidR="00AE4CE0" w:rsidRPr="00017818" w:rsidRDefault="00AE4CE0" w:rsidP="00AE4CE0">
      <w:pPr>
        <w:spacing w:line="360" w:lineRule="auto"/>
        <w:jc w:val="both"/>
        <w:rPr>
          <w:lang w:val="en-US"/>
        </w:rPr>
      </w:pPr>
    </w:p>
    <w:p w14:paraId="7F274272" w14:textId="7CB759F1" w:rsidR="00AE4CE0" w:rsidRDefault="00AE4CE0" w:rsidP="007C7610">
      <w:pPr>
        <w:spacing w:line="360" w:lineRule="auto"/>
        <w:jc w:val="both"/>
        <w:rPr>
          <w:lang w:val="en-US"/>
        </w:rPr>
      </w:pPr>
    </w:p>
    <w:p w14:paraId="2102657E" w14:textId="73FC5ED3" w:rsidR="00AE4CE0" w:rsidRDefault="00AE4CE0" w:rsidP="007C7610">
      <w:pPr>
        <w:spacing w:line="360" w:lineRule="auto"/>
        <w:jc w:val="both"/>
        <w:rPr>
          <w:lang w:val="en-US"/>
        </w:rPr>
      </w:pPr>
    </w:p>
    <w:p w14:paraId="33CEAC81" w14:textId="1ABCA16A" w:rsidR="00AE4CE0" w:rsidRDefault="00AE4CE0" w:rsidP="007C7610">
      <w:pPr>
        <w:spacing w:line="360" w:lineRule="auto"/>
        <w:jc w:val="both"/>
        <w:rPr>
          <w:lang w:val="en-US"/>
        </w:rPr>
      </w:pPr>
    </w:p>
    <w:p w14:paraId="135C3DB3" w14:textId="54B7C8F1" w:rsidR="00E84804" w:rsidRPr="00E84804" w:rsidRDefault="00AE4CE0" w:rsidP="00E84804">
      <w:pPr>
        <w:pStyle w:val="Kop1"/>
        <w:spacing w:line="360" w:lineRule="auto"/>
        <w:rPr>
          <w:lang w:val="en-US"/>
        </w:rPr>
      </w:pPr>
      <w:bookmarkStart w:id="42" w:name="_Toc75401348"/>
      <w:r>
        <w:rPr>
          <w:lang w:val="en-US"/>
        </w:rPr>
        <w:lastRenderedPageBreak/>
        <w:t>References</w:t>
      </w:r>
      <w:bookmarkEnd w:id="42"/>
    </w:p>
    <w:p w14:paraId="4A9E57F9" w14:textId="77777777" w:rsidR="00AE4CE0" w:rsidRPr="00EB2F7F" w:rsidRDefault="00AE4CE0" w:rsidP="00E84804">
      <w:pPr>
        <w:rPr>
          <w:i/>
          <w:iCs/>
          <w:lang w:val="en-US"/>
        </w:rPr>
      </w:pPr>
      <w:bookmarkStart w:id="43" w:name="_Hlk73473433"/>
      <w:r w:rsidRPr="00EB2F7F">
        <w:rPr>
          <w:lang w:val="en-US"/>
        </w:rPr>
        <w:t xml:space="preserve">Albert, M. (1993). </w:t>
      </w:r>
      <w:r w:rsidRPr="00EB2F7F">
        <w:rPr>
          <w:i/>
          <w:iCs/>
          <w:lang w:val="en-US"/>
        </w:rPr>
        <w:t>Capitalism against capitalism</w:t>
      </w:r>
      <w:r w:rsidRPr="00EB2F7F">
        <w:rPr>
          <w:lang w:val="en-US"/>
        </w:rPr>
        <w:t xml:space="preserve">. London: </w:t>
      </w:r>
      <w:proofErr w:type="spellStart"/>
      <w:r w:rsidRPr="00EB2F7F">
        <w:rPr>
          <w:lang w:val="en-US"/>
        </w:rPr>
        <w:t>Whurr</w:t>
      </w:r>
      <w:proofErr w:type="spellEnd"/>
      <w:r w:rsidRPr="00EB2F7F">
        <w:rPr>
          <w:lang w:val="en-US"/>
        </w:rPr>
        <w:t>.</w:t>
      </w:r>
    </w:p>
    <w:p w14:paraId="37A1C5E5" w14:textId="77777777" w:rsidR="00AE4CE0" w:rsidRPr="00EB2F7F" w:rsidRDefault="00AE4CE0" w:rsidP="00E84804">
      <w:pPr>
        <w:rPr>
          <w:shd w:val="clear" w:color="auto" w:fill="FFFFFF"/>
          <w:lang w:val="en-US"/>
        </w:rPr>
      </w:pPr>
      <w:r w:rsidRPr="00EB2F7F">
        <w:rPr>
          <w:shd w:val="clear" w:color="auto" w:fill="FFFFFF"/>
          <w:lang w:val="en-US"/>
        </w:rPr>
        <w:t xml:space="preserve">Allen, M. (2004). The varieties of capitalism paradigm: not enough </w:t>
      </w:r>
      <w:proofErr w:type="gramStart"/>
      <w:r w:rsidRPr="00EB2F7F">
        <w:rPr>
          <w:shd w:val="clear" w:color="auto" w:fill="FFFFFF"/>
          <w:lang w:val="en-US"/>
        </w:rPr>
        <w:t>variety?,</w:t>
      </w:r>
      <w:proofErr w:type="gramEnd"/>
      <w:r w:rsidRPr="00EB2F7F">
        <w:rPr>
          <w:shd w:val="clear" w:color="auto" w:fill="FFFFFF"/>
          <w:lang w:val="en-US"/>
        </w:rPr>
        <w:t> </w:t>
      </w:r>
      <w:r w:rsidRPr="00EB2F7F">
        <w:rPr>
          <w:rStyle w:val="Nadruk"/>
          <w:bdr w:val="none" w:sz="0" w:space="0" w:color="auto" w:frame="1"/>
          <w:shd w:val="clear" w:color="auto" w:fill="FFFFFF"/>
          <w:lang w:val="en-US"/>
        </w:rPr>
        <w:t>Socio-Economic Review</w:t>
      </w:r>
      <w:r w:rsidRPr="00EB2F7F">
        <w:rPr>
          <w:shd w:val="clear" w:color="auto" w:fill="FFFFFF"/>
          <w:lang w:val="en-US"/>
        </w:rPr>
        <w:t>, Volume 2</w:t>
      </w:r>
      <w:r>
        <w:rPr>
          <w:shd w:val="clear" w:color="auto" w:fill="FFFFFF"/>
          <w:lang w:val="en-US"/>
        </w:rPr>
        <w:t>(</w:t>
      </w:r>
      <w:r w:rsidRPr="00EB2F7F">
        <w:rPr>
          <w:shd w:val="clear" w:color="auto" w:fill="FFFFFF"/>
          <w:lang w:val="en-US"/>
        </w:rPr>
        <w:t>1</w:t>
      </w:r>
      <w:r>
        <w:rPr>
          <w:shd w:val="clear" w:color="auto" w:fill="FFFFFF"/>
          <w:lang w:val="en-US"/>
        </w:rPr>
        <w:t>)</w:t>
      </w:r>
      <w:r w:rsidRPr="00EB2F7F">
        <w:rPr>
          <w:shd w:val="clear" w:color="auto" w:fill="FFFFFF"/>
          <w:lang w:val="en-US"/>
        </w:rPr>
        <w:t>, 87–108.</w:t>
      </w:r>
    </w:p>
    <w:p w14:paraId="1468E0AD" w14:textId="3976740E" w:rsidR="00AE4CE0" w:rsidRPr="00E84804" w:rsidRDefault="00AE4CE0" w:rsidP="00E84804">
      <w:pPr>
        <w:rPr>
          <w:rFonts w:cs="Times New Roman"/>
          <w:lang w:val="en-US"/>
        </w:rPr>
      </w:pPr>
      <w:r w:rsidRPr="002D2F03">
        <w:rPr>
          <w:rFonts w:cs="Times New Roman"/>
          <w:lang w:val="en-US"/>
        </w:rPr>
        <w:t>Alvarez, R. M., Garnet G. &amp; Lange P. (1991) 'Government Partisanship, Labor Organization, and Macroeconomic Performance.</w:t>
      </w:r>
      <w:r>
        <w:rPr>
          <w:rFonts w:cs="Times New Roman"/>
          <w:lang w:val="en-US"/>
        </w:rPr>
        <w:t xml:space="preserve"> </w:t>
      </w:r>
      <w:r w:rsidRPr="002D2F03">
        <w:rPr>
          <w:rFonts w:cs="Times New Roman"/>
          <w:i/>
          <w:iCs/>
          <w:lang w:val="en-US"/>
        </w:rPr>
        <w:t xml:space="preserve">American Political Science Review </w:t>
      </w:r>
      <w:r w:rsidRPr="002D2F03">
        <w:rPr>
          <w:rFonts w:cs="Times New Roman"/>
          <w:lang w:val="en-US"/>
        </w:rPr>
        <w:t>85 (June): 539-56.</w:t>
      </w:r>
    </w:p>
    <w:p w14:paraId="464EB0B2" w14:textId="104F0ACA" w:rsidR="00AE4CE0" w:rsidRPr="00E84804" w:rsidRDefault="00AE4CE0" w:rsidP="00E84804">
      <w:pPr>
        <w:rPr>
          <w:rFonts w:cs="Times New Roman"/>
          <w:i/>
          <w:iCs/>
          <w:lang w:val="en-US"/>
        </w:rPr>
      </w:pPr>
      <w:r w:rsidRPr="002D2F03">
        <w:rPr>
          <w:rFonts w:cs="Times New Roman"/>
          <w:lang w:val="en-US"/>
        </w:rPr>
        <w:t xml:space="preserve">Aoki, M. (1988). </w:t>
      </w:r>
      <w:r w:rsidRPr="002D2F03">
        <w:rPr>
          <w:rFonts w:cs="Times New Roman"/>
          <w:i/>
          <w:iCs/>
          <w:lang w:val="en-US"/>
        </w:rPr>
        <w:t xml:space="preserve">Information, Incentives and Bargaining in the Japanese Economy. </w:t>
      </w:r>
      <w:r w:rsidRPr="002D2F03">
        <w:rPr>
          <w:rFonts w:cs="Times New Roman"/>
          <w:lang w:val="en-US"/>
        </w:rPr>
        <w:t>Cambridge: Cambridge University Press.</w:t>
      </w:r>
    </w:p>
    <w:p w14:paraId="740F0DE6" w14:textId="435DA8B8" w:rsidR="00AE4CE0" w:rsidRPr="00E84804" w:rsidRDefault="00AE4CE0" w:rsidP="00E84804">
      <w:pPr>
        <w:rPr>
          <w:lang w:val="en-US"/>
        </w:rPr>
      </w:pPr>
      <w:r w:rsidRPr="002D2F03">
        <w:rPr>
          <w:lang w:val="en-US"/>
        </w:rPr>
        <w:t xml:space="preserve">Appel, H. (2004). </w:t>
      </w:r>
      <w:r w:rsidRPr="002D2F03">
        <w:rPr>
          <w:i/>
          <w:iCs/>
          <w:lang w:val="en-US"/>
        </w:rPr>
        <w:t xml:space="preserve">A New Capitalist Order: Privatization and Ideology in Russia and Eastern Europe. </w:t>
      </w:r>
      <w:r w:rsidRPr="00A50E08">
        <w:rPr>
          <w:lang w:val="en-US"/>
        </w:rPr>
        <w:t>Pittsburgh: University of Pittsburgh Press.</w:t>
      </w:r>
    </w:p>
    <w:p w14:paraId="00953807" w14:textId="77777777" w:rsidR="00AE4CE0" w:rsidRPr="004141C3" w:rsidRDefault="00AE4CE0" w:rsidP="00E84804">
      <w:pPr>
        <w:rPr>
          <w:shd w:val="clear" w:color="auto" w:fill="FFFFFF"/>
          <w:lang w:val="en-US"/>
        </w:rPr>
      </w:pPr>
      <w:r w:rsidRPr="004141C3">
        <w:rPr>
          <w:shd w:val="clear" w:color="auto" w:fill="FFFFFF"/>
          <w:lang w:val="en-US"/>
        </w:rPr>
        <w:t>Austrian Institute for SME Research (2009). Overview of Family Business Relevant Issues.</w:t>
      </w:r>
    </w:p>
    <w:p w14:paraId="7793279A" w14:textId="77777777" w:rsidR="00AE4CE0" w:rsidRPr="002D1810" w:rsidRDefault="00AE4CE0" w:rsidP="00E84804">
      <w:pPr>
        <w:rPr>
          <w:lang w:val="en-US"/>
        </w:rPr>
      </w:pPr>
      <w:bookmarkStart w:id="44" w:name="_Hlk73474024"/>
      <w:bookmarkEnd w:id="43"/>
      <w:r w:rsidRPr="002D2F03">
        <w:rPr>
          <w:lang w:val="en-US"/>
        </w:rPr>
        <w:t>Ban, C. (2013). From Cocktail to Dependence: Revisiting the Foundations of Dependent Market Economies. SSRN Electronic Journal. 10.2139/ssrn.2233056.</w:t>
      </w:r>
    </w:p>
    <w:p w14:paraId="6EFF2E98" w14:textId="7B1E83AA" w:rsidR="00AE4CE0" w:rsidRPr="002D1810" w:rsidRDefault="00AE4CE0" w:rsidP="00E84804">
      <w:pPr>
        <w:rPr>
          <w:shd w:val="clear" w:color="auto" w:fill="FFFFFF"/>
          <w:lang w:val="en-US"/>
        </w:rPr>
      </w:pPr>
      <w:r w:rsidRPr="00484548">
        <w:rPr>
          <w:shd w:val="clear" w:color="auto" w:fill="FFFFFF"/>
          <w:lang w:val="en-US"/>
        </w:rPr>
        <w:t xml:space="preserve">Bartosz, T., Katarzyna, S., &amp; Andreas, K. (2019). </w:t>
      </w:r>
      <w:r w:rsidRPr="002D2F03">
        <w:rPr>
          <w:shd w:val="clear" w:color="auto" w:fill="FFFFFF"/>
          <w:lang w:val="en-US"/>
        </w:rPr>
        <w:t>Rent-seeking by politicians in state-owned enterprises. </w:t>
      </w:r>
      <w:proofErr w:type="spellStart"/>
      <w:r w:rsidRPr="002D2F03">
        <w:rPr>
          <w:i/>
          <w:iCs/>
          <w:shd w:val="clear" w:color="auto" w:fill="FFFFFF"/>
          <w:lang w:val="en-US"/>
        </w:rPr>
        <w:t>Ekonomia</w:t>
      </w:r>
      <w:proofErr w:type="spellEnd"/>
      <w:r w:rsidRPr="002D2F03">
        <w:rPr>
          <w:i/>
          <w:iCs/>
          <w:shd w:val="clear" w:color="auto" w:fill="FFFFFF"/>
          <w:lang w:val="en-US"/>
        </w:rPr>
        <w:t xml:space="preserve"> I </w:t>
      </w:r>
      <w:proofErr w:type="spellStart"/>
      <w:r w:rsidRPr="002D2F03">
        <w:rPr>
          <w:i/>
          <w:iCs/>
          <w:shd w:val="clear" w:color="auto" w:fill="FFFFFF"/>
          <w:lang w:val="en-US"/>
        </w:rPr>
        <w:t>Prawo</w:t>
      </w:r>
      <w:proofErr w:type="spellEnd"/>
      <w:r w:rsidRPr="002D2F03">
        <w:rPr>
          <w:shd w:val="clear" w:color="auto" w:fill="FFFFFF"/>
          <w:lang w:val="en-US"/>
        </w:rPr>
        <w:t>, </w:t>
      </w:r>
      <w:r w:rsidRPr="002D2F03">
        <w:rPr>
          <w:i/>
          <w:iCs/>
          <w:shd w:val="clear" w:color="auto" w:fill="FFFFFF"/>
          <w:lang w:val="en-US"/>
        </w:rPr>
        <w:t>18</w:t>
      </w:r>
      <w:r w:rsidRPr="002D2F03">
        <w:rPr>
          <w:shd w:val="clear" w:color="auto" w:fill="FFFFFF"/>
          <w:lang w:val="en-US"/>
        </w:rPr>
        <w:t>(4), 515–529.</w:t>
      </w:r>
    </w:p>
    <w:p w14:paraId="4EAB71F5" w14:textId="77777777" w:rsidR="00AE4CE0" w:rsidRPr="00DA214B" w:rsidRDefault="00AE4CE0" w:rsidP="00E84804">
      <w:pPr>
        <w:rPr>
          <w:rFonts w:ascii="Calibri" w:hAnsi="Calibri" w:cs="CaeciliaLTStd-Roman"/>
          <w:lang w:val="en-US"/>
        </w:rPr>
      </w:pPr>
      <w:proofErr w:type="spellStart"/>
      <w:r w:rsidRPr="004141C3">
        <w:rPr>
          <w:rFonts w:ascii="Calibri" w:hAnsi="Calibri" w:cs="CaeciliaLTStd-Roman"/>
          <w:lang w:val="en-US"/>
        </w:rPr>
        <w:t>Bergseng</w:t>
      </w:r>
      <w:proofErr w:type="spellEnd"/>
      <w:r w:rsidRPr="004141C3">
        <w:rPr>
          <w:rFonts w:ascii="Calibri" w:hAnsi="Calibri" w:cs="CaeciliaLTStd-Roman"/>
          <w:lang w:val="en-US"/>
        </w:rPr>
        <w:t xml:space="preserve">, B. (2019), </w:t>
      </w:r>
      <w:r w:rsidRPr="004141C3">
        <w:rPr>
          <w:rFonts w:ascii="Calibri" w:hAnsi="Calibri" w:cs="CaeciliaLTStd-Italic"/>
          <w:i/>
          <w:iCs/>
          <w:lang w:val="en-US"/>
        </w:rPr>
        <w:t>Vocational Education and Training in Bulgaria: Governance and Funding</w:t>
      </w:r>
      <w:r w:rsidRPr="004141C3">
        <w:rPr>
          <w:rFonts w:ascii="Calibri" w:hAnsi="Calibri" w:cs="CaeciliaLTStd-Roman"/>
          <w:lang w:val="en-US"/>
        </w:rPr>
        <w:t>, OECD</w:t>
      </w:r>
      <w:r>
        <w:rPr>
          <w:rFonts w:ascii="Calibri" w:hAnsi="Calibri" w:cs="CaeciliaLTStd-Roman"/>
          <w:lang w:val="en-US"/>
        </w:rPr>
        <w:t xml:space="preserve">. </w:t>
      </w:r>
      <w:r w:rsidRPr="004141C3">
        <w:rPr>
          <w:rFonts w:ascii="Calibri" w:hAnsi="Calibri" w:cs="CaeciliaLTStd-Roman"/>
          <w:lang w:val="en-US"/>
        </w:rPr>
        <w:t>Reviews of Vocational Education and Training, OECD Publishing, Paris.</w:t>
      </w:r>
    </w:p>
    <w:bookmarkEnd w:id="44"/>
    <w:p w14:paraId="223F9DD8" w14:textId="77777777" w:rsidR="00AE4CE0" w:rsidRPr="00DA214B" w:rsidRDefault="00AE4CE0" w:rsidP="00E84804">
      <w:pPr>
        <w:rPr>
          <w:rFonts w:eastAsia="Arial Unicode MS" w:cs="Arial Unicode MS"/>
          <w:shd w:val="clear" w:color="auto" w:fill="FFFFFF"/>
          <w:lang w:val="en-US"/>
        </w:rPr>
      </w:pPr>
      <w:r w:rsidRPr="00DA214B">
        <w:rPr>
          <w:rFonts w:eastAsia="Arial Unicode MS" w:cs="Arial Unicode MS"/>
          <w:shd w:val="clear" w:color="auto" w:fill="FFFFFF"/>
          <w:lang w:val="en-US"/>
        </w:rPr>
        <w:t xml:space="preserve">Blondel, J., &amp; </w:t>
      </w:r>
      <w:proofErr w:type="spellStart"/>
      <w:r w:rsidRPr="00DA214B">
        <w:rPr>
          <w:rFonts w:eastAsia="Arial Unicode MS" w:cs="Arial Unicode MS"/>
          <w:shd w:val="clear" w:color="auto" w:fill="FFFFFF"/>
          <w:lang w:val="en-US"/>
        </w:rPr>
        <w:t>Müller-Rommel</w:t>
      </w:r>
      <w:proofErr w:type="spellEnd"/>
      <w:r w:rsidRPr="00DA214B">
        <w:rPr>
          <w:rFonts w:eastAsia="Arial Unicode MS" w:cs="Arial Unicode MS"/>
          <w:shd w:val="clear" w:color="auto" w:fill="FFFFFF"/>
          <w:lang w:val="en-US"/>
        </w:rPr>
        <w:t>, F. (2001). </w:t>
      </w:r>
      <w:r w:rsidRPr="00DA214B">
        <w:rPr>
          <w:rFonts w:eastAsia="Arial Unicode MS" w:cs="Arial Unicode MS"/>
          <w:i/>
          <w:iCs/>
          <w:shd w:val="clear" w:color="auto" w:fill="FFFFFF"/>
          <w:lang w:val="en-US"/>
        </w:rPr>
        <w:t>Cabinets in Eastern Europe</w:t>
      </w:r>
      <w:r w:rsidRPr="00DA214B">
        <w:rPr>
          <w:rFonts w:eastAsia="Arial Unicode MS" w:cs="Arial Unicode MS"/>
          <w:shd w:val="clear" w:color="auto" w:fill="FFFFFF"/>
          <w:lang w:val="en-US"/>
        </w:rPr>
        <w:t>. New York: Palgrave.</w:t>
      </w:r>
    </w:p>
    <w:p w14:paraId="2D77F378" w14:textId="5CAE1561" w:rsidR="00AE4CE0" w:rsidRPr="002D2F03" w:rsidRDefault="00AE4CE0" w:rsidP="00E84804">
      <w:pPr>
        <w:rPr>
          <w:shd w:val="clear" w:color="auto" w:fill="FFFFFF"/>
          <w:lang w:val="en-US"/>
        </w:rPr>
      </w:pPr>
      <w:r w:rsidRPr="002D2F03">
        <w:rPr>
          <w:shd w:val="clear" w:color="auto" w:fill="FFFFFF"/>
          <w:lang w:val="en-US"/>
        </w:rPr>
        <w:t xml:space="preserve">Bohle, D. (2006). Neoliberal hegemony, transnational capital and the terms of the </w:t>
      </w:r>
      <w:r>
        <w:rPr>
          <w:shd w:val="clear" w:color="auto" w:fill="FFFFFF"/>
          <w:lang w:val="en-US"/>
        </w:rPr>
        <w:t>EU</w:t>
      </w:r>
      <w:r w:rsidRPr="002D2F03">
        <w:rPr>
          <w:shd w:val="clear" w:color="auto" w:fill="FFFFFF"/>
          <w:lang w:val="en-US"/>
        </w:rPr>
        <w:t>'s eastward expansion. </w:t>
      </w:r>
      <w:r w:rsidRPr="002D2F03">
        <w:rPr>
          <w:i/>
          <w:iCs/>
          <w:shd w:val="clear" w:color="auto" w:fill="FFFFFF"/>
          <w:lang w:val="en-US"/>
        </w:rPr>
        <w:t>Capital and Class</w:t>
      </w:r>
      <w:r w:rsidRPr="002D2F03">
        <w:rPr>
          <w:shd w:val="clear" w:color="auto" w:fill="FFFFFF"/>
          <w:lang w:val="en-US"/>
        </w:rPr>
        <w:t>, </w:t>
      </w:r>
      <w:r w:rsidRPr="002D2F03">
        <w:rPr>
          <w:i/>
          <w:iCs/>
          <w:shd w:val="clear" w:color="auto" w:fill="FFFFFF"/>
          <w:lang w:val="en-US"/>
        </w:rPr>
        <w:t>88</w:t>
      </w:r>
      <w:r w:rsidRPr="002D2F03">
        <w:rPr>
          <w:shd w:val="clear" w:color="auto" w:fill="FFFFFF"/>
          <w:lang w:val="en-US"/>
        </w:rPr>
        <w:t>(88), 57–86.</w:t>
      </w:r>
    </w:p>
    <w:p w14:paraId="15C8F3EA" w14:textId="1D771790" w:rsidR="00AE4CE0" w:rsidRPr="002D2F03" w:rsidRDefault="00AE4CE0" w:rsidP="00E84804">
      <w:pPr>
        <w:rPr>
          <w:shd w:val="clear" w:color="auto" w:fill="FFFFFF"/>
          <w:lang w:val="en-US"/>
        </w:rPr>
      </w:pPr>
      <w:r w:rsidRPr="002D2F03">
        <w:rPr>
          <w:shd w:val="clear" w:color="auto" w:fill="FFFFFF"/>
          <w:lang w:val="en-US"/>
        </w:rPr>
        <w:t xml:space="preserve">Bohle, D., &amp; </w:t>
      </w:r>
      <w:proofErr w:type="spellStart"/>
      <w:r w:rsidRPr="002D2F03">
        <w:rPr>
          <w:shd w:val="clear" w:color="auto" w:fill="FFFFFF"/>
          <w:lang w:val="en-US"/>
        </w:rPr>
        <w:t>Greskovits</w:t>
      </w:r>
      <w:proofErr w:type="spellEnd"/>
      <w:r w:rsidRPr="002D2F03">
        <w:rPr>
          <w:shd w:val="clear" w:color="auto" w:fill="FFFFFF"/>
          <w:lang w:val="en-US"/>
        </w:rPr>
        <w:t xml:space="preserve"> B. (2009). East-central </w:t>
      </w:r>
      <w:proofErr w:type="spellStart"/>
      <w:r w:rsidRPr="002D2F03">
        <w:rPr>
          <w:shd w:val="clear" w:color="auto" w:fill="FFFFFF"/>
          <w:lang w:val="en-US"/>
        </w:rPr>
        <w:t>europe's</w:t>
      </w:r>
      <w:proofErr w:type="spellEnd"/>
      <w:r w:rsidRPr="002D2F03">
        <w:rPr>
          <w:shd w:val="clear" w:color="auto" w:fill="FFFFFF"/>
          <w:lang w:val="en-US"/>
        </w:rPr>
        <w:t xml:space="preserve"> quandary. </w:t>
      </w:r>
      <w:r w:rsidRPr="002D2F03">
        <w:rPr>
          <w:i/>
          <w:iCs/>
          <w:shd w:val="clear" w:color="auto" w:fill="FFFFFF"/>
          <w:lang w:val="en-US"/>
        </w:rPr>
        <w:t>Journal of Democracy</w:t>
      </w:r>
      <w:r w:rsidRPr="002D2F03">
        <w:rPr>
          <w:shd w:val="clear" w:color="auto" w:fill="FFFFFF"/>
          <w:lang w:val="en-US"/>
        </w:rPr>
        <w:t>, </w:t>
      </w:r>
      <w:r w:rsidRPr="002D2F03">
        <w:rPr>
          <w:i/>
          <w:iCs/>
          <w:shd w:val="clear" w:color="auto" w:fill="FFFFFF"/>
          <w:lang w:val="en-US"/>
        </w:rPr>
        <w:t>20</w:t>
      </w:r>
      <w:r w:rsidRPr="002D2F03">
        <w:rPr>
          <w:shd w:val="clear" w:color="auto" w:fill="FFFFFF"/>
          <w:lang w:val="en-US"/>
        </w:rPr>
        <w:t>(4), 50–63.</w:t>
      </w:r>
    </w:p>
    <w:p w14:paraId="58CD428A" w14:textId="7CCFA34F" w:rsidR="00AE4CE0" w:rsidRPr="002D2F03" w:rsidRDefault="00AE4CE0" w:rsidP="00E84804">
      <w:pPr>
        <w:rPr>
          <w:shd w:val="clear" w:color="auto" w:fill="FFFFFF"/>
          <w:lang w:val="en-US"/>
        </w:rPr>
      </w:pPr>
      <w:r w:rsidRPr="002D2F03">
        <w:rPr>
          <w:shd w:val="clear" w:color="auto" w:fill="FFFFFF"/>
          <w:lang w:val="en-US"/>
        </w:rPr>
        <w:t xml:space="preserve">Bohle, D. (2018). European integration, capitalist diversity and crises trajectories on </w:t>
      </w:r>
      <w:proofErr w:type="spellStart"/>
      <w:r w:rsidRPr="002D2F03">
        <w:rPr>
          <w:shd w:val="clear" w:color="auto" w:fill="FFFFFF"/>
          <w:lang w:val="en-US"/>
        </w:rPr>
        <w:t>europe's</w:t>
      </w:r>
      <w:proofErr w:type="spellEnd"/>
      <w:r w:rsidRPr="002D2F03">
        <w:rPr>
          <w:shd w:val="clear" w:color="auto" w:fill="FFFFFF"/>
          <w:lang w:val="en-US"/>
        </w:rPr>
        <w:t xml:space="preserve"> eastern periphery. </w:t>
      </w:r>
      <w:r w:rsidRPr="002D2F03">
        <w:rPr>
          <w:i/>
          <w:iCs/>
          <w:shd w:val="clear" w:color="auto" w:fill="FFFFFF"/>
          <w:lang w:val="en-US"/>
        </w:rPr>
        <w:t>New Political Economy</w:t>
      </w:r>
      <w:r w:rsidRPr="002D2F03">
        <w:rPr>
          <w:shd w:val="clear" w:color="auto" w:fill="FFFFFF"/>
          <w:lang w:val="en-US"/>
        </w:rPr>
        <w:t>, </w:t>
      </w:r>
      <w:r w:rsidRPr="002D2F03">
        <w:rPr>
          <w:i/>
          <w:iCs/>
          <w:shd w:val="clear" w:color="auto" w:fill="FFFFFF"/>
          <w:lang w:val="en-US"/>
        </w:rPr>
        <w:t>23</w:t>
      </w:r>
      <w:r w:rsidRPr="002D2F03">
        <w:rPr>
          <w:shd w:val="clear" w:color="auto" w:fill="FFFFFF"/>
          <w:lang w:val="en-US"/>
        </w:rPr>
        <w:t>(2), 239–253.</w:t>
      </w:r>
    </w:p>
    <w:p w14:paraId="75B98C2C" w14:textId="44B91026" w:rsidR="00AE4CE0" w:rsidRPr="002D2F03" w:rsidRDefault="00AE4CE0" w:rsidP="00E84804">
      <w:pPr>
        <w:rPr>
          <w:shd w:val="clear" w:color="auto" w:fill="FFFFFF"/>
          <w:lang w:val="en-US"/>
        </w:rPr>
      </w:pPr>
      <w:proofErr w:type="spellStart"/>
      <w:r w:rsidRPr="002D2F03">
        <w:rPr>
          <w:lang w:val="en-US"/>
        </w:rPr>
        <w:t>Boycko</w:t>
      </w:r>
      <w:proofErr w:type="spellEnd"/>
      <w:r w:rsidRPr="002D2F03">
        <w:rPr>
          <w:lang w:val="en-US"/>
        </w:rPr>
        <w:t xml:space="preserve">, M., Shleifer, A. &amp; </w:t>
      </w:r>
      <w:proofErr w:type="spellStart"/>
      <w:r w:rsidRPr="002D2F03">
        <w:rPr>
          <w:lang w:val="en-US"/>
        </w:rPr>
        <w:t>Vishny</w:t>
      </w:r>
      <w:proofErr w:type="spellEnd"/>
      <w:r w:rsidRPr="002D2F03">
        <w:rPr>
          <w:lang w:val="en-US"/>
        </w:rPr>
        <w:t>, R. W. (1996). “A Theory of Privatization</w:t>
      </w:r>
      <w:r w:rsidRPr="002D2F03">
        <w:rPr>
          <w:i/>
          <w:iCs/>
          <w:lang w:val="en-US"/>
        </w:rPr>
        <w:t>.</w:t>
      </w:r>
      <w:r w:rsidRPr="002D2F03">
        <w:rPr>
          <w:lang w:val="en-US"/>
        </w:rPr>
        <w:t xml:space="preserve">” </w:t>
      </w:r>
      <w:r w:rsidRPr="002D2F03">
        <w:rPr>
          <w:i/>
          <w:iCs/>
          <w:lang w:val="en-US"/>
        </w:rPr>
        <w:t xml:space="preserve">The Economic Journal </w:t>
      </w:r>
      <w:r w:rsidRPr="002D2F03">
        <w:rPr>
          <w:lang w:val="en-US"/>
        </w:rPr>
        <w:t>106 (3): 309–19.</w:t>
      </w:r>
    </w:p>
    <w:p w14:paraId="36DEBD6E" w14:textId="0AAD64CA" w:rsidR="00AE4CE0" w:rsidRDefault="00AE4CE0" w:rsidP="00E84804">
      <w:pPr>
        <w:rPr>
          <w:rFonts w:cs="Arial"/>
          <w:shd w:val="clear" w:color="auto" w:fill="FFFFFF"/>
          <w:lang w:val="en-US"/>
        </w:rPr>
      </w:pPr>
      <w:proofErr w:type="spellStart"/>
      <w:r w:rsidRPr="00473700">
        <w:rPr>
          <w:shd w:val="clear" w:color="auto" w:fill="FFFFFF"/>
          <w:lang w:val="en-US"/>
        </w:rPr>
        <w:t>Bruff</w:t>
      </w:r>
      <w:proofErr w:type="spellEnd"/>
      <w:r w:rsidRPr="00473700">
        <w:rPr>
          <w:shd w:val="clear" w:color="auto" w:fill="FFFFFF"/>
          <w:lang w:val="en-US"/>
        </w:rPr>
        <w:t>, I. (2021). The politics of comparing capitalisms. </w:t>
      </w:r>
      <w:r w:rsidRPr="00473700">
        <w:rPr>
          <w:i/>
          <w:iCs/>
          <w:shd w:val="clear" w:color="auto" w:fill="FFFFFF"/>
          <w:lang w:val="en-US"/>
        </w:rPr>
        <w:t>Environment and Planning a: Economy and Space</w:t>
      </w:r>
      <w:r w:rsidRPr="00473700">
        <w:rPr>
          <w:shd w:val="clear" w:color="auto" w:fill="FFFFFF"/>
          <w:lang w:val="en-US"/>
        </w:rPr>
        <w:t>, </w:t>
      </w:r>
      <w:r w:rsidRPr="00473700">
        <w:rPr>
          <w:i/>
          <w:iCs/>
          <w:shd w:val="clear" w:color="auto" w:fill="FFFFFF"/>
          <w:lang w:val="en-US"/>
        </w:rPr>
        <w:t>0308518x2199712</w:t>
      </w:r>
      <w:r w:rsidRPr="00473700">
        <w:rPr>
          <w:shd w:val="clear" w:color="auto" w:fill="FFFFFF"/>
          <w:lang w:val="en-US"/>
        </w:rPr>
        <w:t>,</w:t>
      </w:r>
      <w:r>
        <w:rPr>
          <w:shd w:val="clear" w:color="auto" w:fill="FFFFFF"/>
          <w:lang w:val="en-US"/>
        </w:rPr>
        <w:t xml:space="preserve"> </w:t>
      </w:r>
      <w:r w:rsidRPr="00473700">
        <w:rPr>
          <w:shd w:val="clear" w:color="auto" w:fill="FFFFFF"/>
          <w:lang w:val="en-US"/>
        </w:rPr>
        <w:t>03085182199712.</w:t>
      </w:r>
      <w:r>
        <w:rPr>
          <w:shd w:val="clear" w:color="auto" w:fill="FFFFFF"/>
          <w:lang w:val="en-US"/>
        </w:rPr>
        <w:t xml:space="preserve"> </w:t>
      </w:r>
    </w:p>
    <w:p w14:paraId="56D4878D" w14:textId="39004AD6" w:rsidR="00AE4CE0" w:rsidRDefault="00AE4CE0" w:rsidP="00E84804">
      <w:pPr>
        <w:rPr>
          <w:rFonts w:cs="Times New Roman"/>
          <w:lang w:val="en-US"/>
        </w:rPr>
      </w:pPr>
      <w:r w:rsidRPr="00067992">
        <w:rPr>
          <w:rFonts w:cs="Arial"/>
          <w:shd w:val="clear" w:color="auto" w:fill="FFFFFF"/>
          <w:lang w:val="en-US"/>
        </w:rPr>
        <w:t>Crouch, C. (2005). </w:t>
      </w:r>
      <w:r w:rsidRPr="00067992">
        <w:rPr>
          <w:rFonts w:cs="Arial"/>
          <w:i/>
          <w:iCs/>
          <w:shd w:val="clear" w:color="auto" w:fill="FFFFFF"/>
          <w:lang w:val="en-US"/>
        </w:rPr>
        <w:t>Capitalist Diversity and Change: Recombinant Governance and Institutional Entrepreneurs</w:t>
      </w:r>
      <w:r w:rsidRPr="00067992">
        <w:rPr>
          <w:rFonts w:cs="Arial"/>
          <w:shd w:val="clear" w:color="auto" w:fill="FFFFFF"/>
          <w:lang w:val="en-US"/>
        </w:rPr>
        <w:t xml:space="preserve">. </w:t>
      </w:r>
      <w:r w:rsidRPr="00F53489">
        <w:rPr>
          <w:rFonts w:cs="Arial"/>
          <w:shd w:val="clear" w:color="auto" w:fill="FFFFFF"/>
          <w:lang w:val="en-US"/>
        </w:rPr>
        <w:t>Oxford: Oxford University Press.</w:t>
      </w:r>
    </w:p>
    <w:p w14:paraId="51ADA8E7" w14:textId="5B43C916" w:rsidR="00AE4CE0" w:rsidRPr="002D1810" w:rsidRDefault="00AE4CE0" w:rsidP="00E84804">
      <w:pPr>
        <w:rPr>
          <w:rFonts w:cs="Times New Roman"/>
          <w:lang w:val="en-US"/>
        </w:rPr>
      </w:pPr>
      <w:r w:rsidRPr="002D2F03">
        <w:rPr>
          <w:rFonts w:cs="Times New Roman"/>
          <w:lang w:val="en-US"/>
        </w:rPr>
        <w:t xml:space="preserve">Culpepper, P. &amp; Finegold, D. (1999). </w:t>
      </w:r>
      <w:r w:rsidRPr="002D2F03">
        <w:rPr>
          <w:rFonts w:cs="Times New Roman"/>
          <w:i/>
          <w:iCs/>
          <w:lang w:val="en-US"/>
        </w:rPr>
        <w:t xml:space="preserve">The German Skills Machine. </w:t>
      </w:r>
      <w:r w:rsidRPr="002D2F03">
        <w:rPr>
          <w:rFonts w:cs="Times New Roman"/>
          <w:lang w:val="en-US"/>
        </w:rPr>
        <w:t xml:space="preserve">Oxford: </w:t>
      </w:r>
      <w:proofErr w:type="spellStart"/>
      <w:r w:rsidRPr="00A50E08">
        <w:rPr>
          <w:rFonts w:cs="Times New Roman"/>
          <w:lang w:val="en-US"/>
        </w:rPr>
        <w:t>Berghahn</w:t>
      </w:r>
      <w:proofErr w:type="spellEnd"/>
      <w:r w:rsidRPr="00A50E08">
        <w:rPr>
          <w:rFonts w:cs="Times New Roman"/>
          <w:lang w:val="en-US"/>
        </w:rPr>
        <w:t>.</w:t>
      </w:r>
    </w:p>
    <w:p w14:paraId="0E358947" w14:textId="77777777" w:rsidR="00AE4CE0" w:rsidRPr="004141C3" w:rsidRDefault="00AE4CE0" w:rsidP="00E84804">
      <w:pPr>
        <w:rPr>
          <w:shd w:val="clear" w:color="auto" w:fill="FFFFFF"/>
          <w:lang w:val="en-US"/>
        </w:rPr>
      </w:pPr>
      <w:r w:rsidRPr="004141C3">
        <w:rPr>
          <w:shd w:val="clear" w:color="auto" w:fill="FFFFFF"/>
          <w:lang w:val="en-US"/>
        </w:rPr>
        <w:t xml:space="preserve">Dimitrov, P. (2018). Annual Review 2017 of </w:t>
      </w:r>
      <w:proofErr w:type="spellStart"/>
      <w:r w:rsidRPr="004141C3">
        <w:rPr>
          <w:shd w:val="clear" w:color="auto" w:fill="FFFFFF"/>
          <w:lang w:val="en-US"/>
        </w:rPr>
        <w:t>Labour</w:t>
      </w:r>
      <w:proofErr w:type="spellEnd"/>
      <w:r w:rsidRPr="004141C3">
        <w:rPr>
          <w:shd w:val="clear" w:color="auto" w:fill="FFFFFF"/>
          <w:lang w:val="en-US"/>
        </w:rPr>
        <w:t xml:space="preserve"> Relations and Social Dialogue Bulgaria.</w:t>
      </w:r>
    </w:p>
    <w:p w14:paraId="4DD49E4F" w14:textId="5286268F" w:rsidR="00AE4CE0" w:rsidRPr="002D2F03" w:rsidRDefault="00AE4CE0" w:rsidP="00E84804">
      <w:pPr>
        <w:rPr>
          <w:shd w:val="clear" w:color="auto" w:fill="FFFFFF"/>
          <w:lang w:val="en-US"/>
        </w:rPr>
      </w:pPr>
      <w:proofErr w:type="spellStart"/>
      <w:r w:rsidRPr="002D2F03">
        <w:rPr>
          <w:lang w:val="en-US"/>
        </w:rPr>
        <w:t>Drahokoupil</w:t>
      </w:r>
      <w:proofErr w:type="spellEnd"/>
      <w:r w:rsidRPr="002D2F03">
        <w:rPr>
          <w:lang w:val="en-US"/>
        </w:rPr>
        <w:t xml:space="preserve">, J. (2008). “Who Won the Contest for a New Property Class? Structural Transformation of Elites in the </w:t>
      </w:r>
      <w:proofErr w:type="spellStart"/>
      <w:r w:rsidRPr="002D2F03">
        <w:rPr>
          <w:lang w:val="en-US"/>
        </w:rPr>
        <w:t>Visegrád</w:t>
      </w:r>
      <w:proofErr w:type="spellEnd"/>
      <w:r w:rsidRPr="002D2F03">
        <w:rPr>
          <w:lang w:val="en-US"/>
        </w:rPr>
        <w:t xml:space="preserve"> Four Region.” </w:t>
      </w:r>
      <w:r w:rsidRPr="002D2F03">
        <w:rPr>
          <w:i/>
          <w:iCs/>
          <w:lang w:val="en-US"/>
        </w:rPr>
        <w:t xml:space="preserve">Journal for East European Management Studies </w:t>
      </w:r>
      <w:r w:rsidRPr="002D2F03">
        <w:rPr>
          <w:lang w:val="en-US"/>
        </w:rPr>
        <w:t>13 (4): 360–77.</w:t>
      </w:r>
    </w:p>
    <w:p w14:paraId="70CA1423" w14:textId="77777777" w:rsidR="00AE4CE0" w:rsidRDefault="00AE4CE0" w:rsidP="00E84804">
      <w:pPr>
        <w:rPr>
          <w:shd w:val="clear" w:color="auto" w:fill="FFFFFF"/>
          <w:lang w:val="en-US"/>
        </w:rPr>
      </w:pPr>
      <w:proofErr w:type="spellStart"/>
      <w:r w:rsidRPr="002D2F03">
        <w:rPr>
          <w:shd w:val="clear" w:color="auto" w:fill="FFFFFF"/>
          <w:lang w:val="en-US"/>
        </w:rPr>
        <w:t>Drahokoupil</w:t>
      </w:r>
      <w:proofErr w:type="spellEnd"/>
      <w:r w:rsidRPr="002D2F03">
        <w:rPr>
          <w:shd w:val="clear" w:color="auto" w:fill="FFFFFF"/>
          <w:lang w:val="en-US"/>
        </w:rPr>
        <w:t xml:space="preserve">, J. (2009). After transition: varieties of political-economic development in eastern </w:t>
      </w:r>
      <w:proofErr w:type="spellStart"/>
      <w:r w:rsidRPr="002D2F03">
        <w:rPr>
          <w:shd w:val="clear" w:color="auto" w:fill="FFFFFF"/>
          <w:lang w:val="en-US"/>
        </w:rPr>
        <w:t>europe</w:t>
      </w:r>
      <w:proofErr w:type="spellEnd"/>
      <w:r w:rsidRPr="002D2F03">
        <w:rPr>
          <w:shd w:val="clear" w:color="auto" w:fill="FFFFFF"/>
          <w:lang w:val="en-US"/>
        </w:rPr>
        <w:t xml:space="preserve"> and the former </w:t>
      </w:r>
      <w:proofErr w:type="gramStart"/>
      <w:r w:rsidRPr="002D2F03">
        <w:rPr>
          <w:shd w:val="clear" w:color="auto" w:fill="FFFFFF"/>
          <w:lang w:val="en-US"/>
        </w:rPr>
        <w:t>soviet union</w:t>
      </w:r>
      <w:proofErr w:type="gramEnd"/>
      <w:r w:rsidRPr="002D2F03">
        <w:rPr>
          <w:shd w:val="clear" w:color="auto" w:fill="FFFFFF"/>
          <w:lang w:val="en-US"/>
        </w:rPr>
        <w:t>. </w:t>
      </w:r>
      <w:r w:rsidRPr="002D2F03">
        <w:rPr>
          <w:i/>
          <w:iCs/>
          <w:shd w:val="clear" w:color="auto" w:fill="FFFFFF"/>
          <w:lang w:val="en-US"/>
        </w:rPr>
        <w:t>Comparative European Politics</w:t>
      </w:r>
      <w:r w:rsidRPr="002D2F03">
        <w:rPr>
          <w:shd w:val="clear" w:color="auto" w:fill="FFFFFF"/>
          <w:lang w:val="en-US"/>
        </w:rPr>
        <w:t>, </w:t>
      </w:r>
      <w:r w:rsidRPr="002D2F03">
        <w:rPr>
          <w:i/>
          <w:iCs/>
          <w:shd w:val="clear" w:color="auto" w:fill="FFFFFF"/>
          <w:lang w:val="en-US"/>
        </w:rPr>
        <w:t>7</w:t>
      </w:r>
      <w:r w:rsidRPr="002D2F03">
        <w:rPr>
          <w:shd w:val="clear" w:color="auto" w:fill="FFFFFF"/>
          <w:lang w:val="en-US"/>
        </w:rPr>
        <w:t>(2), 279–298.</w:t>
      </w:r>
    </w:p>
    <w:p w14:paraId="137381F2" w14:textId="77777777" w:rsidR="00AE4CE0" w:rsidRPr="002D1810" w:rsidRDefault="00AE4CE0" w:rsidP="00E84804">
      <w:pPr>
        <w:rPr>
          <w:shd w:val="clear" w:color="auto" w:fill="FFFFFF"/>
          <w:lang w:val="en-US"/>
        </w:rPr>
      </w:pPr>
    </w:p>
    <w:p w14:paraId="514CE4E0" w14:textId="77777777" w:rsidR="00AE4CE0" w:rsidRPr="004141C3" w:rsidRDefault="00AE4CE0" w:rsidP="00E84804">
      <w:pPr>
        <w:rPr>
          <w:rFonts w:ascii="Calibri" w:hAnsi="Calibri"/>
          <w:shd w:val="clear" w:color="auto" w:fill="FFFFFF"/>
          <w:lang w:val="en-US"/>
        </w:rPr>
      </w:pPr>
      <w:r w:rsidRPr="004141C3">
        <w:rPr>
          <w:rFonts w:ascii="Calibri" w:hAnsi="Calibri"/>
          <w:shd w:val="clear" w:color="auto" w:fill="FFFFFF"/>
          <w:lang w:val="en-US"/>
        </w:rPr>
        <w:t>European Commission (2016). Statistical Pilot Project on Family Businesses.</w:t>
      </w:r>
    </w:p>
    <w:p w14:paraId="0DF5358D" w14:textId="77777777" w:rsidR="00AE4CE0" w:rsidRPr="004141C3" w:rsidRDefault="00AE4CE0" w:rsidP="00E84804">
      <w:pPr>
        <w:rPr>
          <w:rFonts w:ascii="Calibri" w:hAnsi="Calibri"/>
          <w:shd w:val="clear" w:color="auto" w:fill="FFFFFF"/>
          <w:lang w:val="en-US"/>
        </w:rPr>
      </w:pPr>
      <w:r w:rsidRPr="004141C3">
        <w:rPr>
          <w:rFonts w:ascii="Calibri" w:hAnsi="Calibri"/>
          <w:shd w:val="clear" w:color="auto" w:fill="FFFFFF"/>
          <w:lang w:val="en-US"/>
        </w:rPr>
        <w:t xml:space="preserve">Fulton L. (2020) National Industrial Relations, an update. </w:t>
      </w:r>
      <w:proofErr w:type="spellStart"/>
      <w:r w:rsidRPr="004141C3">
        <w:rPr>
          <w:rFonts w:ascii="Calibri" w:hAnsi="Calibri"/>
          <w:shd w:val="clear" w:color="auto" w:fill="FFFFFF"/>
          <w:lang w:val="en-US"/>
        </w:rPr>
        <w:t>Labour</w:t>
      </w:r>
      <w:proofErr w:type="spellEnd"/>
      <w:r w:rsidRPr="004141C3">
        <w:rPr>
          <w:rFonts w:ascii="Calibri" w:hAnsi="Calibri"/>
          <w:shd w:val="clear" w:color="auto" w:fill="FFFFFF"/>
          <w:lang w:val="en-US"/>
        </w:rPr>
        <w:t xml:space="preserve"> Research Department and ETUI (online publication).</w:t>
      </w:r>
    </w:p>
    <w:p w14:paraId="13142357" w14:textId="77777777" w:rsidR="00AE4CE0" w:rsidRPr="00EB2F7F" w:rsidRDefault="00AE4CE0" w:rsidP="00E84804">
      <w:pPr>
        <w:rPr>
          <w:rFonts w:eastAsia="Times New Roman" w:cs="Arial"/>
          <w:lang w:val="en-US" w:eastAsia="nl-NL"/>
        </w:rPr>
      </w:pPr>
      <w:bookmarkStart w:id="45" w:name="_Hlk73481182"/>
      <w:r w:rsidRPr="00DA214B">
        <w:rPr>
          <w:rFonts w:eastAsia="Times New Roman" w:cs="Arial"/>
          <w:lang w:val="en-US" w:eastAsia="nl-NL"/>
        </w:rPr>
        <w:t xml:space="preserve">Gallagher, M., Laver, M. </w:t>
      </w:r>
      <w:r>
        <w:rPr>
          <w:rFonts w:eastAsia="Times New Roman" w:cs="Arial"/>
          <w:lang w:val="en-US" w:eastAsia="nl-NL"/>
        </w:rPr>
        <w:t>&amp;</w:t>
      </w:r>
      <w:r w:rsidRPr="00DA214B">
        <w:rPr>
          <w:rFonts w:eastAsia="Times New Roman" w:cs="Arial"/>
          <w:lang w:val="en-US" w:eastAsia="nl-NL"/>
        </w:rPr>
        <w:t xml:space="preserve"> Mair, P. (2011): Representative Government in Modern Europe. London: McGraw-Hill</w:t>
      </w:r>
      <w:r>
        <w:rPr>
          <w:rFonts w:eastAsia="Times New Roman" w:cs="Arial"/>
          <w:lang w:val="en-US" w:eastAsia="nl-NL"/>
        </w:rPr>
        <w:t>.</w:t>
      </w:r>
    </w:p>
    <w:p w14:paraId="0D7EFBBA" w14:textId="42B97D1F" w:rsidR="0022488E" w:rsidRPr="0022488E" w:rsidRDefault="0022488E" w:rsidP="00E84804">
      <w:pPr>
        <w:rPr>
          <w:shd w:val="clear" w:color="auto" w:fill="FFFFFF"/>
          <w:lang w:val="en-US"/>
        </w:rPr>
      </w:pPr>
      <w:proofErr w:type="spellStart"/>
      <w:r w:rsidRPr="0022488E">
        <w:rPr>
          <w:rFonts w:cs="Arial"/>
          <w:shd w:val="clear" w:color="auto" w:fill="FFFFFF"/>
          <w:lang w:val="en-US"/>
        </w:rPr>
        <w:t>Gerring</w:t>
      </w:r>
      <w:proofErr w:type="spellEnd"/>
      <w:r w:rsidRPr="0022488E">
        <w:rPr>
          <w:rFonts w:cs="Arial"/>
          <w:shd w:val="clear" w:color="auto" w:fill="FFFFFF"/>
          <w:lang w:val="en-US"/>
        </w:rPr>
        <w:t>, J</w:t>
      </w:r>
      <w:r>
        <w:rPr>
          <w:rFonts w:cs="Arial"/>
          <w:shd w:val="clear" w:color="auto" w:fill="FFFFFF"/>
          <w:lang w:val="en-US"/>
        </w:rPr>
        <w:t>.</w:t>
      </w:r>
      <w:r w:rsidRPr="0022488E">
        <w:rPr>
          <w:rFonts w:cs="Arial"/>
          <w:shd w:val="clear" w:color="auto" w:fill="FFFFFF"/>
          <w:lang w:val="en-US"/>
        </w:rPr>
        <w:t xml:space="preserve"> (2007). </w:t>
      </w:r>
      <w:hyperlink r:id="rId13" w:history="1">
        <w:r w:rsidRPr="0022488E">
          <w:rPr>
            <w:rStyle w:val="Hyperlink"/>
            <w:rFonts w:cs="Arial"/>
            <w:i/>
            <w:iCs/>
            <w:color w:val="auto"/>
            <w:u w:val="none"/>
            <w:shd w:val="clear" w:color="auto" w:fill="FFFFFF"/>
            <w:lang w:val="en-US"/>
          </w:rPr>
          <w:t>Case Study Research: Principles and Practices</w:t>
        </w:r>
      </w:hyperlink>
      <w:r w:rsidRPr="0022488E">
        <w:rPr>
          <w:rFonts w:cs="Arial"/>
          <w:shd w:val="clear" w:color="auto" w:fill="FFFFFF"/>
          <w:lang w:val="en-US"/>
        </w:rPr>
        <w:t xml:space="preserve">. </w:t>
      </w:r>
      <w:r w:rsidRPr="0022488E">
        <w:rPr>
          <w:rFonts w:cs="Arial"/>
          <w:shd w:val="clear" w:color="auto" w:fill="FFFFFF"/>
        </w:rPr>
        <w:t>Cambridge University Press.</w:t>
      </w:r>
    </w:p>
    <w:p w14:paraId="3A3B0585" w14:textId="27233A44" w:rsidR="00AE4CE0" w:rsidRPr="002D2F03" w:rsidRDefault="00AE4CE0" w:rsidP="00E84804">
      <w:pPr>
        <w:rPr>
          <w:shd w:val="clear" w:color="auto" w:fill="FFFFFF"/>
          <w:lang w:val="en-US"/>
        </w:rPr>
      </w:pPr>
      <w:r w:rsidRPr="002D2F03">
        <w:rPr>
          <w:shd w:val="clear" w:color="auto" w:fill="FFFFFF"/>
          <w:lang w:val="en-US"/>
        </w:rPr>
        <w:t>Hall, P. A., &amp; Soskice, D. W. (2001). </w:t>
      </w:r>
      <w:r w:rsidRPr="002D2F03">
        <w:rPr>
          <w:i/>
          <w:iCs/>
          <w:shd w:val="clear" w:color="auto" w:fill="FFFFFF"/>
          <w:lang w:val="en-US"/>
        </w:rPr>
        <w:t xml:space="preserve">Varieties of </w:t>
      </w:r>
      <w:proofErr w:type="gramStart"/>
      <w:r w:rsidRPr="002D2F03">
        <w:rPr>
          <w:i/>
          <w:iCs/>
          <w:shd w:val="clear" w:color="auto" w:fill="FFFFFF"/>
          <w:lang w:val="en-US"/>
        </w:rPr>
        <w:t>capitalism :</w:t>
      </w:r>
      <w:proofErr w:type="gramEnd"/>
      <w:r w:rsidRPr="002D2F03">
        <w:rPr>
          <w:i/>
          <w:iCs/>
          <w:shd w:val="clear" w:color="auto" w:fill="FFFFFF"/>
          <w:lang w:val="en-US"/>
        </w:rPr>
        <w:t xml:space="preserve"> the institutional foundations of comparative advantage</w:t>
      </w:r>
      <w:r w:rsidRPr="002D2F03">
        <w:rPr>
          <w:shd w:val="clear" w:color="auto" w:fill="FFFFFF"/>
          <w:lang w:val="en-US"/>
        </w:rPr>
        <w:t>. Oxford University Press.</w:t>
      </w:r>
    </w:p>
    <w:p w14:paraId="56AE27FE" w14:textId="3F08DB58" w:rsidR="00AE4CE0" w:rsidRPr="002D2F03" w:rsidRDefault="00AE4CE0" w:rsidP="00E84804">
      <w:pPr>
        <w:rPr>
          <w:shd w:val="clear" w:color="auto" w:fill="FFFFFF"/>
          <w:lang w:val="en-US"/>
        </w:rPr>
      </w:pPr>
      <w:proofErr w:type="spellStart"/>
      <w:r w:rsidRPr="002D2F03">
        <w:rPr>
          <w:shd w:val="clear" w:color="auto" w:fill="FFFFFF"/>
          <w:lang w:val="en-US"/>
        </w:rPr>
        <w:t>Jiyan</w:t>
      </w:r>
      <w:proofErr w:type="spellEnd"/>
      <w:r w:rsidRPr="002D2F03">
        <w:rPr>
          <w:shd w:val="clear" w:color="auto" w:fill="FFFFFF"/>
          <w:lang w:val="en-US"/>
        </w:rPr>
        <w:t>, K. (2018). Expanding the framework of the varieties of capitalism: turkey as a hierarchical market economy. </w:t>
      </w:r>
      <w:r w:rsidRPr="002D2F03">
        <w:rPr>
          <w:i/>
          <w:iCs/>
          <w:shd w:val="clear" w:color="auto" w:fill="FFFFFF"/>
          <w:lang w:val="en-US"/>
        </w:rPr>
        <w:t>Journal of Eurasian Studies</w:t>
      </w:r>
      <w:r w:rsidRPr="002D2F03">
        <w:rPr>
          <w:shd w:val="clear" w:color="auto" w:fill="FFFFFF"/>
          <w:lang w:val="en-US"/>
        </w:rPr>
        <w:t>, </w:t>
      </w:r>
      <w:r w:rsidRPr="002D2F03">
        <w:rPr>
          <w:i/>
          <w:iCs/>
          <w:shd w:val="clear" w:color="auto" w:fill="FFFFFF"/>
          <w:lang w:val="en-US"/>
        </w:rPr>
        <w:t>9</w:t>
      </w:r>
      <w:r w:rsidRPr="002D2F03">
        <w:rPr>
          <w:shd w:val="clear" w:color="auto" w:fill="FFFFFF"/>
          <w:lang w:val="en-US"/>
        </w:rPr>
        <w:t>(1), 42–51. </w:t>
      </w:r>
    </w:p>
    <w:p w14:paraId="452A32D6" w14:textId="51D39E34" w:rsidR="00AE4CE0" w:rsidRPr="002D1810" w:rsidRDefault="00AE4CE0" w:rsidP="00E84804">
      <w:pPr>
        <w:rPr>
          <w:shd w:val="clear" w:color="auto" w:fill="FFFFFF"/>
          <w:lang w:val="en-US"/>
        </w:rPr>
      </w:pPr>
      <w:r w:rsidRPr="002D2F03">
        <w:rPr>
          <w:shd w:val="clear" w:color="auto" w:fill="FFFFFF"/>
          <w:lang w:val="en-US"/>
        </w:rPr>
        <w:t xml:space="preserve">Karo, E., &amp; </w:t>
      </w:r>
      <w:proofErr w:type="spellStart"/>
      <w:r w:rsidRPr="002D2F03">
        <w:rPr>
          <w:shd w:val="clear" w:color="auto" w:fill="FFFFFF"/>
          <w:lang w:val="en-US"/>
        </w:rPr>
        <w:t>Looga</w:t>
      </w:r>
      <w:proofErr w:type="spellEnd"/>
      <w:r w:rsidRPr="002D2F03">
        <w:rPr>
          <w:shd w:val="clear" w:color="auto" w:fill="FFFFFF"/>
          <w:lang w:val="en-US"/>
        </w:rPr>
        <w:t xml:space="preserve">, L. (2016). Understanding institutional changes in economic restructuring and innovation policies in </w:t>
      </w:r>
      <w:proofErr w:type="spellStart"/>
      <w:r w:rsidRPr="002D2F03">
        <w:rPr>
          <w:shd w:val="clear" w:color="auto" w:fill="FFFFFF"/>
          <w:lang w:val="en-US"/>
        </w:rPr>
        <w:t>slovenia</w:t>
      </w:r>
      <w:proofErr w:type="spellEnd"/>
      <w:r w:rsidRPr="002D2F03">
        <w:rPr>
          <w:shd w:val="clear" w:color="auto" w:fill="FFFFFF"/>
          <w:lang w:val="en-US"/>
        </w:rPr>
        <w:t xml:space="preserve"> and </w:t>
      </w:r>
      <w:proofErr w:type="spellStart"/>
      <w:r w:rsidRPr="002D2F03">
        <w:rPr>
          <w:shd w:val="clear" w:color="auto" w:fill="FFFFFF"/>
          <w:lang w:val="en-US"/>
        </w:rPr>
        <w:t>estonia</w:t>
      </w:r>
      <w:proofErr w:type="spellEnd"/>
      <w:r w:rsidRPr="002D2F03">
        <w:rPr>
          <w:shd w:val="clear" w:color="auto" w:fill="FFFFFF"/>
          <w:lang w:val="en-US"/>
        </w:rPr>
        <w:t>. </w:t>
      </w:r>
      <w:r w:rsidRPr="002D2F03">
        <w:rPr>
          <w:i/>
          <w:iCs/>
          <w:shd w:val="clear" w:color="auto" w:fill="FFFFFF"/>
          <w:lang w:val="en-US"/>
        </w:rPr>
        <w:t>Journal of International Relations and Development</w:t>
      </w:r>
      <w:r w:rsidRPr="002D2F03">
        <w:rPr>
          <w:shd w:val="clear" w:color="auto" w:fill="FFFFFF"/>
          <w:lang w:val="en-US"/>
        </w:rPr>
        <w:t>, </w:t>
      </w:r>
      <w:r w:rsidRPr="002D2F03">
        <w:rPr>
          <w:i/>
          <w:iCs/>
          <w:shd w:val="clear" w:color="auto" w:fill="FFFFFF"/>
          <w:lang w:val="en-US"/>
        </w:rPr>
        <w:t>19</w:t>
      </w:r>
      <w:r w:rsidRPr="002D2F03">
        <w:rPr>
          <w:shd w:val="clear" w:color="auto" w:fill="FFFFFF"/>
          <w:lang w:val="en-US"/>
        </w:rPr>
        <w:t>(4), 500–533.</w:t>
      </w:r>
    </w:p>
    <w:p w14:paraId="7EED222A" w14:textId="77777777" w:rsidR="00AE4CE0" w:rsidRPr="00EB2F7F" w:rsidRDefault="00AE4CE0" w:rsidP="00E84804">
      <w:pPr>
        <w:rPr>
          <w:rFonts w:ascii="Calibri" w:hAnsi="Calibri" w:cs="Times New Roman"/>
          <w:lang w:val="en-US"/>
        </w:rPr>
      </w:pPr>
      <w:r w:rsidRPr="00EB2F7F">
        <w:rPr>
          <w:rFonts w:ascii="Calibri" w:hAnsi="Calibri" w:cs="Times New Roman"/>
          <w:lang w:val="en-US"/>
        </w:rPr>
        <w:t xml:space="preserve">Katzenstein, P. J. (1985). </w:t>
      </w:r>
      <w:r w:rsidRPr="00EB2F7F">
        <w:rPr>
          <w:rFonts w:ascii="Calibri" w:hAnsi="Calibri" w:cs="Times New Roman"/>
          <w:i/>
          <w:iCs/>
          <w:lang w:val="en-US"/>
        </w:rPr>
        <w:t xml:space="preserve">Corporatism and Change. </w:t>
      </w:r>
      <w:r w:rsidRPr="00EB2F7F">
        <w:rPr>
          <w:rFonts w:ascii="Calibri" w:hAnsi="Calibri" w:cs="Times New Roman"/>
          <w:lang w:val="en-US"/>
        </w:rPr>
        <w:t>Ithaca, NY: Cornell University Press.</w:t>
      </w:r>
    </w:p>
    <w:p w14:paraId="6A44B112" w14:textId="77777777" w:rsidR="00AE4CE0" w:rsidRPr="005E405F" w:rsidRDefault="00AE4CE0" w:rsidP="00E84804">
      <w:pPr>
        <w:rPr>
          <w:rFonts w:ascii="Calibri" w:hAnsi="Calibri" w:cs="AdvOTbc475f09"/>
          <w:lang w:val="en-US"/>
        </w:rPr>
      </w:pPr>
      <w:r w:rsidRPr="004141C3">
        <w:rPr>
          <w:rFonts w:ascii="Calibri" w:hAnsi="Calibri" w:cs="AdvOTbc475f09"/>
          <w:lang w:val="en-US"/>
        </w:rPr>
        <w:t>Kolev, K. (</w:t>
      </w:r>
      <w:r w:rsidRPr="004141C3">
        <w:rPr>
          <w:rFonts w:ascii="Calibri" w:hAnsi="Calibri" w:cs="AdvP40D70F"/>
          <w:lang w:val="en-US"/>
        </w:rPr>
        <w:t>2012</w:t>
      </w:r>
      <w:r w:rsidRPr="004141C3">
        <w:rPr>
          <w:rFonts w:ascii="Calibri" w:hAnsi="Calibri" w:cs="AdvOTbc475f09"/>
          <w:lang w:val="en-US"/>
        </w:rPr>
        <w:t xml:space="preserve">). </w:t>
      </w:r>
      <w:r w:rsidRPr="004141C3">
        <w:rPr>
          <w:rFonts w:ascii="Calibri" w:hAnsi="Calibri" w:cs="AdvOTbc475f09+20"/>
          <w:lang w:val="en-US"/>
        </w:rPr>
        <w:t>“</w:t>
      </w:r>
      <w:r w:rsidRPr="004141C3">
        <w:rPr>
          <w:rFonts w:ascii="Calibri" w:hAnsi="Calibri" w:cs="AdvOTbc475f09"/>
          <w:lang w:val="en-US"/>
        </w:rPr>
        <w:t xml:space="preserve">Bulgaria: electoral volatility, polarization and </w:t>
      </w:r>
      <w:r w:rsidRPr="004141C3">
        <w:rPr>
          <w:rFonts w:ascii="Calibri" w:hAnsi="Calibri" w:cs="AdvOTbc475f09+fb"/>
          <w:lang w:val="en-US"/>
        </w:rPr>
        <w:t>fi</w:t>
      </w:r>
      <w:r w:rsidRPr="004141C3">
        <w:rPr>
          <w:rFonts w:ascii="Calibri" w:hAnsi="Calibri" w:cs="AdvOTbc475f09"/>
          <w:lang w:val="en-US"/>
        </w:rPr>
        <w:t>nancial de</w:t>
      </w:r>
      <w:r w:rsidRPr="004141C3">
        <w:rPr>
          <w:rFonts w:ascii="Calibri" w:hAnsi="Calibri" w:cs="AdvOTbc475f09+fb"/>
          <w:lang w:val="en-US"/>
        </w:rPr>
        <w:t>fi</w:t>
      </w:r>
      <w:r w:rsidRPr="004141C3">
        <w:rPr>
          <w:rFonts w:ascii="Calibri" w:hAnsi="Calibri" w:cs="AdvOTbc475f09"/>
          <w:lang w:val="en-US"/>
        </w:rPr>
        <w:t>cits</w:t>
      </w:r>
      <w:r>
        <w:rPr>
          <w:rFonts w:ascii="Calibri" w:hAnsi="Calibri" w:cs="AdvOTbc475f09"/>
          <w:lang w:val="en-US"/>
        </w:rPr>
        <w:t xml:space="preserve"> </w:t>
      </w:r>
      <w:r w:rsidRPr="004141C3">
        <w:rPr>
          <w:rFonts w:ascii="Calibri" w:hAnsi="Calibri" w:cs="AdvOTbc475f09"/>
          <w:lang w:val="en-US"/>
        </w:rPr>
        <w:t>lead to reduction in clientelism,</w:t>
      </w:r>
      <w:r w:rsidRPr="004141C3">
        <w:rPr>
          <w:rFonts w:ascii="Calibri" w:hAnsi="Calibri" w:cs="AdvOTbc475f09+20"/>
          <w:lang w:val="en-US"/>
        </w:rPr>
        <w:t xml:space="preserve">” </w:t>
      </w:r>
      <w:r w:rsidRPr="004141C3">
        <w:rPr>
          <w:rFonts w:ascii="Calibri" w:hAnsi="Calibri" w:cs="AdvOTbc475f09"/>
          <w:lang w:val="en-US"/>
        </w:rPr>
        <w:t xml:space="preserve">in H. </w:t>
      </w:r>
      <w:proofErr w:type="spellStart"/>
      <w:r w:rsidRPr="004141C3">
        <w:rPr>
          <w:rFonts w:ascii="Calibri" w:hAnsi="Calibri" w:cs="AdvOTbc475f09"/>
          <w:lang w:val="en-US"/>
        </w:rPr>
        <w:t>Kitschelt</w:t>
      </w:r>
      <w:proofErr w:type="spellEnd"/>
      <w:r w:rsidRPr="004141C3">
        <w:rPr>
          <w:rFonts w:ascii="Calibri" w:hAnsi="Calibri" w:cs="AdvOTbc475f09"/>
          <w:lang w:val="en-US"/>
        </w:rPr>
        <w:t xml:space="preserve"> and Y.-T. Wang, eds., </w:t>
      </w:r>
      <w:r w:rsidRPr="004141C3">
        <w:rPr>
          <w:rFonts w:ascii="Calibri" w:hAnsi="Calibri" w:cs="AdvOT638a931c.I"/>
          <w:lang w:val="en-US"/>
        </w:rPr>
        <w:t>Research</w:t>
      </w:r>
      <w:r w:rsidRPr="004141C3">
        <w:rPr>
          <w:rFonts w:ascii="Calibri" w:hAnsi="Calibri" w:cs="AdvOTbc475f09"/>
          <w:lang w:val="en-US"/>
        </w:rPr>
        <w:t xml:space="preserve"> </w:t>
      </w:r>
      <w:r w:rsidRPr="004141C3">
        <w:rPr>
          <w:rFonts w:ascii="Calibri" w:hAnsi="Calibri" w:cs="AdvOT638a931c.I"/>
          <w:lang w:val="en-US"/>
        </w:rPr>
        <w:t>and Dialogue on Programmatic Parties and Party Systems: Case Study Reports</w:t>
      </w:r>
      <w:r w:rsidRPr="004141C3">
        <w:rPr>
          <w:rFonts w:ascii="Calibri" w:hAnsi="Calibri" w:cs="AdvOTbc475f09"/>
          <w:lang w:val="en-US"/>
        </w:rPr>
        <w:t xml:space="preserve">. Stockholm, International Institute for Democracy and Electoral Assistance: </w:t>
      </w:r>
      <w:r w:rsidRPr="004141C3">
        <w:rPr>
          <w:rFonts w:ascii="Calibri" w:hAnsi="Calibri" w:cs="AdvP40D70F"/>
          <w:lang w:val="en-US"/>
        </w:rPr>
        <w:t>35</w:t>
      </w:r>
      <w:r w:rsidRPr="004141C3">
        <w:rPr>
          <w:rFonts w:ascii="Calibri" w:hAnsi="Calibri" w:cs="AdvOTbc475f09+20"/>
          <w:lang w:val="en-US"/>
        </w:rPr>
        <w:t>–</w:t>
      </w:r>
      <w:r w:rsidRPr="004141C3">
        <w:rPr>
          <w:rFonts w:ascii="Calibri" w:hAnsi="Calibri" w:cs="AdvP40D70F"/>
          <w:lang w:val="en-US"/>
        </w:rPr>
        <w:t>54</w:t>
      </w:r>
      <w:r w:rsidRPr="004141C3">
        <w:rPr>
          <w:rFonts w:ascii="Calibri" w:hAnsi="Calibri" w:cs="AdvOTbc475f09"/>
          <w:lang w:val="en-US"/>
        </w:rPr>
        <w:t>.</w:t>
      </w:r>
      <w:bookmarkEnd w:id="45"/>
    </w:p>
    <w:p w14:paraId="79947150" w14:textId="3E69058F" w:rsidR="00AE4CE0" w:rsidRPr="002D2F03" w:rsidRDefault="00AE4CE0" w:rsidP="00E84804">
      <w:pPr>
        <w:rPr>
          <w:shd w:val="clear" w:color="auto" w:fill="FFFFFF"/>
          <w:lang w:val="en-US"/>
        </w:rPr>
      </w:pPr>
      <w:bookmarkStart w:id="46" w:name="_Hlk73481267"/>
      <w:proofErr w:type="spellStart"/>
      <w:r w:rsidRPr="002D2F03">
        <w:rPr>
          <w:lang w:val="en-US"/>
        </w:rPr>
        <w:t>Kopecky</w:t>
      </w:r>
      <w:proofErr w:type="spellEnd"/>
      <w:r w:rsidRPr="002D2F03">
        <w:rPr>
          <w:lang w:val="en-US"/>
        </w:rPr>
        <w:t>, P. (2006). “Political Parties and the State in Post-communist Europe: The Nature of Symbiosis</w:t>
      </w:r>
      <w:r w:rsidRPr="002D2F03">
        <w:rPr>
          <w:i/>
          <w:iCs/>
          <w:lang w:val="en-US"/>
        </w:rPr>
        <w:t>.</w:t>
      </w:r>
      <w:r w:rsidRPr="002D2F03">
        <w:rPr>
          <w:lang w:val="en-US"/>
        </w:rPr>
        <w:t xml:space="preserve">” </w:t>
      </w:r>
      <w:r w:rsidRPr="00D841EB">
        <w:rPr>
          <w:i/>
          <w:iCs/>
          <w:lang w:val="en-US"/>
        </w:rPr>
        <w:t xml:space="preserve">Journal of Communist Studies and Transition Politics </w:t>
      </w:r>
      <w:r w:rsidRPr="00D841EB">
        <w:rPr>
          <w:lang w:val="en-US"/>
        </w:rPr>
        <w:t>22 (3): 251–73.</w:t>
      </w:r>
    </w:p>
    <w:p w14:paraId="04ACE4B6" w14:textId="5E072287" w:rsidR="00AE4CE0" w:rsidRPr="002D2F03" w:rsidRDefault="00AE4CE0" w:rsidP="00E84804">
      <w:pPr>
        <w:rPr>
          <w:shd w:val="clear" w:color="auto" w:fill="FFFFFF"/>
          <w:lang w:val="en-US"/>
        </w:rPr>
      </w:pPr>
      <w:proofErr w:type="spellStart"/>
      <w:r w:rsidRPr="002D2F03">
        <w:rPr>
          <w:shd w:val="clear" w:color="auto" w:fill="FFFFFF"/>
          <w:lang w:val="en-US"/>
        </w:rPr>
        <w:t>Kuokstis</w:t>
      </w:r>
      <w:proofErr w:type="spellEnd"/>
      <w:r w:rsidRPr="002D2F03">
        <w:rPr>
          <w:shd w:val="clear" w:color="auto" w:fill="FFFFFF"/>
          <w:lang w:val="en-US"/>
        </w:rPr>
        <w:t xml:space="preserve">, V. (2011). What Type of Capitalism Do the Baltic Countries Belong </w:t>
      </w:r>
      <w:proofErr w:type="gramStart"/>
      <w:r w:rsidRPr="002D2F03">
        <w:rPr>
          <w:shd w:val="clear" w:color="auto" w:fill="FFFFFF"/>
          <w:lang w:val="en-US"/>
        </w:rPr>
        <w:t>To</w:t>
      </w:r>
      <w:proofErr w:type="gramEnd"/>
      <w:r w:rsidRPr="002D2F03">
        <w:rPr>
          <w:shd w:val="clear" w:color="auto" w:fill="FFFFFF"/>
          <w:lang w:val="en-US"/>
        </w:rPr>
        <w:t xml:space="preserve">? </w:t>
      </w:r>
      <w:proofErr w:type="spellStart"/>
      <w:r w:rsidRPr="002D2F03">
        <w:rPr>
          <w:shd w:val="clear" w:color="auto" w:fill="FFFFFF"/>
          <w:lang w:val="en-US"/>
        </w:rPr>
        <w:t>Emecon</w:t>
      </w:r>
      <w:proofErr w:type="spellEnd"/>
      <w:r w:rsidRPr="002D2F03">
        <w:rPr>
          <w:shd w:val="clear" w:color="auto" w:fill="FFFFFF"/>
          <w:lang w:val="en-US"/>
        </w:rPr>
        <w:t xml:space="preserve">, No. 1, 2011. </w:t>
      </w:r>
    </w:p>
    <w:p w14:paraId="55E8586A" w14:textId="52C47E3E" w:rsidR="00AE4CE0" w:rsidRPr="00DB2422" w:rsidRDefault="00AE4CE0" w:rsidP="00E84804">
      <w:pPr>
        <w:rPr>
          <w:shd w:val="clear" w:color="auto" w:fill="FFFFFF"/>
          <w:lang w:val="en-US"/>
        </w:rPr>
      </w:pPr>
      <w:proofErr w:type="spellStart"/>
      <w:r w:rsidRPr="002D2F03">
        <w:rPr>
          <w:shd w:val="clear" w:color="auto" w:fill="FFFFFF"/>
          <w:lang w:val="en-US"/>
        </w:rPr>
        <w:t>Mariotti</w:t>
      </w:r>
      <w:proofErr w:type="spellEnd"/>
      <w:r w:rsidRPr="002D2F03">
        <w:rPr>
          <w:shd w:val="clear" w:color="auto" w:fill="FFFFFF"/>
          <w:lang w:val="en-US"/>
        </w:rPr>
        <w:t>, S., &amp; Marzano, R. (2019). Varieties of capitalism and the internationalization of state-owned enterprises. </w:t>
      </w:r>
      <w:r w:rsidRPr="002D2F03">
        <w:rPr>
          <w:i/>
          <w:iCs/>
          <w:shd w:val="clear" w:color="auto" w:fill="FFFFFF"/>
          <w:lang w:val="en-US"/>
        </w:rPr>
        <w:t>Journal of International Business Studies</w:t>
      </w:r>
      <w:r w:rsidRPr="002D2F03">
        <w:rPr>
          <w:shd w:val="clear" w:color="auto" w:fill="FFFFFF"/>
          <w:lang w:val="en-US"/>
        </w:rPr>
        <w:t>, </w:t>
      </w:r>
      <w:r w:rsidRPr="002D2F03">
        <w:rPr>
          <w:i/>
          <w:iCs/>
          <w:shd w:val="clear" w:color="auto" w:fill="FFFFFF"/>
          <w:lang w:val="en-US"/>
        </w:rPr>
        <w:t>50</w:t>
      </w:r>
      <w:r w:rsidRPr="002D2F03">
        <w:rPr>
          <w:shd w:val="clear" w:color="auto" w:fill="FFFFFF"/>
          <w:lang w:val="en-US"/>
        </w:rPr>
        <w:t>(5), 669–691.</w:t>
      </w:r>
    </w:p>
    <w:p w14:paraId="4D94ADC1" w14:textId="77777777" w:rsidR="00AE4CE0" w:rsidRPr="00566D02" w:rsidRDefault="00AE4CE0" w:rsidP="00E84804">
      <w:pPr>
        <w:rPr>
          <w:rFonts w:cs="AdvOTbc475f09"/>
          <w:lang w:val="en-US"/>
        </w:rPr>
      </w:pPr>
      <w:r w:rsidRPr="004141C3">
        <w:rPr>
          <w:rFonts w:cs="AdvOTbc475f09"/>
          <w:lang w:val="en-US"/>
        </w:rPr>
        <w:t xml:space="preserve">McMenamin, I., </w:t>
      </w:r>
      <w:r>
        <w:rPr>
          <w:rFonts w:cs="AdvOTbc475f09"/>
          <w:lang w:val="en-US"/>
        </w:rPr>
        <w:t>&amp;</w:t>
      </w:r>
      <w:r w:rsidRPr="004141C3">
        <w:rPr>
          <w:rFonts w:cs="AdvOTbc475f09"/>
          <w:lang w:val="en-US"/>
        </w:rPr>
        <w:t xml:space="preserve"> </w:t>
      </w:r>
      <w:proofErr w:type="spellStart"/>
      <w:r w:rsidRPr="004141C3">
        <w:rPr>
          <w:rFonts w:cs="AdvOTbc475f09"/>
          <w:lang w:val="en-US"/>
        </w:rPr>
        <w:t>Schoenman</w:t>
      </w:r>
      <w:proofErr w:type="spellEnd"/>
      <w:r>
        <w:rPr>
          <w:rFonts w:cs="AdvOTbc475f09"/>
          <w:lang w:val="en-US"/>
        </w:rPr>
        <w:t>,</w:t>
      </w:r>
      <w:r w:rsidRPr="004141C3">
        <w:rPr>
          <w:rFonts w:cs="AdvOTbc475f09"/>
          <w:lang w:val="en-US"/>
        </w:rPr>
        <w:t xml:space="preserve"> R. (</w:t>
      </w:r>
      <w:r w:rsidRPr="004141C3">
        <w:rPr>
          <w:rFonts w:cs="AdvP40D70F"/>
          <w:lang w:val="en-US"/>
        </w:rPr>
        <w:t>2007</w:t>
      </w:r>
      <w:r w:rsidRPr="004141C3">
        <w:rPr>
          <w:rFonts w:cs="AdvOTbc475f09"/>
          <w:lang w:val="en-US"/>
        </w:rPr>
        <w:t xml:space="preserve">). </w:t>
      </w:r>
      <w:r w:rsidRPr="004141C3">
        <w:rPr>
          <w:rFonts w:cs="AdvOTbc475f09+20"/>
          <w:lang w:val="en-US"/>
        </w:rPr>
        <w:t>“</w:t>
      </w:r>
      <w:r w:rsidRPr="004141C3">
        <w:rPr>
          <w:rFonts w:cs="AdvOTbc475f09"/>
          <w:lang w:val="en-US"/>
        </w:rPr>
        <w:t>Together forever? Explaining exclusivity in</w:t>
      </w:r>
      <w:r>
        <w:rPr>
          <w:rFonts w:cs="AdvOTbc475f09"/>
          <w:lang w:val="en-US"/>
        </w:rPr>
        <w:t xml:space="preserve"> </w:t>
      </w:r>
      <w:r w:rsidRPr="004141C3">
        <w:rPr>
          <w:rFonts w:cs="AdvOTbc475f09"/>
          <w:lang w:val="en-US"/>
        </w:rPr>
        <w:t>party</w:t>
      </w:r>
      <w:r w:rsidRPr="004141C3">
        <w:rPr>
          <w:rFonts w:cs="AdvOTbc475f09+20"/>
          <w:lang w:val="en-US"/>
        </w:rPr>
        <w:t>–</w:t>
      </w:r>
      <w:r w:rsidRPr="004141C3">
        <w:rPr>
          <w:rFonts w:cs="AdvOTbc475f09+fb"/>
          <w:lang w:val="en-US"/>
        </w:rPr>
        <w:t>fi</w:t>
      </w:r>
      <w:r w:rsidRPr="004141C3">
        <w:rPr>
          <w:rFonts w:cs="AdvOTbc475f09"/>
          <w:lang w:val="en-US"/>
        </w:rPr>
        <w:t>rm relations.</w:t>
      </w:r>
      <w:r w:rsidRPr="004141C3">
        <w:rPr>
          <w:rFonts w:cs="AdvOTbc475f09+20"/>
          <w:lang w:val="en-US"/>
        </w:rPr>
        <w:t xml:space="preserve">” </w:t>
      </w:r>
      <w:r w:rsidRPr="00566D02">
        <w:rPr>
          <w:rFonts w:cs="AdvOT638a931c.I"/>
          <w:lang w:val="en-US"/>
        </w:rPr>
        <w:t xml:space="preserve">Political Studies </w:t>
      </w:r>
      <w:r w:rsidRPr="00566D02">
        <w:rPr>
          <w:rFonts w:cs="AdvP435539"/>
          <w:lang w:val="en-US"/>
        </w:rPr>
        <w:t>55</w:t>
      </w:r>
      <w:r w:rsidRPr="00566D02">
        <w:rPr>
          <w:rFonts w:cs="AdvOTbc475f09"/>
          <w:lang w:val="en-US"/>
        </w:rPr>
        <w:t>(</w:t>
      </w:r>
      <w:r w:rsidRPr="00566D02">
        <w:rPr>
          <w:rFonts w:cs="AdvP40D70F"/>
          <w:lang w:val="en-US"/>
        </w:rPr>
        <w:t>1</w:t>
      </w:r>
      <w:r w:rsidRPr="00566D02">
        <w:rPr>
          <w:rFonts w:cs="AdvOTbc475f09"/>
          <w:lang w:val="en-US"/>
        </w:rPr>
        <w:t xml:space="preserve">): </w:t>
      </w:r>
      <w:r w:rsidRPr="00566D02">
        <w:rPr>
          <w:rFonts w:cs="AdvP40D70F"/>
          <w:lang w:val="en-US"/>
        </w:rPr>
        <w:t>153</w:t>
      </w:r>
      <w:r w:rsidRPr="00566D02">
        <w:rPr>
          <w:rFonts w:cs="AdvOTbc475f09+20"/>
          <w:lang w:val="en-US"/>
        </w:rPr>
        <w:t>–</w:t>
      </w:r>
      <w:r w:rsidRPr="00566D02">
        <w:rPr>
          <w:rFonts w:cs="AdvP40D70F"/>
          <w:lang w:val="en-US"/>
        </w:rPr>
        <w:t>73</w:t>
      </w:r>
      <w:r w:rsidRPr="00566D02">
        <w:rPr>
          <w:rFonts w:cs="AdvOTbc475f09"/>
          <w:lang w:val="en-US"/>
        </w:rPr>
        <w:t>.</w:t>
      </w:r>
    </w:p>
    <w:bookmarkEnd w:id="46"/>
    <w:p w14:paraId="5BDA9762" w14:textId="77777777" w:rsidR="00AE4CE0" w:rsidRPr="002D2F03" w:rsidRDefault="00AE4CE0" w:rsidP="00E84804">
      <w:pPr>
        <w:rPr>
          <w:rFonts w:cs="Times New Roman"/>
          <w:lang w:val="en-US"/>
        </w:rPr>
      </w:pPr>
      <w:r w:rsidRPr="002D2F03">
        <w:rPr>
          <w:rFonts w:cs="Times New Roman"/>
          <w:lang w:val="en-US"/>
        </w:rPr>
        <w:t xml:space="preserve">Milgrom, P, and Roberts, J. </w:t>
      </w:r>
      <w:r>
        <w:rPr>
          <w:rFonts w:cs="Times New Roman"/>
          <w:lang w:val="en-US"/>
        </w:rPr>
        <w:t>(</w:t>
      </w:r>
      <w:r w:rsidRPr="002D2F03">
        <w:rPr>
          <w:rFonts w:cs="Times New Roman"/>
          <w:lang w:val="en-US"/>
        </w:rPr>
        <w:t>1995</w:t>
      </w:r>
      <w:r>
        <w:rPr>
          <w:rFonts w:cs="Times New Roman"/>
          <w:lang w:val="en-US"/>
        </w:rPr>
        <w:t>)</w:t>
      </w:r>
      <w:r w:rsidRPr="002D2F03">
        <w:rPr>
          <w:rFonts w:cs="Times New Roman"/>
          <w:lang w:val="en-US"/>
        </w:rPr>
        <w:t>. 'Complementarities, Industrial Strategy, Structure and Change in</w:t>
      </w:r>
    </w:p>
    <w:p w14:paraId="3619B77F" w14:textId="572BEB43" w:rsidR="00AE4CE0" w:rsidRPr="00E84804" w:rsidRDefault="00AE4CE0" w:rsidP="00E84804">
      <w:pPr>
        <w:rPr>
          <w:rFonts w:cs="Times New Roman"/>
          <w:lang w:val="en-US"/>
        </w:rPr>
      </w:pPr>
      <w:r w:rsidRPr="002D2F03">
        <w:rPr>
          <w:rFonts w:cs="Times New Roman"/>
          <w:lang w:val="en-US"/>
        </w:rPr>
        <w:t xml:space="preserve">Manufacturing.' </w:t>
      </w:r>
      <w:r w:rsidRPr="002D2F03">
        <w:rPr>
          <w:rFonts w:cs="Times New Roman"/>
          <w:i/>
          <w:iCs/>
          <w:lang w:val="en-US"/>
        </w:rPr>
        <w:t xml:space="preserve">Journal of Accounting and Economics </w:t>
      </w:r>
      <w:r w:rsidRPr="002D2F03">
        <w:rPr>
          <w:rFonts w:cs="Times New Roman"/>
          <w:lang w:val="en-US"/>
        </w:rPr>
        <w:t>19:179-208.</w:t>
      </w:r>
    </w:p>
    <w:p w14:paraId="13A151E4" w14:textId="77777777" w:rsidR="00AE4CE0" w:rsidRPr="004141C3" w:rsidRDefault="00AE4CE0" w:rsidP="00E84804">
      <w:pPr>
        <w:rPr>
          <w:rFonts w:ascii="Calibri" w:hAnsi="Calibri"/>
          <w:shd w:val="clear" w:color="auto" w:fill="FFFFFF"/>
          <w:lang w:val="en-US"/>
        </w:rPr>
      </w:pPr>
      <w:r w:rsidRPr="004141C3">
        <w:rPr>
          <w:rFonts w:ascii="Calibri" w:hAnsi="Calibri"/>
          <w:shd w:val="clear" w:color="auto" w:fill="FFFFFF"/>
          <w:lang w:val="en-US"/>
        </w:rPr>
        <w:t xml:space="preserve">Muller, T., </w:t>
      </w:r>
      <w:proofErr w:type="spellStart"/>
      <w:r w:rsidRPr="004141C3">
        <w:rPr>
          <w:rFonts w:ascii="Calibri" w:hAnsi="Calibri"/>
          <w:shd w:val="clear" w:color="auto" w:fill="FFFFFF"/>
          <w:lang w:val="en-US"/>
        </w:rPr>
        <w:t>Vandaele</w:t>
      </w:r>
      <w:proofErr w:type="spellEnd"/>
      <w:r w:rsidRPr="004141C3">
        <w:rPr>
          <w:rFonts w:ascii="Calibri" w:hAnsi="Calibri"/>
          <w:shd w:val="clear" w:color="auto" w:fill="FFFFFF"/>
          <w:lang w:val="en-US"/>
        </w:rPr>
        <w:t xml:space="preserve">, K. &amp; Waddington, J. (2019). ETUI Latvia: post-Soviet legacy and the impact of neoliberal ideology on collective bargaining by </w:t>
      </w:r>
      <w:proofErr w:type="spellStart"/>
      <w:r w:rsidRPr="004141C3">
        <w:rPr>
          <w:rFonts w:ascii="Calibri" w:hAnsi="Calibri"/>
          <w:shd w:val="clear" w:color="auto" w:fill="FFFFFF"/>
          <w:lang w:val="en-US"/>
        </w:rPr>
        <w:t>Aija</w:t>
      </w:r>
      <w:proofErr w:type="spellEnd"/>
      <w:r w:rsidRPr="004141C3">
        <w:rPr>
          <w:rFonts w:ascii="Calibri" w:hAnsi="Calibri"/>
          <w:shd w:val="clear" w:color="auto" w:fill="FFFFFF"/>
          <w:lang w:val="en-US"/>
        </w:rPr>
        <w:t xml:space="preserve"> </w:t>
      </w:r>
      <w:proofErr w:type="spellStart"/>
      <w:r w:rsidRPr="004141C3">
        <w:rPr>
          <w:rFonts w:ascii="Calibri" w:hAnsi="Calibri"/>
          <w:shd w:val="clear" w:color="auto" w:fill="FFFFFF"/>
          <w:lang w:val="en-US"/>
        </w:rPr>
        <w:t>Lulle</w:t>
      </w:r>
      <w:proofErr w:type="spellEnd"/>
      <w:r w:rsidRPr="004141C3">
        <w:rPr>
          <w:rFonts w:ascii="Calibri" w:hAnsi="Calibri"/>
          <w:shd w:val="clear" w:color="auto" w:fill="FFFFFF"/>
          <w:lang w:val="en-US"/>
        </w:rPr>
        <w:t xml:space="preserve"> and </w:t>
      </w:r>
      <w:proofErr w:type="spellStart"/>
      <w:r w:rsidRPr="004141C3">
        <w:rPr>
          <w:rFonts w:ascii="Calibri" w:hAnsi="Calibri"/>
          <w:shd w:val="clear" w:color="auto" w:fill="FFFFFF"/>
          <w:lang w:val="en-US"/>
        </w:rPr>
        <w:t>Elza</w:t>
      </w:r>
      <w:proofErr w:type="spellEnd"/>
      <w:r w:rsidRPr="004141C3">
        <w:rPr>
          <w:rFonts w:ascii="Calibri" w:hAnsi="Calibri"/>
          <w:shd w:val="clear" w:color="auto" w:fill="FFFFFF"/>
          <w:lang w:val="en-US"/>
        </w:rPr>
        <w:t xml:space="preserve"> </w:t>
      </w:r>
      <w:proofErr w:type="spellStart"/>
      <w:r w:rsidRPr="004141C3">
        <w:rPr>
          <w:rFonts w:ascii="Calibri" w:hAnsi="Calibri"/>
          <w:shd w:val="clear" w:color="auto" w:fill="FFFFFF"/>
          <w:lang w:val="en-US"/>
        </w:rPr>
        <w:t>Ungurein</w:t>
      </w:r>
      <w:proofErr w:type="spellEnd"/>
      <w:r w:rsidRPr="004141C3">
        <w:rPr>
          <w:rFonts w:ascii="Calibri" w:hAnsi="Calibri"/>
          <w:shd w:val="clear" w:color="auto" w:fill="FFFFFF"/>
          <w:lang w:val="en-US"/>
        </w:rPr>
        <w:t xml:space="preserve"> Collective bargaining in Europe: towards an endgame. </w:t>
      </w:r>
    </w:p>
    <w:p w14:paraId="2ECF47A2" w14:textId="77777777" w:rsidR="00AE4CE0" w:rsidRPr="000C38AF" w:rsidRDefault="00AE4CE0" w:rsidP="00E84804">
      <w:pPr>
        <w:rPr>
          <w:rFonts w:ascii="Calibri" w:hAnsi="Calibri"/>
          <w:i/>
          <w:iCs/>
          <w:shd w:val="clear" w:color="auto" w:fill="FFFFFF"/>
          <w:lang w:val="en-US"/>
        </w:rPr>
      </w:pPr>
      <w:proofErr w:type="spellStart"/>
      <w:r>
        <w:rPr>
          <w:rFonts w:ascii="Calibri" w:hAnsi="Calibri"/>
          <w:shd w:val="clear" w:color="auto" w:fill="FFFFFF"/>
          <w:lang w:val="en-US"/>
        </w:rPr>
        <w:t>Mygind</w:t>
      </w:r>
      <w:proofErr w:type="spellEnd"/>
      <w:r>
        <w:rPr>
          <w:rFonts w:ascii="Calibri" w:hAnsi="Calibri"/>
          <w:shd w:val="clear" w:color="auto" w:fill="FFFFFF"/>
          <w:lang w:val="en-US"/>
        </w:rPr>
        <w:t xml:space="preserve">, N. (1999). </w:t>
      </w:r>
      <w:r>
        <w:rPr>
          <w:rFonts w:ascii="Calibri" w:hAnsi="Calibri"/>
          <w:i/>
          <w:iCs/>
          <w:shd w:val="clear" w:color="auto" w:fill="FFFFFF"/>
          <w:lang w:val="en-US"/>
        </w:rPr>
        <w:t>Privatization, Governance and Restructuring of Enterprises in the Baltics, OECD.</w:t>
      </w:r>
    </w:p>
    <w:p w14:paraId="60FBE758" w14:textId="77777777" w:rsidR="00AE4CE0" w:rsidRPr="000C38AF" w:rsidRDefault="00AE4CE0" w:rsidP="00E84804">
      <w:pPr>
        <w:rPr>
          <w:rFonts w:ascii="Calibri" w:hAnsi="Calibri"/>
          <w:shd w:val="clear" w:color="auto" w:fill="FFFFFF"/>
          <w:lang w:val="en-US"/>
        </w:rPr>
      </w:pPr>
      <w:proofErr w:type="spellStart"/>
      <w:r w:rsidRPr="004141C3">
        <w:rPr>
          <w:rFonts w:ascii="Calibri" w:hAnsi="Calibri"/>
          <w:shd w:val="clear" w:color="auto" w:fill="FFFFFF"/>
          <w:lang w:val="en-US"/>
        </w:rPr>
        <w:t>Mygind</w:t>
      </w:r>
      <w:proofErr w:type="spellEnd"/>
      <w:r w:rsidRPr="004141C3">
        <w:rPr>
          <w:rFonts w:ascii="Calibri" w:hAnsi="Calibri"/>
          <w:shd w:val="clear" w:color="auto" w:fill="FFFFFF"/>
          <w:lang w:val="en-US"/>
        </w:rPr>
        <w:t>, N. (2012): Trends in employee ownership in Eastern Europe, in: The International Journal of Human Resource Management, 23(8), 1611-1642.</w:t>
      </w:r>
      <w:bookmarkStart w:id="47" w:name="_Hlk73473425"/>
    </w:p>
    <w:p w14:paraId="4ABD4A30" w14:textId="4AED41E8" w:rsidR="00AE4CE0" w:rsidRPr="002D1810" w:rsidRDefault="00AE4CE0" w:rsidP="00E84804">
      <w:pPr>
        <w:rPr>
          <w:shd w:val="clear" w:color="auto" w:fill="FFFFFF"/>
          <w:lang w:val="en-US"/>
        </w:rPr>
      </w:pPr>
      <w:proofErr w:type="spellStart"/>
      <w:r w:rsidRPr="002D2F03">
        <w:rPr>
          <w:shd w:val="clear" w:color="auto" w:fill="FFFFFF"/>
          <w:lang w:val="en-US"/>
        </w:rPr>
        <w:t>Nölke</w:t>
      </w:r>
      <w:proofErr w:type="spellEnd"/>
      <w:r w:rsidRPr="002D2F03">
        <w:rPr>
          <w:shd w:val="clear" w:color="auto" w:fill="FFFFFF"/>
          <w:lang w:val="en-US"/>
        </w:rPr>
        <w:t xml:space="preserve">, A., &amp; </w:t>
      </w:r>
      <w:proofErr w:type="spellStart"/>
      <w:r w:rsidRPr="002D2F03">
        <w:rPr>
          <w:shd w:val="clear" w:color="auto" w:fill="FFFFFF"/>
          <w:lang w:val="en-US"/>
        </w:rPr>
        <w:t>Vliegenthart</w:t>
      </w:r>
      <w:proofErr w:type="spellEnd"/>
      <w:r w:rsidRPr="002D2F03">
        <w:rPr>
          <w:shd w:val="clear" w:color="auto" w:fill="FFFFFF"/>
          <w:lang w:val="en-US"/>
        </w:rPr>
        <w:t xml:space="preserve">, A. (2009). Enlarging the varieties of capitalism: the emergence of dependent market economies in east central </w:t>
      </w:r>
      <w:proofErr w:type="spellStart"/>
      <w:r w:rsidRPr="002D2F03">
        <w:rPr>
          <w:shd w:val="clear" w:color="auto" w:fill="FFFFFF"/>
          <w:lang w:val="en-US"/>
        </w:rPr>
        <w:t>europe</w:t>
      </w:r>
      <w:proofErr w:type="spellEnd"/>
      <w:r w:rsidRPr="002D2F03">
        <w:rPr>
          <w:shd w:val="clear" w:color="auto" w:fill="FFFFFF"/>
          <w:lang w:val="en-US"/>
        </w:rPr>
        <w:t>. </w:t>
      </w:r>
      <w:r w:rsidRPr="002D2F03">
        <w:rPr>
          <w:i/>
          <w:iCs/>
          <w:shd w:val="clear" w:color="auto" w:fill="FFFFFF"/>
          <w:lang w:val="en-US"/>
        </w:rPr>
        <w:t>World Politics</w:t>
      </w:r>
      <w:r w:rsidRPr="002D2F03">
        <w:rPr>
          <w:shd w:val="clear" w:color="auto" w:fill="FFFFFF"/>
          <w:lang w:val="en-US"/>
        </w:rPr>
        <w:t>, </w:t>
      </w:r>
      <w:r w:rsidRPr="002D2F03">
        <w:rPr>
          <w:i/>
          <w:iCs/>
          <w:shd w:val="clear" w:color="auto" w:fill="FFFFFF"/>
          <w:lang w:val="en-US"/>
        </w:rPr>
        <w:t>61</w:t>
      </w:r>
      <w:r w:rsidRPr="002D2F03">
        <w:rPr>
          <w:shd w:val="clear" w:color="auto" w:fill="FFFFFF"/>
          <w:lang w:val="en-US"/>
        </w:rPr>
        <w:t>(4), 670–702.</w:t>
      </w:r>
    </w:p>
    <w:p w14:paraId="5AD3F24C" w14:textId="77777777" w:rsidR="00AE4CE0" w:rsidRPr="000C38AF" w:rsidRDefault="00AE4CE0" w:rsidP="00E84804">
      <w:pPr>
        <w:rPr>
          <w:rFonts w:ascii="Calibri" w:hAnsi="Calibri" w:cs="CaeciliaLTStd-Roman"/>
          <w:i/>
          <w:iCs/>
          <w:lang w:val="en-US"/>
        </w:rPr>
      </w:pPr>
      <w:r>
        <w:rPr>
          <w:rFonts w:ascii="Calibri" w:hAnsi="Calibri" w:cs="CaeciliaLTStd-Roman"/>
          <w:lang w:val="en-US"/>
        </w:rPr>
        <w:t xml:space="preserve">OECD. (1998). </w:t>
      </w:r>
      <w:r>
        <w:rPr>
          <w:rFonts w:ascii="Calibri" w:hAnsi="Calibri" w:cs="CaeciliaLTStd-Roman"/>
          <w:i/>
          <w:iCs/>
          <w:lang w:val="en-US"/>
        </w:rPr>
        <w:t>A Review of Bulgarian Privatization.</w:t>
      </w:r>
    </w:p>
    <w:p w14:paraId="100325CE" w14:textId="77777777" w:rsidR="00AE4CE0" w:rsidRPr="005E405F" w:rsidRDefault="00AE4CE0" w:rsidP="00E84804">
      <w:pPr>
        <w:rPr>
          <w:rFonts w:ascii="Calibri" w:hAnsi="Calibri" w:cs="CaeciliaLTStd-Roman"/>
          <w:lang w:val="en-US"/>
        </w:rPr>
      </w:pPr>
      <w:r w:rsidRPr="004141C3">
        <w:rPr>
          <w:rFonts w:ascii="Calibri" w:hAnsi="Calibri" w:cs="CaeciliaLTStd-Roman"/>
          <w:lang w:val="en-US"/>
        </w:rPr>
        <w:lastRenderedPageBreak/>
        <w:t>OECD</w:t>
      </w:r>
      <w:r>
        <w:rPr>
          <w:rFonts w:ascii="Calibri" w:hAnsi="Calibri" w:cs="CaeciliaLTStd-Roman"/>
          <w:lang w:val="en-US"/>
        </w:rPr>
        <w:t>.</w:t>
      </w:r>
      <w:r w:rsidRPr="004141C3">
        <w:rPr>
          <w:rFonts w:ascii="Calibri" w:hAnsi="Calibri" w:cs="CaeciliaLTStd-Roman"/>
          <w:lang w:val="en-US"/>
        </w:rPr>
        <w:t xml:space="preserve"> (2016), </w:t>
      </w:r>
      <w:r w:rsidRPr="004141C3">
        <w:rPr>
          <w:rFonts w:ascii="Calibri" w:hAnsi="Calibri" w:cs="CaeciliaLTStd-Italic"/>
          <w:i/>
          <w:iCs/>
          <w:lang w:val="en-US"/>
        </w:rPr>
        <w:t xml:space="preserve">OECD Reviews of </w:t>
      </w:r>
      <w:proofErr w:type="spellStart"/>
      <w:r w:rsidRPr="004141C3">
        <w:rPr>
          <w:rFonts w:ascii="Calibri" w:hAnsi="Calibri" w:cs="CaeciliaLTStd-Italic"/>
          <w:i/>
          <w:iCs/>
          <w:lang w:val="en-US"/>
        </w:rPr>
        <w:t>Labour</w:t>
      </w:r>
      <w:proofErr w:type="spellEnd"/>
      <w:r w:rsidRPr="004141C3">
        <w:rPr>
          <w:rFonts w:ascii="Calibri" w:hAnsi="Calibri" w:cs="CaeciliaLTStd-Italic"/>
          <w:i/>
          <w:iCs/>
          <w:lang w:val="en-US"/>
        </w:rPr>
        <w:t xml:space="preserve"> Market and Social Policies: Latvia 2016</w:t>
      </w:r>
      <w:r w:rsidRPr="004141C3">
        <w:rPr>
          <w:rFonts w:ascii="Calibri" w:hAnsi="Calibri" w:cs="CaeciliaLTStd-Roman"/>
          <w:lang w:val="en-US"/>
        </w:rPr>
        <w:t>, OECD Publishing,</w:t>
      </w:r>
      <w:r>
        <w:rPr>
          <w:rFonts w:ascii="Calibri" w:hAnsi="Calibri" w:cs="CaeciliaLTStd-Roman"/>
          <w:lang w:val="en-US"/>
        </w:rPr>
        <w:t xml:space="preserve"> </w:t>
      </w:r>
      <w:r w:rsidRPr="004141C3">
        <w:rPr>
          <w:rFonts w:ascii="Calibri" w:hAnsi="Calibri" w:cs="CaeciliaLTStd-Roman"/>
          <w:lang w:val="en-US"/>
        </w:rPr>
        <w:t>Paris.</w:t>
      </w:r>
    </w:p>
    <w:p w14:paraId="63CDFB4B" w14:textId="77777777" w:rsidR="00AE4CE0" w:rsidRPr="004141C3" w:rsidRDefault="00AE4CE0" w:rsidP="00E84804">
      <w:pPr>
        <w:rPr>
          <w:rFonts w:ascii="Calibri" w:hAnsi="Calibri"/>
          <w:lang w:val="en-US"/>
        </w:rPr>
      </w:pPr>
      <w:r w:rsidRPr="004141C3">
        <w:rPr>
          <w:rFonts w:ascii="Calibri" w:hAnsi="Calibri"/>
          <w:lang w:val="en-US"/>
        </w:rPr>
        <w:t>OECD. (2017a). Corporate Governance in Latvia.</w:t>
      </w:r>
    </w:p>
    <w:p w14:paraId="702E5392" w14:textId="77777777" w:rsidR="00AE4CE0" w:rsidRPr="004141C3" w:rsidRDefault="00AE4CE0" w:rsidP="00E84804">
      <w:pPr>
        <w:rPr>
          <w:rFonts w:ascii="Calibri" w:hAnsi="Calibri"/>
          <w:lang w:val="en-US"/>
        </w:rPr>
      </w:pPr>
      <w:r w:rsidRPr="004141C3">
        <w:rPr>
          <w:rFonts w:ascii="Calibri" w:hAnsi="Calibri"/>
          <w:lang w:val="en-US"/>
        </w:rPr>
        <w:t>OECD. (2017b). Economic Survey of Latvia.</w:t>
      </w:r>
    </w:p>
    <w:p w14:paraId="3C48F463" w14:textId="77777777" w:rsidR="00AE4CE0" w:rsidRPr="004141C3" w:rsidRDefault="00AE4CE0" w:rsidP="00E84804">
      <w:pPr>
        <w:rPr>
          <w:rFonts w:ascii="Calibri" w:hAnsi="Calibri"/>
          <w:shd w:val="clear" w:color="auto" w:fill="FFFFFF"/>
          <w:lang w:val="en-US"/>
        </w:rPr>
      </w:pPr>
      <w:r w:rsidRPr="004141C3">
        <w:rPr>
          <w:rFonts w:ascii="Calibri" w:hAnsi="Calibri"/>
          <w:lang w:val="en-US"/>
        </w:rPr>
        <w:t>OECD. (2021). Economic Survey of Bulgaria.</w:t>
      </w:r>
    </w:p>
    <w:p w14:paraId="08935DB6" w14:textId="322AED16" w:rsidR="00CB5EC9" w:rsidRPr="00CB5EC9" w:rsidRDefault="00CB5EC9" w:rsidP="00CB5EC9">
      <w:pPr>
        <w:spacing w:line="240" w:lineRule="auto"/>
        <w:jc w:val="both"/>
        <w:rPr>
          <w:lang w:val="en-US"/>
        </w:rPr>
      </w:pPr>
      <w:bookmarkStart w:id="48" w:name="_Hlk73481195"/>
      <w:bookmarkEnd w:id="47"/>
      <w:proofErr w:type="spellStart"/>
      <w:r w:rsidRPr="00491019">
        <w:rPr>
          <w:lang w:val="en-US"/>
        </w:rPr>
        <w:t>Orzeck</w:t>
      </w:r>
      <w:proofErr w:type="spellEnd"/>
      <w:r>
        <w:rPr>
          <w:lang w:val="en-US"/>
        </w:rPr>
        <w:t>,</w:t>
      </w:r>
      <w:r w:rsidRPr="00491019">
        <w:rPr>
          <w:lang w:val="en-US"/>
        </w:rPr>
        <w:t xml:space="preserve"> R</w:t>
      </w:r>
      <w:r>
        <w:rPr>
          <w:lang w:val="en-US"/>
        </w:rPr>
        <w:t>.</w:t>
      </w:r>
      <w:r w:rsidRPr="00491019">
        <w:rPr>
          <w:lang w:val="en-US"/>
        </w:rPr>
        <w:t xml:space="preserve"> (2012)</w:t>
      </w:r>
      <w:r>
        <w:rPr>
          <w:lang w:val="en-US"/>
        </w:rPr>
        <w:t>.</w:t>
      </w:r>
      <w:r w:rsidRPr="00491019">
        <w:rPr>
          <w:lang w:val="en-US"/>
        </w:rPr>
        <w:t xml:space="preserve"> Academic freedom, intellectual diversity, and the place of politics in geography.</w:t>
      </w:r>
      <w:r>
        <w:rPr>
          <w:lang w:val="en-US"/>
        </w:rPr>
        <w:t xml:space="preserve"> </w:t>
      </w:r>
      <w:r w:rsidRPr="00491019">
        <w:rPr>
          <w:rFonts w:cs="AdvTimes-i"/>
        </w:rPr>
        <w:t xml:space="preserve">Antipode </w:t>
      </w:r>
      <w:r w:rsidRPr="00491019">
        <w:t>44(4): 1449–1469.</w:t>
      </w:r>
    </w:p>
    <w:p w14:paraId="4BA5EE45" w14:textId="5DFB30FE" w:rsidR="00AE4CE0" w:rsidRPr="00E84804" w:rsidRDefault="00AE4CE0" w:rsidP="00E84804">
      <w:pPr>
        <w:rPr>
          <w:rFonts w:cs="Times New Roman"/>
          <w:i/>
          <w:iCs/>
          <w:lang w:val="en-US"/>
        </w:rPr>
      </w:pPr>
      <w:r w:rsidRPr="00C234A4">
        <w:rPr>
          <w:rFonts w:cs="Times New Roman"/>
          <w:lang w:val="en-US"/>
        </w:rPr>
        <w:t xml:space="preserve">Ostrom, E. (1990). </w:t>
      </w:r>
      <w:r w:rsidRPr="00C234A4">
        <w:rPr>
          <w:rFonts w:cs="Times New Roman"/>
          <w:i/>
          <w:iCs/>
          <w:lang w:val="en-US"/>
        </w:rPr>
        <w:t xml:space="preserve">Governing the Commons: The Evolution of Institutions for Collective Action. </w:t>
      </w:r>
      <w:r w:rsidRPr="00C234A4">
        <w:rPr>
          <w:rFonts w:cs="Times New Roman"/>
          <w:lang w:val="en-US"/>
        </w:rPr>
        <w:t>New York: Cambridge University Press.</w:t>
      </w:r>
    </w:p>
    <w:p w14:paraId="5B1EAAEF" w14:textId="075C39DB" w:rsidR="00AE4CE0" w:rsidRDefault="00AE4CE0" w:rsidP="00E84804">
      <w:pPr>
        <w:rPr>
          <w:shd w:val="clear" w:color="auto" w:fill="FFFFFF"/>
          <w:lang w:val="en-US"/>
        </w:rPr>
      </w:pPr>
      <w:r w:rsidRPr="002D2F03">
        <w:rPr>
          <w:shd w:val="clear" w:color="auto" w:fill="FFFFFF"/>
          <w:lang w:val="en-US"/>
        </w:rPr>
        <w:t>Paraskevopoulos, C. J. (2001). </w:t>
      </w:r>
      <w:r w:rsidRPr="002D2F03">
        <w:rPr>
          <w:i/>
          <w:iCs/>
          <w:shd w:val="clear" w:color="auto" w:fill="FFFFFF"/>
          <w:lang w:val="en-US"/>
        </w:rPr>
        <w:t xml:space="preserve">Interpreting convergence in the </w:t>
      </w:r>
      <w:proofErr w:type="spellStart"/>
      <w:r w:rsidRPr="002D2F03">
        <w:rPr>
          <w:i/>
          <w:iCs/>
          <w:shd w:val="clear" w:color="auto" w:fill="FFFFFF"/>
          <w:lang w:val="en-US"/>
        </w:rPr>
        <w:t>european</w:t>
      </w:r>
      <w:proofErr w:type="spellEnd"/>
      <w:r w:rsidRPr="002D2F03">
        <w:rPr>
          <w:i/>
          <w:iCs/>
          <w:shd w:val="clear" w:color="auto" w:fill="FFFFFF"/>
          <w:lang w:val="en-US"/>
        </w:rPr>
        <w:t xml:space="preserve"> </w:t>
      </w:r>
      <w:proofErr w:type="gramStart"/>
      <w:r w:rsidRPr="002D2F03">
        <w:rPr>
          <w:i/>
          <w:iCs/>
          <w:shd w:val="clear" w:color="auto" w:fill="FFFFFF"/>
          <w:lang w:val="en-US"/>
        </w:rPr>
        <w:t>union :</w:t>
      </w:r>
      <w:proofErr w:type="gramEnd"/>
      <w:r w:rsidRPr="002D2F03">
        <w:rPr>
          <w:i/>
          <w:iCs/>
          <w:shd w:val="clear" w:color="auto" w:fill="FFFFFF"/>
          <w:lang w:val="en-US"/>
        </w:rPr>
        <w:t xml:space="preserve"> patterns of collective action, social learning, and </w:t>
      </w:r>
      <w:proofErr w:type="spellStart"/>
      <w:r w:rsidRPr="002D2F03">
        <w:rPr>
          <w:i/>
          <w:iCs/>
          <w:shd w:val="clear" w:color="auto" w:fill="FFFFFF"/>
          <w:lang w:val="en-US"/>
        </w:rPr>
        <w:t>europeanization</w:t>
      </w:r>
      <w:proofErr w:type="spellEnd"/>
      <w:r w:rsidRPr="002D2F03">
        <w:rPr>
          <w:shd w:val="clear" w:color="auto" w:fill="FFFFFF"/>
          <w:lang w:val="en-US"/>
        </w:rPr>
        <w:t>. Palgrave.</w:t>
      </w:r>
    </w:p>
    <w:p w14:paraId="3E2ED32F" w14:textId="7824280C" w:rsidR="00AE4CE0" w:rsidRPr="00DB2422" w:rsidRDefault="00AE4CE0" w:rsidP="00E84804">
      <w:pPr>
        <w:rPr>
          <w:rFonts w:cs="ArialUnicodeMS"/>
          <w:lang w:val="en-US"/>
        </w:rPr>
      </w:pPr>
      <w:r w:rsidRPr="00557DE6">
        <w:rPr>
          <w:rFonts w:cs="ArialUnicodeMS"/>
          <w:lang w:val="en-US"/>
        </w:rPr>
        <w:t>Peck, J. (2013). Explaining (with) Neoliberalism, Territory, Politics, Governance, 1:2, 132-157.</w:t>
      </w:r>
    </w:p>
    <w:p w14:paraId="25687C2E" w14:textId="77777777" w:rsidR="00AE4CE0" w:rsidRPr="00EB2F7F" w:rsidRDefault="00AE4CE0" w:rsidP="00E84804">
      <w:pPr>
        <w:rPr>
          <w:shd w:val="clear" w:color="auto" w:fill="FFFFFF"/>
          <w:lang w:val="en-US"/>
        </w:rPr>
      </w:pPr>
      <w:r w:rsidRPr="00EB2F7F">
        <w:rPr>
          <w:shd w:val="clear" w:color="auto" w:fill="FFFFFF"/>
          <w:lang w:val="en-US"/>
        </w:rPr>
        <w:t>Peck, J., &amp; Theodore, N. (2007). Variegated capitalism. </w:t>
      </w:r>
      <w:r w:rsidRPr="00EB2F7F">
        <w:rPr>
          <w:i/>
          <w:iCs/>
          <w:shd w:val="clear" w:color="auto" w:fill="FFFFFF"/>
          <w:lang w:val="en-US"/>
        </w:rPr>
        <w:t>Progress in Human Geography</w:t>
      </w:r>
      <w:r w:rsidRPr="00EB2F7F">
        <w:rPr>
          <w:shd w:val="clear" w:color="auto" w:fill="FFFFFF"/>
          <w:lang w:val="en-US"/>
        </w:rPr>
        <w:t>, </w:t>
      </w:r>
      <w:r w:rsidRPr="00EB2F7F">
        <w:rPr>
          <w:i/>
          <w:iCs/>
          <w:shd w:val="clear" w:color="auto" w:fill="FFFFFF"/>
          <w:lang w:val="en-US"/>
        </w:rPr>
        <w:t>31</w:t>
      </w:r>
      <w:r w:rsidRPr="00EB2F7F">
        <w:rPr>
          <w:shd w:val="clear" w:color="auto" w:fill="FFFFFF"/>
          <w:lang w:val="en-US"/>
        </w:rPr>
        <w:t>(6), 731–772.</w:t>
      </w:r>
    </w:p>
    <w:p w14:paraId="3470BCD7" w14:textId="77777777" w:rsidR="00AE4CE0" w:rsidRPr="00DA214B" w:rsidRDefault="00AE4CE0" w:rsidP="00E84804">
      <w:pPr>
        <w:rPr>
          <w:rFonts w:eastAsia="Times New Roman" w:cs="Arial"/>
          <w:lang w:val="en-US" w:eastAsia="nl-NL"/>
        </w:rPr>
      </w:pPr>
      <w:r w:rsidRPr="00687669">
        <w:rPr>
          <w:rFonts w:eastAsia="Times New Roman" w:cs="Arial"/>
          <w:lang w:val="en-US" w:eastAsia="nl-NL"/>
        </w:rPr>
        <w:t>Political Data Yearbook Interactive (2015). Available at: </w:t>
      </w:r>
      <w:hyperlink r:id="rId14" w:history="1">
        <w:r w:rsidRPr="00687669">
          <w:rPr>
            <w:rFonts w:eastAsia="Times New Roman" w:cs="Arial"/>
            <w:u w:val="single"/>
            <w:lang w:val="en-US" w:eastAsia="nl-NL"/>
          </w:rPr>
          <w:t>http://www.politicaldatayearbook.com</w:t>
        </w:r>
      </w:hyperlink>
      <w:r w:rsidRPr="00687669">
        <w:rPr>
          <w:rFonts w:eastAsia="Times New Roman" w:cs="Arial"/>
          <w:lang w:val="en-US" w:eastAsia="nl-NL"/>
        </w:rPr>
        <w:t>.</w:t>
      </w:r>
    </w:p>
    <w:p w14:paraId="53CAFC97" w14:textId="1E215BFB" w:rsidR="00AE4CE0" w:rsidRPr="00DB2422" w:rsidRDefault="00AE4CE0" w:rsidP="00E84804">
      <w:pPr>
        <w:rPr>
          <w:spacing w:val="-5"/>
          <w:shd w:val="clear" w:color="auto" w:fill="FFFFFF"/>
          <w:lang w:val="en-US"/>
        </w:rPr>
      </w:pPr>
      <w:r w:rsidRPr="002D2F03">
        <w:rPr>
          <w:spacing w:val="-5"/>
          <w:shd w:val="clear" w:color="auto" w:fill="FFFFFF"/>
          <w:lang w:val="en-US"/>
        </w:rPr>
        <w:t>Pula, B. (2018). </w:t>
      </w:r>
      <w:r w:rsidRPr="002D2F03">
        <w:rPr>
          <w:i/>
          <w:iCs/>
          <w:spacing w:val="-5"/>
          <w:shd w:val="clear" w:color="auto" w:fill="FFFFFF"/>
          <w:lang w:val="en-US"/>
        </w:rPr>
        <w:t>Globalization Under and After Socialism: The Evolution of Transnational Capital in Central and Eastern Europe</w:t>
      </w:r>
      <w:r w:rsidRPr="002D2F03">
        <w:rPr>
          <w:spacing w:val="-5"/>
          <w:shd w:val="clear" w:color="auto" w:fill="FFFFFF"/>
          <w:lang w:val="en-US"/>
        </w:rPr>
        <w:t>. STANFORD, CALIFORNIA: Stanford University Press.</w:t>
      </w:r>
    </w:p>
    <w:p w14:paraId="2D490340" w14:textId="77777777" w:rsidR="00AE4CE0" w:rsidRDefault="00AE4CE0" w:rsidP="00E84804">
      <w:pPr>
        <w:rPr>
          <w:shd w:val="clear" w:color="auto" w:fill="FFFFFF"/>
          <w:lang w:val="en-US"/>
        </w:rPr>
      </w:pPr>
      <w:proofErr w:type="spellStart"/>
      <w:r w:rsidRPr="004141C3">
        <w:rPr>
          <w:shd w:val="clear" w:color="auto" w:fill="FFFFFF"/>
          <w:lang w:val="en-US"/>
        </w:rPr>
        <w:t>Schoenman</w:t>
      </w:r>
      <w:proofErr w:type="spellEnd"/>
      <w:r w:rsidRPr="004141C3">
        <w:rPr>
          <w:shd w:val="clear" w:color="auto" w:fill="FFFFFF"/>
          <w:lang w:val="en-US"/>
        </w:rPr>
        <w:t>, R. (2014). </w:t>
      </w:r>
      <w:r w:rsidRPr="004141C3">
        <w:rPr>
          <w:i/>
          <w:iCs/>
          <w:shd w:val="clear" w:color="auto" w:fill="FFFFFF"/>
          <w:lang w:val="en-US"/>
        </w:rPr>
        <w:t xml:space="preserve">Networks and institutions in </w:t>
      </w:r>
      <w:proofErr w:type="spellStart"/>
      <w:r w:rsidRPr="004141C3">
        <w:rPr>
          <w:i/>
          <w:iCs/>
          <w:shd w:val="clear" w:color="auto" w:fill="FFFFFF"/>
          <w:lang w:val="en-US"/>
        </w:rPr>
        <w:t>europe's</w:t>
      </w:r>
      <w:proofErr w:type="spellEnd"/>
      <w:r w:rsidRPr="004141C3">
        <w:rPr>
          <w:i/>
          <w:iCs/>
          <w:shd w:val="clear" w:color="auto" w:fill="FFFFFF"/>
          <w:lang w:val="en-US"/>
        </w:rPr>
        <w:t xml:space="preserve"> emerging markets</w:t>
      </w:r>
      <w:r w:rsidRPr="004141C3">
        <w:rPr>
          <w:shd w:val="clear" w:color="auto" w:fill="FFFFFF"/>
          <w:lang w:val="en-US"/>
        </w:rPr>
        <w:t> (Ser. Cambridge studies in comparative politics). Cambridge University Press</w:t>
      </w:r>
      <w:r>
        <w:rPr>
          <w:shd w:val="clear" w:color="auto" w:fill="FFFFFF"/>
          <w:lang w:val="en-US"/>
        </w:rPr>
        <w:t>.</w:t>
      </w:r>
      <w:bookmarkEnd w:id="48"/>
    </w:p>
    <w:p w14:paraId="650E7248" w14:textId="77777777" w:rsidR="00AE4CE0" w:rsidRPr="00DB2422" w:rsidRDefault="00AE4CE0" w:rsidP="00E84804">
      <w:pPr>
        <w:rPr>
          <w:rFonts w:cs="AdvOTbc475f09"/>
          <w:lang w:val="en-US"/>
        </w:rPr>
      </w:pPr>
      <w:bookmarkStart w:id="49" w:name="_Hlk73481449"/>
      <w:r w:rsidRPr="004141C3">
        <w:rPr>
          <w:rFonts w:cs="AdvOTbc475f09"/>
          <w:lang w:val="en-US"/>
        </w:rPr>
        <w:t xml:space="preserve">Scholz, J. T., </w:t>
      </w:r>
      <w:proofErr w:type="spellStart"/>
      <w:r w:rsidRPr="004141C3">
        <w:rPr>
          <w:rFonts w:cs="AdvOTbc475f09"/>
          <w:lang w:val="en-US"/>
        </w:rPr>
        <w:t>Berardo</w:t>
      </w:r>
      <w:proofErr w:type="spellEnd"/>
      <w:r w:rsidRPr="004141C3">
        <w:rPr>
          <w:rFonts w:cs="AdvOTbc475f09"/>
          <w:lang w:val="en-US"/>
        </w:rPr>
        <w:t xml:space="preserve">, R. </w:t>
      </w:r>
      <w:r>
        <w:rPr>
          <w:rFonts w:cs="AdvOTbc475f09"/>
          <w:lang w:val="en-US"/>
        </w:rPr>
        <w:t>&amp;</w:t>
      </w:r>
      <w:r w:rsidRPr="004141C3">
        <w:rPr>
          <w:rFonts w:cs="AdvOTbc475f09"/>
          <w:lang w:val="en-US"/>
        </w:rPr>
        <w:t xml:space="preserve"> </w:t>
      </w:r>
      <w:proofErr w:type="spellStart"/>
      <w:r w:rsidRPr="004141C3">
        <w:rPr>
          <w:rFonts w:cs="AdvOTbc475f09"/>
          <w:lang w:val="en-US"/>
        </w:rPr>
        <w:t>Kile</w:t>
      </w:r>
      <w:proofErr w:type="spellEnd"/>
      <w:r w:rsidRPr="004141C3">
        <w:rPr>
          <w:rFonts w:cs="AdvOTbc475f09"/>
          <w:lang w:val="en-US"/>
        </w:rPr>
        <w:t xml:space="preserve"> B. (</w:t>
      </w:r>
      <w:r w:rsidRPr="004141C3">
        <w:rPr>
          <w:rFonts w:cs="AdvP40D70F"/>
          <w:lang w:val="en-US"/>
        </w:rPr>
        <w:t>2008</w:t>
      </w:r>
      <w:r w:rsidRPr="004141C3">
        <w:rPr>
          <w:rFonts w:cs="AdvOTbc475f09"/>
          <w:lang w:val="en-US"/>
        </w:rPr>
        <w:t xml:space="preserve">). </w:t>
      </w:r>
      <w:r w:rsidRPr="004141C3">
        <w:rPr>
          <w:rFonts w:cs="AdvOTbc475f09+20"/>
          <w:lang w:val="en-US"/>
        </w:rPr>
        <w:t>“</w:t>
      </w:r>
      <w:r w:rsidRPr="004141C3">
        <w:rPr>
          <w:rFonts w:cs="AdvOTbc475f09"/>
          <w:lang w:val="en-US"/>
        </w:rPr>
        <w:t>Do networks solve collective action</w:t>
      </w:r>
      <w:r>
        <w:rPr>
          <w:rFonts w:cs="AdvOTbc475f09"/>
          <w:lang w:val="en-US"/>
        </w:rPr>
        <w:t xml:space="preserve"> </w:t>
      </w:r>
      <w:r w:rsidRPr="004141C3">
        <w:rPr>
          <w:rFonts w:cs="AdvOTbc475f09"/>
          <w:lang w:val="en-US"/>
        </w:rPr>
        <w:t>problems? Credibility, search, and collaboration.</w:t>
      </w:r>
      <w:r w:rsidRPr="004141C3">
        <w:rPr>
          <w:rFonts w:cs="AdvOTbc475f09+20"/>
          <w:lang w:val="en-US"/>
        </w:rPr>
        <w:t xml:space="preserve">” </w:t>
      </w:r>
      <w:r w:rsidRPr="004141C3">
        <w:rPr>
          <w:rFonts w:cs="AdvOT638a931c.I"/>
          <w:lang w:val="en-US"/>
        </w:rPr>
        <w:t xml:space="preserve">Journal of Politics </w:t>
      </w:r>
      <w:r w:rsidRPr="004141C3">
        <w:rPr>
          <w:rFonts w:cs="AdvP435539"/>
          <w:lang w:val="en-US"/>
        </w:rPr>
        <w:t>70</w:t>
      </w:r>
      <w:r w:rsidRPr="004141C3">
        <w:rPr>
          <w:rFonts w:cs="AdvOTbc475f09"/>
          <w:lang w:val="en-US"/>
        </w:rPr>
        <w:t>(</w:t>
      </w:r>
      <w:r w:rsidRPr="004141C3">
        <w:rPr>
          <w:rFonts w:cs="AdvP40D70F"/>
          <w:lang w:val="en-US"/>
        </w:rPr>
        <w:t>2</w:t>
      </w:r>
      <w:r w:rsidRPr="004141C3">
        <w:rPr>
          <w:rFonts w:cs="AdvOTbc475f09"/>
          <w:lang w:val="en-US"/>
        </w:rPr>
        <w:t xml:space="preserve">): </w:t>
      </w:r>
      <w:r w:rsidRPr="004141C3">
        <w:rPr>
          <w:rFonts w:cs="AdvP40D70F"/>
          <w:lang w:val="en-US"/>
        </w:rPr>
        <w:t>393</w:t>
      </w:r>
      <w:r w:rsidRPr="004141C3">
        <w:rPr>
          <w:rFonts w:cs="AdvOTbc475f09+20"/>
          <w:lang w:val="en-US"/>
        </w:rPr>
        <w:t>–</w:t>
      </w:r>
      <w:r w:rsidRPr="004141C3">
        <w:rPr>
          <w:rFonts w:cs="AdvP40D70F"/>
          <w:lang w:val="en-US"/>
        </w:rPr>
        <w:t>406</w:t>
      </w:r>
      <w:r w:rsidRPr="004141C3">
        <w:rPr>
          <w:rFonts w:cs="AdvOTbc475f09"/>
          <w:lang w:val="en-US"/>
        </w:rPr>
        <w:t>.</w:t>
      </w:r>
      <w:bookmarkEnd w:id="49"/>
    </w:p>
    <w:p w14:paraId="764331A8" w14:textId="77777777" w:rsidR="00AE4CE0" w:rsidRPr="00DA214B" w:rsidRDefault="00AE4CE0" w:rsidP="00E84804">
      <w:pPr>
        <w:rPr>
          <w:rFonts w:eastAsia="Times New Roman" w:cs="Arial"/>
          <w:lang w:val="en-US" w:eastAsia="nl-NL"/>
        </w:rPr>
      </w:pPr>
      <w:r w:rsidRPr="00687669">
        <w:rPr>
          <w:rFonts w:eastAsia="Times New Roman" w:cs="Arial"/>
          <w:lang w:val="en-US" w:eastAsia="nl-NL"/>
        </w:rPr>
        <w:t xml:space="preserve">Sonntag, L. (2015). </w:t>
      </w:r>
      <w:proofErr w:type="spellStart"/>
      <w:r w:rsidRPr="00687669">
        <w:rPr>
          <w:rFonts w:eastAsia="Times New Roman" w:cs="Arial"/>
          <w:lang w:val="en-US" w:eastAsia="nl-NL"/>
        </w:rPr>
        <w:t>Politica</w:t>
      </w:r>
      <w:proofErr w:type="spellEnd"/>
      <w:r w:rsidRPr="00687669">
        <w:rPr>
          <w:rFonts w:eastAsia="Times New Roman" w:cs="Arial"/>
          <w:lang w:val="en-US" w:eastAsia="nl-NL"/>
        </w:rPr>
        <w:t>. Available at: </w:t>
      </w:r>
      <w:hyperlink r:id="rId15" w:history="1">
        <w:r w:rsidRPr="00687669">
          <w:rPr>
            <w:rFonts w:eastAsia="Times New Roman" w:cs="Arial"/>
            <w:u w:val="single"/>
            <w:lang w:val="en-US" w:eastAsia="nl-NL"/>
          </w:rPr>
          <w:t>http://www.kolumbus.fi/taglarsson/</w:t>
        </w:r>
      </w:hyperlink>
    </w:p>
    <w:p w14:paraId="0AD503C1" w14:textId="77777777" w:rsidR="00AE4CE0" w:rsidRPr="0085223C" w:rsidRDefault="00AE4CE0" w:rsidP="00E84804">
      <w:pPr>
        <w:rPr>
          <w:shd w:val="clear" w:color="auto" w:fill="FFFFFF"/>
          <w:lang w:val="en-US"/>
        </w:rPr>
      </w:pPr>
      <w:proofErr w:type="spellStart"/>
      <w:r w:rsidRPr="002D2F03">
        <w:rPr>
          <w:shd w:val="clear" w:color="auto" w:fill="FFFFFF"/>
          <w:lang w:val="en-US"/>
        </w:rPr>
        <w:t>Szanyi</w:t>
      </w:r>
      <w:proofErr w:type="spellEnd"/>
      <w:r w:rsidRPr="002D2F03">
        <w:rPr>
          <w:shd w:val="clear" w:color="auto" w:fill="FFFFFF"/>
          <w:lang w:val="en-US"/>
        </w:rPr>
        <w:t>, M. (Ed.). (2019). </w:t>
      </w:r>
      <w:r w:rsidRPr="002D2F03">
        <w:rPr>
          <w:i/>
          <w:iCs/>
          <w:shd w:val="clear" w:color="auto" w:fill="FFFFFF"/>
          <w:lang w:val="en-US"/>
        </w:rPr>
        <w:t>Seeking the best master: state ownership in the varieties of capitalism</w:t>
      </w:r>
      <w:r w:rsidRPr="002D2F03">
        <w:rPr>
          <w:shd w:val="clear" w:color="auto" w:fill="FFFFFF"/>
          <w:lang w:val="en-US"/>
        </w:rPr>
        <w:t>. Central European University Press</w:t>
      </w:r>
    </w:p>
    <w:p w14:paraId="28FDB132" w14:textId="77777777" w:rsidR="00AE4CE0" w:rsidRDefault="00AE4CE0" w:rsidP="00E84804">
      <w:pPr>
        <w:rPr>
          <w:rFonts w:ascii="Calibri" w:hAnsi="Calibri"/>
          <w:shd w:val="clear" w:color="auto" w:fill="FFFFFF"/>
          <w:lang w:val="en-US"/>
        </w:rPr>
      </w:pPr>
      <w:r w:rsidRPr="004141C3">
        <w:rPr>
          <w:rFonts w:ascii="Calibri" w:hAnsi="Calibri"/>
          <w:shd w:val="clear" w:color="auto" w:fill="FFFFFF"/>
          <w:lang w:val="en-US"/>
        </w:rPr>
        <w:t xml:space="preserve">Visser, J. (2019). ICTWSS Data base. Version 6.1. Amsterdam: Amsterdam Institute for Advanced </w:t>
      </w:r>
      <w:proofErr w:type="spellStart"/>
      <w:r w:rsidRPr="004141C3">
        <w:rPr>
          <w:rFonts w:ascii="Calibri" w:hAnsi="Calibri"/>
          <w:shd w:val="clear" w:color="auto" w:fill="FFFFFF"/>
          <w:lang w:val="en-US"/>
        </w:rPr>
        <w:t>Labour</w:t>
      </w:r>
      <w:proofErr w:type="spellEnd"/>
      <w:r w:rsidRPr="004141C3">
        <w:rPr>
          <w:rFonts w:ascii="Calibri" w:hAnsi="Calibri"/>
          <w:shd w:val="clear" w:color="auto" w:fill="FFFFFF"/>
          <w:lang w:val="en-US"/>
        </w:rPr>
        <w:t xml:space="preserve"> Studies AIAS.</w:t>
      </w:r>
    </w:p>
    <w:p w14:paraId="7EB19C4D" w14:textId="00D27D56" w:rsidR="00AE4CE0" w:rsidRPr="00E84804" w:rsidRDefault="00AE4CE0" w:rsidP="00E84804">
      <w:pPr>
        <w:rPr>
          <w:rFonts w:cs="Times New Roman"/>
          <w:lang w:val="en-US"/>
        </w:rPr>
      </w:pPr>
      <w:r w:rsidRPr="002D2F03">
        <w:rPr>
          <w:rFonts w:cs="Times New Roman"/>
          <w:lang w:val="en-US"/>
        </w:rPr>
        <w:t xml:space="preserve">Whitley, R. (1999) </w:t>
      </w:r>
      <w:r w:rsidRPr="002D2F03">
        <w:rPr>
          <w:rFonts w:cs="Times New Roman"/>
          <w:i/>
          <w:iCs/>
          <w:lang w:val="en-US"/>
        </w:rPr>
        <w:t xml:space="preserve">Divergent Capitalisms: The Social Structuring and Change of Business Systems. </w:t>
      </w:r>
      <w:r w:rsidRPr="002D2F03">
        <w:rPr>
          <w:rFonts w:cs="Times New Roman"/>
          <w:lang w:val="en-US"/>
        </w:rPr>
        <w:t>Oxford: Oxford University Press.</w:t>
      </w:r>
    </w:p>
    <w:p w14:paraId="15108E69" w14:textId="261EF4DB" w:rsidR="00AE4CE0" w:rsidRPr="00E84804" w:rsidRDefault="00AE4CE0" w:rsidP="00E84804">
      <w:pPr>
        <w:rPr>
          <w:rFonts w:cs="Times New Roman"/>
          <w:lang w:val="en-US"/>
        </w:rPr>
      </w:pPr>
      <w:r w:rsidRPr="002D2F03">
        <w:rPr>
          <w:rFonts w:cs="Times New Roman"/>
          <w:lang w:val="en-US"/>
        </w:rPr>
        <w:t xml:space="preserve">Williamson, O. (1985). </w:t>
      </w:r>
      <w:r w:rsidRPr="002D2F03">
        <w:rPr>
          <w:rFonts w:cs="Times New Roman"/>
          <w:i/>
          <w:iCs/>
          <w:lang w:val="en-US"/>
        </w:rPr>
        <w:t xml:space="preserve">The Economic Institutions of Capitalism: Firms, Markets, Relational Contracting. </w:t>
      </w:r>
      <w:r w:rsidRPr="002D2F03">
        <w:rPr>
          <w:rFonts w:cs="Times New Roman"/>
          <w:lang w:val="en-US"/>
        </w:rPr>
        <w:t>New York: Free Press.</w:t>
      </w:r>
    </w:p>
    <w:p w14:paraId="3734119C" w14:textId="77777777" w:rsidR="00AE4CE0" w:rsidRPr="002D2F03" w:rsidRDefault="00AE4CE0" w:rsidP="00E84804">
      <w:pPr>
        <w:rPr>
          <w:lang w:val="en-US"/>
        </w:rPr>
      </w:pPr>
      <w:r w:rsidRPr="002D2F03">
        <w:rPr>
          <w:shd w:val="clear" w:color="auto" w:fill="FFFFFF"/>
          <w:lang w:val="en-US"/>
        </w:rPr>
        <w:t>Witt, M. A., &amp; Jackson, G. (2016). Varieties of capitalism and institutional comparative advantage: a test and reinterpretation. </w:t>
      </w:r>
      <w:r w:rsidRPr="002D2F03">
        <w:rPr>
          <w:i/>
          <w:iCs/>
          <w:shd w:val="clear" w:color="auto" w:fill="FFFFFF"/>
        </w:rPr>
        <w:t>Journal of International Business Studies</w:t>
      </w:r>
      <w:r w:rsidRPr="002D2F03">
        <w:rPr>
          <w:shd w:val="clear" w:color="auto" w:fill="FFFFFF"/>
        </w:rPr>
        <w:t>, </w:t>
      </w:r>
      <w:r w:rsidRPr="002D2F03">
        <w:rPr>
          <w:i/>
          <w:iCs/>
          <w:shd w:val="clear" w:color="auto" w:fill="FFFFFF"/>
        </w:rPr>
        <w:t>47</w:t>
      </w:r>
      <w:r w:rsidRPr="002D2F03">
        <w:rPr>
          <w:shd w:val="clear" w:color="auto" w:fill="FFFFFF"/>
        </w:rPr>
        <w:t>(7), 778–806.</w:t>
      </w:r>
    </w:p>
    <w:p w14:paraId="639461BD" w14:textId="77777777" w:rsidR="00AE4CE0" w:rsidRPr="00EB2F7F" w:rsidRDefault="00AE4CE0" w:rsidP="00AE4CE0">
      <w:pPr>
        <w:spacing w:line="240" w:lineRule="auto"/>
        <w:rPr>
          <w:lang w:val="en-US"/>
        </w:rPr>
      </w:pPr>
    </w:p>
    <w:p w14:paraId="51891D19" w14:textId="77777777" w:rsidR="00AE4CE0" w:rsidRDefault="00AE4CE0" w:rsidP="007C7610">
      <w:pPr>
        <w:spacing w:line="360" w:lineRule="auto"/>
        <w:jc w:val="both"/>
        <w:rPr>
          <w:lang w:val="en-US"/>
        </w:rPr>
      </w:pPr>
    </w:p>
    <w:p w14:paraId="78811763" w14:textId="77777777" w:rsidR="00AE4CE0" w:rsidRPr="00232BA1" w:rsidRDefault="00AE4CE0" w:rsidP="007C7610">
      <w:pPr>
        <w:spacing w:line="360" w:lineRule="auto"/>
        <w:jc w:val="both"/>
        <w:rPr>
          <w:lang w:val="en-US"/>
        </w:rPr>
      </w:pPr>
    </w:p>
    <w:sectPr w:rsidR="00AE4CE0" w:rsidRPr="00232BA1">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DFBE1B" w14:textId="77777777" w:rsidR="009918E9" w:rsidRDefault="009918E9" w:rsidP="00C77823">
      <w:pPr>
        <w:spacing w:after="0" w:line="240" w:lineRule="auto"/>
      </w:pPr>
      <w:r>
        <w:separator/>
      </w:r>
    </w:p>
  </w:endnote>
  <w:endnote w:type="continuationSeparator" w:id="0">
    <w:p w14:paraId="1E0C439F" w14:textId="77777777" w:rsidR="009918E9" w:rsidRDefault="009918E9" w:rsidP="00C778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aeciliaLTStd-Roman">
    <w:altName w:val="Calibri"/>
    <w:panose1 w:val="00000000000000000000"/>
    <w:charset w:val="00"/>
    <w:family w:val="swiss"/>
    <w:notTrueType/>
    <w:pitch w:val="default"/>
    <w:sig w:usb0="00000003" w:usb1="00000000" w:usb2="00000000" w:usb3="00000000" w:csb0="00000001" w:csb1="00000000"/>
  </w:font>
  <w:font w:name="CaeciliaLTStd-Italic">
    <w:altName w:val="Calibri"/>
    <w:panose1 w:val="00000000000000000000"/>
    <w:charset w:val="00"/>
    <w:family w:val="swiss"/>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AdvOTbc475f09">
    <w:altName w:val="Cambria"/>
    <w:panose1 w:val="00000000000000000000"/>
    <w:charset w:val="00"/>
    <w:family w:val="roman"/>
    <w:notTrueType/>
    <w:pitch w:val="default"/>
    <w:sig w:usb0="00000003" w:usb1="00000000" w:usb2="00000000" w:usb3="00000000" w:csb0="00000001" w:csb1="00000000"/>
  </w:font>
  <w:font w:name="AdvP40D70F">
    <w:altName w:val="Calibri"/>
    <w:panose1 w:val="00000000000000000000"/>
    <w:charset w:val="00"/>
    <w:family w:val="swiss"/>
    <w:notTrueType/>
    <w:pitch w:val="default"/>
    <w:sig w:usb0="00000003" w:usb1="00000000" w:usb2="00000000" w:usb3="00000000" w:csb0="00000001" w:csb1="00000000"/>
  </w:font>
  <w:font w:name="AdvOTbc475f09+20">
    <w:altName w:val="Calibri"/>
    <w:panose1 w:val="00000000000000000000"/>
    <w:charset w:val="00"/>
    <w:family w:val="swiss"/>
    <w:notTrueType/>
    <w:pitch w:val="default"/>
    <w:sig w:usb0="00000003" w:usb1="00000000" w:usb2="00000000" w:usb3="00000000" w:csb0="00000001" w:csb1="00000000"/>
  </w:font>
  <w:font w:name="AdvOTbc475f09+fb">
    <w:altName w:val="Calibri"/>
    <w:panose1 w:val="00000000000000000000"/>
    <w:charset w:val="00"/>
    <w:family w:val="auto"/>
    <w:notTrueType/>
    <w:pitch w:val="default"/>
    <w:sig w:usb0="00000003" w:usb1="00000000" w:usb2="00000000" w:usb3="00000000" w:csb0="00000001" w:csb1="00000000"/>
  </w:font>
  <w:font w:name="AdvOT638a931c.I">
    <w:altName w:val="Cambria"/>
    <w:panose1 w:val="00000000000000000000"/>
    <w:charset w:val="00"/>
    <w:family w:val="roman"/>
    <w:notTrueType/>
    <w:pitch w:val="default"/>
    <w:sig w:usb0="00000003" w:usb1="00000000" w:usb2="00000000" w:usb3="00000000" w:csb0="00000001" w:csb1="00000000"/>
  </w:font>
  <w:font w:name="AdvP435539">
    <w:altName w:val="Calibri"/>
    <w:panose1 w:val="00000000000000000000"/>
    <w:charset w:val="00"/>
    <w:family w:val="swiss"/>
    <w:notTrueType/>
    <w:pitch w:val="default"/>
    <w:sig w:usb0="00000003" w:usb1="00000000" w:usb2="00000000" w:usb3="00000000" w:csb0="00000001" w:csb1="00000000"/>
  </w:font>
  <w:font w:name="AdvTimes-i">
    <w:altName w:val="Cambria"/>
    <w:panose1 w:val="00000000000000000000"/>
    <w:charset w:val="00"/>
    <w:family w:val="roman"/>
    <w:notTrueType/>
    <w:pitch w:val="default"/>
    <w:sig w:usb0="00000003" w:usb1="00000000" w:usb2="00000000" w:usb3="00000000" w:csb0="00000001" w:csb1="00000000"/>
  </w:font>
  <w:font w:name="ArialUnicodeMS">
    <w:altName w:val="Ari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80706172"/>
      <w:docPartObj>
        <w:docPartGallery w:val="Page Numbers (Bottom of Page)"/>
        <w:docPartUnique/>
      </w:docPartObj>
    </w:sdtPr>
    <w:sdtEndPr/>
    <w:sdtContent>
      <w:p w14:paraId="6D8AA98C" w14:textId="75D1FFA6" w:rsidR="00C77823" w:rsidRDefault="00C77823">
        <w:pPr>
          <w:pStyle w:val="Voettekst"/>
          <w:jc w:val="right"/>
        </w:pPr>
        <w:r>
          <w:fldChar w:fldCharType="begin"/>
        </w:r>
        <w:r>
          <w:instrText>PAGE   \* MERGEFORMAT</w:instrText>
        </w:r>
        <w:r>
          <w:fldChar w:fldCharType="separate"/>
        </w:r>
        <w:r>
          <w:t>2</w:t>
        </w:r>
        <w:r>
          <w:fldChar w:fldCharType="end"/>
        </w:r>
      </w:p>
    </w:sdtContent>
  </w:sdt>
  <w:p w14:paraId="7F0E7D97" w14:textId="77777777" w:rsidR="00C77823" w:rsidRDefault="00C77823">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4249E9" w14:textId="77777777" w:rsidR="009918E9" w:rsidRDefault="009918E9" w:rsidP="00C77823">
      <w:pPr>
        <w:spacing w:after="0" w:line="240" w:lineRule="auto"/>
      </w:pPr>
      <w:r>
        <w:separator/>
      </w:r>
    </w:p>
  </w:footnote>
  <w:footnote w:type="continuationSeparator" w:id="0">
    <w:p w14:paraId="5C733558" w14:textId="77777777" w:rsidR="009918E9" w:rsidRDefault="009918E9" w:rsidP="00C7782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E330AC"/>
    <w:multiLevelType w:val="multilevel"/>
    <w:tmpl w:val="FF28362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4780"/>
    <w:rsid w:val="00013428"/>
    <w:rsid w:val="00033BD8"/>
    <w:rsid w:val="00040132"/>
    <w:rsid w:val="00056AD3"/>
    <w:rsid w:val="0006034B"/>
    <w:rsid w:val="00060C69"/>
    <w:rsid w:val="000918EC"/>
    <w:rsid w:val="000B6E43"/>
    <w:rsid w:val="000D02C1"/>
    <w:rsid w:val="000D5441"/>
    <w:rsid w:val="000E0335"/>
    <w:rsid w:val="000E6BC3"/>
    <w:rsid w:val="000F5637"/>
    <w:rsid w:val="0010700D"/>
    <w:rsid w:val="00150A63"/>
    <w:rsid w:val="00151FCC"/>
    <w:rsid w:val="00154E21"/>
    <w:rsid w:val="001666AE"/>
    <w:rsid w:val="001735F5"/>
    <w:rsid w:val="00196DBE"/>
    <w:rsid w:val="001E0BF6"/>
    <w:rsid w:val="002040EF"/>
    <w:rsid w:val="002061E4"/>
    <w:rsid w:val="0022488E"/>
    <w:rsid w:val="00232BA1"/>
    <w:rsid w:val="00232C64"/>
    <w:rsid w:val="00247341"/>
    <w:rsid w:val="002F6582"/>
    <w:rsid w:val="003071D5"/>
    <w:rsid w:val="003619B4"/>
    <w:rsid w:val="00381BE6"/>
    <w:rsid w:val="003C4932"/>
    <w:rsid w:val="00416A5A"/>
    <w:rsid w:val="00450E8E"/>
    <w:rsid w:val="00457455"/>
    <w:rsid w:val="00474780"/>
    <w:rsid w:val="004839F3"/>
    <w:rsid w:val="00484E70"/>
    <w:rsid w:val="004968BE"/>
    <w:rsid w:val="004B2301"/>
    <w:rsid w:val="004E7731"/>
    <w:rsid w:val="00521477"/>
    <w:rsid w:val="005464C6"/>
    <w:rsid w:val="00570048"/>
    <w:rsid w:val="00572A81"/>
    <w:rsid w:val="005B0358"/>
    <w:rsid w:val="005B3B55"/>
    <w:rsid w:val="005C3C8A"/>
    <w:rsid w:val="005E3233"/>
    <w:rsid w:val="006234E4"/>
    <w:rsid w:val="00643EEA"/>
    <w:rsid w:val="00671551"/>
    <w:rsid w:val="00671F4E"/>
    <w:rsid w:val="006C50CD"/>
    <w:rsid w:val="006D4B1F"/>
    <w:rsid w:val="006F7086"/>
    <w:rsid w:val="00702285"/>
    <w:rsid w:val="00750C95"/>
    <w:rsid w:val="00750DE3"/>
    <w:rsid w:val="007667BF"/>
    <w:rsid w:val="00780ED9"/>
    <w:rsid w:val="007869DD"/>
    <w:rsid w:val="0079252D"/>
    <w:rsid w:val="007A5A73"/>
    <w:rsid w:val="007B065E"/>
    <w:rsid w:val="007C1430"/>
    <w:rsid w:val="007C2635"/>
    <w:rsid w:val="007C7610"/>
    <w:rsid w:val="007D5EA1"/>
    <w:rsid w:val="007E0D50"/>
    <w:rsid w:val="007E1259"/>
    <w:rsid w:val="007F4686"/>
    <w:rsid w:val="008042C8"/>
    <w:rsid w:val="00804324"/>
    <w:rsid w:val="00813A0C"/>
    <w:rsid w:val="0082001D"/>
    <w:rsid w:val="00821FDE"/>
    <w:rsid w:val="00823FC5"/>
    <w:rsid w:val="008310B7"/>
    <w:rsid w:val="00835596"/>
    <w:rsid w:val="00852B08"/>
    <w:rsid w:val="008723CE"/>
    <w:rsid w:val="0088777B"/>
    <w:rsid w:val="00892A83"/>
    <w:rsid w:val="008A1266"/>
    <w:rsid w:val="008A3941"/>
    <w:rsid w:val="008A5FF0"/>
    <w:rsid w:val="008C6B8F"/>
    <w:rsid w:val="00952C0C"/>
    <w:rsid w:val="0097226A"/>
    <w:rsid w:val="00987392"/>
    <w:rsid w:val="009918E9"/>
    <w:rsid w:val="009A2E9E"/>
    <w:rsid w:val="009E11D5"/>
    <w:rsid w:val="00A17915"/>
    <w:rsid w:val="00A25296"/>
    <w:rsid w:val="00A36BB0"/>
    <w:rsid w:val="00A5252C"/>
    <w:rsid w:val="00A77D7F"/>
    <w:rsid w:val="00A95EFE"/>
    <w:rsid w:val="00AC40D8"/>
    <w:rsid w:val="00AD27C7"/>
    <w:rsid w:val="00AE4CE0"/>
    <w:rsid w:val="00B07559"/>
    <w:rsid w:val="00B07F26"/>
    <w:rsid w:val="00B12AA9"/>
    <w:rsid w:val="00B15F1A"/>
    <w:rsid w:val="00B358B9"/>
    <w:rsid w:val="00B4126E"/>
    <w:rsid w:val="00B53A8E"/>
    <w:rsid w:val="00B57F9D"/>
    <w:rsid w:val="00B94D8C"/>
    <w:rsid w:val="00B9785A"/>
    <w:rsid w:val="00BA4C7F"/>
    <w:rsid w:val="00BA5097"/>
    <w:rsid w:val="00BA5439"/>
    <w:rsid w:val="00BC4C45"/>
    <w:rsid w:val="00BD367E"/>
    <w:rsid w:val="00BD675B"/>
    <w:rsid w:val="00BF2EAA"/>
    <w:rsid w:val="00C54759"/>
    <w:rsid w:val="00C56EB8"/>
    <w:rsid w:val="00C77823"/>
    <w:rsid w:val="00CA138A"/>
    <w:rsid w:val="00CB2AD0"/>
    <w:rsid w:val="00CB5EC9"/>
    <w:rsid w:val="00CC3032"/>
    <w:rsid w:val="00CD6B57"/>
    <w:rsid w:val="00CE5E9E"/>
    <w:rsid w:val="00D24C3F"/>
    <w:rsid w:val="00D50B41"/>
    <w:rsid w:val="00D67294"/>
    <w:rsid w:val="00D7336D"/>
    <w:rsid w:val="00D94F64"/>
    <w:rsid w:val="00DB457C"/>
    <w:rsid w:val="00DC20D2"/>
    <w:rsid w:val="00DD22C9"/>
    <w:rsid w:val="00E15978"/>
    <w:rsid w:val="00E2108E"/>
    <w:rsid w:val="00E44151"/>
    <w:rsid w:val="00E82A5A"/>
    <w:rsid w:val="00E84804"/>
    <w:rsid w:val="00E85871"/>
    <w:rsid w:val="00E97692"/>
    <w:rsid w:val="00EB7EA6"/>
    <w:rsid w:val="00EC281F"/>
    <w:rsid w:val="00EC6137"/>
    <w:rsid w:val="00F178E4"/>
    <w:rsid w:val="00F27D52"/>
    <w:rsid w:val="00F47D53"/>
    <w:rsid w:val="00F67F60"/>
    <w:rsid w:val="00F81928"/>
    <w:rsid w:val="00F82197"/>
    <w:rsid w:val="00FB095F"/>
    <w:rsid w:val="00FD55E3"/>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DB839B"/>
  <w15:chartTrackingRefBased/>
  <w15:docId w15:val="{9A559CB8-25EC-48FF-9900-4E154FD659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7C761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unhideWhenUsed/>
    <w:qFormat/>
    <w:rsid w:val="00AE4CE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Kop3">
    <w:name w:val="heading 3"/>
    <w:basedOn w:val="Standaard"/>
    <w:next w:val="Standaard"/>
    <w:link w:val="Kop3Char"/>
    <w:uiPriority w:val="9"/>
    <w:unhideWhenUsed/>
    <w:qFormat/>
    <w:rsid w:val="00AE4CE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7C7610"/>
    <w:rPr>
      <w:rFonts w:asciiTheme="majorHAnsi" w:eastAsiaTheme="majorEastAsia" w:hAnsiTheme="majorHAnsi" w:cstheme="majorBidi"/>
      <w:color w:val="2F5496" w:themeColor="accent1" w:themeShade="BF"/>
      <w:sz w:val="32"/>
      <w:szCs w:val="32"/>
    </w:rPr>
  </w:style>
  <w:style w:type="paragraph" w:styleId="Geenafstand">
    <w:name w:val="No Spacing"/>
    <w:uiPriority w:val="1"/>
    <w:qFormat/>
    <w:rsid w:val="00B9785A"/>
    <w:pPr>
      <w:spacing w:after="0" w:line="240" w:lineRule="auto"/>
    </w:pPr>
  </w:style>
  <w:style w:type="paragraph" w:styleId="Kopvaninhoudsopgave">
    <w:name w:val="TOC Heading"/>
    <w:basedOn w:val="Kop1"/>
    <w:next w:val="Standaard"/>
    <w:uiPriority w:val="39"/>
    <w:unhideWhenUsed/>
    <w:qFormat/>
    <w:rsid w:val="00D50B41"/>
    <w:pPr>
      <w:outlineLvl w:val="9"/>
    </w:pPr>
    <w:rPr>
      <w:lang w:eastAsia="nl-NL"/>
    </w:rPr>
  </w:style>
  <w:style w:type="paragraph" w:styleId="Inhopg1">
    <w:name w:val="toc 1"/>
    <w:basedOn w:val="Standaard"/>
    <w:next w:val="Standaard"/>
    <w:autoRedefine/>
    <w:uiPriority w:val="39"/>
    <w:unhideWhenUsed/>
    <w:rsid w:val="00D50B41"/>
    <w:pPr>
      <w:spacing w:after="100"/>
    </w:pPr>
  </w:style>
  <w:style w:type="character" w:styleId="Hyperlink">
    <w:name w:val="Hyperlink"/>
    <w:basedOn w:val="Standaardalinea-lettertype"/>
    <w:uiPriority w:val="99"/>
    <w:unhideWhenUsed/>
    <w:rsid w:val="00D50B41"/>
    <w:rPr>
      <w:color w:val="0563C1" w:themeColor="hyperlink"/>
      <w:u w:val="single"/>
    </w:rPr>
  </w:style>
  <w:style w:type="character" w:customStyle="1" w:styleId="Kop2Char">
    <w:name w:val="Kop 2 Char"/>
    <w:basedOn w:val="Standaardalinea-lettertype"/>
    <w:link w:val="Kop2"/>
    <w:uiPriority w:val="9"/>
    <w:rsid w:val="00AE4CE0"/>
    <w:rPr>
      <w:rFonts w:asciiTheme="majorHAnsi" w:eastAsiaTheme="majorEastAsia" w:hAnsiTheme="majorHAnsi" w:cstheme="majorBidi"/>
      <w:color w:val="2F5496" w:themeColor="accent1" w:themeShade="BF"/>
      <w:sz w:val="26"/>
      <w:szCs w:val="26"/>
    </w:rPr>
  </w:style>
  <w:style w:type="table" w:styleId="Tabelraster">
    <w:name w:val="Table Grid"/>
    <w:basedOn w:val="Standaardtabel"/>
    <w:uiPriority w:val="39"/>
    <w:rsid w:val="00AE4C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jschrift">
    <w:name w:val="caption"/>
    <w:basedOn w:val="Standaard"/>
    <w:next w:val="Standaard"/>
    <w:uiPriority w:val="35"/>
    <w:unhideWhenUsed/>
    <w:qFormat/>
    <w:rsid w:val="00AE4CE0"/>
    <w:pPr>
      <w:spacing w:after="200" w:line="240" w:lineRule="auto"/>
    </w:pPr>
    <w:rPr>
      <w:i/>
      <w:iCs/>
      <w:color w:val="44546A" w:themeColor="text2"/>
      <w:sz w:val="18"/>
      <w:szCs w:val="18"/>
    </w:rPr>
  </w:style>
  <w:style w:type="character" w:customStyle="1" w:styleId="Kop3Char">
    <w:name w:val="Kop 3 Char"/>
    <w:basedOn w:val="Standaardalinea-lettertype"/>
    <w:link w:val="Kop3"/>
    <w:uiPriority w:val="9"/>
    <w:rsid w:val="00AE4CE0"/>
    <w:rPr>
      <w:rFonts w:asciiTheme="majorHAnsi" w:eastAsiaTheme="majorEastAsia" w:hAnsiTheme="majorHAnsi" w:cstheme="majorBidi"/>
      <w:color w:val="1F3763" w:themeColor="accent1" w:themeShade="7F"/>
      <w:sz w:val="24"/>
      <w:szCs w:val="24"/>
    </w:rPr>
  </w:style>
  <w:style w:type="character" w:styleId="Nadruk">
    <w:name w:val="Emphasis"/>
    <w:basedOn w:val="Standaardalinea-lettertype"/>
    <w:uiPriority w:val="20"/>
    <w:qFormat/>
    <w:rsid w:val="00AE4CE0"/>
    <w:rPr>
      <w:i/>
      <w:iCs/>
    </w:rPr>
  </w:style>
  <w:style w:type="paragraph" w:styleId="Inhopg2">
    <w:name w:val="toc 2"/>
    <w:basedOn w:val="Standaard"/>
    <w:next w:val="Standaard"/>
    <w:autoRedefine/>
    <w:uiPriority w:val="39"/>
    <w:unhideWhenUsed/>
    <w:rsid w:val="0010700D"/>
    <w:pPr>
      <w:spacing w:after="100"/>
      <w:ind w:left="220"/>
    </w:pPr>
  </w:style>
  <w:style w:type="paragraph" w:styleId="Inhopg3">
    <w:name w:val="toc 3"/>
    <w:basedOn w:val="Standaard"/>
    <w:next w:val="Standaard"/>
    <w:autoRedefine/>
    <w:uiPriority w:val="39"/>
    <w:unhideWhenUsed/>
    <w:rsid w:val="0010700D"/>
    <w:pPr>
      <w:spacing w:after="100"/>
      <w:ind w:left="440"/>
    </w:pPr>
  </w:style>
  <w:style w:type="paragraph" w:styleId="Koptekst">
    <w:name w:val="header"/>
    <w:basedOn w:val="Standaard"/>
    <w:link w:val="KoptekstChar"/>
    <w:uiPriority w:val="99"/>
    <w:unhideWhenUsed/>
    <w:rsid w:val="00C77823"/>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C77823"/>
  </w:style>
  <w:style w:type="paragraph" w:styleId="Voettekst">
    <w:name w:val="footer"/>
    <w:basedOn w:val="Standaard"/>
    <w:link w:val="VoettekstChar"/>
    <w:uiPriority w:val="99"/>
    <w:unhideWhenUsed/>
    <w:rsid w:val="00C77823"/>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C778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books.google.com/books?id=xECY0nnkTvMC"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www.kolumbus.fi/taglarsson/" TargetMode="Externa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politicaldatayearbook.com/"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592806-7DDE-41C4-A80F-D5748C0ED2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189</TotalTime>
  <Pages>48</Pages>
  <Words>19645</Words>
  <Characters>108048</Characters>
  <Application>Microsoft Office Word</Application>
  <DocSecurity>0</DocSecurity>
  <Lines>900</Lines>
  <Paragraphs>254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127439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Roy Zigterman</dc:creator>
  <cp:keywords/>
  <dc:description/>
  <cp:lastModifiedBy>Roy Zigterman</cp:lastModifiedBy>
  <cp:revision>42</cp:revision>
  <dcterms:created xsi:type="dcterms:W3CDTF">2021-06-24T01:56:00Z</dcterms:created>
  <dcterms:modified xsi:type="dcterms:W3CDTF">2021-06-24T13:06:00Z</dcterms:modified>
</cp:coreProperties>
</file>