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eastAsiaTheme="minorHAnsi"/>
          <w:color w:val="5B9BD5" w:themeColor="accent1"/>
          <w:lang w:val="en-GB"/>
        </w:rPr>
        <w:id w:val="-1798526904"/>
        <w:docPartObj>
          <w:docPartGallery w:val="Cover Pages"/>
          <w:docPartUnique/>
        </w:docPartObj>
      </w:sdtPr>
      <w:sdtEndPr>
        <w:rPr>
          <w:noProof/>
          <w:color w:val="auto"/>
        </w:rPr>
      </w:sdtEndPr>
      <w:sdtContent>
        <w:p w14:paraId="47F9B9FE" w14:textId="647DD522" w:rsidR="00602DBA" w:rsidRPr="00223BE6" w:rsidRDefault="00602DBA">
          <w:pPr>
            <w:pStyle w:val="NoSpacing"/>
            <w:spacing w:before="1540" w:after="240"/>
            <w:jc w:val="center"/>
            <w:rPr>
              <w:color w:val="5B9BD5" w:themeColor="accent1"/>
              <w:lang w:val="en-GB"/>
            </w:rPr>
          </w:pPr>
          <w:r w:rsidRPr="00223BE6">
            <w:rPr>
              <w:noProof/>
              <w:color w:val="5B9BD5" w:themeColor="accent1"/>
              <w:lang w:val="nl-NL" w:eastAsia="nl-NL"/>
            </w:rPr>
            <w:drawing>
              <wp:inline distT="0" distB="0" distL="0" distR="0" wp14:anchorId="0BFA0A9A" wp14:editId="5459200B">
                <wp:extent cx="1417320" cy="750898"/>
                <wp:effectExtent l="57150" t="0" r="49530" b="10668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BEBA8EAE-BF5A-486C-A8C5-ECC9F3942E4B}">
                              <a14:imgProps xmlns:a14="http://schemas.microsoft.com/office/drawing/2010/main">
                                <a14:imgLayer r:embed="rId10">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a:effectLst>
                          <a:outerShdw blurRad="50800" dist="50800" dir="5400000" algn="ctr" rotWithShape="0">
                            <a:srgbClr val="000000">
                              <a:alpha val="83000"/>
                            </a:srgbClr>
                          </a:outerShdw>
                        </a:effectLst>
                      </pic:spPr>
                    </pic:pic>
                  </a:graphicData>
                </a:graphic>
              </wp:inline>
            </w:drawing>
          </w:r>
        </w:p>
        <w:p w14:paraId="5261234F" w14:textId="4F8E387D" w:rsidR="00602DBA" w:rsidRPr="00223BE6" w:rsidRDefault="00FD4ED5">
          <w:pPr>
            <w:pStyle w:val="NoSpacing"/>
            <w:pBdr>
              <w:top w:val="single" w:sz="6" w:space="6" w:color="5B9BD5" w:themeColor="accent1"/>
              <w:bottom w:val="single" w:sz="6" w:space="6" w:color="5B9BD5" w:themeColor="accent1"/>
            </w:pBdr>
            <w:spacing w:after="240"/>
            <w:jc w:val="center"/>
            <w:rPr>
              <w:rStyle w:val="TitleChar"/>
              <w:rFonts w:ascii="Garamond" w:hAnsi="Garamond"/>
              <w:b/>
              <w:color w:val="C45911" w:themeColor="accent2" w:themeShade="BF"/>
              <w:sz w:val="96"/>
              <w:szCs w:val="96"/>
              <w:lang w:val="en-GB"/>
            </w:rPr>
          </w:pPr>
          <w:sdt>
            <w:sdtPr>
              <w:rPr>
                <w:rStyle w:val="TitleChar"/>
                <w:rFonts w:ascii="Garamond" w:hAnsi="Garamond"/>
                <w:b/>
                <w:color w:val="C45911" w:themeColor="accent2" w:themeShade="BF"/>
                <w:sz w:val="96"/>
                <w:szCs w:val="96"/>
                <w:lang w:val="en-GB"/>
              </w:rPr>
              <w:alias w:val="Title"/>
              <w:tag w:val=""/>
              <w:id w:val="1735040861"/>
              <w:placeholder>
                <w:docPart w:val="FE8243BC80A2440E84AAADBCD3AEE990"/>
              </w:placeholder>
              <w:dataBinding w:prefixMappings="xmlns:ns0='http://purl.org/dc/elements/1.1/' xmlns:ns1='http://schemas.openxmlformats.org/package/2006/metadata/core-properties' " w:xpath="/ns1:coreProperties[1]/ns0:title[1]" w:storeItemID="{6C3C8BC8-F283-45AE-878A-BAB7291924A1}"/>
              <w:text/>
            </w:sdtPr>
            <w:sdtEndPr>
              <w:rPr>
                <w:rStyle w:val="TitleChar"/>
              </w:rPr>
            </w:sdtEndPr>
            <w:sdtContent>
              <w:r w:rsidR="00794CA1" w:rsidRPr="00223BE6">
                <w:rPr>
                  <w:rStyle w:val="TitleChar"/>
                  <w:rFonts w:ascii="Garamond" w:hAnsi="Garamond"/>
                  <w:b/>
                  <w:color w:val="C45911" w:themeColor="accent2" w:themeShade="BF"/>
                  <w:sz w:val="96"/>
                  <w:szCs w:val="96"/>
                  <w:lang w:val="en-GB"/>
                </w:rPr>
                <w:t>How to L</w:t>
              </w:r>
              <w:r w:rsidR="007B4802" w:rsidRPr="00223BE6">
                <w:rPr>
                  <w:rStyle w:val="TitleChar"/>
                  <w:rFonts w:ascii="Garamond" w:hAnsi="Garamond"/>
                  <w:b/>
                  <w:color w:val="C45911" w:themeColor="accent2" w:themeShade="BF"/>
                  <w:sz w:val="96"/>
                  <w:szCs w:val="96"/>
                  <w:lang w:val="en-GB"/>
                </w:rPr>
                <w:t>ive</w:t>
              </w:r>
              <w:r w:rsidR="00602DBA" w:rsidRPr="00223BE6">
                <w:rPr>
                  <w:rStyle w:val="TitleChar"/>
                  <w:rFonts w:ascii="Garamond" w:hAnsi="Garamond"/>
                  <w:b/>
                  <w:color w:val="C45911" w:themeColor="accent2" w:themeShade="BF"/>
                  <w:sz w:val="96"/>
                  <w:szCs w:val="96"/>
                  <w:lang w:val="en-GB"/>
                </w:rPr>
                <w:t xml:space="preserve"> With Difference</w:t>
              </w:r>
            </w:sdtContent>
          </w:sdt>
          <w:r w:rsidR="00794CA1" w:rsidRPr="00223BE6">
            <w:rPr>
              <w:rStyle w:val="TitleChar"/>
              <w:rFonts w:ascii="Garamond" w:hAnsi="Garamond"/>
              <w:b/>
              <w:color w:val="C45911" w:themeColor="accent2" w:themeShade="BF"/>
              <w:sz w:val="96"/>
              <w:szCs w:val="96"/>
              <w:lang w:val="en-GB"/>
            </w:rPr>
            <w:t>?</w:t>
          </w:r>
        </w:p>
        <w:sdt>
          <w:sdtPr>
            <w:rPr>
              <w:rFonts w:ascii="Garamond" w:hAnsi="Garamond"/>
              <w:color w:val="833C0B" w:themeColor="accent2" w:themeShade="80"/>
              <w:sz w:val="30"/>
              <w:szCs w:val="30"/>
              <w:lang w:val="en-GB"/>
            </w:rPr>
            <w:alias w:val="Subtitle"/>
            <w:tag w:val=""/>
            <w:id w:val="328029620"/>
            <w:placeholder>
              <w:docPart w:val="2FDFD43A95204DC0856A919877A25F36"/>
            </w:placeholder>
            <w:dataBinding w:prefixMappings="xmlns:ns0='http://purl.org/dc/elements/1.1/' xmlns:ns1='http://schemas.openxmlformats.org/package/2006/metadata/core-properties' " w:xpath="/ns1:coreProperties[1]/ns0:subject[1]" w:storeItemID="{6C3C8BC8-F283-45AE-878A-BAB7291924A1}"/>
            <w:text/>
          </w:sdtPr>
          <w:sdtEndPr/>
          <w:sdtContent>
            <w:p w14:paraId="739465F6" w14:textId="69DE11C6" w:rsidR="00602DBA" w:rsidRPr="00223BE6" w:rsidRDefault="007B4802">
              <w:pPr>
                <w:pStyle w:val="NoSpacing"/>
                <w:jc w:val="center"/>
                <w:rPr>
                  <w:rFonts w:ascii="Garamond" w:hAnsi="Garamond"/>
                  <w:color w:val="833C0B" w:themeColor="accent2" w:themeShade="80"/>
                  <w:sz w:val="30"/>
                  <w:szCs w:val="30"/>
                  <w:lang w:val="en-GB"/>
                </w:rPr>
              </w:pPr>
              <w:r w:rsidRPr="00223BE6">
                <w:rPr>
                  <w:rFonts w:ascii="Garamond" w:hAnsi="Garamond"/>
                  <w:color w:val="833C0B" w:themeColor="accent2" w:themeShade="80"/>
                  <w:sz w:val="30"/>
                  <w:szCs w:val="30"/>
                  <w:lang w:val="en-GB"/>
                </w:rPr>
                <w:t>Through an</w:t>
              </w:r>
              <w:r w:rsidR="00794CA1" w:rsidRPr="00223BE6">
                <w:rPr>
                  <w:rFonts w:ascii="Garamond" w:hAnsi="Garamond"/>
                  <w:color w:val="833C0B" w:themeColor="accent2" w:themeShade="80"/>
                  <w:sz w:val="30"/>
                  <w:szCs w:val="30"/>
                  <w:lang w:val="en-GB"/>
                </w:rPr>
                <w:t xml:space="preserve"> E</w:t>
              </w:r>
              <w:r w:rsidR="002252FE" w:rsidRPr="00223BE6">
                <w:rPr>
                  <w:rFonts w:ascii="Garamond" w:hAnsi="Garamond"/>
                  <w:color w:val="833C0B" w:themeColor="accent2" w:themeShade="80"/>
                  <w:sz w:val="30"/>
                  <w:szCs w:val="30"/>
                  <w:lang w:val="en-GB"/>
                </w:rPr>
                <w:t xml:space="preserve">xamination of Urban </w:t>
              </w:r>
              <w:proofErr w:type="spellStart"/>
              <w:r w:rsidR="002252FE" w:rsidRPr="00223BE6">
                <w:rPr>
                  <w:rFonts w:ascii="Garamond" w:hAnsi="Garamond"/>
                  <w:color w:val="833C0B" w:themeColor="accent2" w:themeShade="80"/>
                  <w:sz w:val="30"/>
                  <w:szCs w:val="30"/>
                  <w:lang w:val="en-GB"/>
                </w:rPr>
                <w:t>Agonism</w:t>
              </w:r>
              <w:proofErr w:type="spellEnd"/>
              <w:r w:rsidR="00602DBA" w:rsidRPr="00223BE6">
                <w:rPr>
                  <w:rFonts w:ascii="Garamond" w:hAnsi="Garamond"/>
                  <w:color w:val="833C0B" w:themeColor="accent2" w:themeShade="80"/>
                  <w:sz w:val="30"/>
                  <w:szCs w:val="30"/>
                  <w:lang w:val="en-GB"/>
                </w:rPr>
                <w:t xml:space="preserve"> and Side-by-side Citizenship</w:t>
              </w:r>
              <w:r w:rsidR="0010645C" w:rsidRPr="00223BE6">
                <w:rPr>
                  <w:rFonts w:ascii="Garamond" w:hAnsi="Garamond"/>
                  <w:color w:val="833C0B" w:themeColor="accent2" w:themeShade="80"/>
                  <w:sz w:val="30"/>
                  <w:szCs w:val="30"/>
                  <w:lang w:val="en-GB"/>
                </w:rPr>
                <w:t>.</w:t>
              </w:r>
            </w:p>
          </w:sdtContent>
        </w:sdt>
        <w:p w14:paraId="1F188D86" w14:textId="7D221B9B" w:rsidR="00602DBA" w:rsidRPr="00223BE6" w:rsidRDefault="00794CA1">
          <w:pPr>
            <w:pStyle w:val="NoSpacing"/>
            <w:spacing w:before="480"/>
            <w:jc w:val="center"/>
            <w:rPr>
              <w:color w:val="5B9BD5" w:themeColor="accent1"/>
              <w:lang w:val="en-GB"/>
            </w:rPr>
          </w:pPr>
          <w:r w:rsidRPr="00223BE6">
            <w:rPr>
              <w:noProof/>
              <w:color w:val="5B9BD5" w:themeColor="accent1"/>
              <w:lang w:val="nl-NL" w:eastAsia="nl-NL"/>
            </w:rPr>
            <mc:AlternateContent>
              <mc:Choice Requires="wps">
                <w:drawing>
                  <wp:anchor distT="0" distB="0" distL="114300" distR="114300" simplePos="0" relativeHeight="251659264" behindDoc="0" locked="0" layoutInCell="1" allowOverlap="1" wp14:anchorId="3B7A1B81" wp14:editId="5E1D868C">
                    <wp:simplePos x="0" y="0"/>
                    <wp:positionH relativeFrom="margin">
                      <wp:align>center</wp:align>
                    </wp:positionH>
                    <mc:AlternateContent>
                      <mc:Choice Requires="wp14">
                        <wp:positionV relativeFrom="page">
                          <wp14:pctPosVOffset>85000</wp14:pctPosVOffset>
                        </wp:positionV>
                      </mc:Choice>
                      <mc:Fallback>
                        <wp:positionV relativeFrom="page">
                          <wp:posOffset>9088120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Garamond" w:hAnsi="Garamond"/>
                                    <w:caps/>
                                    <w:color w:val="C45911" w:themeColor="accent2" w:themeShade="BF"/>
                                    <w:sz w:val="28"/>
                                    <w:szCs w:val="28"/>
                                    <w:lang w:val="nl-NL"/>
                                  </w:rPr>
                                  <w:alias w:val="Date"/>
                                  <w:tag w:val=""/>
                                  <w:id w:val="-803768182"/>
                                  <w:dataBinding w:prefixMappings="xmlns:ns0='http://schemas.microsoft.com/office/2006/coverPageProps' " w:xpath="/ns0:CoverPageProperties[1]/ns0:PublishDate[1]" w:storeItemID="{55AF091B-3C7A-41E3-B477-F2FDAA23CFDA}"/>
                                  <w:date w:fullDate="2019-06-24T00:00:00Z">
                                    <w:dateFormat w:val="MMMM d, yyyy"/>
                                    <w:lid w:val="en-US"/>
                                    <w:storeMappedDataAs w:val="dateTime"/>
                                    <w:calendar w:val="gregorian"/>
                                  </w:date>
                                </w:sdtPr>
                                <w:sdtEndPr/>
                                <w:sdtContent>
                                  <w:p w14:paraId="3FE11DDE" w14:textId="6649FFF1" w:rsidR="00DF6D04" w:rsidRPr="00E66BFE" w:rsidRDefault="00DF6D04">
                                    <w:pPr>
                                      <w:pStyle w:val="NoSpacing"/>
                                      <w:spacing w:after="40"/>
                                      <w:jc w:val="center"/>
                                      <w:rPr>
                                        <w:rFonts w:ascii="Garamond" w:hAnsi="Garamond"/>
                                        <w:caps/>
                                        <w:color w:val="C45911" w:themeColor="accent2" w:themeShade="BF"/>
                                        <w:sz w:val="28"/>
                                        <w:szCs w:val="28"/>
                                        <w:lang w:val="nl-NL"/>
                                      </w:rPr>
                                    </w:pPr>
                                    <w:r w:rsidRPr="00E66BFE">
                                      <w:rPr>
                                        <w:rFonts w:ascii="Garamond" w:hAnsi="Garamond"/>
                                        <w:caps/>
                                        <w:color w:val="C45911" w:themeColor="accent2" w:themeShade="BF"/>
                                        <w:sz w:val="28"/>
                                        <w:szCs w:val="28"/>
                                        <w:lang w:val="nl-NL"/>
                                      </w:rPr>
                                      <w:t>June 24, 2019</w:t>
                                    </w:r>
                                  </w:p>
                                </w:sdtContent>
                              </w:sdt>
                              <w:p w14:paraId="3A4393A2" w14:textId="142155D3" w:rsidR="00DF6D04" w:rsidRPr="00E66BFE" w:rsidRDefault="00FD4ED5">
                                <w:pPr>
                                  <w:pStyle w:val="NoSpacing"/>
                                  <w:jc w:val="center"/>
                                  <w:rPr>
                                    <w:rFonts w:ascii="Garamond" w:hAnsi="Garamond"/>
                                    <w:color w:val="C45911" w:themeColor="accent2" w:themeShade="BF"/>
                                    <w:lang w:val="nl-NL"/>
                                  </w:rPr>
                                </w:pPr>
                                <w:sdt>
                                  <w:sdtPr>
                                    <w:rPr>
                                      <w:rFonts w:ascii="Garamond" w:hAnsi="Garamond"/>
                                      <w:caps/>
                                      <w:color w:val="C45911" w:themeColor="accent2" w:themeShade="BF"/>
                                      <w:lang w:val="nl-NL"/>
                                    </w:rPr>
                                    <w:alias w:val="Company"/>
                                    <w:tag w:val=""/>
                                    <w:id w:val="-1825955444"/>
                                    <w:dataBinding w:prefixMappings="xmlns:ns0='http://schemas.openxmlformats.org/officeDocument/2006/extended-properties' " w:xpath="/ns0:Properties[1]/ns0:Company[1]" w:storeItemID="{6668398D-A668-4E3E-A5EB-62B293D839F1}"/>
                                    <w:text/>
                                  </w:sdtPr>
                                  <w:sdtEndPr/>
                                  <w:sdtContent>
                                    <w:r w:rsidR="00DF6D04" w:rsidRPr="00E66BFE">
                                      <w:rPr>
                                        <w:rFonts w:ascii="Garamond" w:hAnsi="Garamond"/>
                                        <w:caps/>
                                        <w:color w:val="C45911" w:themeColor="accent2" w:themeShade="BF"/>
                                        <w:lang w:val="nl-NL"/>
                                      </w:rPr>
                                      <w:t>Radboud Universiteit Nijmegen</w:t>
                                    </w:r>
                                  </w:sdtContent>
                                </w:sdt>
                              </w:p>
                              <w:p w14:paraId="4D837A5A" w14:textId="4EE52B0F" w:rsidR="00DF6D04" w:rsidRPr="00FC65FE" w:rsidRDefault="00FD4ED5">
                                <w:pPr>
                                  <w:pStyle w:val="NoSpacing"/>
                                  <w:jc w:val="center"/>
                                  <w:rPr>
                                    <w:rFonts w:ascii="Garamond" w:hAnsi="Garamond"/>
                                    <w:color w:val="4472C4" w:themeColor="accent5"/>
                                    <w:sz w:val="28"/>
                                    <w:szCs w:val="28"/>
                                    <w:lang w:val="nl-NL"/>
                                  </w:rPr>
                                </w:pPr>
                                <w:sdt>
                                  <w:sdtPr>
                                    <w:rPr>
                                      <w:rFonts w:ascii="Garamond" w:hAnsi="Garamond"/>
                                      <w:color w:val="C45911" w:themeColor="accent2" w:themeShade="BF"/>
                                      <w:sz w:val="28"/>
                                      <w:szCs w:val="28"/>
                                      <w:lang w:val="nl-NL"/>
                                    </w:rPr>
                                    <w:alias w:val="Address"/>
                                    <w:tag w:val=""/>
                                    <w:id w:val="1131675653"/>
                                    <w:dataBinding w:prefixMappings="xmlns:ns0='http://schemas.microsoft.com/office/2006/coverPageProps' " w:xpath="/ns0:CoverPageProperties[1]/ns0:CompanyAddress[1]" w:storeItemID="{55AF091B-3C7A-41E3-B477-F2FDAA23CFDA}"/>
                                    <w:text/>
                                  </w:sdtPr>
                                  <w:sdtEndPr/>
                                  <w:sdtContent>
                                    <w:r w:rsidR="00DF6D04" w:rsidRPr="00FC65FE">
                                      <w:rPr>
                                        <w:rFonts w:ascii="Garamond" w:hAnsi="Garamond"/>
                                        <w:color w:val="C45911" w:themeColor="accent2" w:themeShade="BF"/>
                                        <w:sz w:val="28"/>
                                        <w:szCs w:val="28"/>
                                        <w:lang w:val="nl-NL"/>
                                      </w:rPr>
                                      <w:t>Thom Oudshoorn (s4414128)</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3B7A1B81"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sdt>
                          <w:sdtPr>
                            <w:rPr>
                              <w:rFonts w:ascii="Garamond" w:hAnsi="Garamond"/>
                              <w:caps/>
                              <w:color w:val="C45911" w:themeColor="accent2" w:themeShade="BF"/>
                              <w:sz w:val="28"/>
                              <w:szCs w:val="28"/>
                              <w:lang w:val="nl-NL"/>
                            </w:rPr>
                            <w:alias w:val="Date"/>
                            <w:tag w:val=""/>
                            <w:id w:val="-803768182"/>
                            <w:dataBinding w:prefixMappings="xmlns:ns0='http://schemas.microsoft.com/office/2006/coverPageProps' " w:xpath="/ns0:CoverPageProperties[1]/ns0:PublishDate[1]" w:storeItemID="{55AF091B-3C7A-41E3-B477-F2FDAA23CFDA}"/>
                            <w:date w:fullDate="2019-06-24T00:00:00Z">
                              <w:dateFormat w:val="MMMM d, yyyy"/>
                              <w:lid w:val="en-US"/>
                              <w:storeMappedDataAs w:val="dateTime"/>
                              <w:calendar w:val="gregorian"/>
                            </w:date>
                          </w:sdtPr>
                          <w:sdtContent>
                            <w:p w14:paraId="3FE11DDE" w14:textId="6649FFF1" w:rsidR="00DF6D04" w:rsidRPr="00E66BFE" w:rsidRDefault="00DF6D04">
                              <w:pPr>
                                <w:pStyle w:val="NoSpacing"/>
                                <w:spacing w:after="40"/>
                                <w:jc w:val="center"/>
                                <w:rPr>
                                  <w:rFonts w:ascii="Garamond" w:hAnsi="Garamond"/>
                                  <w:caps/>
                                  <w:color w:val="C45911" w:themeColor="accent2" w:themeShade="BF"/>
                                  <w:sz w:val="28"/>
                                  <w:szCs w:val="28"/>
                                  <w:lang w:val="nl-NL"/>
                                </w:rPr>
                              </w:pPr>
                              <w:r w:rsidRPr="00E66BFE">
                                <w:rPr>
                                  <w:rFonts w:ascii="Garamond" w:hAnsi="Garamond"/>
                                  <w:caps/>
                                  <w:color w:val="C45911" w:themeColor="accent2" w:themeShade="BF"/>
                                  <w:sz w:val="28"/>
                                  <w:szCs w:val="28"/>
                                  <w:lang w:val="nl-NL"/>
                                </w:rPr>
                                <w:t>June 24, 2019</w:t>
                              </w:r>
                            </w:p>
                          </w:sdtContent>
                        </w:sdt>
                        <w:p w14:paraId="3A4393A2" w14:textId="142155D3" w:rsidR="00DF6D04" w:rsidRPr="00E66BFE" w:rsidRDefault="00DF6D04">
                          <w:pPr>
                            <w:pStyle w:val="NoSpacing"/>
                            <w:jc w:val="center"/>
                            <w:rPr>
                              <w:rFonts w:ascii="Garamond" w:hAnsi="Garamond"/>
                              <w:color w:val="C45911" w:themeColor="accent2" w:themeShade="BF"/>
                              <w:lang w:val="nl-NL"/>
                            </w:rPr>
                          </w:pPr>
                          <w:sdt>
                            <w:sdtPr>
                              <w:rPr>
                                <w:rFonts w:ascii="Garamond" w:hAnsi="Garamond"/>
                                <w:caps/>
                                <w:color w:val="C45911" w:themeColor="accent2" w:themeShade="BF"/>
                                <w:lang w:val="nl-NL"/>
                              </w:rPr>
                              <w:alias w:val="Company"/>
                              <w:tag w:val=""/>
                              <w:id w:val="-1825955444"/>
                              <w:dataBinding w:prefixMappings="xmlns:ns0='http://schemas.openxmlformats.org/officeDocument/2006/extended-properties' " w:xpath="/ns0:Properties[1]/ns0:Company[1]" w:storeItemID="{6668398D-A668-4E3E-A5EB-62B293D839F1}"/>
                              <w:text/>
                            </w:sdtPr>
                            <w:sdtContent>
                              <w:r w:rsidRPr="00E66BFE">
                                <w:rPr>
                                  <w:rFonts w:ascii="Garamond" w:hAnsi="Garamond"/>
                                  <w:caps/>
                                  <w:color w:val="C45911" w:themeColor="accent2" w:themeShade="BF"/>
                                  <w:lang w:val="nl-NL"/>
                                </w:rPr>
                                <w:t>Radboud Universiteit Nijmegen</w:t>
                              </w:r>
                            </w:sdtContent>
                          </w:sdt>
                        </w:p>
                        <w:p w14:paraId="4D837A5A" w14:textId="4EE52B0F" w:rsidR="00DF6D04" w:rsidRPr="00FC65FE" w:rsidRDefault="00DF6D04">
                          <w:pPr>
                            <w:pStyle w:val="NoSpacing"/>
                            <w:jc w:val="center"/>
                            <w:rPr>
                              <w:rFonts w:ascii="Garamond" w:hAnsi="Garamond"/>
                              <w:color w:val="4472C4" w:themeColor="accent5"/>
                              <w:sz w:val="28"/>
                              <w:szCs w:val="28"/>
                              <w:lang w:val="nl-NL"/>
                            </w:rPr>
                          </w:pPr>
                          <w:sdt>
                            <w:sdtPr>
                              <w:rPr>
                                <w:rFonts w:ascii="Garamond" w:hAnsi="Garamond"/>
                                <w:color w:val="C45911" w:themeColor="accent2" w:themeShade="BF"/>
                                <w:sz w:val="28"/>
                                <w:szCs w:val="28"/>
                                <w:lang w:val="nl-NL"/>
                              </w:rPr>
                              <w:alias w:val="Address"/>
                              <w:tag w:val=""/>
                              <w:id w:val="1131675653"/>
                              <w:dataBinding w:prefixMappings="xmlns:ns0='http://schemas.microsoft.com/office/2006/coverPageProps' " w:xpath="/ns0:CoverPageProperties[1]/ns0:CompanyAddress[1]" w:storeItemID="{55AF091B-3C7A-41E3-B477-F2FDAA23CFDA}"/>
                              <w:text/>
                            </w:sdtPr>
                            <w:sdtContent>
                              <w:r w:rsidRPr="00FC65FE">
                                <w:rPr>
                                  <w:rFonts w:ascii="Garamond" w:hAnsi="Garamond"/>
                                  <w:color w:val="C45911" w:themeColor="accent2" w:themeShade="BF"/>
                                  <w:sz w:val="28"/>
                                  <w:szCs w:val="28"/>
                                  <w:lang w:val="nl-NL"/>
                                </w:rPr>
                                <w:t>Thom Oudshoorn (s4414128)</w:t>
                              </w:r>
                            </w:sdtContent>
                          </w:sdt>
                        </w:p>
                      </w:txbxContent>
                    </v:textbox>
                    <w10:wrap anchorx="margin" anchory="page"/>
                  </v:shape>
                </w:pict>
              </mc:Fallback>
            </mc:AlternateContent>
          </w:r>
          <w:r w:rsidR="00602DBA" w:rsidRPr="00223BE6">
            <w:rPr>
              <w:noProof/>
              <w:color w:val="5B9BD5" w:themeColor="accent1"/>
              <w:lang w:val="nl-NL" w:eastAsia="nl-NL"/>
            </w:rPr>
            <w:drawing>
              <wp:inline distT="0" distB="0" distL="0" distR="0" wp14:anchorId="3A1058D9" wp14:editId="7B0C9D05">
                <wp:extent cx="758952" cy="478932"/>
                <wp:effectExtent l="57150" t="0" r="41275" b="11176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a:effectLst>
                          <a:outerShdw blurRad="50800" dist="50800" dir="5400000" algn="ctr" rotWithShape="0">
                            <a:srgbClr val="000000">
                              <a:alpha val="76000"/>
                            </a:srgbClr>
                          </a:outerShdw>
                          <a:softEdge rad="0"/>
                        </a:effectLst>
                      </pic:spPr>
                    </pic:pic>
                  </a:graphicData>
                </a:graphic>
              </wp:inline>
            </w:drawing>
          </w:r>
        </w:p>
        <w:p w14:paraId="12B9022A" w14:textId="77777777" w:rsidR="008524E0" w:rsidRPr="00223BE6" w:rsidRDefault="00602DBA" w:rsidP="008524E0">
          <w:pPr>
            <w:rPr>
              <w:noProof/>
              <w:lang w:val="en-GB"/>
            </w:rPr>
          </w:pPr>
          <w:r w:rsidRPr="00223BE6">
            <w:rPr>
              <w:rFonts w:eastAsiaTheme="minorEastAsia"/>
              <w:noProof/>
              <w:lang w:val="en-GB"/>
            </w:rPr>
            <w:br w:type="page"/>
          </w:r>
        </w:p>
      </w:sdtContent>
    </w:sdt>
    <w:bookmarkStart w:id="0" w:name="_Toc13050245" w:displacedByCustomXml="next"/>
    <w:bookmarkStart w:id="1" w:name="_Toc12269115" w:displacedByCustomXml="next"/>
    <w:bookmarkStart w:id="2" w:name="_Toc12269133" w:displacedByCustomXml="next"/>
    <w:bookmarkStart w:id="3" w:name="_Toc12268861" w:displacedByCustomXml="next"/>
    <w:bookmarkStart w:id="4" w:name="_Toc12264094" w:displacedByCustomXml="next"/>
    <w:sdt>
      <w:sdtPr>
        <w:id w:val="1871333475"/>
        <w:docPartObj>
          <w:docPartGallery w:val="Table of Contents"/>
          <w:docPartUnique/>
        </w:docPartObj>
      </w:sdtPr>
      <w:sdtEndPr>
        <w:rPr>
          <w:rFonts w:asciiTheme="minorHAnsi" w:eastAsiaTheme="minorHAnsi" w:hAnsiTheme="minorHAnsi" w:cstheme="minorBidi"/>
          <w:b/>
          <w:bCs/>
          <w:noProof/>
          <w:color w:val="auto"/>
          <w:sz w:val="22"/>
          <w:szCs w:val="22"/>
          <w:lang w:val="nl-NL"/>
        </w:rPr>
      </w:sdtEndPr>
      <w:sdtContent>
        <w:p w14:paraId="260726B0" w14:textId="304D8B70" w:rsidR="00FD4ED5" w:rsidRDefault="00FD4ED5">
          <w:pPr>
            <w:pStyle w:val="TOCHeading"/>
          </w:pPr>
          <w:r>
            <w:t>Contents</w:t>
          </w:r>
        </w:p>
        <w:p w14:paraId="7229C63E" w14:textId="33C69326" w:rsidR="00FD4ED5" w:rsidRDefault="00FD4ED5">
          <w:pPr>
            <w:pStyle w:val="TOC1"/>
            <w:tabs>
              <w:tab w:val="right" w:leader="dot" w:pos="9062"/>
            </w:tabs>
            <w:rPr>
              <w:rFonts w:eastAsiaTheme="minorEastAsia"/>
              <w:noProof/>
              <w:lang w:eastAsia="nl-NL"/>
            </w:rPr>
          </w:pPr>
          <w:r>
            <w:fldChar w:fldCharType="begin"/>
          </w:r>
          <w:r>
            <w:instrText xml:space="preserve"> TOC \o "1-3" \h \z \u </w:instrText>
          </w:r>
          <w:r>
            <w:fldChar w:fldCharType="separate"/>
          </w:r>
          <w:hyperlink w:anchor="_Toc13061245" w:history="1">
            <w:r w:rsidRPr="00330580">
              <w:rPr>
                <w:rStyle w:val="Hyperlink"/>
                <w:rFonts w:ascii="Garamond" w:eastAsiaTheme="majorEastAsia" w:hAnsi="Garamond" w:cstheme="majorBidi"/>
                <w:b/>
                <w:noProof/>
                <w:lang w:val="en-GB"/>
              </w:rPr>
              <w:t>Chapter 1: Introduction. How to Respond to the Complexities of Multicultural Society?</w:t>
            </w:r>
            <w:r>
              <w:rPr>
                <w:noProof/>
                <w:webHidden/>
              </w:rPr>
              <w:tab/>
            </w:r>
            <w:r>
              <w:rPr>
                <w:noProof/>
                <w:webHidden/>
              </w:rPr>
              <w:fldChar w:fldCharType="begin"/>
            </w:r>
            <w:r>
              <w:rPr>
                <w:noProof/>
                <w:webHidden/>
              </w:rPr>
              <w:instrText xml:space="preserve"> PAGEREF _Toc13061245 \h </w:instrText>
            </w:r>
            <w:r>
              <w:rPr>
                <w:noProof/>
                <w:webHidden/>
              </w:rPr>
            </w:r>
            <w:r>
              <w:rPr>
                <w:noProof/>
                <w:webHidden/>
              </w:rPr>
              <w:fldChar w:fldCharType="separate"/>
            </w:r>
            <w:r>
              <w:rPr>
                <w:noProof/>
                <w:webHidden/>
              </w:rPr>
              <w:t>2</w:t>
            </w:r>
            <w:r>
              <w:rPr>
                <w:noProof/>
                <w:webHidden/>
              </w:rPr>
              <w:fldChar w:fldCharType="end"/>
            </w:r>
          </w:hyperlink>
        </w:p>
        <w:p w14:paraId="47A71B94" w14:textId="58F6FE82" w:rsidR="00FD4ED5" w:rsidRDefault="00FD4ED5">
          <w:pPr>
            <w:pStyle w:val="TOC1"/>
            <w:tabs>
              <w:tab w:val="right" w:leader="dot" w:pos="9062"/>
            </w:tabs>
            <w:rPr>
              <w:rFonts w:eastAsiaTheme="minorEastAsia"/>
              <w:noProof/>
              <w:lang w:eastAsia="nl-NL"/>
            </w:rPr>
          </w:pPr>
          <w:hyperlink w:anchor="_Toc13061246" w:history="1">
            <w:r w:rsidRPr="00330580">
              <w:rPr>
                <w:rStyle w:val="Hyperlink"/>
                <w:rFonts w:ascii="Garamond" w:eastAsiaTheme="majorEastAsia" w:hAnsi="Garamond" w:cstheme="majorBidi"/>
                <w:b/>
                <w:noProof/>
                <w:lang w:val="en-GB"/>
              </w:rPr>
              <w:t>Chapter 2: Urban Agonism</w:t>
            </w:r>
            <w:r>
              <w:rPr>
                <w:noProof/>
                <w:webHidden/>
              </w:rPr>
              <w:tab/>
            </w:r>
            <w:r>
              <w:rPr>
                <w:noProof/>
                <w:webHidden/>
              </w:rPr>
              <w:fldChar w:fldCharType="begin"/>
            </w:r>
            <w:r>
              <w:rPr>
                <w:noProof/>
                <w:webHidden/>
              </w:rPr>
              <w:instrText xml:space="preserve"> PAGEREF _Toc13061246 \h </w:instrText>
            </w:r>
            <w:r>
              <w:rPr>
                <w:noProof/>
                <w:webHidden/>
              </w:rPr>
            </w:r>
            <w:r>
              <w:rPr>
                <w:noProof/>
                <w:webHidden/>
              </w:rPr>
              <w:fldChar w:fldCharType="separate"/>
            </w:r>
            <w:r>
              <w:rPr>
                <w:noProof/>
                <w:webHidden/>
              </w:rPr>
              <w:t>4</w:t>
            </w:r>
            <w:r>
              <w:rPr>
                <w:noProof/>
                <w:webHidden/>
              </w:rPr>
              <w:fldChar w:fldCharType="end"/>
            </w:r>
          </w:hyperlink>
        </w:p>
        <w:p w14:paraId="70D9DBB2" w14:textId="1DEDCFC5" w:rsidR="00FD4ED5" w:rsidRDefault="00FD4ED5">
          <w:pPr>
            <w:pStyle w:val="TOC2"/>
            <w:tabs>
              <w:tab w:val="right" w:leader="dot" w:pos="9062"/>
            </w:tabs>
            <w:rPr>
              <w:rFonts w:eastAsiaTheme="minorEastAsia"/>
              <w:noProof/>
              <w:lang w:eastAsia="nl-NL"/>
            </w:rPr>
          </w:pPr>
          <w:hyperlink w:anchor="_Toc13061247" w:history="1">
            <w:r w:rsidRPr="00330580">
              <w:rPr>
                <w:rStyle w:val="Hyperlink"/>
                <w:rFonts w:ascii="Garamond" w:eastAsiaTheme="majorEastAsia" w:hAnsi="Garamond" w:cstheme="majorBidi"/>
                <w:noProof/>
                <w:lang w:val="en-GB"/>
              </w:rPr>
              <w:t>Agonism</w:t>
            </w:r>
            <w:r>
              <w:rPr>
                <w:noProof/>
                <w:webHidden/>
              </w:rPr>
              <w:tab/>
            </w:r>
            <w:r>
              <w:rPr>
                <w:noProof/>
                <w:webHidden/>
              </w:rPr>
              <w:fldChar w:fldCharType="begin"/>
            </w:r>
            <w:r>
              <w:rPr>
                <w:noProof/>
                <w:webHidden/>
              </w:rPr>
              <w:instrText xml:space="preserve"> PAGEREF _Toc13061247 \h </w:instrText>
            </w:r>
            <w:r>
              <w:rPr>
                <w:noProof/>
                <w:webHidden/>
              </w:rPr>
            </w:r>
            <w:r>
              <w:rPr>
                <w:noProof/>
                <w:webHidden/>
              </w:rPr>
              <w:fldChar w:fldCharType="separate"/>
            </w:r>
            <w:r>
              <w:rPr>
                <w:noProof/>
                <w:webHidden/>
              </w:rPr>
              <w:t>4</w:t>
            </w:r>
            <w:r>
              <w:rPr>
                <w:noProof/>
                <w:webHidden/>
              </w:rPr>
              <w:fldChar w:fldCharType="end"/>
            </w:r>
          </w:hyperlink>
        </w:p>
        <w:p w14:paraId="70CE412F" w14:textId="1781099A" w:rsidR="00FD4ED5" w:rsidRDefault="00FD4ED5">
          <w:pPr>
            <w:pStyle w:val="TOC2"/>
            <w:tabs>
              <w:tab w:val="right" w:leader="dot" w:pos="9062"/>
            </w:tabs>
            <w:rPr>
              <w:rFonts w:eastAsiaTheme="minorEastAsia"/>
              <w:noProof/>
              <w:lang w:eastAsia="nl-NL"/>
            </w:rPr>
          </w:pPr>
          <w:hyperlink w:anchor="_Toc13061248" w:history="1">
            <w:r w:rsidRPr="00330580">
              <w:rPr>
                <w:rStyle w:val="Hyperlink"/>
                <w:rFonts w:ascii="Garamond" w:eastAsiaTheme="majorEastAsia" w:hAnsi="Garamond" w:cstheme="majorBidi"/>
                <w:noProof/>
                <w:lang w:val="en-GB"/>
              </w:rPr>
              <w:t>Urban Agonism</w:t>
            </w:r>
            <w:r>
              <w:rPr>
                <w:noProof/>
                <w:webHidden/>
              </w:rPr>
              <w:tab/>
            </w:r>
            <w:r>
              <w:rPr>
                <w:noProof/>
                <w:webHidden/>
              </w:rPr>
              <w:fldChar w:fldCharType="begin"/>
            </w:r>
            <w:r>
              <w:rPr>
                <w:noProof/>
                <w:webHidden/>
              </w:rPr>
              <w:instrText xml:space="preserve"> PAGEREF _Toc13061248 \h </w:instrText>
            </w:r>
            <w:r>
              <w:rPr>
                <w:noProof/>
                <w:webHidden/>
              </w:rPr>
            </w:r>
            <w:r>
              <w:rPr>
                <w:noProof/>
                <w:webHidden/>
              </w:rPr>
              <w:fldChar w:fldCharType="separate"/>
            </w:r>
            <w:r>
              <w:rPr>
                <w:noProof/>
                <w:webHidden/>
              </w:rPr>
              <w:t>6</w:t>
            </w:r>
            <w:r>
              <w:rPr>
                <w:noProof/>
                <w:webHidden/>
              </w:rPr>
              <w:fldChar w:fldCharType="end"/>
            </w:r>
          </w:hyperlink>
        </w:p>
        <w:p w14:paraId="33A79C4A" w14:textId="70D6D7A7" w:rsidR="00FD4ED5" w:rsidRDefault="00FD4ED5">
          <w:pPr>
            <w:pStyle w:val="TOC2"/>
            <w:tabs>
              <w:tab w:val="right" w:leader="dot" w:pos="9062"/>
            </w:tabs>
            <w:rPr>
              <w:rFonts w:eastAsiaTheme="minorEastAsia"/>
              <w:noProof/>
              <w:lang w:eastAsia="nl-NL"/>
            </w:rPr>
          </w:pPr>
          <w:hyperlink w:anchor="_Toc13061249" w:history="1">
            <w:r w:rsidRPr="00330580">
              <w:rPr>
                <w:rStyle w:val="Hyperlink"/>
                <w:rFonts w:ascii="Garamond" w:eastAsiaTheme="majorEastAsia" w:hAnsi="Garamond" w:cs="Arial"/>
                <w:noProof/>
                <w:lang w:val="en-GB"/>
              </w:rPr>
              <w:t>Urban Agonistic Solutions</w:t>
            </w:r>
            <w:r>
              <w:rPr>
                <w:noProof/>
                <w:webHidden/>
              </w:rPr>
              <w:tab/>
            </w:r>
            <w:r>
              <w:rPr>
                <w:noProof/>
                <w:webHidden/>
              </w:rPr>
              <w:fldChar w:fldCharType="begin"/>
            </w:r>
            <w:r>
              <w:rPr>
                <w:noProof/>
                <w:webHidden/>
              </w:rPr>
              <w:instrText xml:space="preserve"> PAGEREF _Toc13061249 \h </w:instrText>
            </w:r>
            <w:r>
              <w:rPr>
                <w:noProof/>
                <w:webHidden/>
              </w:rPr>
            </w:r>
            <w:r>
              <w:rPr>
                <w:noProof/>
                <w:webHidden/>
              </w:rPr>
              <w:fldChar w:fldCharType="separate"/>
            </w:r>
            <w:r>
              <w:rPr>
                <w:noProof/>
                <w:webHidden/>
              </w:rPr>
              <w:t>7</w:t>
            </w:r>
            <w:r>
              <w:rPr>
                <w:noProof/>
                <w:webHidden/>
              </w:rPr>
              <w:fldChar w:fldCharType="end"/>
            </w:r>
          </w:hyperlink>
        </w:p>
        <w:p w14:paraId="4023923B" w14:textId="6333E97C" w:rsidR="00FD4ED5" w:rsidRDefault="00FD4ED5">
          <w:pPr>
            <w:pStyle w:val="TOC1"/>
            <w:tabs>
              <w:tab w:val="right" w:leader="dot" w:pos="9062"/>
            </w:tabs>
            <w:rPr>
              <w:rFonts w:eastAsiaTheme="minorEastAsia"/>
              <w:noProof/>
              <w:lang w:eastAsia="nl-NL"/>
            </w:rPr>
          </w:pPr>
          <w:hyperlink w:anchor="_Toc13061250" w:history="1">
            <w:r w:rsidRPr="00330580">
              <w:rPr>
                <w:rStyle w:val="Hyperlink"/>
                <w:rFonts w:ascii="Garamond" w:eastAsiaTheme="majorEastAsia" w:hAnsi="Garamond" w:cstheme="majorBidi"/>
                <w:b/>
                <w:noProof/>
                <w:lang w:val="en-GB"/>
              </w:rPr>
              <w:t>Chapter 3: Side-by-side Citizenship</w:t>
            </w:r>
            <w:r>
              <w:rPr>
                <w:noProof/>
                <w:webHidden/>
              </w:rPr>
              <w:tab/>
            </w:r>
            <w:r>
              <w:rPr>
                <w:noProof/>
                <w:webHidden/>
              </w:rPr>
              <w:fldChar w:fldCharType="begin"/>
            </w:r>
            <w:r>
              <w:rPr>
                <w:noProof/>
                <w:webHidden/>
              </w:rPr>
              <w:instrText xml:space="preserve"> PAGEREF _Toc13061250 \h </w:instrText>
            </w:r>
            <w:r>
              <w:rPr>
                <w:noProof/>
                <w:webHidden/>
              </w:rPr>
            </w:r>
            <w:r>
              <w:rPr>
                <w:noProof/>
                <w:webHidden/>
              </w:rPr>
              <w:fldChar w:fldCharType="separate"/>
            </w:r>
            <w:r>
              <w:rPr>
                <w:noProof/>
                <w:webHidden/>
              </w:rPr>
              <w:t>9</w:t>
            </w:r>
            <w:r>
              <w:rPr>
                <w:noProof/>
                <w:webHidden/>
              </w:rPr>
              <w:fldChar w:fldCharType="end"/>
            </w:r>
          </w:hyperlink>
        </w:p>
        <w:p w14:paraId="2FADC8FC" w14:textId="08315769" w:rsidR="00FD4ED5" w:rsidRDefault="00FD4ED5">
          <w:pPr>
            <w:pStyle w:val="TOC2"/>
            <w:tabs>
              <w:tab w:val="right" w:leader="dot" w:pos="9062"/>
            </w:tabs>
            <w:rPr>
              <w:rFonts w:eastAsiaTheme="minorEastAsia"/>
              <w:noProof/>
              <w:lang w:eastAsia="nl-NL"/>
            </w:rPr>
          </w:pPr>
          <w:hyperlink w:anchor="_Toc13061251" w:history="1">
            <w:r w:rsidRPr="00330580">
              <w:rPr>
                <w:rStyle w:val="Hyperlink"/>
                <w:rFonts w:ascii="Garamond" w:eastAsiaTheme="majorEastAsia" w:hAnsi="Garamond" w:cstheme="majorBidi"/>
                <w:noProof/>
                <w:lang w:val="en-GB"/>
              </w:rPr>
              <w:t>Sociological Groundwork</w:t>
            </w:r>
            <w:r>
              <w:rPr>
                <w:noProof/>
                <w:webHidden/>
              </w:rPr>
              <w:tab/>
            </w:r>
            <w:r>
              <w:rPr>
                <w:noProof/>
                <w:webHidden/>
              </w:rPr>
              <w:fldChar w:fldCharType="begin"/>
            </w:r>
            <w:r>
              <w:rPr>
                <w:noProof/>
                <w:webHidden/>
              </w:rPr>
              <w:instrText xml:space="preserve"> PAGEREF _Toc13061251 \h </w:instrText>
            </w:r>
            <w:r>
              <w:rPr>
                <w:noProof/>
                <w:webHidden/>
              </w:rPr>
            </w:r>
            <w:r>
              <w:rPr>
                <w:noProof/>
                <w:webHidden/>
              </w:rPr>
              <w:fldChar w:fldCharType="separate"/>
            </w:r>
            <w:r>
              <w:rPr>
                <w:noProof/>
                <w:webHidden/>
              </w:rPr>
              <w:t>9</w:t>
            </w:r>
            <w:r>
              <w:rPr>
                <w:noProof/>
                <w:webHidden/>
              </w:rPr>
              <w:fldChar w:fldCharType="end"/>
            </w:r>
          </w:hyperlink>
        </w:p>
        <w:p w14:paraId="39044670" w14:textId="0E134592" w:rsidR="00FD4ED5" w:rsidRDefault="00FD4ED5">
          <w:pPr>
            <w:pStyle w:val="TOC2"/>
            <w:tabs>
              <w:tab w:val="right" w:leader="dot" w:pos="9062"/>
            </w:tabs>
            <w:rPr>
              <w:rFonts w:eastAsiaTheme="minorEastAsia"/>
              <w:noProof/>
              <w:lang w:eastAsia="nl-NL"/>
            </w:rPr>
          </w:pPr>
          <w:hyperlink w:anchor="_Toc13061252" w:history="1">
            <w:r w:rsidRPr="00330580">
              <w:rPr>
                <w:rStyle w:val="Hyperlink"/>
                <w:rFonts w:ascii="Garamond" w:eastAsiaTheme="majorEastAsia" w:hAnsi="Garamond" w:cstheme="majorBidi"/>
                <w:noProof/>
                <w:lang w:val="en-GB"/>
              </w:rPr>
              <w:t>Indifference as a Means for Cultural Acceptance</w:t>
            </w:r>
            <w:r>
              <w:rPr>
                <w:noProof/>
                <w:webHidden/>
              </w:rPr>
              <w:tab/>
            </w:r>
            <w:r>
              <w:rPr>
                <w:noProof/>
                <w:webHidden/>
              </w:rPr>
              <w:fldChar w:fldCharType="begin"/>
            </w:r>
            <w:r>
              <w:rPr>
                <w:noProof/>
                <w:webHidden/>
              </w:rPr>
              <w:instrText xml:space="preserve"> PAGEREF _Toc13061252 \h </w:instrText>
            </w:r>
            <w:r>
              <w:rPr>
                <w:noProof/>
                <w:webHidden/>
              </w:rPr>
            </w:r>
            <w:r>
              <w:rPr>
                <w:noProof/>
                <w:webHidden/>
              </w:rPr>
              <w:fldChar w:fldCharType="separate"/>
            </w:r>
            <w:r>
              <w:rPr>
                <w:noProof/>
                <w:webHidden/>
              </w:rPr>
              <w:t>10</w:t>
            </w:r>
            <w:r>
              <w:rPr>
                <w:noProof/>
                <w:webHidden/>
              </w:rPr>
              <w:fldChar w:fldCharType="end"/>
            </w:r>
          </w:hyperlink>
        </w:p>
        <w:p w14:paraId="740EF6D3" w14:textId="4A119CE6" w:rsidR="00FD4ED5" w:rsidRDefault="00FD4ED5">
          <w:pPr>
            <w:pStyle w:val="TOC1"/>
            <w:tabs>
              <w:tab w:val="right" w:leader="dot" w:pos="9062"/>
            </w:tabs>
            <w:rPr>
              <w:rFonts w:eastAsiaTheme="minorEastAsia"/>
              <w:noProof/>
              <w:lang w:eastAsia="nl-NL"/>
            </w:rPr>
          </w:pPr>
          <w:hyperlink w:anchor="_Toc13061253" w:history="1">
            <w:r w:rsidRPr="00330580">
              <w:rPr>
                <w:rStyle w:val="Hyperlink"/>
                <w:rFonts w:ascii="Garamond" w:eastAsia="Calibri" w:hAnsi="Garamond" w:cstheme="majorBidi"/>
                <w:b/>
                <w:noProof/>
                <w:lang w:val="en-GB"/>
              </w:rPr>
              <w:t>Chapter 4: The Evaluation</w:t>
            </w:r>
            <w:r>
              <w:rPr>
                <w:noProof/>
                <w:webHidden/>
              </w:rPr>
              <w:tab/>
            </w:r>
            <w:r>
              <w:rPr>
                <w:noProof/>
                <w:webHidden/>
              </w:rPr>
              <w:fldChar w:fldCharType="begin"/>
            </w:r>
            <w:r>
              <w:rPr>
                <w:noProof/>
                <w:webHidden/>
              </w:rPr>
              <w:instrText xml:space="preserve"> PAGEREF _Toc13061253 \h </w:instrText>
            </w:r>
            <w:r>
              <w:rPr>
                <w:noProof/>
                <w:webHidden/>
              </w:rPr>
            </w:r>
            <w:r>
              <w:rPr>
                <w:noProof/>
                <w:webHidden/>
              </w:rPr>
              <w:fldChar w:fldCharType="separate"/>
            </w:r>
            <w:r>
              <w:rPr>
                <w:noProof/>
                <w:webHidden/>
              </w:rPr>
              <w:t>12</w:t>
            </w:r>
            <w:r>
              <w:rPr>
                <w:noProof/>
                <w:webHidden/>
              </w:rPr>
              <w:fldChar w:fldCharType="end"/>
            </w:r>
          </w:hyperlink>
        </w:p>
        <w:p w14:paraId="7D1FE912" w14:textId="748CBDB3" w:rsidR="00FD4ED5" w:rsidRDefault="00FD4ED5">
          <w:pPr>
            <w:pStyle w:val="TOC2"/>
            <w:tabs>
              <w:tab w:val="right" w:leader="dot" w:pos="9062"/>
            </w:tabs>
            <w:rPr>
              <w:rFonts w:eastAsiaTheme="minorEastAsia"/>
              <w:noProof/>
              <w:lang w:eastAsia="nl-NL"/>
            </w:rPr>
          </w:pPr>
          <w:hyperlink w:anchor="_Toc13061254" w:history="1">
            <w:r w:rsidRPr="00330580">
              <w:rPr>
                <w:rStyle w:val="Hyperlink"/>
                <w:rFonts w:ascii="Garamond" w:eastAsia="Calibri" w:hAnsi="Garamond" w:cstheme="majorBidi"/>
                <w:noProof/>
                <w:lang w:val="en-GB"/>
              </w:rPr>
              <w:t>The Debate</w:t>
            </w:r>
            <w:r>
              <w:rPr>
                <w:noProof/>
                <w:webHidden/>
              </w:rPr>
              <w:tab/>
            </w:r>
            <w:r>
              <w:rPr>
                <w:noProof/>
                <w:webHidden/>
              </w:rPr>
              <w:fldChar w:fldCharType="begin"/>
            </w:r>
            <w:r>
              <w:rPr>
                <w:noProof/>
                <w:webHidden/>
              </w:rPr>
              <w:instrText xml:space="preserve"> PAGEREF _Toc13061254 \h </w:instrText>
            </w:r>
            <w:r>
              <w:rPr>
                <w:noProof/>
                <w:webHidden/>
              </w:rPr>
            </w:r>
            <w:r>
              <w:rPr>
                <w:noProof/>
                <w:webHidden/>
              </w:rPr>
              <w:fldChar w:fldCharType="separate"/>
            </w:r>
            <w:r>
              <w:rPr>
                <w:noProof/>
                <w:webHidden/>
              </w:rPr>
              <w:t>12</w:t>
            </w:r>
            <w:r>
              <w:rPr>
                <w:noProof/>
                <w:webHidden/>
              </w:rPr>
              <w:fldChar w:fldCharType="end"/>
            </w:r>
          </w:hyperlink>
        </w:p>
        <w:p w14:paraId="4C3D5172" w14:textId="44FCDC43" w:rsidR="00FD4ED5" w:rsidRDefault="00FD4ED5">
          <w:pPr>
            <w:pStyle w:val="TOC2"/>
            <w:tabs>
              <w:tab w:val="right" w:leader="dot" w:pos="9062"/>
            </w:tabs>
            <w:rPr>
              <w:rFonts w:eastAsiaTheme="minorEastAsia"/>
              <w:noProof/>
              <w:lang w:eastAsia="nl-NL"/>
            </w:rPr>
          </w:pPr>
          <w:hyperlink w:anchor="_Toc13061255" w:history="1">
            <w:r w:rsidRPr="00330580">
              <w:rPr>
                <w:rStyle w:val="Hyperlink"/>
                <w:rFonts w:ascii="Garamond" w:eastAsia="Calibri" w:hAnsi="Garamond" w:cstheme="majorBidi"/>
                <w:noProof/>
                <w:lang w:val="en-GB"/>
              </w:rPr>
              <w:t>The Assessment</w:t>
            </w:r>
            <w:r>
              <w:rPr>
                <w:noProof/>
                <w:webHidden/>
              </w:rPr>
              <w:tab/>
            </w:r>
            <w:r>
              <w:rPr>
                <w:noProof/>
                <w:webHidden/>
              </w:rPr>
              <w:fldChar w:fldCharType="begin"/>
            </w:r>
            <w:r>
              <w:rPr>
                <w:noProof/>
                <w:webHidden/>
              </w:rPr>
              <w:instrText xml:space="preserve"> PAGEREF _Toc13061255 \h </w:instrText>
            </w:r>
            <w:r>
              <w:rPr>
                <w:noProof/>
                <w:webHidden/>
              </w:rPr>
            </w:r>
            <w:r>
              <w:rPr>
                <w:noProof/>
                <w:webHidden/>
              </w:rPr>
              <w:fldChar w:fldCharType="separate"/>
            </w:r>
            <w:r>
              <w:rPr>
                <w:noProof/>
                <w:webHidden/>
              </w:rPr>
              <w:t>14</w:t>
            </w:r>
            <w:r>
              <w:rPr>
                <w:noProof/>
                <w:webHidden/>
              </w:rPr>
              <w:fldChar w:fldCharType="end"/>
            </w:r>
          </w:hyperlink>
        </w:p>
        <w:p w14:paraId="676A70A2" w14:textId="72C85C11" w:rsidR="00FD4ED5" w:rsidRDefault="00FD4ED5">
          <w:pPr>
            <w:pStyle w:val="TOC1"/>
            <w:tabs>
              <w:tab w:val="right" w:leader="dot" w:pos="9062"/>
            </w:tabs>
            <w:rPr>
              <w:rFonts w:eastAsiaTheme="minorEastAsia"/>
              <w:noProof/>
              <w:lang w:eastAsia="nl-NL"/>
            </w:rPr>
          </w:pPr>
          <w:hyperlink w:anchor="_Toc13061256" w:history="1">
            <w:r w:rsidRPr="00330580">
              <w:rPr>
                <w:rStyle w:val="Hyperlink"/>
                <w:rFonts w:ascii="Garamond" w:eastAsia="Calibri" w:hAnsi="Garamond" w:cstheme="majorBidi"/>
                <w:b/>
                <w:noProof/>
                <w:lang w:val="en-GB"/>
              </w:rPr>
              <w:t>Chapter 5: An Alternative Mode for Dealing with Difference</w:t>
            </w:r>
            <w:r>
              <w:rPr>
                <w:noProof/>
                <w:webHidden/>
              </w:rPr>
              <w:tab/>
            </w:r>
            <w:r>
              <w:rPr>
                <w:noProof/>
                <w:webHidden/>
              </w:rPr>
              <w:fldChar w:fldCharType="begin"/>
            </w:r>
            <w:r>
              <w:rPr>
                <w:noProof/>
                <w:webHidden/>
              </w:rPr>
              <w:instrText xml:space="preserve"> PAGEREF _Toc13061256 \h </w:instrText>
            </w:r>
            <w:r>
              <w:rPr>
                <w:noProof/>
                <w:webHidden/>
              </w:rPr>
            </w:r>
            <w:r>
              <w:rPr>
                <w:noProof/>
                <w:webHidden/>
              </w:rPr>
              <w:fldChar w:fldCharType="separate"/>
            </w:r>
            <w:r>
              <w:rPr>
                <w:noProof/>
                <w:webHidden/>
              </w:rPr>
              <w:t>18</w:t>
            </w:r>
            <w:r>
              <w:rPr>
                <w:noProof/>
                <w:webHidden/>
              </w:rPr>
              <w:fldChar w:fldCharType="end"/>
            </w:r>
          </w:hyperlink>
        </w:p>
        <w:p w14:paraId="796FD81B" w14:textId="18A50AB5" w:rsidR="00FD4ED5" w:rsidRDefault="00FD4ED5">
          <w:pPr>
            <w:pStyle w:val="TOC2"/>
            <w:tabs>
              <w:tab w:val="right" w:leader="dot" w:pos="9062"/>
            </w:tabs>
            <w:rPr>
              <w:rFonts w:eastAsiaTheme="minorEastAsia"/>
              <w:noProof/>
              <w:lang w:eastAsia="nl-NL"/>
            </w:rPr>
          </w:pPr>
          <w:hyperlink w:anchor="_Toc13061257" w:history="1">
            <w:r w:rsidRPr="00330580">
              <w:rPr>
                <w:rStyle w:val="Hyperlink"/>
                <w:rFonts w:ascii="Garamond" w:eastAsia="Calibri" w:hAnsi="Garamond" w:cstheme="majorBidi"/>
                <w:noProof/>
                <w:lang w:val="en-GB"/>
              </w:rPr>
              <w:t>A Civilized Interaction</w:t>
            </w:r>
            <w:r>
              <w:rPr>
                <w:noProof/>
                <w:webHidden/>
              </w:rPr>
              <w:tab/>
            </w:r>
            <w:r>
              <w:rPr>
                <w:noProof/>
                <w:webHidden/>
              </w:rPr>
              <w:fldChar w:fldCharType="begin"/>
            </w:r>
            <w:r>
              <w:rPr>
                <w:noProof/>
                <w:webHidden/>
              </w:rPr>
              <w:instrText xml:space="preserve"> PAGEREF _Toc13061257 \h </w:instrText>
            </w:r>
            <w:r>
              <w:rPr>
                <w:noProof/>
                <w:webHidden/>
              </w:rPr>
            </w:r>
            <w:r>
              <w:rPr>
                <w:noProof/>
                <w:webHidden/>
              </w:rPr>
              <w:fldChar w:fldCharType="separate"/>
            </w:r>
            <w:r>
              <w:rPr>
                <w:noProof/>
                <w:webHidden/>
              </w:rPr>
              <w:t>18</w:t>
            </w:r>
            <w:r>
              <w:rPr>
                <w:noProof/>
                <w:webHidden/>
              </w:rPr>
              <w:fldChar w:fldCharType="end"/>
            </w:r>
          </w:hyperlink>
        </w:p>
        <w:p w14:paraId="52C27B2B" w14:textId="4F8A2A4F" w:rsidR="00FD4ED5" w:rsidRDefault="00FD4ED5">
          <w:pPr>
            <w:pStyle w:val="TOC2"/>
            <w:tabs>
              <w:tab w:val="right" w:leader="dot" w:pos="9062"/>
            </w:tabs>
            <w:rPr>
              <w:rFonts w:eastAsiaTheme="minorEastAsia"/>
              <w:noProof/>
              <w:lang w:eastAsia="nl-NL"/>
            </w:rPr>
          </w:pPr>
          <w:hyperlink w:anchor="_Toc13061258" w:history="1">
            <w:r w:rsidRPr="00330580">
              <w:rPr>
                <w:rStyle w:val="Hyperlink"/>
                <w:rFonts w:ascii="Garamond" w:eastAsia="Calibri" w:hAnsi="Garamond" w:cstheme="majorBidi"/>
                <w:noProof/>
                <w:lang w:val="en-GB"/>
              </w:rPr>
              <w:t>The Importance of a Mediator</w:t>
            </w:r>
            <w:r>
              <w:rPr>
                <w:noProof/>
                <w:webHidden/>
              </w:rPr>
              <w:tab/>
            </w:r>
            <w:r>
              <w:rPr>
                <w:noProof/>
                <w:webHidden/>
              </w:rPr>
              <w:fldChar w:fldCharType="begin"/>
            </w:r>
            <w:r>
              <w:rPr>
                <w:noProof/>
                <w:webHidden/>
              </w:rPr>
              <w:instrText xml:space="preserve"> PAGEREF _Toc13061258 \h </w:instrText>
            </w:r>
            <w:r>
              <w:rPr>
                <w:noProof/>
                <w:webHidden/>
              </w:rPr>
            </w:r>
            <w:r>
              <w:rPr>
                <w:noProof/>
                <w:webHidden/>
              </w:rPr>
              <w:fldChar w:fldCharType="separate"/>
            </w:r>
            <w:r>
              <w:rPr>
                <w:noProof/>
                <w:webHidden/>
              </w:rPr>
              <w:t>19</w:t>
            </w:r>
            <w:r>
              <w:rPr>
                <w:noProof/>
                <w:webHidden/>
              </w:rPr>
              <w:fldChar w:fldCharType="end"/>
            </w:r>
          </w:hyperlink>
        </w:p>
        <w:p w14:paraId="09FC081A" w14:textId="11266C67" w:rsidR="00FD4ED5" w:rsidRDefault="00FD4ED5">
          <w:pPr>
            <w:pStyle w:val="TOC2"/>
            <w:tabs>
              <w:tab w:val="right" w:leader="dot" w:pos="9062"/>
            </w:tabs>
            <w:rPr>
              <w:rFonts w:eastAsiaTheme="minorEastAsia"/>
              <w:noProof/>
              <w:lang w:eastAsia="nl-NL"/>
            </w:rPr>
          </w:pPr>
          <w:hyperlink w:anchor="_Toc13061259" w:history="1">
            <w:r w:rsidRPr="00330580">
              <w:rPr>
                <w:rStyle w:val="Hyperlink"/>
                <w:rFonts w:ascii="Garamond" w:eastAsia="Calibri" w:hAnsi="Garamond" w:cstheme="majorBidi"/>
                <w:noProof/>
                <w:lang w:val="en-GB"/>
              </w:rPr>
              <w:t>Points of Criticism</w:t>
            </w:r>
            <w:r>
              <w:rPr>
                <w:noProof/>
                <w:webHidden/>
              </w:rPr>
              <w:tab/>
            </w:r>
            <w:r>
              <w:rPr>
                <w:noProof/>
                <w:webHidden/>
              </w:rPr>
              <w:fldChar w:fldCharType="begin"/>
            </w:r>
            <w:r>
              <w:rPr>
                <w:noProof/>
                <w:webHidden/>
              </w:rPr>
              <w:instrText xml:space="preserve"> PAGEREF _Toc13061259 \h </w:instrText>
            </w:r>
            <w:r>
              <w:rPr>
                <w:noProof/>
                <w:webHidden/>
              </w:rPr>
            </w:r>
            <w:r>
              <w:rPr>
                <w:noProof/>
                <w:webHidden/>
              </w:rPr>
              <w:fldChar w:fldCharType="separate"/>
            </w:r>
            <w:r>
              <w:rPr>
                <w:noProof/>
                <w:webHidden/>
              </w:rPr>
              <w:t>20</w:t>
            </w:r>
            <w:r>
              <w:rPr>
                <w:noProof/>
                <w:webHidden/>
              </w:rPr>
              <w:fldChar w:fldCharType="end"/>
            </w:r>
          </w:hyperlink>
        </w:p>
        <w:p w14:paraId="24CF7B01" w14:textId="39531F02" w:rsidR="00FD4ED5" w:rsidRDefault="00FD4ED5">
          <w:pPr>
            <w:pStyle w:val="TOC1"/>
            <w:tabs>
              <w:tab w:val="right" w:leader="dot" w:pos="9062"/>
            </w:tabs>
            <w:rPr>
              <w:rFonts w:eastAsiaTheme="minorEastAsia"/>
              <w:noProof/>
              <w:lang w:eastAsia="nl-NL"/>
            </w:rPr>
          </w:pPr>
          <w:hyperlink w:anchor="_Toc13061260" w:history="1">
            <w:r w:rsidRPr="00330580">
              <w:rPr>
                <w:rStyle w:val="Hyperlink"/>
                <w:rFonts w:ascii="Garamond" w:eastAsiaTheme="majorEastAsia" w:hAnsi="Garamond" w:cstheme="majorBidi"/>
                <w:b/>
                <w:noProof/>
                <w:lang w:val="en-GB"/>
              </w:rPr>
              <w:t>Chapter 6: Realizing Interaction</w:t>
            </w:r>
            <w:r>
              <w:rPr>
                <w:noProof/>
                <w:webHidden/>
              </w:rPr>
              <w:tab/>
            </w:r>
            <w:r>
              <w:rPr>
                <w:noProof/>
                <w:webHidden/>
              </w:rPr>
              <w:fldChar w:fldCharType="begin"/>
            </w:r>
            <w:r>
              <w:rPr>
                <w:noProof/>
                <w:webHidden/>
              </w:rPr>
              <w:instrText xml:space="preserve"> PAGEREF _Toc13061260 \h </w:instrText>
            </w:r>
            <w:r>
              <w:rPr>
                <w:noProof/>
                <w:webHidden/>
              </w:rPr>
            </w:r>
            <w:r>
              <w:rPr>
                <w:noProof/>
                <w:webHidden/>
              </w:rPr>
              <w:fldChar w:fldCharType="separate"/>
            </w:r>
            <w:r>
              <w:rPr>
                <w:noProof/>
                <w:webHidden/>
              </w:rPr>
              <w:t>22</w:t>
            </w:r>
            <w:r>
              <w:rPr>
                <w:noProof/>
                <w:webHidden/>
              </w:rPr>
              <w:fldChar w:fldCharType="end"/>
            </w:r>
          </w:hyperlink>
        </w:p>
        <w:p w14:paraId="46AE999F" w14:textId="768CFCF7" w:rsidR="00FD4ED5" w:rsidRDefault="00FD4ED5">
          <w:pPr>
            <w:pStyle w:val="TOC2"/>
            <w:tabs>
              <w:tab w:val="right" w:leader="dot" w:pos="9062"/>
            </w:tabs>
            <w:rPr>
              <w:rFonts w:eastAsiaTheme="minorEastAsia"/>
              <w:noProof/>
              <w:lang w:eastAsia="nl-NL"/>
            </w:rPr>
          </w:pPr>
          <w:hyperlink w:anchor="_Toc13061261" w:history="1">
            <w:r w:rsidRPr="00330580">
              <w:rPr>
                <w:rStyle w:val="Hyperlink"/>
                <w:rFonts w:ascii="Garamond" w:eastAsiaTheme="majorEastAsia" w:hAnsi="Garamond" w:cstheme="majorBidi"/>
                <w:noProof/>
                <w:lang w:val="en-GB"/>
              </w:rPr>
              <w:t>The Necessity of Spatial Integration</w:t>
            </w:r>
            <w:r>
              <w:rPr>
                <w:noProof/>
                <w:webHidden/>
              </w:rPr>
              <w:tab/>
            </w:r>
            <w:r>
              <w:rPr>
                <w:noProof/>
                <w:webHidden/>
              </w:rPr>
              <w:fldChar w:fldCharType="begin"/>
            </w:r>
            <w:r>
              <w:rPr>
                <w:noProof/>
                <w:webHidden/>
              </w:rPr>
              <w:instrText xml:space="preserve"> PAGEREF _Toc13061261 \h </w:instrText>
            </w:r>
            <w:r>
              <w:rPr>
                <w:noProof/>
                <w:webHidden/>
              </w:rPr>
            </w:r>
            <w:r>
              <w:rPr>
                <w:noProof/>
                <w:webHidden/>
              </w:rPr>
              <w:fldChar w:fldCharType="separate"/>
            </w:r>
            <w:r>
              <w:rPr>
                <w:noProof/>
                <w:webHidden/>
              </w:rPr>
              <w:t>22</w:t>
            </w:r>
            <w:r>
              <w:rPr>
                <w:noProof/>
                <w:webHidden/>
              </w:rPr>
              <w:fldChar w:fldCharType="end"/>
            </w:r>
          </w:hyperlink>
        </w:p>
        <w:p w14:paraId="334854CF" w14:textId="44CE3626" w:rsidR="00FD4ED5" w:rsidRDefault="00FD4ED5">
          <w:pPr>
            <w:pStyle w:val="TOC2"/>
            <w:tabs>
              <w:tab w:val="right" w:leader="dot" w:pos="9062"/>
            </w:tabs>
            <w:rPr>
              <w:rFonts w:eastAsiaTheme="minorEastAsia"/>
              <w:noProof/>
              <w:lang w:eastAsia="nl-NL"/>
            </w:rPr>
          </w:pPr>
          <w:hyperlink w:anchor="_Toc13061262" w:history="1">
            <w:r w:rsidRPr="00330580">
              <w:rPr>
                <w:rStyle w:val="Hyperlink"/>
                <w:rFonts w:ascii="Garamond" w:eastAsia="Calibri" w:hAnsi="Garamond" w:cstheme="majorBidi"/>
                <w:noProof/>
                <w:lang w:val="en-GB"/>
              </w:rPr>
              <w:t>Neighbourhood Organizations as Mediators for Social Integration</w:t>
            </w:r>
            <w:r>
              <w:rPr>
                <w:noProof/>
                <w:webHidden/>
              </w:rPr>
              <w:tab/>
            </w:r>
            <w:r>
              <w:rPr>
                <w:noProof/>
                <w:webHidden/>
              </w:rPr>
              <w:fldChar w:fldCharType="begin"/>
            </w:r>
            <w:r>
              <w:rPr>
                <w:noProof/>
                <w:webHidden/>
              </w:rPr>
              <w:instrText xml:space="preserve"> PAGEREF _Toc13061262 \h </w:instrText>
            </w:r>
            <w:r>
              <w:rPr>
                <w:noProof/>
                <w:webHidden/>
              </w:rPr>
            </w:r>
            <w:r>
              <w:rPr>
                <w:noProof/>
                <w:webHidden/>
              </w:rPr>
              <w:fldChar w:fldCharType="separate"/>
            </w:r>
            <w:r>
              <w:rPr>
                <w:noProof/>
                <w:webHidden/>
              </w:rPr>
              <w:t>24</w:t>
            </w:r>
            <w:r>
              <w:rPr>
                <w:noProof/>
                <w:webHidden/>
              </w:rPr>
              <w:fldChar w:fldCharType="end"/>
            </w:r>
          </w:hyperlink>
        </w:p>
        <w:p w14:paraId="78EA6030" w14:textId="4AE884C9" w:rsidR="00FD4ED5" w:rsidRDefault="00FD4ED5">
          <w:pPr>
            <w:pStyle w:val="TOC1"/>
            <w:tabs>
              <w:tab w:val="right" w:leader="dot" w:pos="9062"/>
            </w:tabs>
            <w:rPr>
              <w:rFonts w:eastAsiaTheme="minorEastAsia"/>
              <w:noProof/>
              <w:lang w:eastAsia="nl-NL"/>
            </w:rPr>
          </w:pPr>
          <w:hyperlink w:anchor="_Toc13061263" w:history="1">
            <w:r w:rsidRPr="00330580">
              <w:rPr>
                <w:rStyle w:val="Hyperlink"/>
                <w:rFonts w:ascii="Garamond" w:hAnsi="Garamond"/>
                <w:b/>
                <w:noProof/>
                <w:lang w:val="en-GB"/>
              </w:rPr>
              <w:t>Chapter 7: Conclusion</w:t>
            </w:r>
            <w:r>
              <w:rPr>
                <w:noProof/>
                <w:webHidden/>
              </w:rPr>
              <w:tab/>
            </w:r>
            <w:r>
              <w:rPr>
                <w:noProof/>
                <w:webHidden/>
              </w:rPr>
              <w:fldChar w:fldCharType="begin"/>
            </w:r>
            <w:r>
              <w:rPr>
                <w:noProof/>
                <w:webHidden/>
              </w:rPr>
              <w:instrText xml:space="preserve"> PAGEREF _Toc13061263 \h </w:instrText>
            </w:r>
            <w:r>
              <w:rPr>
                <w:noProof/>
                <w:webHidden/>
              </w:rPr>
            </w:r>
            <w:r>
              <w:rPr>
                <w:noProof/>
                <w:webHidden/>
              </w:rPr>
              <w:fldChar w:fldCharType="separate"/>
            </w:r>
            <w:r>
              <w:rPr>
                <w:noProof/>
                <w:webHidden/>
              </w:rPr>
              <w:t>27</w:t>
            </w:r>
            <w:r>
              <w:rPr>
                <w:noProof/>
                <w:webHidden/>
              </w:rPr>
              <w:fldChar w:fldCharType="end"/>
            </w:r>
          </w:hyperlink>
        </w:p>
        <w:p w14:paraId="52790D38" w14:textId="34EF9BD4" w:rsidR="00FD4ED5" w:rsidRDefault="00FD4ED5">
          <w:pPr>
            <w:pStyle w:val="TOC1"/>
            <w:tabs>
              <w:tab w:val="right" w:leader="dot" w:pos="9062"/>
            </w:tabs>
            <w:rPr>
              <w:rFonts w:eastAsiaTheme="minorEastAsia"/>
              <w:noProof/>
              <w:lang w:eastAsia="nl-NL"/>
            </w:rPr>
          </w:pPr>
          <w:hyperlink w:anchor="_Toc13061264" w:history="1">
            <w:r w:rsidRPr="00330580">
              <w:rPr>
                <w:rStyle w:val="Hyperlink"/>
                <w:rFonts w:ascii="Garamond" w:hAnsi="Garamond"/>
                <w:b/>
                <w:noProof/>
                <w:lang w:val="en-GB"/>
              </w:rPr>
              <w:t>Bibliography</w:t>
            </w:r>
            <w:r>
              <w:rPr>
                <w:noProof/>
                <w:webHidden/>
              </w:rPr>
              <w:tab/>
            </w:r>
            <w:r>
              <w:rPr>
                <w:noProof/>
                <w:webHidden/>
              </w:rPr>
              <w:fldChar w:fldCharType="begin"/>
            </w:r>
            <w:r>
              <w:rPr>
                <w:noProof/>
                <w:webHidden/>
              </w:rPr>
              <w:instrText xml:space="preserve"> PAGEREF _Toc13061264 \h </w:instrText>
            </w:r>
            <w:r>
              <w:rPr>
                <w:noProof/>
                <w:webHidden/>
              </w:rPr>
            </w:r>
            <w:r>
              <w:rPr>
                <w:noProof/>
                <w:webHidden/>
              </w:rPr>
              <w:fldChar w:fldCharType="separate"/>
            </w:r>
            <w:r>
              <w:rPr>
                <w:noProof/>
                <w:webHidden/>
              </w:rPr>
              <w:t>29</w:t>
            </w:r>
            <w:r>
              <w:rPr>
                <w:noProof/>
                <w:webHidden/>
              </w:rPr>
              <w:fldChar w:fldCharType="end"/>
            </w:r>
          </w:hyperlink>
        </w:p>
        <w:p w14:paraId="7B63EDA0" w14:textId="6739D281" w:rsidR="00FD4ED5" w:rsidRDefault="00FD4ED5">
          <w:r>
            <w:rPr>
              <w:b/>
              <w:bCs/>
              <w:noProof/>
            </w:rPr>
            <w:fldChar w:fldCharType="end"/>
          </w:r>
        </w:p>
      </w:sdtContent>
    </w:sdt>
    <w:p w14:paraId="4126457C" w14:textId="77777777" w:rsidR="00FD4ED5" w:rsidRDefault="00FD4ED5">
      <w:pPr>
        <w:rPr>
          <w:rFonts w:ascii="Garamond" w:eastAsiaTheme="majorEastAsia" w:hAnsi="Garamond" w:cstheme="majorBidi"/>
          <w:b/>
          <w:color w:val="000000" w:themeColor="text1"/>
          <w:sz w:val="36"/>
          <w:szCs w:val="36"/>
          <w:lang w:val="en-GB"/>
        </w:rPr>
      </w:pPr>
      <w:bookmarkStart w:id="5" w:name="_GoBack"/>
      <w:bookmarkEnd w:id="5"/>
      <w:r>
        <w:rPr>
          <w:rFonts w:ascii="Garamond" w:eastAsiaTheme="majorEastAsia" w:hAnsi="Garamond" w:cstheme="majorBidi"/>
          <w:b/>
          <w:color w:val="000000" w:themeColor="text1"/>
          <w:sz w:val="36"/>
          <w:szCs w:val="36"/>
          <w:lang w:val="en-GB"/>
        </w:rPr>
        <w:br w:type="page"/>
      </w:r>
    </w:p>
    <w:p w14:paraId="05F42E54" w14:textId="39F683AD" w:rsidR="00790DEC" w:rsidRPr="006250C0" w:rsidRDefault="00790DEC" w:rsidP="002E07B1">
      <w:pPr>
        <w:keepNext/>
        <w:keepLines/>
        <w:spacing w:before="240" w:after="0"/>
        <w:jc w:val="both"/>
        <w:outlineLvl w:val="0"/>
        <w:rPr>
          <w:rFonts w:ascii="Garamond" w:eastAsiaTheme="majorEastAsia" w:hAnsi="Garamond" w:cstheme="majorBidi"/>
          <w:color w:val="2E74B5" w:themeColor="accent1" w:themeShade="BF"/>
          <w:sz w:val="24"/>
          <w:szCs w:val="24"/>
          <w:lang w:val="en-GB"/>
        </w:rPr>
      </w:pPr>
      <w:bookmarkStart w:id="6" w:name="_Toc13061245"/>
      <w:r w:rsidRPr="006250C0">
        <w:rPr>
          <w:rFonts w:ascii="Garamond" w:eastAsiaTheme="majorEastAsia" w:hAnsi="Garamond" w:cstheme="majorBidi"/>
          <w:b/>
          <w:color w:val="000000" w:themeColor="text1"/>
          <w:sz w:val="36"/>
          <w:szCs w:val="36"/>
          <w:lang w:val="en-GB"/>
        </w:rPr>
        <w:lastRenderedPageBreak/>
        <w:t>C</w:t>
      </w:r>
      <w:r w:rsidR="00FD4ED5">
        <w:rPr>
          <w:rFonts w:ascii="Garamond" w:eastAsiaTheme="majorEastAsia" w:hAnsi="Garamond" w:cstheme="majorBidi"/>
          <w:b/>
          <w:color w:val="000000" w:themeColor="text1"/>
          <w:sz w:val="36"/>
          <w:szCs w:val="36"/>
          <w:lang w:val="en-GB"/>
        </w:rPr>
        <w:t>hapter 1: Introduction. How to Respond to the Complexities of Multicultural S</w:t>
      </w:r>
      <w:r w:rsidRPr="006250C0">
        <w:rPr>
          <w:rFonts w:ascii="Garamond" w:eastAsiaTheme="majorEastAsia" w:hAnsi="Garamond" w:cstheme="majorBidi"/>
          <w:b/>
          <w:color w:val="000000" w:themeColor="text1"/>
          <w:sz w:val="36"/>
          <w:szCs w:val="36"/>
          <w:lang w:val="en-GB"/>
        </w:rPr>
        <w:t>ociety?</w:t>
      </w:r>
      <w:bookmarkEnd w:id="0"/>
      <w:bookmarkEnd w:id="1"/>
      <w:bookmarkEnd w:id="6"/>
      <w:r w:rsidRPr="006250C0">
        <w:rPr>
          <w:rFonts w:ascii="Garamond" w:eastAsiaTheme="majorEastAsia" w:hAnsi="Garamond" w:cstheme="majorBidi"/>
          <w:b/>
          <w:color w:val="000000" w:themeColor="text1"/>
          <w:sz w:val="36"/>
          <w:szCs w:val="36"/>
          <w:lang w:val="en-GB"/>
        </w:rPr>
        <w:t xml:space="preserve"> </w:t>
      </w:r>
    </w:p>
    <w:p w14:paraId="7AC0CF9A" w14:textId="47F5B1FC" w:rsidR="00790DEC" w:rsidRPr="006250C0" w:rsidRDefault="00790DEC" w:rsidP="002E07B1">
      <w:pPr>
        <w:jc w:val="both"/>
        <w:rPr>
          <w:rFonts w:ascii="Garamond" w:hAnsi="Garamond"/>
          <w:b/>
          <w:sz w:val="24"/>
          <w:szCs w:val="24"/>
          <w:lang w:val="en-GB"/>
        </w:rPr>
      </w:pPr>
      <w:r w:rsidRPr="006250C0">
        <w:rPr>
          <w:rFonts w:ascii="Garamond" w:hAnsi="Garamond"/>
          <w:sz w:val="24"/>
          <w:szCs w:val="24"/>
          <w:lang w:val="en-GB"/>
        </w:rPr>
        <w:t>The feasibility of the multicultural society has increasingly become a point of discussion in recent years. There is a rise of far-right parties that perceive multiculturalism as a threat to social cohesion and local cultural values (</w:t>
      </w:r>
      <w:proofErr w:type="spellStart"/>
      <w:r w:rsidRPr="006250C0">
        <w:rPr>
          <w:rFonts w:ascii="Garamond" w:hAnsi="Garamond"/>
          <w:sz w:val="24"/>
          <w:szCs w:val="24"/>
          <w:lang w:val="en-GB"/>
        </w:rPr>
        <w:t>Bloemraad</w:t>
      </w:r>
      <w:proofErr w:type="spellEnd"/>
      <w:r w:rsidRPr="006250C0">
        <w:rPr>
          <w:rFonts w:ascii="Garamond" w:hAnsi="Garamond"/>
          <w:sz w:val="24"/>
          <w:szCs w:val="24"/>
          <w:lang w:val="en-GB"/>
        </w:rPr>
        <w:t xml:space="preserve">, 2011). An example of such a party is the far-right Freedom Party of Dutch politician Geert Wilders. More mainstream political figures, like Angela Merkel and Nicolas Sarkozy, have expressed their doubts concerning the success of multicultural society. In the summer of 2018, Stef Blok, the Dutch minister of foreign affairs, was caught on video proclaiming that examples of successful and peaceful multicultural societies do not exist (Nu.nl, 2018, 18 July). In recent years, these positions have become more extreme and have led to conflict and violence. </w:t>
      </w:r>
    </w:p>
    <w:p w14:paraId="51E95143" w14:textId="54A8332B"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A good example of the emergence of such extreme positions is the alt-right group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is an organization that was originally founded in Germ</w:t>
      </w:r>
      <w:r w:rsidR="009235B9">
        <w:rPr>
          <w:rFonts w:ascii="Garamond" w:hAnsi="Garamond"/>
          <w:color w:val="000000" w:themeColor="text1"/>
          <w:sz w:val="24"/>
          <w:szCs w:val="24"/>
          <w:lang w:val="en-GB"/>
        </w:rPr>
        <w:t>any (Nu.nl, 2015, 11 October). In 201</w:t>
      </w:r>
      <w:r w:rsidR="009F5EC3">
        <w:rPr>
          <w:rFonts w:ascii="Garamond" w:hAnsi="Garamond"/>
          <w:color w:val="000000" w:themeColor="text1"/>
          <w:sz w:val="24"/>
          <w:szCs w:val="24"/>
          <w:lang w:val="en-GB"/>
        </w:rPr>
        <w:t>4,</w:t>
      </w:r>
      <w:r w:rsidR="00536C51">
        <w:rPr>
          <w:rFonts w:ascii="Garamond" w:hAnsi="Garamond"/>
          <w:color w:val="000000" w:themeColor="text1"/>
          <w:sz w:val="24"/>
          <w:szCs w:val="24"/>
          <w:lang w:val="en-GB"/>
        </w:rPr>
        <w:t xml:space="preserve"> </w:t>
      </w:r>
      <w:proofErr w:type="spellStart"/>
      <w:r w:rsidR="00536C51">
        <w:rPr>
          <w:rFonts w:ascii="Garamond" w:hAnsi="Garamond"/>
          <w:color w:val="000000" w:themeColor="text1"/>
          <w:sz w:val="24"/>
          <w:szCs w:val="24"/>
          <w:lang w:val="en-GB"/>
        </w:rPr>
        <w:t>Pegida</w:t>
      </w:r>
      <w:proofErr w:type="spellEnd"/>
      <w:r w:rsidR="00536C51">
        <w:rPr>
          <w:rFonts w:ascii="Garamond" w:hAnsi="Garamond"/>
          <w:color w:val="000000" w:themeColor="text1"/>
          <w:sz w:val="24"/>
          <w:szCs w:val="24"/>
          <w:lang w:val="en-GB"/>
        </w:rPr>
        <w:t xml:space="preserve"> </w:t>
      </w:r>
      <w:r w:rsidRPr="006250C0">
        <w:rPr>
          <w:rFonts w:ascii="Garamond" w:hAnsi="Garamond"/>
          <w:color w:val="000000" w:themeColor="text1"/>
          <w:sz w:val="24"/>
          <w:szCs w:val="24"/>
          <w:lang w:val="en-GB"/>
        </w:rPr>
        <w:t xml:space="preserve">also founded a Dutch branch.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stands for </w:t>
      </w:r>
      <w:proofErr w:type="spellStart"/>
      <w:r w:rsidRPr="006250C0">
        <w:rPr>
          <w:rFonts w:ascii="Garamond" w:hAnsi="Garamond"/>
          <w:color w:val="000000" w:themeColor="text1"/>
          <w:sz w:val="24"/>
          <w:szCs w:val="24"/>
          <w:lang w:val="en-GB"/>
        </w:rPr>
        <w:t>Patriotische</w:t>
      </w:r>
      <w:proofErr w:type="spellEnd"/>
      <w:r w:rsidRPr="006250C0">
        <w:rPr>
          <w:rFonts w:ascii="Garamond" w:hAnsi="Garamond"/>
          <w:color w:val="000000" w:themeColor="text1"/>
          <w:sz w:val="24"/>
          <w:szCs w:val="24"/>
          <w:lang w:val="en-GB"/>
        </w:rPr>
        <w:t xml:space="preserve"> </w:t>
      </w:r>
      <w:proofErr w:type="spellStart"/>
      <w:r w:rsidRPr="006250C0">
        <w:rPr>
          <w:rFonts w:ascii="Garamond" w:hAnsi="Garamond"/>
          <w:color w:val="000000" w:themeColor="text1"/>
          <w:sz w:val="24"/>
          <w:szCs w:val="24"/>
          <w:lang w:val="en-GB"/>
        </w:rPr>
        <w:t>Europäer</w:t>
      </w:r>
      <w:proofErr w:type="spellEnd"/>
      <w:r w:rsidRPr="006250C0">
        <w:rPr>
          <w:rFonts w:ascii="Garamond" w:hAnsi="Garamond"/>
          <w:color w:val="000000" w:themeColor="text1"/>
          <w:sz w:val="24"/>
          <w:szCs w:val="24"/>
          <w:lang w:val="en-GB"/>
        </w:rPr>
        <w:t xml:space="preserve"> </w:t>
      </w:r>
      <w:proofErr w:type="spellStart"/>
      <w:r w:rsidRPr="006250C0">
        <w:rPr>
          <w:rFonts w:ascii="Garamond" w:hAnsi="Garamond"/>
          <w:color w:val="000000" w:themeColor="text1"/>
          <w:sz w:val="24"/>
          <w:szCs w:val="24"/>
          <w:lang w:val="en-GB"/>
        </w:rPr>
        <w:t>gegen</w:t>
      </w:r>
      <w:proofErr w:type="spellEnd"/>
      <w:r w:rsidRPr="006250C0">
        <w:rPr>
          <w:rFonts w:ascii="Garamond" w:hAnsi="Garamond"/>
          <w:color w:val="000000" w:themeColor="text1"/>
          <w:sz w:val="24"/>
          <w:szCs w:val="24"/>
          <w:lang w:val="en-GB"/>
        </w:rPr>
        <w:t xml:space="preserve"> die </w:t>
      </w:r>
      <w:proofErr w:type="spellStart"/>
      <w:r w:rsidRPr="006250C0">
        <w:rPr>
          <w:rFonts w:ascii="Garamond" w:hAnsi="Garamond"/>
          <w:color w:val="000000" w:themeColor="text1"/>
          <w:sz w:val="24"/>
          <w:szCs w:val="24"/>
          <w:lang w:val="en-GB"/>
        </w:rPr>
        <w:t>Islamisierung</w:t>
      </w:r>
      <w:proofErr w:type="spellEnd"/>
      <w:r w:rsidRPr="006250C0">
        <w:rPr>
          <w:rFonts w:ascii="Garamond" w:hAnsi="Garamond"/>
          <w:color w:val="000000" w:themeColor="text1"/>
          <w:sz w:val="24"/>
          <w:szCs w:val="24"/>
          <w:lang w:val="en-GB"/>
        </w:rPr>
        <w:t xml:space="preserve"> des </w:t>
      </w:r>
      <w:proofErr w:type="spellStart"/>
      <w:r w:rsidRPr="006250C0">
        <w:rPr>
          <w:rFonts w:ascii="Garamond" w:hAnsi="Garamond"/>
          <w:color w:val="000000" w:themeColor="text1"/>
          <w:sz w:val="24"/>
          <w:szCs w:val="24"/>
          <w:lang w:val="en-GB"/>
        </w:rPr>
        <w:t>Abendlandes</w:t>
      </w:r>
      <w:proofErr w:type="spellEnd"/>
      <w:r w:rsidRPr="006250C0">
        <w:rPr>
          <w:rFonts w:ascii="Garamond" w:hAnsi="Garamond"/>
          <w:color w:val="000000" w:themeColor="text1"/>
          <w:sz w:val="24"/>
          <w:szCs w:val="24"/>
          <w:lang w:val="en-GB"/>
        </w:rPr>
        <w:t xml:space="preserve">, which translates to the Patriotic Europeans against the Islamization of the Occident (ibid.). The party believes that foreign influences, especially those from an Islamic nature, pose a threat to western society and its liberal values (NOS, 2019, 4 June). Some of </w:t>
      </w:r>
      <w:proofErr w:type="spellStart"/>
      <w:r w:rsidRPr="006250C0">
        <w:rPr>
          <w:rFonts w:ascii="Garamond" w:hAnsi="Garamond"/>
          <w:color w:val="000000" w:themeColor="text1"/>
          <w:sz w:val="24"/>
          <w:szCs w:val="24"/>
          <w:lang w:val="en-GB"/>
        </w:rPr>
        <w:t>Pegida’s</w:t>
      </w:r>
      <w:proofErr w:type="spellEnd"/>
      <w:r w:rsidRPr="006250C0">
        <w:rPr>
          <w:rFonts w:ascii="Garamond" w:hAnsi="Garamond"/>
          <w:color w:val="000000" w:themeColor="text1"/>
          <w:sz w:val="24"/>
          <w:szCs w:val="24"/>
          <w:lang w:val="en-GB"/>
        </w:rPr>
        <w:t xml:space="preserve"> main goals are to close mosques and Islamic schools and to reduce the number of foreigners that immigrate to the Netherlands (Nu.nl, 2015, 11 October). </w:t>
      </w:r>
    </w:p>
    <w:p w14:paraId="7EDF5D2A" w14:textId="4614D8E9" w:rsidR="00790DEC" w:rsidRPr="006250C0" w:rsidRDefault="00790DEC" w:rsidP="002E07B1">
      <w:pPr>
        <w:jc w:val="both"/>
        <w:rPr>
          <w:rFonts w:ascii="Garamond" w:hAnsi="Garamond"/>
          <w:color w:val="000000" w:themeColor="text1"/>
          <w:sz w:val="24"/>
          <w:szCs w:val="24"/>
          <w:lang w:val="en-GB"/>
        </w:rPr>
      </w:pP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organizes protests throughout the country. However, their protests are often not allowed by local municipalities in </w:t>
      </w:r>
      <w:r w:rsidR="00B516B3">
        <w:rPr>
          <w:rFonts w:ascii="Garamond" w:hAnsi="Garamond"/>
          <w:color w:val="000000" w:themeColor="text1"/>
          <w:sz w:val="24"/>
          <w:szCs w:val="24"/>
          <w:lang w:val="en-GB"/>
        </w:rPr>
        <w:t xml:space="preserve">order to keep the peace. </w:t>
      </w:r>
      <w:proofErr w:type="spellStart"/>
      <w:r w:rsidR="00B516B3">
        <w:rPr>
          <w:rFonts w:ascii="Garamond" w:hAnsi="Garamond"/>
          <w:color w:val="000000" w:themeColor="text1"/>
          <w:sz w:val="24"/>
          <w:szCs w:val="24"/>
          <w:lang w:val="en-GB"/>
        </w:rPr>
        <w:t>Pegida’</w:t>
      </w:r>
      <w:r w:rsidRPr="006250C0">
        <w:rPr>
          <w:rFonts w:ascii="Garamond" w:hAnsi="Garamond"/>
          <w:color w:val="000000" w:themeColor="text1"/>
          <w:sz w:val="24"/>
          <w:szCs w:val="24"/>
          <w:lang w:val="en-GB"/>
        </w:rPr>
        <w:t>s</w:t>
      </w:r>
      <w:proofErr w:type="spellEnd"/>
      <w:r w:rsidRPr="006250C0">
        <w:rPr>
          <w:rFonts w:ascii="Garamond" w:hAnsi="Garamond"/>
          <w:color w:val="000000" w:themeColor="text1"/>
          <w:sz w:val="24"/>
          <w:szCs w:val="24"/>
          <w:lang w:val="en-GB"/>
        </w:rPr>
        <w:t xml:space="preserve"> methods of protest are controversial and provocative. For example, during the period of Ramadan in 2018, they wanted to roast pigs in front of mosques (NOS, 2019, 4 June). However, the municipalities did not give them permission to do so (ibid.). The protests have often led to confrontations with the Islamic community. On 15</w:t>
      </w:r>
      <w:r w:rsidRPr="006250C0">
        <w:rPr>
          <w:rFonts w:ascii="Garamond" w:hAnsi="Garamond"/>
          <w:color w:val="000000" w:themeColor="text1"/>
          <w:sz w:val="24"/>
          <w:szCs w:val="24"/>
          <w:vertAlign w:val="superscript"/>
          <w:lang w:val="en-GB"/>
        </w:rPr>
        <w:t xml:space="preserve"> </w:t>
      </w:r>
      <w:r w:rsidRPr="006250C0">
        <w:rPr>
          <w:rFonts w:ascii="Garamond" w:hAnsi="Garamond"/>
          <w:color w:val="000000" w:themeColor="text1"/>
          <w:sz w:val="24"/>
          <w:szCs w:val="24"/>
          <w:lang w:val="en-GB"/>
        </w:rPr>
        <w:t xml:space="preserve">July 2019, members of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fled when they were attacked by local residents outside the Al </w:t>
      </w:r>
      <w:proofErr w:type="spellStart"/>
      <w:r w:rsidRPr="006250C0">
        <w:rPr>
          <w:rFonts w:ascii="Garamond" w:hAnsi="Garamond"/>
          <w:color w:val="000000" w:themeColor="text1"/>
          <w:sz w:val="24"/>
          <w:szCs w:val="24"/>
          <w:lang w:val="en-GB"/>
        </w:rPr>
        <w:t>Fouryaan</w:t>
      </w:r>
      <w:proofErr w:type="spellEnd"/>
      <w:r w:rsidRPr="006250C0">
        <w:rPr>
          <w:rFonts w:ascii="Garamond" w:hAnsi="Garamond"/>
          <w:color w:val="000000" w:themeColor="text1"/>
          <w:sz w:val="24"/>
          <w:szCs w:val="24"/>
          <w:lang w:val="en-GB"/>
        </w:rPr>
        <w:t xml:space="preserve"> mosque in Eindhoven (</w:t>
      </w:r>
      <w:proofErr w:type="spellStart"/>
      <w:r w:rsidRPr="006250C0">
        <w:rPr>
          <w:rFonts w:ascii="Garamond" w:hAnsi="Garamond"/>
          <w:color w:val="000000" w:themeColor="text1"/>
          <w:sz w:val="24"/>
          <w:szCs w:val="24"/>
          <w:lang w:val="en-GB"/>
        </w:rPr>
        <w:t>Ritzen</w:t>
      </w:r>
      <w:proofErr w:type="spellEnd"/>
      <w:r w:rsidRPr="006250C0">
        <w:rPr>
          <w:rFonts w:ascii="Garamond" w:hAnsi="Garamond"/>
          <w:color w:val="000000" w:themeColor="text1"/>
          <w:sz w:val="24"/>
          <w:szCs w:val="24"/>
          <w:lang w:val="en-GB"/>
        </w:rPr>
        <w:t xml:space="preserve">, 2018, 15 June). On another occasion in the city of </w:t>
      </w:r>
      <w:proofErr w:type="spellStart"/>
      <w:r w:rsidRPr="006250C0">
        <w:rPr>
          <w:rFonts w:ascii="Garamond" w:hAnsi="Garamond"/>
          <w:color w:val="000000" w:themeColor="text1"/>
          <w:sz w:val="24"/>
          <w:szCs w:val="24"/>
          <w:lang w:val="en-GB"/>
        </w:rPr>
        <w:t>Enschede</w:t>
      </w:r>
      <w:proofErr w:type="spellEnd"/>
      <w:r w:rsidRPr="006250C0">
        <w:rPr>
          <w:rFonts w:ascii="Garamond" w:hAnsi="Garamond"/>
          <w:color w:val="000000" w:themeColor="text1"/>
          <w:sz w:val="24"/>
          <w:szCs w:val="24"/>
          <w:lang w:val="en-GB"/>
        </w:rPr>
        <w:t xml:space="preserve">, a demonstration of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led to a confrontation with extreme leftist group </w:t>
      </w:r>
      <w:proofErr w:type="spellStart"/>
      <w:r w:rsidRPr="006250C0">
        <w:rPr>
          <w:rFonts w:ascii="Garamond" w:hAnsi="Garamond"/>
          <w:color w:val="000000" w:themeColor="text1"/>
          <w:sz w:val="24"/>
          <w:szCs w:val="24"/>
          <w:lang w:val="en-GB"/>
        </w:rPr>
        <w:t>Antifa</w:t>
      </w:r>
      <w:proofErr w:type="spellEnd"/>
      <w:r w:rsidRPr="006250C0">
        <w:rPr>
          <w:rFonts w:ascii="Garamond" w:hAnsi="Garamond"/>
          <w:color w:val="000000" w:themeColor="text1"/>
          <w:sz w:val="24"/>
          <w:szCs w:val="24"/>
          <w:lang w:val="en-GB"/>
        </w:rPr>
        <w:t xml:space="preserve"> (Van der Bas, 2017, 17 September). </w:t>
      </w:r>
    </w:p>
    <w:p w14:paraId="5A060EB0" w14:textId="3C629443"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I argue that these acts of polarization contribute little to a constructive response to the complexities of multicultural society. Multicultural society is a fact and ethnic minorities are legal western citizens. Migration to the west will continue to increase, which is also beneficial for western countries with their aging population (</w:t>
      </w:r>
      <w:r w:rsidRPr="006250C0">
        <w:rPr>
          <w:rFonts w:ascii="Garamond" w:eastAsia="Calibri" w:hAnsi="Garamond" w:cs="Times New Roman"/>
          <w:color w:val="000000" w:themeColor="text1"/>
          <w:sz w:val="24"/>
          <w:szCs w:val="24"/>
          <w:lang w:val="en-GB"/>
        </w:rPr>
        <w:t>Castles &amp; Miller, 2003, 8</w:t>
      </w:r>
      <w:r w:rsidR="002E07B1">
        <w:rPr>
          <w:rFonts w:ascii="Garamond" w:hAnsi="Garamond"/>
          <w:color w:val="000000" w:themeColor="text1"/>
          <w:sz w:val="24"/>
          <w:szCs w:val="24"/>
          <w:lang w:val="en-GB"/>
        </w:rPr>
        <w:t>). N</w:t>
      </w:r>
      <w:r w:rsidRPr="006250C0">
        <w:rPr>
          <w:rFonts w:ascii="Garamond" w:hAnsi="Garamond"/>
          <w:color w:val="000000" w:themeColor="text1"/>
          <w:sz w:val="24"/>
          <w:szCs w:val="24"/>
          <w:lang w:val="en-GB"/>
        </w:rPr>
        <w:t xml:space="preserve">othing </w:t>
      </w:r>
      <w:r w:rsidR="002E07B1">
        <w:rPr>
          <w:rFonts w:ascii="Garamond" w:hAnsi="Garamond"/>
          <w:color w:val="000000" w:themeColor="text1"/>
          <w:sz w:val="24"/>
          <w:szCs w:val="24"/>
          <w:lang w:val="en-GB"/>
        </w:rPr>
        <w:t xml:space="preserve">can be done </w:t>
      </w:r>
      <w:r w:rsidRPr="006250C0">
        <w:rPr>
          <w:rFonts w:ascii="Garamond" w:hAnsi="Garamond"/>
          <w:color w:val="000000" w:themeColor="text1"/>
          <w:sz w:val="24"/>
          <w:szCs w:val="24"/>
          <w:lang w:val="en-GB"/>
        </w:rPr>
        <w:t xml:space="preserve">to stop this stream of migration, not even if we wanted to, and the question remains if we should want that. Polarizing acts like those of </w:t>
      </w:r>
      <w:proofErr w:type="spellStart"/>
      <w:r w:rsidRPr="006250C0">
        <w:rPr>
          <w:rFonts w:ascii="Garamond" w:hAnsi="Garamond"/>
          <w:color w:val="000000" w:themeColor="text1"/>
          <w:sz w:val="24"/>
          <w:szCs w:val="24"/>
          <w:lang w:val="en-GB"/>
        </w:rPr>
        <w:t>Pegida</w:t>
      </w:r>
      <w:proofErr w:type="spellEnd"/>
      <w:r w:rsidRPr="006250C0">
        <w:rPr>
          <w:rFonts w:ascii="Garamond" w:hAnsi="Garamond"/>
          <w:color w:val="000000" w:themeColor="text1"/>
          <w:sz w:val="24"/>
          <w:szCs w:val="24"/>
          <w:lang w:val="en-GB"/>
        </w:rPr>
        <w:t xml:space="preserve"> are not valuable contributions to solve the problems of multicultural society. However, the question then remains what must be done to address the complexities of multicultural society. What attitude is necessary to achieve harmonious cohabitation between different ethnic groups? I will look into these matters using the following research question:</w:t>
      </w:r>
    </w:p>
    <w:p w14:paraId="356E6EA6" w14:textId="77777777" w:rsidR="00790DEC" w:rsidRPr="006250C0" w:rsidRDefault="00790DEC" w:rsidP="002E07B1">
      <w:pPr>
        <w:jc w:val="both"/>
        <w:rPr>
          <w:rFonts w:ascii="Garamond italic" w:hAnsi="Garamond italic"/>
          <w:color w:val="000000" w:themeColor="text1"/>
          <w:sz w:val="24"/>
          <w:szCs w:val="24"/>
          <w:lang w:val="en-GB"/>
        </w:rPr>
      </w:pPr>
      <w:r w:rsidRPr="006250C0">
        <w:rPr>
          <w:rFonts w:ascii="Garamond italic" w:hAnsi="Garamond italic"/>
          <w:color w:val="000000" w:themeColor="text1"/>
          <w:sz w:val="24"/>
          <w:szCs w:val="24"/>
          <w:lang w:val="en-GB"/>
        </w:rPr>
        <w:t>How can a mode of living with difference be realized that is both practically and morally viable?</w:t>
      </w:r>
    </w:p>
    <w:p w14:paraId="6897A1AE" w14:textId="6E75764C"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Urban agonistic scholars look at the city and public space</w:t>
      </w:r>
      <w:r w:rsidR="002E07B1">
        <w:rPr>
          <w:rFonts w:ascii="Garamond" w:hAnsi="Garamond"/>
          <w:color w:val="000000" w:themeColor="text1"/>
          <w:sz w:val="24"/>
          <w:szCs w:val="24"/>
          <w:lang w:val="en-GB"/>
        </w:rPr>
        <w:t>s</w:t>
      </w:r>
      <w:r w:rsidRPr="006250C0">
        <w:rPr>
          <w:rFonts w:ascii="Garamond" w:hAnsi="Garamond"/>
          <w:color w:val="000000" w:themeColor="text1"/>
          <w:sz w:val="24"/>
          <w:szCs w:val="24"/>
          <w:lang w:val="en-GB"/>
        </w:rPr>
        <w:t xml:space="preserve"> as the ideal arena</w:t>
      </w:r>
      <w:r w:rsidR="002E07B1">
        <w:rPr>
          <w:rFonts w:ascii="Garamond" w:hAnsi="Garamond"/>
          <w:color w:val="000000" w:themeColor="text1"/>
          <w:sz w:val="24"/>
          <w:szCs w:val="24"/>
          <w:lang w:val="en-GB"/>
        </w:rPr>
        <w:t>’s</w:t>
      </w:r>
      <w:r w:rsidRPr="006250C0">
        <w:rPr>
          <w:rFonts w:ascii="Garamond" w:hAnsi="Garamond"/>
          <w:color w:val="000000" w:themeColor="text1"/>
          <w:sz w:val="24"/>
          <w:szCs w:val="24"/>
          <w:lang w:val="en-GB"/>
        </w:rPr>
        <w:t xml:space="preserve"> to address multicultural conflict (Amin, 2002, 967). Viewing the urban landscape as the ideal arena makes sense when we consider the many different cultural groups that reside in the city (Dang, 2002, 19). Urban agonistic scholars, inspired by Chantal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aim to mediate differences between different cultural groups by facilitating interaction that focuses on conflict and the expression of passions. </w:t>
      </w:r>
      <w:r w:rsidRPr="006250C0">
        <w:rPr>
          <w:rFonts w:ascii="Garamond" w:hAnsi="Garamond"/>
          <w:color w:val="000000" w:themeColor="text1"/>
          <w:sz w:val="24"/>
          <w:szCs w:val="24"/>
          <w:lang w:val="en-GB"/>
        </w:rPr>
        <w:lastRenderedPageBreak/>
        <w:t xml:space="preserve">For citizens to live together in a peaceful manner, it is important to facilitate interaction and confrontation on a daily basis (Landry &amp; Woods, 2008, 5). This will enable citizens from different backgrounds to learn from each other and create understanding (ibid.: 5-6). </w:t>
      </w:r>
    </w:p>
    <w:p w14:paraId="1C228613" w14:textId="596D12AA"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Scholars like Bart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are sceptical of this emphasis on conflict. His main concern is that the confrontational character of the agonistic model is counter-productive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2015, 797). Instead of this leading to a transformation of attitudes, it seems more likely that the identities of citizens will freeze when subjected to conflict. Because of this, they will refuse to engage in meaningful interaction.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proposes an alternative attitude of living with difference called side-by-side citizenship (ibid.: 803). Side-by-side citizenship entails an indifferent acceptance of the other as a moral minimum (ibid.). In this sense, citizens look beyond their differences. However, this does not mean that it is acceptable for civilians to avoid contact with different groups. Such an</w:t>
      </w:r>
      <w:r w:rsidR="00B516B3">
        <w:rPr>
          <w:rFonts w:ascii="Garamond" w:hAnsi="Garamond"/>
          <w:color w:val="000000" w:themeColor="text1"/>
          <w:sz w:val="24"/>
          <w:szCs w:val="24"/>
          <w:lang w:val="en-GB"/>
        </w:rPr>
        <w:t xml:space="preserve"> active avoidance of ‘the other’</w:t>
      </w:r>
      <w:r w:rsidRPr="006250C0">
        <w:rPr>
          <w:rFonts w:ascii="Garamond" w:hAnsi="Garamond"/>
          <w:color w:val="000000" w:themeColor="text1"/>
          <w:sz w:val="24"/>
          <w:szCs w:val="24"/>
          <w:lang w:val="en-GB"/>
        </w:rPr>
        <w:t xml:space="preserve"> would not be in line with the passive character of indifference (ibid.: 804). This position acknowledges the necessity for basic needs for all participants in society (ibid.: 805). It also does not deny the need for accommodation for minorities or the existence of differences in general (ibid.).</w:t>
      </w:r>
    </w:p>
    <w:p w14:paraId="737E5606"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Intuitively, I feel sympathetic to both positions. I tend to agree with the agonistic writers that interaction and conflict between citizens are crucial for a non-violent and a constantly improving society. This is especially the case when citizens have different cultural and ideological backgrounds. This can give people the chance to express their frustrations with each other. With the right conditions, this will also lead to a better understanding of each other and a decrease in prejudice. However, what should these conditions look like? Moreover, do these conditions even exist? </w:t>
      </w:r>
    </w:p>
    <w:p w14:paraId="50B71D30" w14:textId="3E703D5B" w:rsidR="00790DEC" w:rsidRPr="006250C0" w:rsidRDefault="00790DEC" w:rsidP="002E07B1">
      <w:pPr>
        <w:jc w:val="both"/>
        <w:rPr>
          <w:rFonts w:ascii="Garamond italic" w:hAnsi="Garamond italic"/>
          <w:color w:val="000000" w:themeColor="text1"/>
          <w:sz w:val="24"/>
          <w:szCs w:val="24"/>
          <w:lang w:val="en-GB"/>
        </w:rPr>
      </w:pPr>
      <w:r w:rsidRPr="006250C0">
        <w:rPr>
          <w:rFonts w:ascii="Garamond" w:hAnsi="Garamond"/>
          <w:color w:val="000000" w:themeColor="text1"/>
          <w:sz w:val="24"/>
          <w:szCs w:val="24"/>
          <w:lang w:val="en-GB"/>
        </w:rPr>
        <w:t xml:space="preserve">If not, it may very well be that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is right by saying that the agonistic mode of living with difference is counter-productive and too idealistic. In that case, modes of indifference, like side-by-side citizenship, may be a more viable mode</w:t>
      </w:r>
      <w:r w:rsidR="002E07B1">
        <w:rPr>
          <w:rFonts w:ascii="Garamond" w:hAnsi="Garamond"/>
          <w:color w:val="000000" w:themeColor="text1"/>
          <w:sz w:val="24"/>
          <w:szCs w:val="24"/>
          <w:lang w:val="en-GB"/>
        </w:rPr>
        <w:t>s</w:t>
      </w:r>
      <w:r w:rsidRPr="006250C0">
        <w:rPr>
          <w:rFonts w:ascii="Garamond" w:hAnsi="Garamond"/>
          <w:color w:val="000000" w:themeColor="text1"/>
          <w:sz w:val="24"/>
          <w:szCs w:val="24"/>
          <w:lang w:val="en-GB"/>
        </w:rPr>
        <w:t xml:space="preserve"> of living. However, the question can be asked if this moral minimum</w:t>
      </w:r>
      <w:r w:rsidR="00536C51">
        <w:rPr>
          <w:rFonts w:ascii="Garamond" w:hAnsi="Garamond"/>
          <w:color w:val="000000" w:themeColor="text1"/>
          <w:sz w:val="24"/>
          <w:szCs w:val="24"/>
          <w:lang w:val="en-GB"/>
        </w:rPr>
        <w:t xml:space="preserve"> can ensure a just society. I</w:t>
      </w:r>
      <w:r w:rsidRPr="006250C0">
        <w:rPr>
          <w:rFonts w:ascii="Garamond" w:hAnsi="Garamond"/>
          <w:color w:val="000000" w:themeColor="text1"/>
          <w:sz w:val="24"/>
          <w:szCs w:val="24"/>
          <w:lang w:val="en-GB"/>
        </w:rPr>
        <w:t xml:space="preserve">s this moral minimum to minimal to be morally acceptable? And considering the concerns of both theories, where does this leave us? The theoretical dispute between the two theoretical standpoints,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and modes of indifference, will be examined in this thesis. I will elaborate on the elements of both positions that I find convincing and need to be taken into account for a viable mode of living with difference. I will aim to construct</w:t>
      </w:r>
      <w:r w:rsidR="002E07B1">
        <w:rPr>
          <w:rFonts w:ascii="Garamond" w:hAnsi="Garamond"/>
          <w:color w:val="000000" w:themeColor="text1"/>
          <w:sz w:val="24"/>
          <w:szCs w:val="24"/>
          <w:lang w:val="en-GB"/>
        </w:rPr>
        <w:t xml:space="preserve"> a new position that takes the</w:t>
      </w:r>
      <w:r w:rsidRPr="006250C0">
        <w:rPr>
          <w:rFonts w:ascii="Garamond" w:hAnsi="Garamond"/>
          <w:color w:val="000000" w:themeColor="text1"/>
          <w:sz w:val="24"/>
          <w:szCs w:val="24"/>
          <w:lang w:val="en-GB"/>
        </w:rPr>
        <w:t xml:space="preserve"> elements of both sides into account</w:t>
      </w:r>
    </w:p>
    <w:p w14:paraId="1BE7A1C4"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To work toward an answer to this question, this thesis will consist of seven chapters of which this introduction will function as the first one. The next two chapters will try to give a clear idea of the two opposing positions. The second chapter elaborates on the definition of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The third chapter will do the same for side-by-side citizenship. The fourth chapter will consist of my assessment of both positions. The fifth chapter will aim to answer the research question. I will propose an alternative attitude for dealing with difference that I consider to be more reliable. In the sixth chapter, I will elaborate on the (spatial) conditions that need to be met for this attitude to work. The seventh chapter will function as the conclusion of this thesis. This conclusion will consist of a summary of the thesis and will elaborate on what possible further research can build on these writings.</w:t>
      </w:r>
    </w:p>
    <w:p w14:paraId="2035A230" w14:textId="77777777" w:rsidR="00790DEC" w:rsidRPr="006250C0" w:rsidRDefault="00790DEC" w:rsidP="002E07B1">
      <w:pPr>
        <w:keepNext/>
        <w:keepLines/>
        <w:spacing w:before="240" w:after="0"/>
        <w:jc w:val="both"/>
        <w:outlineLvl w:val="0"/>
        <w:rPr>
          <w:rFonts w:ascii="Garamond" w:eastAsiaTheme="majorEastAsia" w:hAnsi="Garamond" w:cstheme="majorBidi"/>
          <w:b/>
          <w:color w:val="2E74B5" w:themeColor="accent1" w:themeShade="BF"/>
          <w:sz w:val="36"/>
          <w:szCs w:val="36"/>
          <w:lang w:val="en-GB"/>
        </w:rPr>
      </w:pPr>
      <w:r w:rsidRPr="006250C0">
        <w:rPr>
          <w:rFonts w:asciiTheme="majorHAnsi" w:eastAsiaTheme="majorEastAsia" w:hAnsiTheme="majorHAnsi" w:cstheme="majorBidi"/>
          <w:color w:val="2E74B5" w:themeColor="accent1" w:themeShade="BF"/>
          <w:sz w:val="24"/>
          <w:szCs w:val="24"/>
          <w:lang w:val="en-GB"/>
        </w:rPr>
        <w:br w:type="page"/>
      </w:r>
      <w:bookmarkStart w:id="7" w:name="_Toc12122215"/>
      <w:bookmarkStart w:id="8" w:name="_Toc12185333"/>
      <w:bookmarkStart w:id="9" w:name="_Toc12190548"/>
      <w:bookmarkStart w:id="10" w:name="_Toc12264077"/>
      <w:bookmarkStart w:id="11" w:name="_Toc12268844"/>
      <w:bookmarkStart w:id="12" w:name="_Toc12269116"/>
      <w:bookmarkStart w:id="13" w:name="_Toc13050246"/>
      <w:bookmarkStart w:id="14" w:name="_Toc13061246"/>
      <w:r w:rsidRPr="006250C0">
        <w:rPr>
          <w:rFonts w:ascii="Garamond" w:eastAsiaTheme="majorEastAsia" w:hAnsi="Garamond" w:cstheme="majorBidi"/>
          <w:b/>
          <w:color w:val="000000" w:themeColor="text1"/>
          <w:sz w:val="36"/>
          <w:szCs w:val="36"/>
          <w:lang w:val="en-GB"/>
        </w:rPr>
        <w:lastRenderedPageBreak/>
        <w:t xml:space="preserve">Chapter 2: Urban </w:t>
      </w:r>
      <w:proofErr w:type="spellStart"/>
      <w:r w:rsidRPr="006250C0">
        <w:rPr>
          <w:rFonts w:ascii="Garamond" w:eastAsiaTheme="majorEastAsia" w:hAnsi="Garamond" w:cstheme="majorBidi"/>
          <w:b/>
          <w:color w:val="000000" w:themeColor="text1"/>
          <w:sz w:val="36"/>
          <w:szCs w:val="36"/>
          <w:lang w:val="en-GB"/>
        </w:rPr>
        <w:t>Agonism</w:t>
      </w:r>
      <w:bookmarkEnd w:id="7"/>
      <w:bookmarkEnd w:id="8"/>
      <w:bookmarkEnd w:id="9"/>
      <w:bookmarkEnd w:id="10"/>
      <w:bookmarkEnd w:id="11"/>
      <w:bookmarkEnd w:id="12"/>
      <w:bookmarkEnd w:id="13"/>
      <w:bookmarkEnd w:id="14"/>
      <w:proofErr w:type="spellEnd"/>
    </w:p>
    <w:p w14:paraId="449BD7F0"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This chapter will elaborate on what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as a political theoretical position, exactly entails. Many scholars have been occupied with agonistic ideas, from Nietzsche and Arendt to more recent contribution like that of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This also means that there are many different interpretations of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The variant of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that is relevant for this thesis is the agonistic model that is applied to the urban landscape, which I shall refer to as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However, before we will focus on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some writings of the agonistic scholar Chantal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will be discussed. This is necessary because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is one of the most prominent agonistic thinkers of our time. Because of this, she has been highly influential. Many urban agonists have admitted to being inspired by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Therefore, to get an idea of what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actually is, it is valuable to discuss </w:t>
      </w:r>
      <w:proofErr w:type="spellStart"/>
      <w:r w:rsidRPr="006250C0">
        <w:rPr>
          <w:rFonts w:ascii="Garamond" w:hAnsi="Garamond"/>
          <w:color w:val="000000" w:themeColor="text1"/>
          <w:sz w:val="24"/>
          <w:szCs w:val="24"/>
          <w:lang w:val="en-GB"/>
        </w:rPr>
        <w:t>Mouffe’s</w:t>
      </w:r>
      <w:proofErr w:type="spellEnd"/>
      <w:r w:rsidRPr="006250C0">
        <w:rPr>
          <w:rFonts w:ascii="Garamond" w:hAnsi="Garamond"/>
          <w:color w:val="000000" w:themeColor="text1"/>
          <w:sz w:val="24"/>
          <w:szCs w:val="24"/>
          <w:lang w:val="en-GB"/>
        </w:rPr>
        <w:t xml:space="preserve"> conception of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in the first section of this chapter. In the second section, the meaning of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and how it differs from </w:t>
      </w:r>
      <w:proofErr w:type="spellStart"/>
      <w:r w:rsidRPr="006250C0">
        <w:rPr>
          <w:rFonts w:ascii="Garamond" w:hAnsi="Garamond"/>
          <w:color w:val="000000" w:themeColor="text1"/>
          <w:sz w:val="24"/>
          <w:szCs w:val="24"/>
          <w:lang w:val="en-GB"/>
        </w:rPr>
        <w:t>Mouffe’s</w:t>
      </w:r>
      <w:proofErr w:type="spellEnd"/>
      <w:r w:rsidRPr="006250C0">
        <w:rPr>
          <w:rFonts w:ascii="Garamond" w:hAnsi="Garamond"/>
          <w:color w:val="000000" w:themeColor="text1"/>
          <w:sz w:val="24"/>
          <w:szCs w:val="24"/>
          <w:lang w:val="en-GB"/>
        </w:rPr>
        <w:t xml:space="preserve"> conception, will be discussed. Writings of scholars like Sennett, Amin, </w:t>
      </w:r>
      <w:proofErr w:type="spellStart"/>
      <w:r w:rsidRPr="006250C0">
        <w:rPr>
          <w:rFonts w:ascii="Garamond" w:hAnsi="Garamond"/>
          <w:color w:val="000000" w:themeColor="text1"/>
          <w:sz w:val="24"/>
          <w:szCs w:val="24"/>
          <w:lang w:val="en-GB"/>
        </w:rPr>
        <w:t>Sandercock</w:t>
      </w:r>
      <w:proofErr w:type="spellEnd"/>
      <w:r w:rsidRPr="006250C0">
        <w:rPr>
          <w:rFonts w:ascii="Garamond" w:hAnsi="Garamond"/>
          <w:color w:val="000000" w:themeColor="text1"/>
          <w:sz w:val="24"/>
          <w:szCs w:val="24"/>
          <w:lang w:val="en-GB"/>
        </w:rPr>
        <w:t xml:space="preserve"> and Landry &amp; Wood will be discussed in this section.  </w:t>
      </w:r>
    </w:p>
    <w:p w14:paraId="29B7FD7D" w14:textId="77777777" w:rsidR="00790DEC" w:rsidRPr="006250C0" w:rsidRDefault="00790DEC" w:rsidP="002E07B1">
      <w:pPr>
        <w:keepNext/>
        <w:keepLines/>
        <w:spacing w:before="40" w:after="0"/>
        <w:jc w:val="both"/>
        <w:outlineLvl w:val="1"/>
        <w:rPr>
          <w:rFonts w:ascii="Garamond" w:eastAsiaTheme="majorEastAsia" w:hAnsi="Garamond" w:cstheme="majorBidi"/>
          <w:color w:val="000000" w:themeColor="text1"/>
          <w:sz w:val="28"/>
          <w:szCs w:val="28"/>
          <w:u w:val="single"/>
          <w:lang w:val="en-GB"/>
        </w:rPr>
      </w:pPr>
      <w:bookmarkStart w:id="15" w:name="_Toc12185334"/>
      <w:bookmarkStart w:id="16" w:name="_Toc12190549"/>
      <w:bookmarkStart w:id="17" w:name="_Toc12264078"/>
      <w:bookmarkStart w:id="18" w:name="_Toc12268845"/>
      <w:bookmarkStart w:id="19" w:name="_Toc12269117"/>
      <w:bookmarkStart w:id="20" w:name="_Toc13050247"/>
      <w:bookmarkStart w:id="21" w:name="_Toc13061247"/>
      <w:proofErr w:type="spellStart"/>
      <w:r w:rsidRPr="006250C0">
        <w:rPr>
          <w:rFonts w:ascii="Garamond" w:eastAsiaTheme="majorEastAsia" w:hAnsi="Garamond" w:cstheme="majorBidi"/>
          <w:color w:val="000000" w:themeColor="text1"/>
          <w:sz w:val="28"/>
          <w:szCs w:val="28"/>
          <w:u w:val="single"/>
          <w:lang w:val="en-GB"/>
        </w:rPr>
        <w:t>Agonism</w:t>
      </w:r>
      <w:bookmarkEnd w:id="15"/>
      <w:bookmarkEnd w:id="16"/>
      <w:bookmarkEnd w:id="17"/>
      <w:bookmarkEnd w:id="18"/>
      <w:bookmarkEnd w:id="19"/>
      <w:bookmarkEnd w:id="20"/>
      <w:bookmarkEnd w:id="21"/>
      <w:proofErr w:type="spellEnd"/>
      <w:r w:rsidRPr="006250C0">
        <w:rPr>
          <w:rFonts w:ascii="Garamond" w:eastAsiaTheme="majorEastAsia" w:hAnsi="Garamond" w:cstheme="majorBidi"/>
          <w:color w:val="000000" w:themeColor="text1"/>
          <w:sz w:val="28"/>
          <w:szCs w:val="28"/>
          <w:u w:val="single"/>
          <w:lang w:val="en-GB"/>
        </w:rPr>
        <w:t xml:space="preserve"> </w:t>
      </w:r>
    </w:p>
    <w:p w14:paraId="12845C16" w14:textId="08379A75" w:rsidR="00790DEC" w:rsidRPr="006250C0" w:rsidRDefault="00790DEC" w:rsidP="002E07B1">
      <w:pPr>
        <w:jc w:val="both"/>
        <w:rPr>
          <w:rFonts w:ascii="Garamond" w:hAnsi="Garamond"/>
          <w:color w:val="000000" w:themeColor="text1"/>
          <w:sz w:val="24"/>
          <w:szCs w:val="24"/>
          <w:lang w:val="en-GB"/>
        </w:rPr>
      </w:pPr>
      <w:proofErr w:type="spellStart"/>
      <w:r w:rsidRPr="006250C0">
        <w:rPr>
          <w:rFonts w:ascii="Garamond" w:hAnsi="Garamond"/>
          <w:color w:val="000000" w:themeColor="text1"/>
          <w:sz w:val="24"/>
          <w:szCs w:val="24"/>
          <w:lang w:val="en-GB"/>
        </w:rPr>
        <w:t>Mouffe’s</w:t>
      </w:r>
      <w:proofErr w:type="spellEnd"/>
      <w:r w:rsidRPr="006250C0">
        <w:rPr>
          <w:rFonts w:ascii="Garamond" w:hAnsi="Garamond"/>
          <w:color w:val="000000" w:themeColor="text1"/>
          <w:sz w:val="24"/>
          <w:szCs w:val="24"/>
          <w:lang w:val="en-GB"/>
        </w:rPr>
        <w:t xml:space="preserve"> conception of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begins with a criticism on the liberal zeitgeist of modern times. Inspired by Carl Schmitt, she is especially critical on the view that sees liberal democracy as neutral, reasonable and built around rational consensus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2005, 1). To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the goal to work towards a world beyond ideology and towards a partisan-free global democracy shows a complete ignorance of what ‘the political’ is.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understands the political as a biasedness that comes with politics (ibid.: 10). Political acts are not merely technical affairs, but choices between exclusionary practices that favour one alternative above the other (ibid.). When one alternative is chosen, the other alternatives are simultaneously excluded. There are many conflicting alternatives in this pluralistic social world that could never </w:t>
      </w:r>
      <w:r w:rsidR="00536C51">
        <w:rPr>
          <w:rFonts w:ascii="Garamond" w:hAnsi="Garamond"/>
          <w:color w:val="000000" w:themeColor="text1"/>
          <w:sz w:val="24"/>
          <w:szCs w:val="24"/>
          <w:lang w:val="en-GB"/>
        </w:rPr>
        <w:t>be negotiated trough rational discourse</w:t>
      </w:r>
      <w:r w:rsidRPr="006250C0">
        <w:rPr>
          <w:rFonts w:ascii="Garamond" w:hAnsi="Garamond"/>
          <w:color w:val="000000" w:themeColor="text1"/>
          <w:sz w:val="24"/>
          <w:szCs w:val="24"/>
          <w:lang w:val="en-GB"/>
        </w:rPr>
        <w:t xml:space="preserve"> (ibid.). Acknowledging this plurality, and thereby, acknowledging the relativity of political action, is what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understand as the political. Denying the political can be very dangerous because this also means denial of antagonism. </w:t>
      </w:r>
    </w:p>
    <w:p w14:paraId="7ACD69E4"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Antagonism is a concept introduced by Carl Schmitt. For him, the political leads to a distinction between ‘us’ and ‘them’ (1927, 28). Just as with political action, the formation of a collective identity always excludes the possibility of other identities. Some humans are considered to belong to the us-group and are seen as kindred, while others are excluded from this group and are seen as inherently different. This construction of a group identity starts with the emergence of an individual identity (ibid.: 26). After this, the individual will look for companions that are compatible with this identity. The distinction between who does and who does not belong is based on antagonisms. This means that a division is made between those who are friends and those who are enemies (ibid.: 28). This distinction does not have to be rational of morally motivated as one can be enemies with a group that is perceived as morally fair and friends with groups that are perceived as amoral (ibid.: 26). </w:t>
      </w:r>
    </w:p>
    <w:p w14:paraId="35644EFB" w14:textId="730779B4"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How one makes a division between friend and enemy is dependent on the specific characteristics of a particular group identity. Schmitt does not see this enemy as a personal enemy (1927, 29). The enemy is of a political nature. This enemy is perceived as a danger to society, or at least for one’s group (ibid.). Along with this antagonistic tension comes the risk of violence and death (ibid.: 32-33). There i</w:t>
      </w:r>
      <w:r w:rsidR="00B516B3">
        <w:rPr>
          <w:rFonts w:ascii="Garamond" w:hAnsi="Garamond"/>
          <w:color w:val="000000" w:themeColor="text1"/>
          <w:sz w:val="24"/>
          <w:szCs w:val="24"/>
          <w:lang w:val="en-GB"/>
        </w:rPr>
        <w:t>s a willingness to kill for one’</w:t>
      </w:r>
      <w:r w:rsidRPr="006250C0">
        <w:rPr>
          <w:rFonts w:ascii="Garamond" w:hAnsi="Garamond"/>
          <w:color w:val="000000" w:themeColor="text1"/>
          <w:sz w:val="24"/>
          <w:szCs w:val="24"/>
          <w:lang w:val="en-GB"/>
        </w:rPr>
        <w:t xml:space="preserve">s friends because they belong to your group. In turn, there is a willingness to kill others because they do not belong to this group. Schmitt sees this agonistic </w:t>
      </w:r>
      <w:r w:rsidRPr="006250C0">
        <w:rPr>
          <w:rFonts w:ascii="Garamond" w:hAnsi="Garamond"/>
          <w:color w:val="000000" w:themeColor="text1"/>
          <w:sz w:val="24"/>
          <w:szCs w:val="24"/>
          <w:lang w:val="en-GB"/>
        </w:rPr>
        <w:lastRenderedPageBreak/>
        <w:t>tension a</w:t>
      </w:r>
      <w:r w:rsidR="00B516B3">
        <w:rPr>
          <w:rFonts w:ascii="Garamond" w:hAnsi="Garamond"/>
          <w:color w:val="000000" w:themeColor="text1"/>
          <w:sz w:val="24"/>
          <w:szCs w:val="24"/>
          <w:lang w:val="en-GB"/>
        </w:rPr>
        <w:t>s the essence of ‘the political’</w:t>
      </w:r>
      <w:r w:rsidRPr="006250C0">
        <w:rPr>
          <w:rFonts w:ascii="Garamond" w:hAnsi="Garamond"/>
          <w:color w:val="000000" w:themeColor="text1"/>
          <w:sz w:val="24"/>
          <w:szCs w:val="24"/>
          <w:lang w:val="en-GB"/>
        </w:rPr>
        <w:t xml:space="preserve">, in the sense that this is an inescapable fact of society and politics (ibid.: 28).  </w:t>
      </w:r>
    </w:p>
    <w:p w14:paraId="6436D676" w14:textId="77777777" w:rsidR="00790DEC" w:rsidRPr="006250C0" w:rsidRDefault="00790DEC" w:rsidP="002E07B1">
      <w:pPr>
        <w:jc w:val="both"/>
        <w:rPr>
          <w:rFonts w:ascii="Garamond" w:hAnsi="Garamond"/>
          <w:color w:val="000000" w:themeColor="text1"/>
          <w:sz w:val="24"/>
          <w:szCs w:val="24"/>
          <w:lang w:val="en-GB"/>
        </w:rPr>
      </w:pP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argues that these writing of Schmitt show that every consensus naturally excludes. This makes rational consensus, derived from reasonable deliberation, impossible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2005, 13). This becomes particularly clear when we examine </w:t>
      </w:r>
      <w:proofErr w:type="spellStart"/>
      <w:r w:rsidRPr="006250C0">
        <w:rPr>
          <w:rFonts w:ascii="Garamond" w:hAnsi="Garamond"/>
          <w:color w:val="000000" w:themeColor="text1"/>
          <w:sz w:val="24"/>
          <w:szCs w:val="24"/>
          <w:lang w:val="en-GB"/>
        </w:rPr>
        <w:t>Mouffe’s</w:t>
      </w:r>
      <w:proofErr w:type="spellEnd"/>
      <w:r w:rsidRPr="006250C0">
        <w:rPr>
          <w:rFonts w:ascii="Garamond" w:hAnsi="Garamond"/>
          <w:color w:val="000000" w:themeColor="text1"/>
          <w:sz w:val="24"/>
          <w:szCs w:val="24"/>
          <w:lang w:val="en-GB"/>
        </w:rPr>
        <w:t xml:space="preserve"> definition of hegemony. She argues that when we acknowledge the relativity of ‘the political’, this also requires the recognition of the relativity of other levels in society (ibid.: 17). This means that the form of every social order is simply the product of a series of acts that have formed this order. This hegemony is not a product of a predetermined rational plan (ibid.). In this sense, the social order of a society can be compared to social traditions. Traditions are fixed practices that may look logical and natural but actually came to be quite randomly. </w:t>
      </w:r>
    </w:p>
    <w:p w14:paraId="26CE608F"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The same holds true for the political realm. A political hegemony has been established by hegemonic practices and power structures, not because it was the most rational option. This also means that other alternatives are just as legitimate as the current hegemony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2005, 17). </w:t>
      </w:r>
      <w:proofErr w:type="spellStart"/>
      <w:r w:rsidRPr="006250C0">
        <w:rPr>
          <w:rFonts w:ascii="Garamond" w:hAnsi="Garamond"/>
          <w:color w:val="000000" w:themeColor="text1"/>
          <w:sz w:val="24"/>
          <w:szCs w:val="24"/>
          <w:lang w:val="en-GB"/>
        </w:rPr>
        <w:t>Mouffe’s</w:t>
      </w:r>
      <w:proofErr w:type="spellEnd"/>
      <w:r w:rsidRPr="006250C0">
        <w:rPr>
          <w:rFonts w:ascii="Garamond" w:hAnsi="Garamond"/>
          <w:color w:val="000000" w:themeColor="text1"/>
          <w:sz w:val="24"/>
          <w:szCs w:val="24"/>
          <w:lang w:val="en-GB"/>
        </w:rPr>
        <w:t xml:space="preserve"> interpretation of hegemonic practices acknowledges a diversity of different hegemonic practices of which some will lead to a certain hegemonic order. However, different practices are at play and different hegemonic alternatives could be possible. This understanding then acknowledges the existence of pluralism within society, which is an understanding that Schmitt would disagree with. At this point,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parts ways with Schmitt's philosophy.  </w:t>
      </w:r>
    </w:p>
    <w:p w14:paraId="565B12CF" w14:textId="2210B00E"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For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this same dynamic can be applied to the emergence of collective identities (2005</w:t>
      </w:r>
      <w:r w:rsidR="00AB50E0">
        <w:rPr>
          <w:rFonts w:ascii="Garamond" w:hAnsi="Garamond"/>
          <w:color w:val="000000" w:themeColor="text1"/>
          <w:sz w:val="24"/>
          <w:szCs w:val="24"/>
          <w:lang w:val="en-GB"/>
        </w:rPr>
        <w:t>, 18). The specifics of the we</w:t>
      </w:r>
      <w:r w:rsidRPr="006250C0">
        <w:rPr>
          <w:rFonts w:ascii="Garamond" w:hAnsi="Garamond"/>
          <w:color w:val="000000" w:themeColor="text1"/>
          <w:sz w:val="24"/>
          <w:szCs w:val="24"/>
          <w:lang w:val="en-GB"/>
        </w:rPr>
        <w:t>-identity is always dep</w:t>
      </w:r>
      <w:r w:rsidR="00AB50E0">
        <w:rPr>
          <w:rFonts w:ascii="Garamond" w:hAnsi="Garamond"/>
          <w:color w:val="000000" w:themeColor="text1"/>
          <w:sz w:val="24"/>
          <w:szCs w:val="24"/>
          <w:lang w:val="en-GB"/>
        </w:rPr>
        <w:t>endent on the specifics of the them</w:t>
      </w:r>
      <w:r w:rsidRPr="006250C0">
        <w:rPr>
          <w:rFonts w:ascii="Garamond" w:hAnsi="Garamond"/>
          <w:color w:val="000000" w:themeColor="text1"/>
          <w:sz w:val="24"/>
          <w:szCs w:val="24"/>
          <w:lang w:val="en-GB"/>
        </w:rPr>
        <w:t xml:space="preserve">-identity and vice versa. This is never fixed. This also opens up the possibility to transform the us/them distinction into a mode that does not lead to antagonism (ibid.: 19). In other words, we can work towards a mode of living that does not see the other as an illegitimate enemy.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claims that such a transformation can take place when a common bond between groups in society is found (ibid.: 20). She proposes a mode in which the us/them relation as a distinction between friends and enemies is transformed into a distinction between friends and adversaries. </w:t>
      </w:r>
      <w:proofErr w:type="spellStart"/>
      <w:r w:rsidR="00B516B3">
        <w:rPr>
          <w:rFonts w:ascii="Garamond" w:hAnsi="Garamond"/>
          <w:color w:val="000000" w:themeColor="text1"/>
          <w:sz w:val="24"/>
          <w:szCs w:val="24"/>
          <w:lang w:val="en-GB"/>
        </w:rPr>
        <w:t>Mouffe</w:t>
      </w:r>
      <w:proofErr w:type="spellEnd"/>
      <w:r w:rsidR="00B516B3">
        <w:rPr>
          <w:rFonts w:ascii="Garamond" w:hAnsi="Garamond"/>
          <w:color w:val="000000" w:themeColor="text1"/>
          <w:sz w:val="24"/>
          <w:szCs w:val="24"/>
          <w:lang w:val="en-GB"/>
        </w:rPr>
        <w:t xml:space="preserve"> calls this mode ‘</w:t>
      </w:r>
      <w:proofErr w:type="spellStart"/>
      <w:r w:rsidR="00B516B3">
        <w:rPr>
          <w:rFonts w:ascii="Garamond" w:hAnsi="Garamond"/>
          <w:color w:val="000000" w:themeColor="text1"/>
          <w:sz w:val="24"/>
          <w:szCs w:val="24"/>
          <w:lang w:val="en-GB"/>
        </w:rPr>
        <w:t>agonism</w:t>
      </w:r>
      <w:proofErr w:type="spellEnd"/>
      <w:r w:rsidR="00B516B3">
        <w:rPr>
          <w:rFonts w:ascii="Garamond" w:hAnsi="Garamond"/>
          <w:color w:val="000000" w:themeColor="text1"/>
          <w:sz w:val="24"/>
          <w:szCs w:val="24"/>
          <w:lang w:val="en-GB"/>
        </w:rPr>
        <w:t>’</w:t>
      </w:r>
      <w:r w:rsidRPr="006250C0">
        <w:rPr>
          <w:rFonts w:ascii="Garamond" w:hAnsi="Garamond"/>
          <w:color w:val="000000" w:themeColor="text1"/>
          <w:sz w:val="24"/>
          <w:szCs w:val="24"/>
          <w:lang w:val="en-GB"/>
        </w:rPr>
        <w:t>. Adversaries differ from enemies in the sense that, although conflict is at play with no rational solution to solve this, adversaries are recognized as legitimate. They are legitimate because of the bond they share as occupiers of the same symbolic space (ibid.). Because liberal democracy does not acknowledge the existence of the political and the we/them distinction, they also are incapable of transforming antagonism into other less harmful forms. This neglect of the political can lead to violence, which makes the ignorance of liberal democracy so dangerous.</w:t>
      </w:r>
    </w:p>
    <w:p w14:paraId="7EED6643"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One necessary condition for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to work is the presence of institutions and practices in which antagonistic sentiments can be expressed and mediated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2005, 20-21). In this way, legitimate yet irreconcilable political positions are provided a space to clash and to express their passions (ibid.: 30). If no legitimate outlet for these passions is provided, it can lead to the formation of essentialist collective identities connected to nationalism, religion or ethnicity. In other words, this will lead to a re-emergence of antagonism. In order to counter this, matters like conflict and strife should be acknowledged and taken seriously (ibid.). By incorporating conflict and strife, debates can explore new forms of collective identities and possible alternatives (ibid.: 31). This does not mean that every position is acceptable in the debate.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declares that consensus should be reached concerning the participant’s commitment to liberty and equality. How to interpret or implement these values, however, may differ between the participants. These differences should be addressed and discussed. By creating new discourses and institutions, the democratic liberal </w:t>
      </w:r>
      <w:r w:rsidRPr="006250C0">
        <w:rPr>
          <w:rFonts w:ascii="Garamond" w:hAnsi="Garamond"/>
          <w:color w:val="000000" w:themeColor="text1"/>
          <w:sz w:val="24"/>
          <w:szCs w:val="24"/>
          <w:lang w:val="en-GB"/>
        </w:rPr>
        <w:lastRenderedPageBreak/>
        <w:t xml:space="preserve">model can be transformed, and alternative modes can be discovered.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claims that a transformation to another system is not necessary.  </w:t>
      </w:r>
    </w:p>
    <w:p w14:paraId="74791B16" w14:textId="1C5DAC89" w:rsidR="00790DEC" w:rsidRPr="006250C0" w:rsidRDefault="00FD4ED5" w:rsidP="002E07B1">
      <w:pPr>
        <w:keepNext/>
        <w:keepLines/>
        <w:spacing w:before="40" w:after="0"/>
        <w:jc w:val="both"/>
        <w:outlineLvl w:val="1"/>
        <w:rPr>
          <w:rFonts w:ascii="Garamond" w:eastAsiaTheme="majorEastAsia" w:hAnsi="Garamond" w:cstheme="majorBidi"/>
          <w:color w:val="000000" w:themeColor="text1"/>
          <w:sz w:val="28"/>
          <w:szCs w:val="28"/>
          <w:u w:val="single"/>
          <w:lang w:val="en-GB"/>
        </w:rPr>
      </w:pPr>
      <w:bookmarkStart w:id="22" w:name="_Toc12185335"/>
      <w:bookmarkStart w:id="23" w:name="_Toc12190550"/>
      <w:bookmarkStart w:id="24" w:name="_Toc12264079"/>
      <w:bookmarkStart w:id="25" w:name="_Toc12268846"/>
      <w:bookmarkStart w:id="26" w:name="_Toc12269118"/>
      <w:bookmarkStart w:id="27" w:name="_Toc13050248"/>
      <w:bookmarkStart w:id="28" w:name="_Toc13061248"/>
      <w:r>
        <w:rPr>
          <w:rFonts w:ascii="Garamond" w:eastAsiaTheme="majorEastAsia" w:hAnsi="Garamond" w:cstheme="majorBidi"/>
          <w:color w:val="000000" w:themeColor="text1"/>
          <w:sz w:val="28"/>
          <w:szCs w:val="28"/>
          <w:u w:val="single"/>
          <w:lang w:val="en-GB"/>
        </w:rPr>
        <w:t xml:space="preserve">Urban </w:t>
      </w:r>
      <w:proofErr w:type="spellStart"/>
      <w:r>
        <w:rPr>
          <w:rFonts w:ascii="Garamond" w:eastAsiaTheme="majorEastAsia" w:hAnsi="Garamond" w:cstheme="majorBidi"/>
          <w:color w:val="000000" w:themeColor="text1"/>
          <w:sz w:val="28"/>
          <w:szCs w:val="28"/>
          <w:u w:val="single"/>
          <w:lang w:val="en-GB"/>
        </w:rPr>
        <w:t>A</w:t>
      </w:r>
      <w:r w:rsidR="00790DEC" w:rsidRPr="006250C0">
        <w:rPr>
          <w:rFonts w:ascii="Garamond" w:eastAsiaTheme="majorEastAsia" w:hAnsi="Garamond" w:cstheme="majorBidi"/>
          <w:color w:val="000000" w:themeColor="text1"/>
          <w:sz w:val="28"/>
          <w:szCs w:val="28"/>
          <w:u w:val="single"/>
          <w:lang w:val="en-GB"/>
        </w:rPr>
        <w:t>gonism</w:t>
      </w:r>
      <w:bookmarkEnd w:id="22"/>
      <w:bookmarkEnd w:id="23"/>
      <w:bookmarkEnd w:id="24"/>
      <w:bookmarkEnd w:id="25"/>
      <w:bookmarkEnd w:id="26"/>
      <w:bookmarkEnd w:id="27"/>
      <w:bookmarkEnd w:id="28"/>
      <w:proofErr w:type="spellEnd"/>
    </w:p>
    <w:p w14:paraId="651119D8"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When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refers to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she envisions this as a process that needs to occur on all levels of society, from the local level to the level of national politics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2005, 21).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can be understood as an agonist application to the urban landscape. Urban agonistic writings focus on the multicultural city and its problems. In the west, immigration has increased immensely and will continue to do so </w:t>
      </w:r>
      <w:r w:rsidRPr="006250C0">
        <w:rPr>
          <w:rFonts w:ascii="Garamond" w:eastAsia="Calibri" w:hAnsi="Garamond" w:cs="Times New Roman"/>
          <w:color w:val="000000" w:themeColor="text1"/>
          <w:sz w:val="24"/>
          <w:szCs w:val="24"/>
          <w:lang w:val="en-GB"/>
        </w:rPr>
        <w:t>(Castles &amp; Miller, 2003, 8). These migrants are necessary for society to be susta</w:t>
      </w:r>
      <w:r w:rsidRPr="006250C0">
        <w:rPr>
          <w:rFonts w:ascii="Garamond" w:hAnsi="Garamond"/>
          <w:color w:val="000000" w:themeColor="text1"/>
          <w:sz w:val="24"/>
          <w:szCs w:val="24"/>
          <w:lang w:val="en-GB"/>
        </w:rPr>
        <w:t xml:space="preserve">inable, especially since the western population is aging and reproduction has decreased </w:t>
      </w:r>
      <w:r w:rsidRPr="006250C0">
        <w:rPr>
          <w:rFonts w:ascii="Garamond" w:eastAsia="Calibri" w:hAnsi="Garamond" w:cs="Times New Roman"/>
          <w:color w:val="000000" w:themeColor="text1"/>
          <w:sz w:val="24"/>
          <w:szCs w:val="24"/>
          <w:lang w:val="en-GB"/>
        </w:rPr>
        <w:t>(</w:t>
      </w:r>
      <w:proofErr w:type="spellStart"/>
      <w:r w:rsidRPr="006250C0">
        <w:rPr>
          <w:rFonts w:ascii="Garamond" w:eastAsia="Calibri" w:hAnsi="Garamond" w:cs="Times New Roman"/>
          <w:color w:val="000000" w:themeColor="text1"/>
          <w:sz w:val="24"/>
          <w:szCs w:val="24"/>
          <w:lang w:val="en-GB"/>
        </w:rPr>
        <w:t>Papademetriou</w:t>
      </w:r>
      <w:proofErr w:type="spellEnd"/>
      <w:r w:rsidRPr="006250C0">
        <w:rPr>
          <w:rFonts w:ascii="Garamond" w:eastAsia="Calibri" w:hAnsi="Garamond" w:cs="Times New Roman"/>
          <w:color w:val="000000" w:themeColor="text1"/>
          <w:sz w:val="24"/>
          <w:szCs w:val="24"/>
          <w:lang w:val="en-GB"/>
        </w:rPr>
        <w:t>, 2002, 957).</w:t>
      </w:r>
      <w:r w:rsidRPr="006250C0">
        <w:rPr>
          <w:rFonts w:ascii="Garamond" w:hAnsi="Garamond"/>
          <w:color w:val="000000" w:themeColor="text1"/>
          <w:sz w:val="24"/>
          <w:szCs w:val="24"/>
          <w:lang w:val="en-GB"/>
        </w:rPr>
        <w:t xml:space="preserve"> Because of this, </w:t>
      </w:r>
      <w:r w:rsidRPr="006250C0">
        <w:rPr>
          <w:rFonts w:ascii="Garamond" w:eastAsia="Calibri" w:hAnsi="Garamond" w:cs="Times New Roman"/>
          <w:color w:val="000000" w:themeColor="text1"/>
          <w:sz w:val="24"/>
          <w:szCs w:val="24"/>
          <w:lang w:val="en-GB"/>
        </w:rPr>
        <w:t xml:space="preserve">a decreasing number of working taxpayers must support an increasing number of pensioners (ibid). To keep the system sustainable and to keep public health affordable, migrants will be needed to fill this gap (ibid.). </w:t>
      </w:r>
      <w:r w:rsidRPr="006250C0">
        <w:rPr>
          <w:rFonts w:ascii="Garamond" w:hAnsi="Garamond"/>
          <w:color w:val="000000" w:themeColor="text1"/>
          <w:sz w:val="24"/>
          <w:szCs w:val="24"/>
          <w:lang w:val="en-GB"/>
        </w:rPr>
        <w:t>Modern societies struggle with diversity, as it challenges traditional notions of what citizenship and national identity are</w:t>
      </w:r>
      <w:r w:rsidRPr="006250C0">
        <w:rPr>
          <w:rFonts w:ascii="Garamond" w:eastAsia="Calibri" w:hAnsi="Garamond" w:cs="Times New Roman"/>
          <w:color w:val="000000" w:themeColor="text1"/>
          <w:sz w:val="24"/>
          <w:szCs w:val="24"/>
          <w:lang w:val="en-GB"/>
        </w:rPr>
        <w:t xml:space="preserve"> (Landry &amp; Woods, 2002, 7). This has </w:t>
      </w:r>
      <w:r w:rsidRPr="006250C0">
        <w:rPr>
          <w:rFonts w:ascii="Garamond" w:hAnsi="Garamond"/>
          <w:color w:val="000000" w:themeColor="text1"/>
          <w:sz w:val="24"/>
          <w:szCs w:val="24"/>
          <w:lang w:val="en-GB"/>
        </w:rPr>
        <w:t>resulted in tensions and conflict between cultural minorities and the white majority (</w:t>
      </w:r>
      <w:proofErr w:type="spellStart"/>
      <w:r w:rsidRPr="006250C0">
        <w:rPr>
          <w:rFonts w:ascii="Garamond" w:hAnsi="Garamond"/>
          <w:color w:val="000000" w:themeColor="text1"/>
          <w:sz w:val="24"/>
          <w:szCs w:val="24"/>
          <w:lang w:val="en-GB"/>
        </w:rPr>
        <w:t>Sandercock</w:t>
      </w:r>
      <w:proofErr w:type="spellEnd"/>
      <w:r w:rsidRPr="006250C0">
        <w:rPr>
          <w:rFonts w:ascii="Garamond" w:hAnsi="Garamond"/>
          <w:color w:val="000000" w:themeColor="text1"/>
          <w:sz w:val="24"/>
          <w:szCs w:val="24"/>
          <w:lang w:val="en-GB"/>
        </w:rPr>
        <w:t xml:space="preserve">, 2003, 128). This has also led to a situation of structural inequality in which minorities are stigmatized and structurally excluded from meaningful participation (ibid). </w:t>
      </w:r>
    </w:p>
    <w:p w14:paraId="5C19613D" w14:textId="77777777" w:rsidR="00790DEC" w:rsidRPr="006250C0" w:rsidRDefault="00790DEC" w:rsidP="002E07B1">
      <w:pPr>
        <w:jc w:val="both"/>
        <w:rPr>
          <w:rFonts w:ascii="Garamond" w:hAnsi="Garamond"/>
          <w:color w:val="C00000"/>
          <w:sz w:val="24"/>
          <w:szCs w:val="24"/>
          <w:lang w:val="en-GB"/>
        </w:rPr>
      </w:pPr>
      <w:r w:rsidRPr="006250C0">
        <w:rPr>
          <w:rFonts w:ascii="Garamond" w:hAnsi="Garamond"/>
          <w:color w:val="000000" w:themeColor="text1"/>
          <w:sz w:val="24"/>
          <w:szCs w:val="24"/>
          <w:lang w:val="en-GB"/>
        </w:rPr>
        <w:t>It makes sense to approach this problem in the context of cities because these attract a disproportionate portion of migrants (Dang, 2002, 19). Because of this, ethnic minorities become an increasingly significant part of city life (</w:t>
      </w:r>
      <w:proofErr w:type="spellStart"/>
      <w:r w:rsidRPr="006250C0">
        <w:rPr>
          <w:rFonts w:ascii="Garamond" w:hAnsi="Garamond"/>
          <w:color w:val="000000" w:themeColor="text1"/>
          <w:sz w:val="24"/>
          <w:szCs w:val="24"/>
          <w:lang w:val="en-GB"/>
        </w:rPr>
        <w:t>Sandercock</w:t>
      </w:r>
      <w:proofErr w:type="spellEnd"/>
      <w:r w:rsidRPr="006250C0">
        <w:rPr>
          <w:rFonts w:ascii="Garamond" w:hAnsi="Garamond"/>
          <w:color w:val="000000" w:themeColor="text1"/>
          <w:sz w:val="24"/>
          <w:szCs w:val="24"/>
          <w:lang w:val="en-GB"/>
        </w:rPr>
        <w:t xml:space="preserve">, 2003, 149). Urban agonists believe that these differences should be mediated in order for society to deal with difference and its tensions.  To be more specific, urban agonists tend to see the local level as the place where differences should be mediated. As Ash Amin (2002, 967) notes, “There is an emerging consensus that a crucial factor is the daily negotiation of difference in sites where people can come to terms with ethnic differences and where the voicing of racism can be muted”. These are the places that are crucial for mediating differences because everyday encounters between citizens take place there (ibid.: 959). This is where intercultural exchange should take place in order to transform identities and attitudes (ibid.: 967). </w:t>
      </w:r>
    </w:p>
    <w:p w14:paraId="54B43EF8"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Bringing people together can be especially hard in cities because city dwellers tend to shy away from interaction with their fellow citizens (Landry &amp; Woods, 2002, 4). Richard Sennett saw this fear of the other as a problematic yet inherent part of the human condition. (1970, 12). Humans fear what is unpredictable and seek what is similar to them. Although this fear of the unknown is present in everyone, Sennett claims that this sentiment emerges at the age of adolescence (ibid.). In the context of community building, this leads people to seek out people who resemble themselves and build an identity around this (ibid.: 35). This is problematic for Sennett, while painful encounters with the unexpected are what leads citizens to reach a stage of maturity (ibid.: 109). Although this is painful, it is the only way towards a meaningful life (ibid.).</w:t>
      </w:r>
    </w:p>
    <w:p w14:paraId="21E099D2" w14:textId="152C38D5"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What should this interaction then look like? It is impossible to approach this mediation of difference in a harmonious manner (Landry &amp; Woods, 2002, 5). Arguments and conflicts are needed in order to understand ‘the cultural other’. Incorporating conflict in this process in a constructive manner is not easy but can be done when sufficiently managed (ibid.: 6). As Landry &amp; Woods state, this process must be accompanied by the expression of strong beliefs and passions and the acknowledgment of conflict (ibid.: 6-7). This is where the influence of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is the most visible. Landry &amp; Woods refer to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as a dire</w:t>
      </w:r>
      <w:r w:rsidR="00AB50E0">
        <w:rPr>
          <w:rFonts w:ascii="Garamond" w:hAnsi="Garamond"/>
          <w:color w:val="000000" w:themeColor="text1"/>
          <w:sz w:val="24"/>
          <w:szCs w:val="24"/>
          <w:lang w:val="en-GB"/>
        </w:rPr>
        <w:t>ct inspiration when she introduces</w:t>
      </w:r>
      <w:r w:rsidRPr="006250C0">
        <w:rPr>
          <w:rFonts w:ascii="Garamond" w:hAnsi="Garamond"/>
          <w:color w:val="000000" w:themeColor="text1"/>
          <w:sz w:val="24"/>
          <w:szCs w:val="24"/>
          <w:lang w:val="en-GB"/>
        </w:rPr>
        <w:t xml:space="preserve"> the expression of passions and emotions as a means to mediate difference (ibid.: 280). They refer to her influence </w:t>
      </w:r>
      <w:r w:rsidRPr="006250C0">
        <w:rPr>
          <w:rFonts w:ascii="Garamond" w:hAnsi="Garamond"/>
          <w:color w:val="000000" w:themeColor="text1"/>
          <w:sz w:val="24"/>
          <w:szCs w:val="24"/>
          <w:lang w:val="en-GB"/>
        </w:rPr>
        <w:lastRenderedPageBreak/>
        <w:t>more directly when they state tha</w:t>
      </w:r>
      <w:r w:rsidR="00AB50E0">
        <w:rPr>
          <w:rFonts w:ascii="Garamond" w:hAnsi="Garamond"/>
          <w:color w:val="000000" w:themeColor="text1"/>
          <w:sz w:val="24"/>
          <w:szCs w:val="24"/>
          <w:lang w:val="en-GB"/>
        </w:rPr>
        <w:t>t they “</w:t>
      </w:r>
      <w:r w:rsidRPr="006250C0">
        <w:rPr>
          <w:rFonts w:ascii="Garamond" w:hAnsi="Garamond"/>
          <w:color w:val="000000" w:themeColor="text1"/>
          <w:sz w:val="24"/>
          <w:szCs w:val="24"/>
          <w:lang w:val="en-GB"/>
        </w:rPr>
        <w:t xml:space="preserve">follow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xml:space="preserve"> in believing that a healthy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between adversaries can rep</w:t>
      </w:r>
      <w:r w:rsidR="00AB50E0">
        <w:rPr>
          <w:rFonts w:ascii="Garamond" w:hAnsi="Garamond"/>
          <w:color w:val="000000" w:themeColor="text1"/>
          <w:sz w:val="24"/>
          <w:szCs w:val="24"/>
          <w:lang w:val="en-GB"/>
        </w:rPr>
        <w:t>lace antagonism between enemies”</w:t>
      </w:r>
      <w:r w:rsidRPr="006250C0">
        <w:rPr>
          <w:rFonts w:ascii="Garamond" w:hAnsi="Garamond"/>
          <w:color w:val="000000" w:themeColor="text1"/>
          <w:sz w:val="24"/>
          <w:szCs w:val="24"/>
          <w:lang w:val="en-GB"/>
        </w:rPr>
        <w:t xml:space="preserve"> (ibid.: 321).  </w:t>
      </w:r>
    </w:p>
    <w:p w14:paraId="4079CC14" w14:textId="0544B891" w:rsidR="00790DEC" w:rsidRPr="006250C0" w:rsidRDefault="00FD4ED5" w:rsidP="002E07B1">
      <w:pPr>
        <w:keepNext/>
        <w:keepLines/>
        <w:spacing w:before="40" w:after="0"/>
        <w:jc w:val="both"/>
        <w:outlineLvl w:val="1"/>
        <w:rPr>
          <w:rFonts w:ascii="Garamond" w:eastAsiaTheme="majorEastAsia" w:hAnsi="Garamond" w:cs="Arial"/>
          <w:color w:val="000000" w:themeColor="text1"/>
          <w:sz w:val="28"/>
          <w:szCs w:val="28"/>
          <w:u w:val="single"/>
          <w:lang w:val="en-GB"/>
        </w:rPr>
      </w:pPr>
      <w:bookmarkStart w:id="29" w:name="_Toc12185336"/>
      <w:bookmarkStart w:id="30" w:name="_Toc12190551"/>
      <w:bookmarkStart w:id="31" w:name="_Toc12264080"/>
      <w:bookmarkStart w:id="32" w:name="_Toc12268847"/>
      <w:bookmarkStart w:id="33" w:name="_Toc12269119"/>
      <w:bookmarkStart w:id="34" w:name="_Toc13050249"/>
      <w:bookmarkStart w:id="35" w:name="_Toc13061249"/>
      <w:r>
        <w:rPr>
          <w:rFonts w:ascii="Garamond" w:eastAsiaTheme="majorEastAsia" w:hAnsi="Garamond" w:cs="Arial"/>
          <w:color w:val="000000" w:themeColor="text1"/>
          <w:sz w:val="28"/>
          <w:szCs w:val="28"/>
          <w:u w:val="single"/>
          <w:lang w:val="en-GB"/>
        </w:rPr>
        <w:t>Urban Agonistic S</w:t>
      </w:r>
      <w:r w:rsidR="00790DEC" w:rsidRPr="006250C0">
        <w:rPr>
          <w:rFonts w:ascii="Garamond" w:eastAsiaTheme="majorEastAsia" w:hAnsi="Garamond" w:cs="Arial"/>
          <w:color w:val="000000" w:themeColor="text1"/>
          <w:sz w:val="28"/>
          <w:szCs w:val="28"/>
          <w:u w:val="single"/>
          <w:lang w:val="en-GB"/>
        </w:rPr>
        <w:t>olutions</w:t>
      </w:r>
      <w:bookmarkEnd w:id="29"/>
      <w:bookmarkEnd w:id="30"/>
      <w:bookmarkEnd w:id="31"/>
      <w:bookmarkEnd w:id="32"/>
      <w:bookmarkEnd w:id="33"/>
      <w:bookmarkEnd w:id="34"/>
      <w:bookmarkEnd w:id="35"/>
    </w:p>
    <w:p w14:paraId="1B96FD59"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This is how far the consensus between urban agonist stretches. When it comes to the conceptualization of interaction and the ideal places for this, there is disagreement between urban agonistic scholars. Landry &amp; Woods seem to understand interaction in a broad sense that can take place in many places, like on the workplace, the marketplace, on schools and in the public domain (2002, vii). They particularly emphasize the importance of socially and spatial mixing of different cultural groups (ibid.: 105). By doing this, people can encounter each other in public spaces and mediate differences. This will increase interaction between groups, tolerance of difference, social harmony and create greater opportunity for all groups (ibid.: 105-106). </w:t>
      </w:r>
    </w:p>
    <w:p w14:paraId="0A821042"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eastAsia="Calibri" w:hAnsi="Garamond" w:cs="Times New Roman"/>
          <w:color w:val="000000" w:themeColor="text1"/>
          <w:sz w:val="24"/>
          <w:szCs w:val="24"/>
          <w:lang w:val="en-GB"/>
        </w:rPr>
        <w:t xml:space="preserve">Sennett seems to acknowledge the importance of spatial and social mixing but conceptualized this in a more radical way. In order to achieve this, he argues for the need for ‘survival communities' (Sennett, 1970, 141). For him, the most straightforward way in which different groups of citizens interact with each other is by necessity (ibid.: 138). Sennett proposes survival communities as a means to create this sense of urgency to interact. These survival communities are created by assigning tasks to the neighbourhood that are traditionally performed by the (municipal) government (ibid.: 141). Examples of such tasks are policing of the neighbourhood, zoning and renewing the neighbourhood. When citizens cannot rely on the government for such matters, they are forced to interact with their fellow citizens (ibid.). Although Sennett admits that this will lead to conflict, he does not think that this will lead to any form of violence (ibid.: 146-147). </w:t>
      </w:r>
    </w:p>
    <w:p w14:paraId="3AB66E0C"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Ash Amin, on the other hand, disagrees with the importance that is assigned to the public space and residential mixing (2002, 968). Although many mixed housing projects exist, he argues that not many have been successful. This often seems to be the case, because although different groups occupy the same space, they do not interact with each other. These different groups still limit their social lives to their own group with little interaction with other cultural groups (ibid.). Amin also criticizes the idea that public spaces in the city are the ideal environment for interaction between citizens (2002, 967). Examples of such open spaces are parks and squares, but also more commercial businesses like shopping malls or cafés. These places may look like ideal arenas for interaction, but in reality, lead to very little contact between groups. When they do lead to contact, this is mostly between people of the same group (ibid.). This is not to say that public spaces are not valuable assets in bringing people together. </w:t>
      </w:r>
    </w:p>
    <w:p w14:paraId="03A89370"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This means that the impact public places can have is not enough to realize the ideals of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(ibid.: 968). However, when the mixed neighbourhoods and urban spaces are not efficient places for agonistic interaction, where should these encounters then take place? According to Amin, the ideal location for agonistic interaction is what he calls micro-publics (ibid.: 969). Examples of these micro publics are the workplace, schools and the sports club (ibid.). Integration in these spaces is necessary for a multicultural understanding. These are the most-likely cases for real cultural exchange. To actually achieve cultural exchange, more social engineering is often needed. However, one straightforward formula applicable to every situation is impossible to find.</w:t>
      </w:r>
    </w:p>
    <w:p w14:paraId="752CD154" w14:textId="6DD4DD86"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In this chapter, I have aimed to clarify what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exactly entails. I have aimed to do this by first referring to the writings of Chantal </w:t>
      </w:r>
      <w:proofErr w:type="spellStart"/>
      <w:r w:rsidRPr="006250C0">
        <w:rPr>
          <w:rFonts w:ascii="Garamond" w:hAnsi="Garamond"/>
          <w:color w:val="000000" w:themeColor="text1"/>
          <w:sz w:val="24"/>
          <w:szCs w:val="24"/>
          <w:lang w:val="en-GB"/>
        </w:rPr>
        <w:t>Mouffe</w:t>
      </w:r>
      <w:proofErr w:type="spellEnd"/>
      <w:r w:rsidRPr="006250C0">
        <w:rPr>
          <w:rFonts w:ascii="Garamond" w:hAnsi="Garamond"/>
          <w:color w:val="000000" w:themeColor="text1"/>
          <w:sz w:val="24"/>
          <w:szCs w:val="24"/>
          <w:lang w:val="en-GB"/>
        </w:rPr>
        <w:t>. This was necessary because her conception of engagement through conflict and strife has been such a direct influence on many of the urban agonist scholars. This was followed by an examination of the writings of urban agonistic scholars and how they disti</w:t>
      </w:r>
      <w:r w:rsidR="00B516B3">
        <w:rPr>
          <w:rFonts w:ascii="Garamond" w:hAnsi="Garamond"/>
          <w:color w:val="000000" w:themeColor="text1"/>
          <w:sz w:val="24"/>
          <w:szCs w:val="24"/>
          <w:lang w:val="en-GB"/>
        </w:rPr>
        <w:t xml:space="preserve">nguish their selves from </w:t>
      </w:r>
      <w:proofErr w:type="spellStart"/>
      <w:r w:rsidR="00B516B3">
        <w:rPr>
          <w:rFonts w:ascii="Garamond" w:hAnsi="Garamond"/>
          <w:color w:val="000000" w:themeColor="text1"/>
          <w:sz w:val="24"/>
          <w:szCs w:val="24"/>
          <w:lang w:val="en-GB"/>
        </w:rPr>
        <w:t>Mouffe’</w:t>
      </w:r>
      <w:r w:rsidRPr="006250C0">
        <w:rPr>
          <w:rFonts w:ascii="Garamond" w:hAnsi="Garamond"/>
          <w:color w:val="000000" w:themeColor="text1"/>
          <w:sz w:val="24"/>
          <w:szCs w:val="24"/>
          <w:lang w:val="en-GB"/>
        </w:rPr>
        <w:t>s</w:t>
      </w:r>
      <w:proofErr w:type="spellEnd"/>
      <w:r w:rsidRPr="006250C0">
        <w:rPr>
          <w:rFonts w:ascii="Garamond" w:hAnsi="Garamond"/>
          <w:color w:val="000000" w:themeColor="text1"/>
          <w:sz w:val="24"/>
          <w:szCs w:val="24"/>
          <w:lang w:val="en-GB"/>
        </w:rPr>
        <w:t xml:space="preserve"> more traditional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It became clear that </w:t>
      </w:r>
      <w:r w:rsidRPr="006250C0">
        <w:rPr>
          <w:rFonts w:ascii="Garamond" w:hAnsi="Garamond"/>
          <w:color w:val="000000" w:themeColor="text1"/>
          <w:sz w:val="24"/>
          <w:szCs w:val="24"/>
          <w:lang w:val="en-GB"/>
        </w:rPr>
        <w:lastRenderedPageBreak/>
        <w:t xml:space="preserve">urban agonistic writers aim to solve problems of structural ethnic inequality by focusing on the urban landscape. In this urban context, public spaces and/or micro publics are seen as the ideal sites for agonistic interaction between citizens. The next chapter will focus on another position with a different model of living with difference called side-by-side citizenship.  </w:t>
      </w:r>
    </w:p>
    <w:p w14:paraId="536772B5" w14:textId="77777777" w:rsidR="00790DEC" w:rsidRPr="006250C0" w:rsidRDefault="00790DEC" w:rsidP="002E07B1">
      <w:pPr>
        <w:keepNext/>
        <w:keepLines/>
        <w:spacing w:before="240" w:after="0"/>
        <w:jc w:val="both"/>
        <w:outlineLvl w:val="0"/>
        <w:rPr>
          <w:rFonts w:asciiTheme="majorHAnsi" w:eastAsiaTheme="majorEastAsia" w:hAnsiTheme="majorHAnsi" w:cstheme="majorBidi"/>
          <w:color w:val="2E74B5" w:themeColor="accent1" w:themeShade="BF"/>
          <w:sz w:val="24"/>
          <w:szCs w:val="24"/>
          <w:lang w:val="en-GB"/>
        </w:rPr>
      </w:pPr>
    </w:p>
    <w:p w14:paraId="42A878DF" w14:textId="77777777" w:rsidR="00790DEC" w:rsidRPr="006250C0" w:rsidRDefault="00790DEC" w:rsidP="002E07B1">
      <w:pPr>
        <w:keepNext/>
        <w:keepLines/>
        <w:spacing w:before="240" w:after="0"/>
        <w:jc w:val="both"/>
        <w:outlineLvl w:val="0"/>
        <w:rPr>
          <w:rFonts w:ascii="Garamond" w:eastAsiaTheme="majorEastAsia" w:hAnsi="Garamond" w:cstheme="majorBidi"/>
          <w:b/>
          <w:color w:val="2E74B5" w:themeColor="accent1" w:themeShade="BF"/>
          <w:sz w:val="36"/>
          <w:szCs w:val="36"/>
          <w:lang w:val="en-GB"/>
        </w:rPr>
      </w:pPr>
      <w:r w:rsidRPr="006250C0">
        <w:rPr>
          <w:rFonts w:asciiTheme="majorHAnsi" w:eastAsiaTheme="majorEastAsia" w:hAnsiTheme="majorHAnsi" w:cstheme="majorBidi"/>
          <w:color w:val="2E74B5" w:themeColor="accent1" w:themeShade="BF"/>
          <w:sz w:val="24"/>
          <w:szCs w:val="24"/>
          <w:lang w:val="en-GB"/>
        </w:rPr>
        <w:br w:type="page"/>
      </w:r>
      <w:bookmarkStart w:id="36" w:name="_Toc12190552"/>
      <w:bookmarkStart w:id="37" w:name="_Toc12264081"/>
      <w:bookmarkStart w:id="38" w:name="_Toc12268848"/>
      <w:bookmarkStart w:id="39" w:name="_Toc12269120"/>
      <w:bookmarkStart w:id="40" w:name="_Toc13050250"/>
      <w:bookmarkStart w:id="41" w:name="_Toc12122216"/>
      <w:bookmarkStart w:id="42" w:name="_Toc12185337"/>
      <w:bookmarkStart w:id="43" w:name="_Toc13061250"/>
      <w:r w:rsidRPr="006250C0">
        <w:rPr>
          <w:rFonts w:ascii="Garamond" w:eastAsiaTheme="majorEastAsia" w:hAnsi="Garamond" w:cstheme="majorBidi"/>
          <w:b/>
          <w:color w:val="000000" w:themeColor="text1"/>
          <w:sz w:val="36"/>
          <w:szCs w:val="36"/>
          <w:lang w:val="en-GB"/>
        </w:rPr>
        <w:lastRenderedPageBreak/>
        <w:t>Chapter 3: Side-by-side Citizenship</w:t>
      </w:r>
      <w:bookmarkEnd w:id="36"/>
      <w:bookmarkEnd w:id="37"/>
      <w:bookmarkEnd w:id="38"/>
      <w:bookmarkEnd w:id="39"/>
      <w:bookmarkEnd w:id="40"/>
      <w:bookmarkEnd w:id="43"/>
      <w:r w:rsidRPr="006250C0">
        <w:rPr>
          <w:rFonts w:ascii="Garamond" w:eastAsiaTheme="majorEastAsia" w:hAnsi="Garamond" w:cstheme="majorBidi"/>
          <w:b/>
          <w:color w:val="000000" w:themeColor="text1"/>
          <w:sz w:val="36"/>
          <w:szCs w:val="36"/>
          <w:lang w:val="en-GB"/>
        </w:rPr>
        <w:t xml:space="preserve"> </w:t>
      </w:r>
      <w:bookmarkEnd w:id="41"/>
      <w:bookmarkEnd w:id="42"/>
    </w:p>
    <w:p w14:paraId="5431EB29"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The third chapter will pay attention to an attitude called side-by-side citizenship. First, some sociological groundwork will be discussed through the writings of George Simmel and Stanley Milgram. This is necessary because the scholars defending side-by-side citizenship use these writings as the groundwork for their position. The last section will look at scholars who aimed to construct a mode of indifference as a means to deal with the complexities of city life. The writings that will be discussed are from Fran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and Bart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w:t>
      </w:r>
    </w:p>
    <w:p w14:paraId="1A17702B" w14:textId="77777777" w:rsidR="00790DEC" w:rsidRPr="006250C0" w:rsidRDefault="00790DEC" w:rsidP="002E07B1">
      <w:pPr>
        <w:keepNext/>
        <w:keepLines/>
        <w:spacing w:before="40" w:after="0"/>
        <w:jc w:val="both"/>
        <w:outlineLvl w:val="1"/>
        <w:rPr>
          <w:rFonts w:ascii="Garamond" w:eastAsiaTheme="majorEastAsia" w:hAnsi="Garamond" w:cstheme="majorBidi"/>
          <w:color w:val="000000" w:themeColor="text1"/>
          <w:sz w:val="28"/>
          <w:szCs w:val="28"/>
          <w:u w:val="single"/>
          <w:lang w:val="en-GB"/>
        </w:rPr>
      </w:pPr>
      <w:bookmarkStart w:id="44" w:name="_Toc12185338"/>
      <w:bookmarkStart w:id="45" w:name="_Toc12190553"/>
      <w:bookmarkStart w:id="46" w:name="_Toc12264082"/>
      <w:bookmarkStart w:id="47" w:name="_Toc12268849"/>
      <w:bookmarkStart w:id="48" w:name="_Toc12269121"/>
      <w:bookmarkStart w:id="49" w:name="_Toc13050251"/>
      <w:bookmarkStart w:id="50" w:name="_Toc13061251"/>
      <w:r w:rsidRPr="006250C0">
        <w:rPr>
          <w:rFonts w:ascii="Garamond" w:eastAsiaTheme="majorEastAsia" w:hAnsi="Garamond" w:cstheme="majorBidi"/>
          <w:color w:val="000000" w:themeColor="text1"/>
          <w:sz w:val="28"/>
          <w:szCs w:val="28"/>
          <w:u w:val="single"/>
          <w:lang w:val="en-GB"/>
        </w:rPr>
        <w:t>Sociological Groundwork</w:t>
      </w:r>
      <w:bookmarkEnd w:id="44"/>
      <w:bookmarkEnd w:id="45"/>
      <w:bookmarkEnd w:id="46"/>
      <w:bookmarkEnd w:id="47"/>
      <w:bookmarkEnd w:id="48"/>
      <w:bookmarkEnd w:id="49"/>
      <w:bookmarkEnd w:id="50"/>
    </w:p>
    <w:p w14:paraId="1036E728"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To Simmel, living in the city demands a mode of living together that is characterized by indifference (Simmel, 1903, 14). He refers to multiple aspects of the city life that cause this indifferent mode of living. One cause for this indifferent attitude can be found in the mental state that is needed to cope with the insanity of city life (ibid: 11). Compared to the predictability of life in rural areas, city life is much faster and stimulating. To cope with the overstimulating city environment, the mental state of city dwellers needs to stray away from the emotional mental state of the residents of towns (ibid.: 12). Instead, an intellectualist character of mental life is adopted that focusses more on rational considerations (ibid.). This rational perspective creates distance between a person and his overstimulating experience, which makes him less sensitive for these experiences (ibid: 12).</w:t>
      </w:r>
    </w:p>
    <w:p w14:paraId="254EB297"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This rational intellectualism has a strong connection with a market rationale that only looks at matters in terms of value (Simmel, 1903, 12). In this way, city dwellers do not have to concern their selves with irrational emotions but can approach matters from a quantitative point of view. This is particularly fitting when the city environment is understood as a big anonymous structure of supply and demand. As a result, city dwellers adopt an attitude that can be described as egotistic and ruthlessly calculating (ibid.). In other words, by coping with the stimulations of the city, the nerves of its inhabitants become numb (ibid.: 14). This results in a blasé attitude that is indifferent towards distinctions between people. These distinctions are still observed but are perceived as meaningless (ibid.).</w:t>
      </w:r>
    </w:p>
    <w:p w14:paraId="57260227" w14:textId="60F13D14"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Stanley Milgram observed this same indifference in the attitude of the city dweller with a more empirical approach. He referred to this overstimulation of the senses of city dwellers as ‘an overload’ (Milgram, 1970, 1462). He lends this definition from system analysis, which also functions as an analogy of the overstimulating effect of the city dweller. When a system must process to</w:t>
      </w:r>
      <w:r w:rsidR="00AB50E0">
        <w:rPr>
          <w:rFonts w:ascii="Garamond" w:hAnsi="Garamond"/>
          <w:color w:val="000000" w:themeColor="text1"/>
          <w:sz w:val="24"/>
          <w:szCs w:val="24"/>
          <w:lang w:val="en-GB"/>
        </w:rPr>
        <w:t>o much input, it makes choices between</w:t>
      </w:r>
      <w:r w:rsidRPr="006250C0">
        <w:rPr>
          <w:rFonts w:ascii="Garamond" w:hAnsi="Garamond"/>
          <w:color w:val="000000" w:themeColor="text1"/>
          <w:sz w:val="24"/>
          <w:szCs w:val="24"/>
          <w:lang w:val="en-GB"/>
        </w:rPr>
        <w:t xml:space="preserve"> what his priorities are. This can mean that input B is completely ignored in order to at least process input A. In this analogy, the overstimulating experiences of the city are the input and its inhabitants are the system. In practical terms, this means that low-priority inputs are disregarded. For example, city dwellers ignore the drunks or the beggars on the street (ibid.). </w:t>
      </w:r>
    </w:p>
    <w:p w14:paraId="31E0170A" w14:textId="5F5CA89C"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Other ways to cope with the overstimulating life of the city is by only engaging in superficial involvement with others or by blocking the input even before it enters the system (Milgram, 1970, 1462). The latter can be done by adopting an unfriendly attitude that causes others not to approach you. These coping mechanisms lead to a total disregard for the needs of others if they cannot contribute to personal gain. This leads to situations in which bystanders often do not intervene in crises, for example, when someone gets harassed. However, this neglect of crises in the urban space can also be explained by a great degree of respect for the social privacy that is often present in the city (ibid.: 1463). This leads to greater tolerance of the behaviour of others, but also makes it hard to determine when someone crosses the line (ibid.).</w:t>
      </w:r>
    </w:p>
    <w:p w14:paraId="7CE09599" w14:textId="4C987743" w:rsidR="00790DEC" w:rsidRPr="006250C0" w:rsidRDefault="00FD4ED5" w:rsidP="002E07B1">
      <w:pPr>
        <w:keepNext/>
        <w:keepLines/>
        <w:spacing w:before="40" w:after="0"/>
        <w:jc w:val="both"/>
        <w:outlineLvl w:val="1"/>
        <w:rPr>
          <w:rFonts w:ascii="Garamond" w:eastAsiaTheme="majorEastAsia" w:hAnsi="Garamond" w:cstheme="majorBidi"/>
          <w:color w:val="000000" w:themeColor="text1"/>
          <w:sz w:val="28"/>
          <w:szCs w:val="28"/>
          <w:u w:val="single"/>
          <w:lang w:val="en-GB"/>
        </w:rPr>
      </w:pPr>
      <w:bookmarkStart w:id="51" w:name="_Toc12185339"/>
      <w:bookmarkStart w:id="52" w:name="_Toc12190554"/>
      <w:bookmarkStart w:id="53" w:name="_Toc12264083"/>
      <w:bookmarkStart w:id="54" w:name="_Toc12268850"/>
      <w:bookmarkStart w:id="55" w:name="_Toc12269122"/>
      <w:bookmarkStart w:id="56" w:name="_Toc13050252"/>
      <w:bookmarkStart w:id="57" w:name="_Toc13061252"/>
      <w:r>
        <w:rPr>
          <w:rFonts w:ascii="Garamond" w:eastAsiaTheme="majorEastAsia" w:hAnsi="Garamond" w:cstheme="majorBidi"/>
          <w:color w:val="000000" w:themeColor="text1"/>
          <w:sz w:val="28"/>
          <w:szCs w:val="28"/>
          <w:u w:val="single"/>
          <w:lang w:val="en-GB"/>
        </w:rPr>
        <w:lastRenderedPageBreak/>
        <w:t>Indifference as a Means for Cultural A</w:t>
      </w:r>
      <w:r w:rsidR="00790DEC" w:rsidRPr="006250C0">
        <w:rPr>
          <w:rFonts w:ascii="Garamond" w:eastAsiaTheme="majorEastAsia" w:hAnsi="Garamond" w:cstheme="majorBidi"/>
          <w:color w:val="000000" w:themeColor="text1"/>
          <w:sz w:val="28"/>
          <w:szCs w:val="28"/>
          <w:u w:val="single"/>
          <w:lang w:val="en-GB"/>
        </w:rPr>
        <w:t>cceptance</w:t>
      </w:r>
      <w:bookmarkEnd w:id="51"/>
      <w:bookmarkEnd w:id="52"/>
      <w:bookmarkEnd w:id="53"/>
      <w:bookmarkEnd w:id="54"/>
      <w:bookmarkEnd w:id="55"/>
      <w:bookmarkEnd w:id="56"/>
      <w:bookmarkEnd w:id="57"/>
    </w:p>
    <w:p w14:paraId="4ED80CE9" w14:textId="0FE97DEE"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Simmel and Milgram’s view of city life seems to lean more to</w:t>
      </w:r>
      <w:r w:rsidR="00072C9B">
        <w:rPr>
          <w:rFonts w:ascii="Garamond" w:hAnsi="Garamond"/>
          <w:color w:val="000000" w:themeColor="text1"/>
          <w:sz w:val="24"/>
          <w:szCs w:val="24"/>
          <w:lang w:val="en-GB"/>
        </w:rPr>
        <w:t>ward</w:t>
      </w:r>
      <w:r w:rsidRPr="006250C0">
        <w:rPr>
          <w:rFonts w:ascii="Garamond" w:hAnsi="Garamond"/>
          <w:color w:val="000000" w:themeColor="text1"/>
          <w:sz w:val="24"/>
          <w:szCs w:val="24"/>
          <w:lang w:val="en-GB"/>
        </w:rPr>
        <w:t xml:space="preserve"> the negative than the positive</w:t>
      </w:r>
      <w:r w:rsidR="00072C9B">
        <w:rPr>
          <w:rFonts w:ascii="Garamond" w:hAnsi="Garamond"/>
          <w:color w:val="000000" w:themeColor="text1"/>
          <w:sz w:val="24"/>
          <w:szCs w:val="24"/>
          <w:lang w:val="en-GB"/>
        </w:rPr>
        <w:t xml:space="preserve"> </w:t>
      </w:r>
      <w:proofErr w:type="spellStart"/>
      <w:r w:rsidR="00072C9B">
        <w:rPr>
          <w:rFonts w:ascii="Garamond" w:hAnsi="Garamond"/>
          <w:color w:val="000000" w:themeColor="text1"/>
          <w:sz w:val="24"/>
          <w:szCs w:val="24"/>
          <w:lang w:val="en-GB"/>
        </w:rPr>
        <w:t>assesment</w:t>
      </w:r>
      <w:proofErr w:type="spellEnd"/>
      <w:r w:rsidRPr="006250C0">
        <w:rPr>
          <w:rFonts w:ascii="Garamond" w:hAnsi="Garamond"/>
          <w:color w:val="000000" w:themeColor="text1"/>
          <w:sz w:val="24"/>
          <w:szCs w:val="24"/>
          <w:lang w:val="en-GB"/>
        </w:rPr>
        <w:t xml:space="preserve">. However, some scholars see potential in this indifferent attitude as a new mode of living with difference in the city. Fran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is one of the scholars that sees potential in the indifferent character that is typical for city dwellers. She uses the sociological writings of Simmel as a starting point to formulate this as a minimal ethical relationship. This reservation of city dwellers should not be seen as the absence of social relations, but rather as a different kind of social relation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2003, 300). As Simmel &amp; Milgram noted, the great quantity of possible encounters in the city makes acting on every social impulse impossible. Because of this, city dwellers take on an indifferent attitude towards these impulses. This indifference enables city dwellers to function in the city without having to react on every possible encounter they come across. In this sense, it ensures that people are still able to socialize, even if this is in </w:t>
      </w:r>
      <w:r w:rsidR="00072C9B">
        <w:rPr>
          <w:rFonts w:ascii="Garamond" w:hAnsi="Garamond"/>
          <w:color w:val="000000" w:themeColor="text1"/>
          <w:sz w:val="24"/>
          <w:szCs w:val="24"/>
          <w:lang w:val="en-GB"/>
        </w:rPr>
        <w:t xml:space="preserve">a </w:t>
      </w:r>
      <w:r w:rsidRPr="006250C0">
        <w:rPr>
          <w:rFonts w:ascii="Garamond" w:hAnsi="Garamond"/>
          <w:color w:val="000000" w:themeColor="text1"/>
          <w:sz w:val="24"/>
          <w:szCs w:val="24"/>
          <w:lang w:val="en-GB"/>
        </w:rPr>
        <w:t xml:space="preserve">moderate fashion. As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states: “What appears as dissociation is, in fact, the basic form of urban </w:t>
      </w:r>
      <w:proofErr w:type="spellStart"/>
      <w:r w:rsidRPr="006250C0">
        <w:rPr>
          <w:rFonts w:ascii="Garamond" w:hAnsi="Garamond"/>
          <w:color w:val="000000" w:themeColor="text1"/>
          <w:sz w:val="24"/>
          <w:szCs w:val="24"/>
          <w:lang w:val="en-GB"/>
        </w:rPr>
        <w:t>sociation</w:t>
      </w:r>
      <w:proofErr w:type="spellEnd"/>
      <w:r w:rsidRPr="006250C0">
        <w:rPr>
          <w:rFonts w:ascii="Garamond" w:hAnsi="Garamond"/>
          <w:color w:val="000000" w:themeColor="text1"/>
          <w:sz w:val="24"/>
          <w:szCs w:val="24"/>
          <w:lang w:val="en-GB"/>
        </w:rPr>
        <w:t>, one that allows us to coexist with all these largely unknown others” (ibid.).</w:t>
      </w:r>
    </w:p>
    <w:p w14:paraId="51742A13" w14:textId="1B763F2C"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This indifference towards others provides the city dweller with the freedom to be left alone by others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2003, 300). To not to be seen also means to not to be harassed, attacked, or be approached in an unpleasant manner (ibid.: 301). The indifferent blasé attitude of the city does not only weaken the bonds between citizens, but also the antagonisms and grudges so common in social life. In this sense, living in the city brings along a degree of tolerance, as it is also indifferent to different modes of life (ibid.). This makes it a welcoming place for citizens with deviant ways of living, like migrants, homosexuals and artists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2010, 642). George Chauncey confirms this when he states that many homosexuals in the 1930’s moved to New York because their sexuality was frowned upon by their families and the small communities where they grew up</w:t>
      </w:r>
      <w:r w:rsidR="00072C9B">
        <w:rPr>
          <w:rFonts w:ascii="Garamond" w:hAnsi="Garamond"/>
          <w:color w:val="000000" w:themeColor="text1"/>
          <w:sz w:val="24"/>
          <w:szCs w:val="24"/>
          <w:lang w:val="en-GB"/>
        </w:rPr>
        <w:t xml:space="preserve"> in</w:t>
      </w:r>
      <w:r w:rsidRPr="006250C0">
        <w:rPr>
          <w:rFonts w:ascii="Garamond" w:hAnsi="Garamond"/>
          <w:color w:val="000000" w:themeColor="text1"/>
          <w:sz w:val="24"/>
          <w:szCs w:val="24"/>
          <w:lang w:val="en-GB"/>
        </w:rPr>
        <w:t xml:space="preserve"> (1994, 135). In this sense, moving to a city was a way of escaping the constraints that homosexuals experienced in these towns. This understanding of the city as a place of refuge also applies to other deviant modes of life. It is a way to escape from the suffocating character of communities and its fixations on a shared identity and close relationships (ibid.: 302).</w:t>
      </w:r>
    </w:p>
    <w:p w14:paraId="707EF62A" w14:textId="6706C42A"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For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this does not mean that a state of indifference i</w:t>
      </w:r>
      <w:r w:rsidR="00072C9B">
        <w:rPr>
          <w:rFonts w:ascii="Garamond" w:hAnsi="Garamond"/>
          <w:color w:val="000000" w:themeColor="text1"/>
          <w:sz w:val="24"/>
          <w:szCs w:val="24"/>
          <w:lang w:val="en-GB"/>
        </w:rPr>
        <w:t xml:space="preserve">n the city always applies. City </w:t>
      </w:r>
      <w:r w:rsidRPr="006250C0">
        <w:rPr>
          <w:rFonts w:ascii="Garamond" w:hAnsi="Garamond"/>
          <w:color w:val="000000" w:themeColor="text1"/>
          <w:sz w:val="24"/>
          <w:szCs w:val="24"/>
          <w:lang w:val="en-GB"/>
        </w:rPr>
        <w:t>dwellers, and especially women, experience unwanted contact on a regular basis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2003, 301). Citizens are constantly exposed to the physical touch of others, even in violent ways (ibid.: 301-302). While woman, homosexuals and ethnic minorities can live relatively private lives in the city, they can easily be pulled out of this mode of anonymity by the gaze of the</w:t>
      </w:r>
      <w:r w:rsidR="00072C9B">
        <w:rPr>
          <w:rFonts w:ascii="Garamond" w:hAnsi="Garamond"/>
          <w:color w:val="000000" w:themeColor="text1"/>
          <w:sz w:val="24"/>
          <w:szCs w:val="24"/>
          <w:lang w:val="en-GB"/>
        </w:rPr>
        <w:t>ir</w:t>
      </w:r>
      <w:r w:rsidRPr="006250C0">
        <w:rPr>
          <w:rFonts w:ascii="Garamond" w:hAnsi="Garamond"/>
          <w:color w:val="000000" w:themeColor="text1"/>
          <w:sz w:val="24"/>
          <w:szCs w:val="24"/>
          <w:lang w:val="en-GB"/>
        </w:rPr>
        <w:t xml:space="preserve"> many fellow citizens. Situations in which this leads to harassment or violence are n</w:t>
      </w:r>
      <w:r w:rsidR="00072C9B">
        <w:rPr>
          <w:rFonts w:ascii="Garamond" w:hAnsi="Garamond"/>
          <w:color w:val="000000" w:themeColor="text1"/>
          <w:sz w:val="24"/>
          <w:szCs w:val="24"/>
          <w:lang w:val="en-GB"/>
        </w:rPr>
        <w:t xml:space="preserve">ot uncommon. As </w:t>
      </w:r>
      <w:proofErr w:type="spellStart"/>
      <w:r w:rsidR="00072C9B">
        <w:rPr>
          <w:rFonts w:ascii="Garamond" w:hAnsi="Garamond"/>
          <w:color w:val="000000" w:themeColor="text1"/>
          <w:sz w:val="24"/>
          <w:szCs w:val="24"/>
          <w:lang w:val="en-GB"/>
        </w:rPr>
        <w:t>Tonkiss</w:t>
      </w:r>
      <w:proofErr w:type="spellEnd"/>
      <w:r w:rsidR="00072C9B">
        <w:rPr>
          <w:rFonts w:ascii="Garamond" w:hAnsi="Garamond"/>
          <w:color w:val="000000" w:themeColor="text1"/>
          <w:sz w:val="24"/>
          <w:szCs w:val="24"/>
          <w:lang w:val="en-GB"/>
        </w:rPr>
        <w:t xml:space="preserve"> states “individuals’</w:t>
      </w:r>
      <w:r w:rsidRPr="006250C0">
        <w:rPr>
          <w:rFonts w:ascii="Garamond" w:hAnsi="Garamond"/>
          <w:color w:val="000000" w:themeColor="text1"/>
          <w:sz w:val="24"/>
          <w:szCs w:val="24"/>
          <w:lang w:val="en-GB"/>
        </w:rPr>
        <w:t xml:space="preserve"> relations to the possibilities and the security of indifference are unequal, as is the power to </w:t>
      </w:r>
      <w:r w:rsidR="00072C9B">
        <w:rPr>
          <w:rFonts w:ascii="Garamond" w:hAnsi="Garamond"/>
          <w:color w:val="000000" w:themeColor="text1"/>
          <w:sz w:val="24"/>
          <w:szCs w:val="24"/>
          <w:lang w:val="en-GB"/>
        </w:rPr>
        <w:t>grant others the ‘right’ to be left alone”</w:t>
      </w:r>
      <w:r w:rsidRPr="006250C0">
        <w:rPr>
          <w:rFonts w:ascii="Garamond" w:hAnsi="Garamond"/>
          <w:color w:val="000000" w:themeColor="text1"/>
          <w:sz w:val="24"/>
          <w:szCs w:val="24"/>
          <w:lang w:val="en-GB"/>
        </w:rPr>
        <w:t xml:space="preserve"> (ibid.; 302). Enlarging the scope of anonymity may be a way of realizing a situation in which everyone is assured of the right to be left alone (ibid.). This is the potential value of indifference.</w:t>
      </w:r>
    </w:p>
    <w:p w14:paraId="51B68C3D" w14:textId="5B9F815A"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Just as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Bart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similarly sees potential in a m</w:t>
      </w:r>
      <w:r w:rsidR="00072C9B">
        <w:rPr>
          <w:rFonts w:ascii="Garamond" w:hAnsi="Garamond"/>
          <w:color w:val="000000" w:themeColor="text1"/>
          <w:sz w:val="24"/>
          <w:szCs w:val="24"/>
          <w:lang w:val="en-GB"/>
        </w:rPr>
        <w:t>ode of indifference. However, while</w:t>
      </w:r>
      <w:r w:rsidRPr="006250C0">
        <w:rPr>
          <w:rFonts w:ascii="Garamond" w:hAnsi="Garamond"/>
          <w:color w:val="000000" w:themeColor="text1"/>
          <w:sz w:val="24"/>
          <w:szCs w:val="24"/>
          <w:lang w:val="en-GB"/>
        </w:rPr>
        <w:t xml:space="preserve">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formulates this as a minimal ethic relationship,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uses this as an inspiration to construct a mode of living with indifference. He conceptualizes this mode of indifference explicitly in relation to the intercultural dimension of the city (2010, 639). In other words, his writings focus more on the difficulties of living together with the vast differences in culture and ethnicity that are present in the city. Indifference can be valuable for a mode of living with difference as it has its advantages for cultural citizenship (2010, 639). This indifference allows for a multicultural community that is tolerant toward cultural differences, just as it is tolerant of other deviant modes of living. An indifferent mode of dealing with difference might also be the </w:t>
      </w:r>
      <w:r w:rsidRPr="006250C0">
        <w:rPr>
          <w:rFonts w:ascii="Garamond" w:hAnsi="Garamond"/>
          <w:color w:val="000000" w:themeColor="text1"/>
          <w:sz w:val="24"/>
          <w:szCs w:val="24"/>
          <w:lang w:val="en-GB"/>
        </w:rPr>
        <w:lastRenderedPageBreak/>
        <w:t xml:space="preserve">only possible option to deal with the complexities of multicultural society. This is the case because, as we have seen with Milgram, the city dweller is not capable of anything more demanding without being overstimulated (Milgram, 1970, 1462). With these considerations in mind,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aims to develop “an empirically grounded moral minimum, and thus a more realistic kind of intercultural citizenship</w:t>
      </w:r>
      <w:r w:rsidR="00891CA1">
        <w:rPr>
          <w:rFonts w:ascii="Garamond" w:hAnsi="Garamond"/>
          <w:color w:val="000000" w:themeColor="text1"/>
          <w:sz w:val="24"/>
          <w:szCs w:val="24"/>
          <w:lang w:val="en-GB"/>
        </w:rPr>
        <w:t>”</w:t>
      </w:r>
      <w:r w:rsidRPr="006250C0">
        <w:rPr>
          <w:rFonts w:ascii="Garamond" w:hAnsi="Garamond"/>
          <w:color w:val="000000" w:themeColor="text1"/>
          <w:sz w:val="24"/>
          <w:szCs w:val="24"/>
          <w:lang w:val="en-GB"/>
        </w:rPr>
        <w:t xml:space="preserve">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2010, 640). </w:t>
      </w:r>
    </w:p>
    <w:p w14:paraId="632ED80D" w14:textId="13294FAD"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To get to an indifferent mode of dealing with differences,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references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minimal ethical relation. To interpret indifferent attitudes as a social relation, instead of a lack of social ties, helps to see how people can relate to each other with an indifferent attitude. Indifference should not be seen as the absence of face-to-face-relationships, but as a side-by-side relationship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2003, 301). This understanding is the point of departure for Van </w:t>
      </w:r>
      <w:proofErr w:type="spellStart"/>
      <w:r w:rsidRPr="006250C0">
        <w:rPr>
          <w:rFonts w:ascii="Garamond" w:hAnsi="Garamond"/>
          <w:color w:val="000000" w:themeColor="text1"/>
          <w:sz w:val="24"/>
          <w:szCs w:val="24"/>
          <w:lang w:val="en-GB"/>
        </w:rPr>
        <w:t>Leeuwen</w:t>
      </w:r>
      <w:r w:rsidR="00891CA1">
        <w:rPr>
          <w:rFonts w:ascii="Garamond" w:hAnsi="Garamond"/>
          <w:color w:val="000000" w:themeColor="text1"/>
          <w:sz w:val="24"/>
          <w:szCs w:val="24"/>
          <w:lang w:val="en-GB"/>
        </w:rPr>
        <w:t>’s</w:t>
      </w:r>
      <w:proofErr w:type="spellEnd"/>
      <w:r w:rsidRPr="006250C0">
        <w:rPr>
          <w:rFonts w:ascii="Garamond" w:hAnsi="Garamond"/>
          <w:color w:val="000000" w:themeColor="text1"/>
          <w:sz w:val="24"/>
          <w:szCs w:val="24"/>
          <w:lang w:val="en-GB"/>
        </w:rPr>
        <w:t xml:space="preserve"> mode of living with difference. However, for a mode for dealing with difference to be morally viable, a more demanding definition is needed than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minimal ethical relation.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is concerned with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description of indifference as a “lack of concern for others”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2003, 300).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claims that a degree of concern for others, particularly a concern for their basic needs, is necessary for a mode of living with difference to ensure minimal respect between citizens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2010, 643). Without this, a way for neglect of the basic needs of others is opened up. Such a mode of intercultural citizenship would be morally unacceptable. </w:t>
      </w:r>
    </w:p>
    <w:p w14:paraId="1723470A" w14:textId="67E6C59F"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calls this minimal intercultural citizenship ‘side-by-side citizenship’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2003, 642). This attitude aims to look beyond the differences of citizens, as they are perceived as unimportant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2015, 803). In this sense, side-by-side citizenship does not demand, nor exclude, recognition or interaction with those who are culturally </w:t>
      </w:r>
      <w:r w:rsidR="00D617FC">
        <w:rPr>
          <w:rFonts w:ascii="Garamond" w:hAnsi="Garamond"/>
          <w:color w:val="000000" w:themeColor="text1"/>
          <w:sz w:val="24"/>
          <w:szCs w:val="24"/>
          <w:lang w:val="en-GB"/>
        </w:rPr>
        <w:t>different. E</w:t>
      </w:r>
      <w:r w:rsidRPr="006250C0">
        <w:rPr>
          <w:rFonts w:ascii="Garamond" w:hAnsi="Garamond"/>
          <w:color w:val="000000" w:themeColor="text1"/>
          <w:sz w:val="24"/>
          <w:szCs w:val="24"/>
          <w:lang w:val="en-GB"/>
        </w:rPr>
        <w:t xml:space="preserve">ngagement with those who are culturally different is not necessary to meet the moral minimum of side-by-side citizenship (ibid.). In this way, we can treat fellow citizens accordingly to what they are, simply people and nothing more. This will also enable ethnic minorities to retain a sense of neutrality instead of </w:t>
      </w:r>
      <w:r w:rsidR="00D617FC">
        <w:rPr>
          <w:rFonts w:ascii="Garamond" w:hAnsi="Garamond"/>
          <w:color w:val="000000" w:themeColor="text1"/>
          <w:sz w:val="24"/>
          <w:szCs w:val="24"/>
          <w:lang w:val="en-GB"/>
        </w:rPr>
        <w:t xml:space="preserve">constantly </w:t>
      </w:r>
      <w:r w:rsidRPr="006250C0">
        <w:rPr>
          <w:rFonts w:ascii="Garamond" w:hAnsi="Garamond"/>
          <w:color w:val="000000" w:themeColor="text1"/>
          <w:sz w:val="24"/>
          <w:szCs w:val="24"/>
          <w:lang w:val="en-GB"/>
        </w:rPr>
        <w:t xml:space="preserve">being the elephant in the room that necessarily needs to be addressed. </w:t>
      </w:r>
    </w:p>
    <w:p w14:paraId="3F68F5B8"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This indifference to difference does not mean that the avoidance of the cultural other is allowed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2010, 643). Such an active circumvention of the cultural others is in opposition to the neutral character of indifference, just as actively seeking interaction with cultural minorities is. As said, a real indifferent attitude should be one that looks beyond cultural, ethnic and religious differences. These differences should simply not matter. In this way, all cultures and deviant forms of living that reside in the urban landscape can be free to be who they are. Morally speaking, this may seem minimal, while it does not come with the recognition or interaction demanded by other modes of living with difference. However, the fact that it is a minimal position does not mean that it is an unacceptable position (ibid.). On the contrary, because of its minimal nature, side-by-side citizenship might be one of the few viable positions considering the realities of the urban landscape. When city dwellers are on the verge of being overstimulated, anything more than side-by-side citizenship might be too much. </w:t>
      </w:r>
    </w:p>
    <w:p w14:paraId="38A75854"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In this chapter, I have tried to clarify where modes of indifference get their inspiration from and how this can be seen as a meaningful mode to live with difference in the city. This has been done first by discussing the sociological works of Simmel and Milgram. The latter part of this chapter has focused on an acceptable mode of living characterized by indifference. This is mostly done by discussing the works of </w:t>
      </w:r>
      <w:proofErr w:type="spellStart"/>
      <w:r w:rsidRPr="006250C0">
        <w:rPr>
          <w:rFonts w:ascii="Garamond" w:hAnsi="Garamond"/>
          <w:color w:val="000000" w:themeColor="text1"/>
          <w:sz w:val="24"/>
          <w:szCs w:val="24"/>
          <w:lang w:val="en-GB"/>
        </w:rPr>
        <w:t>Tonkiss</w:t>
      </w:r>
      <w:proofErr w:type="spellEnd"/>
      <w:r w:rsidRPr="006250C0">
        <w:rPr>
          <w:rFonts w:ascii="Garamond" w:hAnsi="Garamond"/>
          <w:color w:val="000000" w:themeColor="text1"/>
          <w:sz w:val="24"/>
          <w:szCs w:val="24"/>
          <w:lang w:val="en-GB"/>
        </w:rPr>
        <w:t xml:space="preserve"> and Van </w:t>
      </w:r>
      <w:proofErr w:type="spellStart"/>
      <w:r w:rsidRPr="006250C0">
        <w:rPr>
          <w:rFonts w:ascii="Garamond" w:hAnsi="Garamond"/>
          <w:color w:val="000000" w:themeColor="text1"/>
          <w:sz w:val="24"/>
          <w:szCs w:val="24"/>
          <w:lang w:val="en-GB"/>
        </w:rPr>
        <w:t>Leeuwen</w:t>
      </w:r>
      <w:proofErr w:type="spellEnd"/>
      <w:r w:rsidRPr="006250C0">
        <w:rPr>
          <w:rFonts w:ascii="Garamond" w:hAnsi="Garamond"/>
          <w:color w:val="000000" w:themeColor="text1"/>
          <w:sz w:val="24"/>
          <w:szCs w:val="24"/>
          <w:lang w:val="en-GB"/>
        </w:rPr>
        <w:t xml:space="preserve">. These scholars saw potential in an indifferent mode of living with difference. However, can this position of indifference be seen as a morally acceptable minimum, or is this position simply too minimal for the complexities of the society and its structural inequalities? These questions, among others, will be examined in the next chapter. </w:t>
      </w:r>
      <w:r w:rsidRPr="006250C0">
        <w:rPr>
          <w:rFonts w:ascii="Garamond" w:hAnsi="Garamond"/>
          <w:color w:val="000000" w:themeColor="text1"/>
          <w:sz w:val="24"/>
          <w:szCs w:val="24"/>
          <w:lang w:val="en-GB"/>
        </w:rPr>
        <w:br w:type="page"/>
      </w:r>
    </w:p>
    <w:p w14:paraId="06F4691C" w14:textId="77777777" w:rsidR="00790DEC" w:rsidRPr="006250C0" w:rsidRDefault="00790DEC" w:rsidP="002E07B1">
      <w:pPr>
        <w:keepNext/>
        <w:keepLines/>
        <w:spacing w:before="240" w:after="0"/>
        <w:jc w:val="both"/>
        <w:outlineLvl w:val="0"/>
        <w:rPr>
          <w:rFonts w:ascii="Garamond" w:eastAsia="Calibri" w:hAnsi="Garamond" w:cstheme="majorBidi"/>
          <w:b/>
          <w:color w:val="000000" w:themeColor="text1"/>
          <w:sz w:val="36"/>
          <w:szCs w:val="36"/>
          <w:lang w:val="en-GB"/>
        </w:rPr>
      </w:pPr>
      <w:bookmarkStart w:id="58" w:name="_Toc12122217"/>
      <w:bookmarkStart w:id="59" w:name="_Toc12185340"/>
      <w:bookmarkStart w:id="60" w:name="_Toc12190555"/>
      <w:bookmarkStart w:id="61" w:name="_Toc12264084"/>
      <w:bookmarkStart w:id="62" w:name="_Toc12268851"/>
      <w:bookmarkStart w:id="63" w:name="_Toc12269123"/>
      <w:bookmarkStart w:id="64" w:name="_Toc13050253"/>
      <w:bookmarkStart w:id="65" w:name="_Toc13061253"/>
      <w:r w:rsidRPr="006250C0">
        <w:rPr>
          <w:rFonts w:ascii="Garamond" w:eastAsia="Calibri" w:hAnsi="Garamond" w:cstheme="majorBidi"/>
          <w:b/>
          <w:color w:val="000000" w:themeColor="text1"/>
          <w:sz w:val="36"/>
          <w:szCs w:val="36"/>
          <w:lang w:val="en-GB"/>
        </w:rPr>
        <w:lastRenderedPageBreak/>
        <w:t>Chapter 4: The Evaluation</w:t>
      </w:r>
      <w:bookmarkEnd w:id="58"/>
      <w:bookmarkEnd w:id="59"/>
      <w:bookmarkEnd w:id="60"/>
      <w:bookmarkEnd w:id="61"/>
      <w:bookmarkEnd w:id="62"/>
      <w:bookmarkEnd w:id="63"/>
      <w:bookmarkEnd w:id="64"/>
      <w:bookmarkEnd w:id="65"/>
    </w:p>
    <w:p w14:paraId="6970FB6F" w14:textId="5314C5CB"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In the last two chapters, I have elaborated on what urban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and side-by-side citizenship exactly entail. Now that this is done, I will give my own assessment of both positions to work toward an answer to my research question. This will be done by first addressing what both positions have said about each other. This will give a clear view of what both positions consider to be each other’s flaws. The second section will give a clear view of my own assessment of the stronger and weaker elements of both positions. This last section will refer to </w:t>
      </w:r>
      <w:r w:rsidR="00D617FC">
        <w:rPr>
          <w:rFonts w:ascii="Garamond" w:eastAsia="Calibri" w:hAnsi="Garamond" w:cs="Times New Roman"/>
          <w:color w:val="000000"/>
          <w:sz w:val="24"/>
          <w:szCs w:val="24"/>
          <w:lang w:val="en-GB"/>
        </w:rPr>
        <w:t xml:space="preserve">which </w:t>
      </w:r>
      <w:r w:rsidRPr="006250C0">
        <w:rPr>
          <w:rFonts w:ascii="Garamond" w:eastAsia="Calibri" w:hAnsi="Garamond" w:cs="Times New Roman"/>
          <w:color w:val="000000"/>
          <w:sz w:val="24"/>
          <w:szCs w:val="24"/>
          <w:lang w:val="en-GB"/>
        </w:rPr>
        <w:t xml:space="preserve">elements of both positions are important to achieve a realistic and moral mode of living with indifference and how these can be mediated. </w:t>
      </w:r>
    </w:p>
    <w:p w14:paraId="2E6ACE3B" w14:textId="77777777" w:rsidR="00790DEC" w:rsidRPr="006250C0" w:rsidRDefault="00790DEC" w:rsidP="002E07B1">
      <w:pPr>
        <w:keepNext/>
        <w:keepLines/>
        <w:spacing w:before="40" w:after="0"/>
        <w:jc w:val="both"/>
        <w:outlineLvl w:val="1"/>
        <w:rPr>
          <w:rFonts w:ascii="Garamond" w:eastAsia="Calibri" w:hAnsi="Garamond" w:cstheme="majorBidi"/>
          <w:color w:val="000000" w:themeColor="text1"/>
          <w:sz w:val="28"/>
          <w:szCs w:val="28"/>
          <w:u w:val="single"/>
          <w:lang w:val="en-GB"/>
        </w:rPr>
      </w:pPr>
      <w:bookmarkStart w:id="66" w:name="_Toc12185341"/>
      <w:bookmarkStart w:id="67" w:name="_Toc12190556"/>
      <w:bookmarkStart w:id="68" w:name="_Toc12264085"/>
      <w:bookmarkStart w:id="69" w:name="_Toc12268852"/>
      <w:bookmarkStart w:id="70" w:name="_Toc12269124"/>
      <w:bookmarkStart w:id="71" w:name="_Toc13050254"/>
      <w:bookmarkStart w:id="72" w:name="_Toc13061254"/>
      <w:r w:rsidRPr="006250C0">
        <w:rPr>
          <w:rFonts w:ascii="Garamond" w:eastAsia="Calibri" w:hAnsi="Garamond" w:cstheme="majorBidi"/>
          <w:color w:val="000000" w:themeColor="text1"/>
          <w:sz w:val="28"/>
          <w:szCs w:val="28"/>
          <w:u w:val="single"/>
          <w:lang w:val="en-GB"/>
        </w:rPr>
        <w:t>The Debate</w:t>
      </w:r>
      <w:bookmarkEnd w:id="66"/>
      <w:bookmarkEnd w:id="67"/>
      <w:bookmarkEnd w:id="68"/>
      <w:bookmarkEnd w:id="69"/>
      <w:bookmarkEnd w:id="70"/>
      <w:bookmarkEnd w:id="71"/>
      <w:bookmarkEnd w:id="72"/>
    </w:p>
    <w:p w14:paraId="52767F68" w14:textId="0E1C1E73"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Now that both positions have been discussed, it has become clear that (urban)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and side-by-side citizenship disagree inherently on how a mode of living with difference should be achieved. Both positions have different and mutually exclusive answers as to how to face the complexities of multicultural cities and society.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proposes an attitude that focusses on interaction and confrontation as a means to dismantle the violent potential of antagonistic sentiments (</w:t>
      </w:r>
      <w:proofErr w:type="spellStart"/>
      <w:r w:rsidRPr="006250C0">
        <w:rPr>
          <w:rFonts w:ascii="Garamond" w:eastAsia="Calibri" w:hAnsi="Garamond" w:cs="Times New Roman"/>
          <w:color w:val="000000"/>
          <w:sz w:val="24"/>
          <w:szCs w:val="24"/>
          <w:lang w:val="en-GB"/>
        </w:rPr>
        <w:t>Mouffe</w:t>
      </w:r>
      <w:proofErr w:type="spellEnd"/>
      <w:r w:rsidRPr="006250C0">
        <w:rPr>
          <w:rFonts w:ascii="Garamond" w:eastAsia="Calibri" w:hAnsi="Garamond" w:cs="Times New Roman"/>
          <w:color w:val="000000"/>
          <w:sz w:val="24"/>
          <w:szCs w:val="24"/>
          <w:lang w:val="en-GB"/>
        </w:rPr>
        <w:t xml:space="preserve">, 2000, 102). Scholars like </w:t>
      </w:r>
      <w:proofErr w:type="spellStart"/>
      <w:r w:rsidRPr="006250C0">
        <w:rPr>
          <w:rFonts w:ascii="Garamond" w:eastAsia="Calibri" w:hAnsi="Garamond" w:cs="Times New Roman"/>
          <w:color w:val="000000"/>
          <w:sz w:val="24"/>
          <w:szCs w:val="24"/>
          <w:lang w:val="en-GB"/>
        </w:rPr>
        <w:t>Tonkiss</w:t>
      </w:r>
      <w:proofErr w:type="spellEnd"/>
      <w:r w:rsidRPr="006250C0">
        <w:rPr>
          <w:rFonts w:ascii="Garamond" w:eastAsia="Calibri" w:hAnsi="Garamond" w:cs="Times New Roman"/>
          <w:color w:val="000000"/>
          <w:sz w:val="24"/>
          <w:szCs w:val="24"/>
          <w:lang w:val="en-GB"/>
        </w:rPr>
        <w:t xml:space="preserve"> and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on the other hand, envision a mode of living with difference that could be seen as the opposite in the sense that interaction is not necessarily needed. This mode of living with difference is called side-by-side citizenship. It is a minimal attitude that does not demand nor exclude interaction between citizens, but rather </w:t>
      </w:r>
      <w:r w:rsidR="00D617FC">
        <w:rPr>
          <w:rFonts w:ascii="Garamond" w:eastAsia="Calibri" w:hAnsi="Garamond" w:cs="Times New Roman"/>
          <w:color w:val="000000"/>
          <w:sz w:val="24"/>
          <w:szCs w:val="24"/>
          <w:lang w:val="en-GB"/>
        </w:rPr>
        <w:t xml:space="preserve">entails </w:t>
      </w:r>
      <w:r w:rsidRPr="006250C0">
        <w:rPr>
          <w:rFonts w:ascii="Garamond" w:eastAsia="Calibri" w:hAnsi="Garamond" w:cs="Times New Roman"/>
          <w:color w:val="000000"/>
          <w:sz w:val="24"/>
          <w:szCs w:val="24"/>
          <w:lang w:val="en-GB"/>
        </w:rPr>
        <w:t xml:space="preserve">a shoulder-shrugging tolerance toward the other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2010, 643). For side-by-side citizenship, it is not necessary to get involved with ethnically different citizens, while these differences do not matter. However, situations where the basic needs of citizens are endangered do demand action (ibid.). Both agonistic writers and advocates for side-by-side citizenship have reacted to one another as to why they see the other position as insufficient. In this section, some of these remarks will be discussed, starting with the criticism of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on models of side-by-side citizenship.</w:t>
      </w:r>
    </w:p>
    <w:p w14:paraId="270287AF" w14:textId="040CD74F"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One of the main problems that agonistic writers seem to have with side-by-side citizenship is its indifferent character. </w:t>
      </w:r>
      <w:proofErr w:type="spellStart"/>
      <w:r w:rsidRPr="006250C0">
        <w:rPr>
          <w:rFonts w:ascii="Garamond" w:eastAsia="Calibri" w:hAnsi="Garamond" w:cs="Times New Roman"/>
          <w:color w:val="000000"/>
          <w:sz w:val="24"/>
          <w:szCs w:val="24"/>
          <w:lang w:val="en-GB"/>
        </w:rPr>
        <w:t>Mouffe's</w:t>
      </w:r>
      <w:proofErr w:type="spellEnd"/>
      <w:r w:rsidRPr="006250C0">
        <w:rPr>
          <w:rFonts w:ascii="Garamond" w:eastAsia="Calibri" w:hAnsi="Garamond" w:cs="Times New Roman"/>
          <w:color w:val="000000"/>
          <w:sz w:val="24"/>
          <w:szCs w:val="24"/>
          <w:lang w:val="en-GB"/>
        </w:rPr>
        <w:t xml:space="preserve"> refers to this in her critical writings on the ideal of deliberate democracy. As we have seen, </w:t>
      </w:r>
      <w:proofErr w:type="spellStart"/>
      <w:r w:rsidRPr="006250C0">
        <w:rPr>
          <w:rFonts w:ascii="Garamond" w:eastAsia="Calibri" w:hAnsi="Garamond" w:cs="Times New Roman"/>
          <w:color w:val="000000"/>
          <w:sz w:val="24"/>
          <w:szCs w:val="24"/>
          <w:lang w:val="en-GB"/>
        </w:rPr>
        <w:t>Mouffe</w:t>
      </w:r>
      <w:proofErr w:type="spellEnd"/>
      <w:r w:rsidRPr="006250C0">
        <w:rPr>
          <w:rFonts w:ascii="Garamond" w:eastAsia="Calibri" w:hAnsi="Garamond" w:cs="Times New Roman"/>
          <w:color w:val="000000"/>
          <w:sz w:val="24"/>
          <w:szCs w:val="24"/>
          <w:lang w:val="en-GB"/>
        </w:rPr>
        <w:t xml:space="preserve"> rejects the idea of rational consensus (2000, 98). To her, this notion fails to acknowledge the nature of the political (ibid.: 99). Her conception of the political stresses that objectivity and legitimacy are always constructed by power relations and the hegemony that follows from this (ibid.). Because of this, political practices can never be seen as neutral but should be seen as a product of the power practices and interests of identity groups. By proposing a rational consensus, this excludes other identities from finding legitimate expression (ibid: 100). This, in turn, can lead to antagonistic sentiments that can lead to violence (ibid.). To prevent this, a legitimate form of expressions needs to be facilitated (ibid.: 102). Conflict is seen as an opportunity to express disagreement and thereby preventing conflict from turning antagonistic and violent. Therefore,</w:t>
      </w:r>
      <w:r w:rsidR="005E388D">
        <w:rPr>
          <w:rFonts w:ascii="Garamond" w:eastAsia="Calibri" w:hAnsi="Garamond" w:cs="Times New Roman"/>
          <w:color w:val="000000"/>
          <w:sz w:val="24"/>
          <w:szCs w:val="24"/>
          <w:lang w:val="en-GB"/>
        </w:rPr>
        <w:t xml:space="preserve"> </w:t>
      </w:r>
      <w:proofErr w:type="spellStart"/>
      <w:r w:rsidR="005E388D">
        <w:rPr>
          <w:rFonts w:ascii="Garamond" w:eastAsia="Calibri" w:hAnsi="Garamond" w:cs="Times New Roman"/>
          <w:color w:val="000000"/>
          <w:sz w:val="24"/>
          <w:szCs w:val="24"/>
          <w:lang w:val="en-GB"/>
        </w:rPr>
        <w:t>Mouffe</w:t>
      </w:r>
      <w:proofErr w:type="spellEnd"/>
      <w:r w:rsidR="005E388D">
        <w:rPr>
          <w:rFonts w:ascii="Garamond" w:eastAsia="Calibri" w:hAnsi="Garamond" w:cs="Times New Roman"/>
          <w:color w:val="000000"/>
          <w:sz w:val="24"/>
          <w:szCs w:val="24"/>
          <w:lang w:val="en-GB"/>
        </w:rPr>
        <w:t xml:space="preserve"> explicitly states that “</w:t>
      </w:r>
      <w:r w:rsidRPr="006250C0">
        <w:rPr>
          <w:rFonts w:ascii="Garamond" w:eastAsia="Calibri" w:hAnsi="Garamond" w:cs="Times New Roman"/>
          <w:color w:val="000000"/>
          <w:sz w:val="24"/>
          <w:szCs w:val="24"/>
          <w:lang w:val="en-GB"/>
        </w:rPr>
        <w:t>condoning ideas that we oppose or being indifferent to the s</w:t>
      </w:r>
      <w:r w:rsidR="005E388D">
        <w:rPr>
          <w:rFonts w:ascii="Garamond" w:eastAsia="Calibri" w:hAnsi="Garamond" w:cs="Times New Roman"/>
          <w:color w:val="000000"/>
          <w:sz w:val="24"/>
          <w:szCs w:val="24"/>
          <w:lang w:val="en-GB"/>
        </w:rPr>
        <w:t>tandpoint that we disagree with”</w:t>
      </w:r>
      <w:r w:rsidRPr="006250C0">
        <w:rPr>
          <w:rFonts w:ascii="Garamond" w:eastAsia="Calibri" w:hAnsi="Garamond" w:cs="Times New Roman"/>
          <w:color w:val="000000"/>
          <w:sz w:val="24"/>
          <w:szCs w:val="24"/>
          <w:lang w:val="en-GB"/>
        </w:rPr>
        <w:t xml:space="preserve"> is unacceptable (ibid.). This means that an attitude of indifference also fails to give an adequate answer to the true nature of the political and is therefore unacceptable.</w:t>
      </w:r>
    </w:p>
    <w:p w14:paraId="271C0251"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proofErr w:type="spellStart"/>
      <w:r w:rsidRPr="006250C0">
        <w:rPr>
          <w:rFonts w:ascii="Garamond" w:eastAsia="Calibri" w:hAnsi="Garamond" w:cs="Times New Roman"/>
          <w:color w:val="000000"/>
          <w:sz w:val="24"/>
          <w:szCs w:val="24"/>
          <w:lang w:val="en-GB"/>
        </w:rPr>
        <w:t>Sandercock</w:t>
      </w:r>
      <w:proofErr w:type="spellEnd"/>
      <w:r w:rsidRPr="006250C0">
        <w:rPr>
          <w:rFonts w:ascii="Garamond" w:eastAsia="Calibri" w:hAnsi="Garamond" w:cs="Times New Roman"/>
          <w:color w:val="000000"/>
          <w:sz w:val="24"/>
          <w:szCs w:val="24"/>
          <w:lang w:val="en-GB"/>
        </w:rPr>
        <w:t xml:space="preserve"> expresses a different concern when it comes to indifferent models to difference. This becomes clear when she discusses the writings of Sennett, who claims that intercultural interaction is a normative necessity in the multicultural city (Sennett, 1994, 358). Tolerant indifference in a multicultural society is therefore unacceptable for Sennett. Sennett does not explicitly refer to the reasons that have led to his conclusion. Therefore, </w:t>
      </w:r>
      <w:proofErr w:type="spellStart"/>
      <w:r w:rsidRPr="006250C0">
        <w:rPr>
          <w:rFonts w:ascii="Garamond" w:eastAsia="Calibri" w:hAnsi="Garamond" w:cs="Times New Roman"/>
          <w:color w:val="000000"/>
          <w:sz w:val="24"/>
          <w:szCs w:val="24"/>
          <w:lang w:val="en-GB"/>
        </w:rPr>
        <w:t>Sandercock</w:t>
      </w:r>
      <w:proofErr w:type="spellEnd"/>
      <w:r w:rsidRPr="006250C0">
        <w:rPr>
          <w:rFonts w:ascii="Garamond" w:eastAsia="Calibri" w:hAnsi="Garamond" w:cs="Times New Roman"/>
          <w:color w:val="000000"/>
          <w:sz w:val="24"/>
          <w:szCs w:val="24"/>
          <w:lang w:val="en-GB"/>
        </w:rPr>
        <w:t xml:space="preserve"> tries to construct her own argument as to why this intercultural engagement is necessary. To </w:t>
      </w:r>
      <w:proofErr w:type="spellStart"/>
      <w:r w:rsidRPr="006250C0">
        <w:rPr>
          <w:rFonts w:ascii="Garamond" w:eastAsia="Calibri" w:hAnsi="Garamond" w:cs="Times New Roman"/>
          <w:color w:val="000000"/>
          <w:sz w:val="24"/>
          <w:szCs w:val="24"/>
          <w:lang w:val="en-GB"/>
        </w:rPr>
        <w:t>Sandercock</w:t>
      </w:r>
      <w:proofErr w:type="spellEnd"/>
      <w:r w:rsidRPr="006250C0">
        <w:rPr>
          <w:rFonts w:ascii="Garamond" w:eastAsia="Calibri" w:hAnsi="Garamond" w:cs="Times New Roman"/>
          <w:color w:val="000000"/>
          <w:sz w:val="24"/>
          <w:szCs w:val="24"/>
          <w:lang w:val="en-GB"/>
        </w:rPr>
        <w:t xml:space="preserve">, multicultural societies will </w:t>
      </w:r>
      <w:r w:rsidRPr="006250C0">
        <w:rPr>
          <w:rFonts w:ascii="Garamond" w:eastAsia="Calibri" w:hAnsi="Garamond" w:cs="Times New Roman"/>
          <w:color w:val="000000"/>
          <w:sz w:val="24"/>
          <w:szCs w:val="24"/>
          <w:lang w:val="en-GB"/>
        </w:rPr>
        <w:lastRenderedPageBreak/>
        <w:t xml:space="preserve">result in conflict because of the many different values in society and the misunderstanding that exists concerning them (2003, 87). An attitude that does not demand intercultural interaction to facilitate meaningful communication and a chance to learn from each other is therefore unacceptable (ibid.). By doing this, an attitude of indifference does not only fail to address the inevitable risk of conflict but also fails to let society learn from the lessons it could have obtained from intercultural interaction (ibid.: 88). A similar sentiment is expressed by Wood and Landry when they state that a mode of indifference “might easily be tipped into suspicion and antagonism by some unforeseen crisis and is an unproductive and wasteful situation ensuring that the city misses out on untold opportunities for achieving diversity advantage that might arise from greater interaction” (2003, 313). </w:t>
      </w:r>
    </w:p>
    <w:p w14:paraId="7891AAAC"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has responded to these concerns by stating that although avoidance of the cultural other may indeed foster potential conflict, this is inherently different from his conception of side-by-side citizenship (2015, 804). His conception does not allow an active avoidance of the other, because this is exactly the opposite of neutral indifference that looks past differences between citizens. Structural inequality and the violation of basic rights is also not acceptable for side-by-side citizenship (ibid.). </w:t>
      </w:r>
    </w:p>
    <w:p w14:paraId="074D931B" w14:textId="2B55A8AA"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in turn, has expressed his doubts concerning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as an adequate response to the complexities of a multicultural society.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is particularly sceptical of the emphasis of (urban)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on strife. His main concern is that the confrontational character of the agonistic model is likely to be counter-productive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2015, 797). Instead of this leading to more integration, it seems more likely that people will feel that their values are being threatened. Because of this, they will refuse to engage in sincere interaction or will even walk away from the discussion. This is substantiated by evidence from John Forester (2009). To focus directly on differing core values and criticize these, as agonists suggest, only pits participants of the debate against each other (</w:t>
      </w:r>
      <w:r w:rsidR="0078264E">
        <w:rPr>
          <w:rFonts w:ascii="Garamond" w:eastAsia="Calibri" w:hAnsi="Garamond" w:cs="Times New Roman"/>
          <w:color w:val="000000"/>
          <w:sz w:val="24"/>
          <w:szCs w:val="24"/>
          <w:lang w:val="en-GB"/>
        </w:rPr>
        <w:t xml:space="preserve">ibid.: </w:t>
      </w:r>
      <w:r w:rsidRPr="006250C0">
        <w:rPr>
          <w:rFonts w:ascii="Garamond" w:eastAsia="Calibri" w:hAnsi="Garamond" w:cs="Times New Roman"/>
          <w:color w:val="000000"/>
          <w:sz w:val="24"/>
          <w:szCs w:val="24"/>
          <w:lang w:val="en-GB"/>
        </w:rPr>
        <w:t>60). These core values are part of someone's identity and worldview, which makes them difficult subjects to negotiate (ibid.).</w:t>
      </w:r>
    </w:p>
    <w:p w14:paraId="461127C8" w14:textId="66BBFA96"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themeColor="text1"/>
          <w:sz w:val="24"/>
          <w:szCs w:val="24"/>
          <w:lang w:val="en-GB"/>
        </w:rPr>
        <w:t xml:space="preserve">Even if identities do not freeze because of the hostility that accompanies agonistic interaction, the question remains if the agonistic approach is feasible </w:t>
      </w:r>
      <w:r w:rsidRPr="006250C0">
        <w:rPr>
          <w:rFonts w:ascii="Garamond" w:eastAsia="Calibri" w:hAnsi="Garamond" w:cs="Times New Roman"/>
          <w:color w:val="000000"/>
          <w:sz w:val="24"/>
          <w:szCs w:val="24"/>
          <w:lang w:val="en-GB"/>
        </w:rPr>
        <w:t xml:space="preserve">(Van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2010, 638). The constant recognition that accompanies these positions may be too demanding for the complex pluralistic nature of modern society and its citizens (ibid.). It migh</w:t>
      </w:r>
      <w:r w:rsidR="0078264E">
        <w:rPr>
          <w:rFonts w:ascii="Garamond" w:eastAsia="Calibri" w:hAnsi="Garamond" w:cs="Times New Roman"/>
          <w:color w:val="000000"/>
          <w:sz w:val="24"/>
          <w:szCs w:val="24"/>
          <w:lang w:val="en-GB"/>
        </w:rPr>
        <w:t>t be ethically preferable to demand</w:t>
      </w:r>
      <w:r w:rsidRPr="006250C0">
        <w:rPr>
          <w:rFonts w:ascii="Garamond" w:eastAsia="Calibri" w:hAnsi="Garamond" w:cs="Times New Roman"/>
          <w:color w:val="000000"/>
          <w:sz w:val="24"/>
          <w:szCs w:val="24"/>
          <w:lang w:val="en-GB"/>
        </w:rPr>
        <w:t xml:space="preserve"> this degree of effort and interaction of citizens, but in realistic terms, it may simply be too much to ask. To substantiate his point,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refers to research from Nathalie </w:t>
      </w:r>
      <w:proofErr w:type="spellStart"/>
      <w:r w:rsidRPr="006250C0">
        <w:rPr>
          <w:rFonts w:ascii="Garamond" w:eastAsia="Calibri" w:hAnsi="Garamond" w:cs="Times New Roman"/>
          <w:color w:val="000000"/>
          <w:sz w:val="24"/>
          <w:szCs w:val="24"/>
          <w:lang w:val="en-GB"/>
        </w:rPr>
        <w:t>Schippers</w:t>
      </w:r>
      <w:proofErr w:type="spellEnd"/>
      <w:r w:rsidRPr="006250C0">
        <w:rPr>
          <w:rFonts w:ascii="Garamond" w:eastAsia="Calibri" w:hAnsi="Garamond" w:cs="Times New Roman"/>
          <w:color w:val="000000"/>
          <w:sz w:val="24"/>
          <w:szCs w:val="24"/>
          <w:lang w:val="en-GB"/>
        </w:rPr>
        <w:t xml:space="preserve"> &amp; Danny </w:t>
      </w:r>
      <w:proofErr w:type="spellStart"/>
      <w:r w:rsidRPr="006250C0">
        <w:rPr>
          <w:rFonts w:ascii="Garamond" w:eastAsia="Calibri" w:hAnsi="Garamond" w:cs="Times New Roman"/>
          <w:color w:val="000000"/>
          <w:sz w:val="24"/>
          <w:szCs w:val="24"/>
          <w:lang w:val="en-GB"/>
        </w:rPr>
        <w:t>Wildermeersch</w:t>
      </w:r>
      <w:proofErr w:type="spellEnd"/>
      <w:r w:rsidRPr="006250C0">
        <w:rPr>
          <w:rFonts w:ascii="Garamond" w:eastAsia="Calibri" w:hAnsi="Garamond" w:cs="Times New Roman"/>
          <w:color w:val="000000"/>
          <w:sz w:val="24"/>
          <w:szCs w:val="24"/>
          <w:lang w:val="en-GB"/>
        </w:rPr>
        <w:t xml:space="preserve">. In this empirical research, </w:t>
      </w:r>
      <w:proofErr w:type="spellStart"/>
      <w:r w:rsidRPr="006250C0">
        <w:rPr>
          <w:rFonts w:ascii="Garamond" w:eastAsia="Calibri" w:hAnsi="Garamond" w:cs="Times New Roman"/>
          <w:color w:val="000000"/>
          <w:sz w:val="24"/>
          <w:szCs w:val="24"/>
          <w:lang w:val="en-GB"/>
        </w:rPr>
        <w:t>Schippers</w:t>
      </w:r>
      <w:proofErr w:type="spellEnd"/>
      <w:r w:rsidRPr="006250C0">
        <w:rPr>
          <w:rFonts w:ascii="Garamond" w:eastAsia="Calibri" w:hAnsi="Garamond" w:cs="Times New Roman"/>
          <w:color w:val="000000"/>
          <w:sz w:val="24"/>
          <w:szCs w:val="24"/>
          <w:lang w:val="en-GB"/>
        </w:rPr>
        <w:t xml:space="preserve"> &amp; </w:t>
      </w:r>
      <w:proofErr w:type="spellStart"/>
      <w:r w:rsidRPr="006250C0">
        <w:rPr>
          <w:rFonts w:ascii="Garamond" w:eastAsia="Calibri" w:hAnsi="Garamond" w:cs="Times New Roman"/>
          <w:color w:val="000000"/>
          <w:sz w:val="24"/>
          <w:szCs w:val="24"/>
          <w:lang w:val="en-GB"/>
        </w:rPr>
        <w:t>Wildermeersch</w:t>
      </w:r>
      <w:proofErr w:type="spellEnd"/>
      <w:r w:rsidRPr="006250C0">
        <w:rPr>
          <w:rFonts w:ascii="Garamond" w:eastAsia="Calibri" w:hAnsi="Garamond" w:cs="Times New Roman"/>
          <w:color w:val="000000"/>
          <w:sz w:val="24"/>
          <w:szCs w:val="24"/>
          <w:lang w:val="en-GB"/>
        </w:rPr>
        <w:t xml:space="preserve"> observed a factory of Ford in the city of Genk (2007, 174). Although there where multi-ethnic work teams, there still was almost no explicit interaction in relation to subjects like ethnicity and religion (ibid.). </w:t>
      </w:r>
    </w:p>
    <w:p w14:paraId="1B300D9C"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Van </w:t>
      </w:r>
      <w:proofErr w:type="spellStart"/>
      <w:r w:rsidRPr="006250C0">
        <w:rPr>
          <w:rFonts w:ascii="Garamond" w:eastAsia="Calibri" w:hAnsi="Garamond" w:cs="Times New Roman"/>
          <w:color w:val="000000"/>
          <w:sz w:val="24"/>
          <w:szCs w:val="24"/>
          <w:lang w:val="en-GB"/>
        </w:rPr>
        <w:t>Leeuwen’s</w:t>
      </w:r>
      <w:proofErr w:type="spellEnd"/>
      <w:r w:rsidRPr="006250C0">
        <w:rPr>
          <w:rFonts w:ascii="Garamond" w:eastAsia="Calibri" w:hAnsi="Garamond" w:cs="Times New Roman"/>
          <w:color w:val="000000"/>
          <w:sz w:val="24"/>
          <w:szCs w:val="24"/>
          <w:lang w:val="en-GB"/>
        </w:rPr>
        <w:t xml:space="preserve"> criticism of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does not mean that he thinks that agonistic interaction has no merit at all. There are certain situations in which agonistic attitudes are necessary. This is especially the case when citizens are explicitly disrespected by others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2015, 799). This goes beyond the neutral position of side-by-side citizenship and can do great damage to the self-respect of others. For these reasons, a direct reaction towards this disrespectful behaviour is necessary. This disrespectful behaviour can also manifest itself on a societal scale through an interpretation of identity that excludes other civilians. This leads to structural exclusion and discrimination and therefore asks for an agonistic attitude (ibid.). However, the fact that there are situations that demand agonistic behaviour does not mean that this is acceptable or helpful in all situations. This is in contrast to the agonistic belief that strife and confrontation are necessary for every situation.</w:t>
      </w:r>
    </w:p>
    <w:p w14:paraId="1D86C702" w14:textId="77777777" w:rsidR="00790DEC" w:rsidRPr="006250C0" w:rsidRDefault="00790DEC" w:rsidP="002E07B1">
      <w:pPr>
        <w:keepNext/>
        <w:keepLines/>
        <w:spacing w:before="40" w:after="0"/>
        <w:jc w:val="both"/>
        <w:outlineLvl w:val="1"/>
        <w:rPr>
          <w:rFonts w:ascii="Garamond" w:eastAsia="Calibri" w:hAnsi="Garamond" w:cstheme="majorBidi"/>
          <w:color w:val="000000" w:themeColor="text1"/>
          <w:sz w:val="32"/>
          <w:szCs w:val="32"/>
          <w:u w:val="single"/>
          <w:lang w:val="en-GB"/>
        </w:rPr>
      </w:pPr>
      <w:bookmarkStart w:id="73" w:name="_Toc12185342"/>
      <w:bookmarkStart w:id="74" w:name="_Toc12190557"/>
      <w:bookmarkStart w:id="75" w:name="_Toc12264086"/>
      <w:bookmarkStart w:id="76" w:name="_Toc12268853"/>
      <w:bookmarkStart w:id="77" w:name="_Toc12269125"/>
      <w:bookmarkStart w:id="78" w:name="_Toc13050255"/>
      <w:bookmarkStart w:id="79" w:name="_Toc13061255"/>
      <w:r w:rsidRPr="006250C0">
        <w:rPr>
          <w:rFonts w:ascii="Garamond" w:eastAsia="Calibri" w:hAnsi="Garamond" w:cstheme="majorBidi"/>
          <w:color w:val="000000" w:themeColor="text1"/>
          <w:sz w:val="32"/>
          <w:szCs w:val="32"/>
          <w:u w:val="single"/>
          <w:lang w:val="en-GB"/>
        </w:rPr>
        <w:lastRenderedPageBreak/>
        <w:t>The Assessment</w:t>
      </w:r>
      <w:bookmarkEnd w:id="73"/>
      <w:bookmarkEnd w:id="74"/>
      <w:bookmarkEnd w:id="75"/>
      <w:bookmarkEnd w:id="76"/>
      <w:bookmarkEnd w:id="77"/>
      <w:bookmarkEnd w:id="78"/>
      <w:bookmarkEnd w:id="79"/>
    </w:p>
    <w:p w14:paraId="568D4715"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Now that the critique that both positions express towards each other has been discussed, it is of importance to present my own evaluation. I will argue that both positions have valuable elements that should be considered for a viable model for living with difference. However, both positions also have other elements that might be more problematic, especially in a practical sense. In this section, I will elaborate on both the stronger and weaker elements of both positions. This is important to get a clear view of what this mode of living with indifference, which will be discussed in Chapter 5, should and should not contain.</w:t>
      </w:r>
    </w:p>
    <w:p w14:paraId="04ECC2AE" w14:textId="7D062463"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(Urban)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as a body of thought has many valuable elements that should be taken into account for a viable mode of dealing with difference. First off, I acknowledge the analyzation that antagonism needs to be transformed through interaction. The necessity for a particular type of interaction that mediates the differences in multicultural society is clear to me. This is particularly important to battle stigma, prejudice</w:t>
      </w:r>
      <w:r w:rsidR="00D850F4">
        <w:rPr>
          <w:rFonts w:ascii="Garamond" w:eastAsia="Calibri" w:hAnsi="Garamond" w:cs="Times New Roman"/>
          <w:color w:val="000000"/>
          <w:sz w:val="24"/>
          <w:szCs w:val="24"/>
          <w:lang w:val="en-GB"/>
        </w:rPr>
        <w:t xml:space="preserve"> and </w:t>
      </w:r>
      <w:r w:rsidRPr="006250C0">
        <w:rPr>
          <w:rFonts w:ascii="Garamond" w:eastAsia="Calibri" w:hAnsi="Garamond" w:cs="Times New Roman"/>
          <w:color w:val="000000"/>
          <w:sz w:val="24"/>
          <w:szCs w:val="24"/>
          <w:lang w:val="en-GB"/>
        </w:rPr>
        <w:t>egoism that reside in society. If we want to show people the flaws in their prejudices, it is necessary to let them speak to persons they got prejudices against. If we want people to learn about the structural inequalities in society, it is necessary to show them what impact these inequalities have on the lives of other citizens. However</w:t>
      </w:r>
      <w:r w:rsidR="00D850F4">
        <w:rPr>
          <w:rFonts w:ascii="Garamond" w:eastAsia="Calibri" w:hAnsi="Garamond" w:cs="Times New Roman"/>
          <w:color w:val="000000"/>
          <w:sz w:val="24"/>
          <w:szCs w:val="24"/>
          <w:lang w:val="en-GB"/>
        </w:rPr>
        <w:t>, it remains to be seen if strif</w:t>
      </w:r>
      <w:r w:rsidRPr="006250C0">
        <w:rPr>
          <w:rFonts w:ascii="Garamond" w:eastAsia="Calibri" w:hAnsi="Garamond" w:cs="Times New Roman"/>
          <w:color w:val="000000"/>
          <w:sz w:val="24"/>
          <w:szCs w:val="24"/>
          <w:lang w:val="en-GB"/>
        </w:rPr>
        <w:t>e is the best way to do this in all types of situations.</w:t>
      </w:r>
    </w:p>
    <w:p w14:paraId="09F53CB8" w14:textId="25CC373B"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Gordon </w:t>
      </w:r>
      <w:proofErr w:type="spellStart"/>
      <w:r w:rsidRPr="006250C0">
        <w:rPr>
          <w:rFonts w:ascii="Garamond" w:eastAsia="Calibri" w:hAnsi="Garamond" w:cs="Times New Roman"/>
          <w:color w:val="000000"/>
          <w:sz w:val="24"/>
          <w:szCs w:val="24"/>
          <w:lang w:val="en-GB"/>
        </w:rPr>
        <w:t>Allport’s</w:t>
      </w:r>
      <w:proofErr w:type="spellEnd"/>
      <w:r w:rsidRPr="006250C0">
        <w:rPr>
          <w:rFonts w:ascii="Garamond" w:eastAsia="Calibri" w:hAnsi="Garamond" w:cs="Times New Roman"/>
          <w:color w:val="000000"/>
          <w:sz w:val="24"/>
          <w:szCs w:val="24"/>
          <w:lang w:val="en-GB"/>
        </w:rPr>
        <w:t xml:space="preserve"> empirical findings support the necessity of interaction between different cultural groups. In this study, </w:t>
      </w:r>
      <w:proofErr w:type="spellStart"/>
      <w:r w:rsidRPr="006250C0">
        <w:rPr>
          <w:rFonts w:ascii="Garamond" w:eastAsia="Calibri" w:hAnsi="Garamond" w:cs="Times New Roman"/>
          <w:color w:val="000000"/>
          <w:sz w:val="24"/>
          <w:szCs w:val="24"/>
          <w:lang w:val="en-GB"/>
        </w:rPr>
        <w:t>Allport</w:t>
      </w:r>
      <w:proofErr w:type="spellEnd"/>
      <w:r w:rsidRPr="006250C0">
        <w:rPr>
          <w:rFonts w:ascii="Garamond" w:eastAsia="Calibri" w:hAnsi="Garamond" w:cs="Times New Roman"/>
          <w:color w:val="000000"/>
          <w:sz w:val="24"/>
          <w:szCs w:val="24"/>
          <w:lang w:val="en-GB"/>
        </w:rPr>
        <w:t xml:space="preserve"> introduces his contact hypothesis, which states that contact between majority and minority groups reduces prejudice (</w:t>
      </w:r>
      <w:proofErr w:type="spellStart"/>
      <w:r w:rsidRPr="006250C0">
        <w:rPr>
          <w:rFonts w:ascii="Garamond" w:eastAsia="Calibri" w:hAnsi="Garamond" w:cs="Times New Roman"/>
          <w:color w:val="000000"/>
          <w:sz w:val="24"/>
          <w:szCs w:val="24"/>
          <w:lang w:val="en-GB"/>
        </w:rPr>
        <w:t>Allport</w:t>
      </w:r>
      <w:proofErr w:type="spellEnd"/>
      <w:r w:rsidRPr="006250C0">
        <w:rPr>
          <w:rFonts w:ascii="Garamond" w:eastAsia="Calibri" w:hAnsi="Garamond" w:cs="Times New Roman"/>
          <w:color w:val="000000"/>
          <w:sz w:val="24"/>
          <w:szCs w:val="24"/>
          <w:lang w:val="en-GB"/>
        </w:rPr>
        <w:t>, 1954, 281). However, there are certain conditions that need to be met for a reduction of stereotypical views. Superficial interaction, for example, has no decreasing effect on prejudice and may even strengthen these views (ibid.: 263). This is the case because superficial interaction provides no reason to challenge prejudice. This becomes even more unlikely when we consider that humans tend to</w:t>
      </w:r>
      <w:r w:rsidR="009A298E">
        <w:rPr>
          <w:rFonts w:ascii="Garamond" w:eastAsia="Calibri" w:hAnsi="Garamond" w:cs="Times New Roman"/>
          <w:color w:val="000000"/>
          <w:sz w:val="24"/>
          <w:szCs w:val="24"/>
          <w:lang w:val="en-GB"/>
        </w:rPr>
        <w:t xml:space="preserve"> look for signs that confirm their</w:t>
      </w:r>
      <w:r w:rsidRPr="006250C0">
        <w:rPr>
          <w:rFonts w:ascii="Garamond" w:eastAsia="Calibri" w:hAnsi="Garamond" w:cs="Times New Roman"/>
          <w:color w:val="000000"/>
          <w:sz w:val="24"/>
          <w:szCs w:val="24"/>
          <w:lang w:val="en-GB"/>
        </w:rPr>
        <w:t xml:space="preserve"> worldviews (ibid.). This makes it more likely that superficial contact confirms prejudice, even when the manner of contact is rather indifferent. Therefore, the quality of contact is decisive for its ability to reduce prejudice.</w:t>
      </w:r>
    </w:p>
    <w:p w14:paraId="20271877" w14:textId="4DC9DA8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Another important factor for the reduction of prejudice is the presence of equal status between citizens from different cultural groups (ibid.: 281). </w:t>
      </w:r>
      <w:proofErr w:type="spellStart"/>
      <w:r w:rsidRPr="006250C0">
        <w:rPr>
          <w:rFonts w:ascii="Garamond" w:eastAsia="Calibri" w:hAnsi="Garamond" w:cs="Times New Roman"/>
          <w:color w:val="000000"/>
          <w:sz w:val="24"/>
          <w:szCs w:val="24"/>
          <w:lang w:val="en-GB"/>
        </w:rPr>
        <w:t>Allport</w:t>
      </w:r>
      <w:proofErr w:type="spellEnd"/>
      <w:r w:rsidRPr="006250C0">
        <w:rPr>
          <w:rFonts w:ascii="Garamond" w:eastAsia="Calibri" w:hAnsi="Garamond" w:cs="Times New Roman"/>
          <w:color w:val="000000"/>
          <w:sz w:val="24"/>
          <w:szCs w:val="24"/>
          <w:lang w:val="en-GB"/>
        </w:rPr>
        <w:t xml:space="preserve"> refers to empirical findings concerning </w:t>
      </w:r>
      <w:r w:rsidR="009A298E">
        <w:rPr>
          <w:rFonts w:ascii="Garamond" w:eastAsia="Calibri" w:hAnsi="Garamond" w:cs="Times New Roman"/>
          <w:color w:val="000000"/>
          <w:sz w:val="24"/>
          <w:szCs w:val="24"/>
          <w:lang w:val="en-GB"/>
        </w:rPr>
        <w:t xml:space="preserve">the </w:t>
      </w:r>
      <w:r w:rsidRPr="006250C0">
        <w:rPr>
          <w:rFonts w:ascii="Garamond" w:eastAsia="Calibri" w:hAnsi="Garamond" w:cs="Times New Roman"/>
          <w:color w:val="000000"/>
          <w:sz w:val="24"/>
          <w:szCs w:val="24"/>
          <w:lang w:val="en-GB"/>
        </w:rPr>
        <w:t xml:space="preserve">workplace to substantiate these claims. These finding showed that prejudice only decreased when black employees held the same or higher positions than the white employees (ibid.: 274). Another important factor was if contact between groups was structured around a common goal (ibid.: 281). This can be seen in multi-ethnic sports teams, where solidarity is based on the pursuit of a common goal and the ethnic composition of the team is irrelevant (ibid.: 276). </w:t>
      </w:r>
    </w:p>
    <w:p w14:paraId="16E25ADC" w14:textId="77777777" w:rsidR="00790DEC" w:rsidRPr="006250C0" w:rsidRDefault="00790DEC" w:rsidP="002E07B1">
      <w:pPr>
        <w:spacing w:line="256" w:lineRule="auto"/>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sz w:val="24"/>
          <w:szCs w:val="24"/>
          <w:lang w:val="en-GB"/>
        </w:rPr>
        <w:t xml:space="preserve">I also share the urban agonistic belief that this interaction should take place at the local level and in cities. The majority of ethnic minorities is attracted to the city, which makes this the most essential place to facilitate engagement between different cultural groups </w:t>
      </w:r>
      <w:r w:rsidRPr="006250C0">
        <w:rPr>
          <w:rFonts w:ascii="Garamond" w:eastAsia="Calibri" w:hAnsi="Garamond" w:cs="Times New Roman"/>
          <w:color w:val="000000" w:themeColor="text1"/>
          <w:sz w:val="24"/>
          <w:szCs w:val="24"/>
          <w:lang w:val="en-GB"/>
        </w:rPr>
        <w:t xml:space="preserve">(Dang, 2002, 19). I also agree with the fact that the local level is the appropriate place for mediating differences, while these are the places were real interaction between citizens take place (Amin, 2002, 967).  </w:t>
      </w:r>
      <w:r w:rsidRPr="006250C0">
        <w:rPr>
          <w:rFonts w:ascii="Garamond" w:hAnsi="Garamond"/>
          <w:color w:val="000000" w:themeColor="text1"/>
          <w:sz w:val="24"/>
          <w:szCs w:val="24"/>
          <w:lang w:val="en-GB"/>
        </w:rPr>
        <w:t xml:space="preserve">Georges </w:t>
      </w:r>
      <w:proofErr w:type="spellStart"/>
      <w:r w:rsidRPr="006250C0">
        <w:rPr>
          <w:rFonts w:ascii="Garamond" w:hAnsi="Garamond"/>
          <w:color w:val="000000" w:themeColor="text1"/>
          <w:sz w:val="24"/>
          <w:szCs w:val="24"/>
          <w:lang w:val="en-GB"/>
        </w:rPr>
        <w:t>Vernez</w:t>
      </w:r>
      <w:proofErr w:type="spellEnd"/>
      <w:r w:rsidRPr="006250C0">
        <w:rPr>
          <w:rFonts w:ascii="Garamond" w:hAnsi="Garamond"/>
          <w:color w:val="000000" w:themeColor="text1"/>
          <w:sz w:val="24"/>
          <w:szCs w:val="24"/>
          <w:lang w:val="en-GB"/>
        </w:rPr>
        <w:t xml:space="preserve"> presents data that supports this understanding, as it shows that immigration is particularly felt on the local level (1993, 294). This also leads him to conclude that this forces citizens and the local government to respond to this (ibid.).</w:t>
      </w:r>
      <w:r w:rsidRPr="006250C0">
        <w:rPr>
          <w:rFonts w:ascii="Garamond" w:eastAsia="Calibri" w:hAnsi="Garamond" w:cs="Times New Roman"/>
          <w:color w:val="000000" w:themeColor="text1"/>
          <w:sz w:val="24"/>
          <w:szCs w:val="24"/>
          <w:lang w:val="en-GB"/>
        </w:rPr>
        <w:t xml:space="preserve"> </w:t>
      </w:r>
      <w:r w:rsidRPr="006250C0">
        <w:rPr>
          <w:rFonts w:ascii="Garamond" w:eastAsia="Calibri" w:hAnsi="Garamond" w:cs="Times New Roman"/>
          <w:color w:val="C00000"/>
          <w:sz w:val="24"/>
          <w:szCs w:val="24"/>
          <w:lang w:val="en-GB"/>
        </w:rPr>
        <w:t xml:space="preserve">  </w:t>
      </w:r>
    </w:p>
    <w:p w14:paraId="04C4644C" w14:textId="77777777" w:rsidR="00790DEC" w:rsidRPr="006250C0" w:rsidRDefault="00790DEC" w:rsidP="002E07B1">
      <w:pPr>
        <w:spacing w:line="256" w:lineRule="auto"/>
        <w:jc w:val="both"/>
        <w:rPr>
          <w:rFonts w:ascii="Garamond" w:eastAsia="Calibri" w:hAnsi="Garamond" w:cs="Times New Roman"/>
          <w:color w:val="C00000"/>
          <w:sz w:val="24"/>
          <w:szCs w:val="24"/>
          <w:lang w:val="en-GB"/>
        </w:rPr>
      </w:pPr>
      <w:r w:rsidRPr="006250C0">
        <w:rPr>
          <w:rFonts w:ascii="Garamond" w:eastAsia="Calibri" w:hAnsi="Garamond" w:cs="Times New Roman"/>
          <w:color w:val="000000"/>
          <w:sz w:val="24"/>
          <w:szCs w:val="24"/>
          <w:lang w:val="en-GB"/>
        </w:rPr>
        <w:t xml:space="preserve">I share Van </w:t>
      </w:r>
      <w:proofErr w:type="spellStart"/>
      <w:r w:rsidRPr="006250C0">
        <w:rPr>
          <w:rFonts w:ascii="Garamond" w:eastAsia="Calibri" w:hAnsi="Garamond" w:cs="Times New Roman"/>
          <w:color w:val="000000"/>
          <w:sz w:val="24"/>
          <w:szCs w:val="24"/>
          <w:lang w:val="en-GB"/>
        </w:rPr>
        <w:t>Leeuwen’s</w:t>
      </w:r>
      <w:proofErr w:type="spellEnd"/>
      <w:r w:rsidRPr="006250C0">
        <w:rPr>
          <w:rFonts w:ascii="Garamond" w:eastAsia="Calibri" w:hAnsi="Garamond" w:cs="Times New Roman"/>
          <w:color w:val="000000"/>
          <w:sz w:val="24"/>
          <w:szCs w:val="24"/>
          <w:lang w:val="en-GB"/>
        </w:rPr>
        <w:t xml:space="preserve"> concerns about the polarizing effects of debate and strife around core values. It is very likely that such a conflict-centred approach to interaction will lead to more tensions and misunderstanding. This does not mean that agonistic practices have no role in a multicultural </w:t>
      </w:r>
      <w:r w:rsidRPr="006250C0">
        <w:rPr>
          <w:rFonts w:ascii="Garamond" w:eastAsia="Calibri" w:hAnsi="Garamond" w:cs="Times New Roman"/>
          <w:color w:val="000000"/>
          <w:sz w:val="24"/>
          <w:szCs w:val="24"/>
          <w:lang w:val="en-GB"/>
        </w:rPr>
        <w:lastRenderedPageBreak/>
        <w:t xml:space="preserve">society. However, I tend to agree with Van </w:t>
      </w:r>
      <w:proofErr w:type="spellStart"/>
      <w:r w:rsidRPr="006250C0">
        <w:rPr>
          <w:rFonts w:ascii="Garamond" w:eastAsia="Calibri" w:hAnsi="Garamond" w:cs="Times New Roman"/>
          <w:color w:val="000000"/>
          <w:sz w:val="24"/>
          <w:szCs w:val="24"/>
          <w:lang w:val="en-GB"/>
        </w:rPr>
        <w:t>Leeuwen’s</w:t>
      </w:r>
      <w:proofErr w:type="spellEnd"/>
      <w:r w:rsidRPr="006250C0">
        <w:rPr>
          <w:rFonts w:ascii="Garamond" w:eastAsia="Calibri" w:hAnsi="Garamond" w:cs="Times New Roman"/>
          <w:color w:val="000000"/>
          <w:sz w:val="24"/>
          <w:szCs w:val="24"/>
          <w:lang w:val="en-GB"/>
        </w:rPr>
        <w:t xml:space="preserve"> understanding of strife as a means for specific situations. According to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neglecting structural inequality is unacceptable for side-by-side citizenship and strife and agonistic debate can be an adequate tool to address this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2015, 799). In this way, agonistic practices are able to address structural inequality and can be valuable. </w:t>
      </w:r>
      <w:r w:rsidRPr="006250C0">
        <w:rPr>
          <w:rFonts w:ascii="Garamond" w:eastAsia="Calibri" w:hAnsi="Garamond" w:cs="Times New Roman"/>
          <w:color w:val="000000" w:themeColor="text1"/>
          <w:sz w:val="24"/>
          <w:szCs w:val="24"/>
          <w:lang w:val="en-GB"/>
        </w:rPr>
        <w:t>However, when the aim is to mediate differences, the question can be asked if agonistic interaction focused on conflict is the most effective way to achieve this. Interaction is a necessity, but other less passionate and conflictual approaches may be more effective in realizing these goals</w:t>
      </w:r>
      <w:r w:rsidRPr="006250C0">
        <w:rPr>
          <w:rFonts w:ascii="Garamond" w:eastAsia="Calibri" w:hAnsi="Garamond" w:cs="Times New Roman"/>
          <w:color w:val="C00000"/>
          <w:sz w:val="24"/>
          <w:szCs w:val="24"/>
          <w:lang w:val="en-GB"/>
        </w:rPr>
        <w:t xml:space="preserve">. </w:t>
      </w:r>
    </w:p>
    <w:p w14:paraId="7D4857D3" w14:textId="15A6F338"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The findings of Forester seem to recognize this risk when he states that core-values are hard topics to debate about while these are part of the lens through which we see the world</w:t>
      </w:r>
      <w:r w:rsidR="00B516B3">
        <w:rPr>
          <w:rFonts w:ascii="Garamond" w:eastAsia="Calibri" w:hAnsi="Garamond" w:cs="Times New Roman"/>
          <w:color w:val="000000"/>
          <w:sz w:val="24"/>
          <w:szCs w:val="24"/>
          <w:lang w:val="en-GB"/>
        </w:rPr>
        <w:t xml:space="preserve"> (2009, 82). This makes someone’</w:t>
      </w:r>
      <w:r w:rsidRPr="006250C0">
        <w:rPr>
          <w:rFonts w:ascii="Garamond" w:eastAsia="Calibri" w:hAnsi="Garamond" w:cs="Times New Roman"/>
          <w:color w:val="000000"/>
          <w:sz w:val="24"/>
          <w:szCs w:val="24"/>
          <w:lang w:val="en-GB"/>
        </w:rPr>
        <w:t>s values a part of one’s own identity and therefore hard, if not impossible, to expose to criticism in a constructive manner (ibid.). This makes strife even less appropriate for creating bridges between people. When we want citizens to learn from each other, citizens will also need to listen to each other. However, when ci</w:t>
      </w:r>
      <w:r w:rsidR="009A298E">
        <w:rPr>
          <w:rFonts w:ascii="Garamond" w:eastAsia="Calibri" w:hAnsi="Garamond" w:cs="Times New Roman"/>
          <w:color w:val="000000"/>
          <w:sz w:val="24"/>
          <w:szCs w:val="24"/>
          <w:lang w:val="en-GB"/>
        </w:rPr>
        <w:t>tizens feel that their values, i</w:t>
      </w:r>
      <w:r w:rsidRPr="006250C0">
        <w:rPr>
          <w:rFonts w:ascii="Garamond" w:eastAsia="Calibri" w:hAnsi="Garamond" w:cs="Times New Roman"/>
          <w:color w:val="000000"/>
          <w:sz w:val="24"/>
          <w:szCs w:val="24"/>
          <w:lang w:val="en-GB"/>
        </w:rPr>
        <w:t xml:space="preserve">f not their identities, are judged, it is hard to retain an open attitude. John </w:t>
      </w: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xml:space="preserve"> expresses a similar critique of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Although he does acknowledge the necessity to transform antagonism in a more constructive form, he finds that </w:t>
      </w:r>
      <w:proofErr w:type="spellStart"/>
      <w:r w:rsidRPr="006250C0">
        <w:rPr>
          <w:rFonts w:ascii="Garamond" w:eastAsia="Calibri" w:hAnsi="Garamond" w:cs="Times New Roman"/>
          <w:color w:val="000000"/>
          <w:sz w:val="24"/>
          <w:szCs w:val="24"/>
          <w:lang w:val="en-GB"/>
        </w:rPr>
        <w:t>Mouffe’s</w:t>
      </w:r>
      <w:proofErr w:type="spellEnd"/>
      <w:r w:rsidRPr="006250C0">
        <w:rPr>
          <w:rFonts w:ascii="Garamond" w:eastAsia="Calibri" w:hAnsi="Garamond" w:cs="Times New Roman"/>
          <w:color w:val="000000"/>
          <w:sz w:val="24"/>
          <w:szCs w:val="24"/>
          <w:lang w:val="en-GB"/>
        </w:rPr>
        <w:t xml:space="preserve"> </w:t>
      </w:r>
      <w:proofErr w:type="spellStart"/>
      <w:r w:rsidRPr="006250C0">
        <w:rPr>
          <w:rFonts w:ascii="Garamond" w:eastAsia="Calibri" w:hAnsi="Garamond" w:cs="Times New Roman"/>
          <w:color w:val="000000"/>
          <w:sz w:val="24"/>
          <w:szCs w:val="24"/>
          <w:lang w:val="en-GB"/>
        </w:rPr>
        <w:t>agonism</w:t>
      </w:r>
      <w:proofErr w:type="spellEnd"/>
      <w:r w:rsidRPr="006250C0">
        <w:rPr>
          <w:rFonts w:ascii="Garamond" w:eastAsia="Calibri" w:hAnsi="Garamond" w:cs="Times New Roman"/>
          <w:color w:val="000000"/>
          <w:sz w:val="24"/>
          <w:szCs w:val="24"/>
          <w:lang w:val="en-GB"/>
        </w:rPr>
        <w:t xml:space="preserve"> is not equipped to achieve this (</w:t>
      </w: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xml:space="preserve">, 2005, 221). If the aim is a conversion of identities, highlighting these very same identities is not helpful. This becomes even clearer when we consider the hostility and tension that often accompanies ethnic conflict. Rather, this will result in the freezing of identities that excluded the possibility to any form of transformation (ibid.).  </w:t>
      </w:r>
    </w:p>
    <w:p w14:paraId="5B5E3DE6" w14:textId="2F572A4B"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Conflict and the expression of passions are not necessary for side-by-side citizenship, or at least not in most cases. What is necessary for this position is neutrality toward all other citizens, no matter how different they are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2016, 804). It is a position that aims to look beyond differences. In this sense, it does a better job of ensuring a peaceful and constructive mode of dealing with difference. I particularly agree with Van </w:t>
      </w:r>
      <w:proofErr w:type="spellStart"/>
      <w:r w:rsidRPr="006250C0">
        <w:rPr>
          <w:rFonts w:ascii="Garamond" w:eastAsia="Calibri" w:hAnsi="Garamond" w:cs="Times New Roman"/>
          <w:color w:val="000000"/>
          <w:sz w:val="24"/>
          <w:szCs w:val="24"/>
          <w:lang w:val="en-GB"/>
        </w:rPr>
        <w:t>Leeuwen</w:t>
      </w:r>
      <w:proofErr w:type="spellEnd"/>
      <w:r w:rsidRPr="006250C0">
        <w:rPr>
          <w:rFonts w:ascii="Garamond" w:eastAsia="Calibri" w:hAnsi="Garamond" w:cs="Times New Roman"/>
          <w:color w:val="000000"/>
          <w:sz w:val="24"/>
          <w:szCs w:val="24"/>
          <w:lang w:val="en-GB"/>
        </w:rPr>
        <w:t xml:space="preserve"> that looking beyond differences can be valuable when trying to reduce prejudice. This also seems in accordance with </w:t>
      </w:r>
      <w:proofErr w:type="spellStart"/>
      <w:r w:rsidRPr="006250C0">
        <w:rPr>
          <w:rFonts w:ascii="Garamond" w:eastAsia="Calibri" w:hAnsi="Garamond" w:cs="Times New Roman"/>
          <w:color w:val="000000"/>
          <w:sz w:val="24"/>
          <w:szCs w:val="24"/>
          <w:lang w:val="en-GB"/>
        </w:rPr>
        <w:t>Allport’s</w:t>
      </w:r>
      <w:proofErr w:type="spellEnd"/>
      <w:r w:rsidRPr="006250C0">
        <w:rPr>
          <w:rFonts w:ascii="Garamond" w:eastAsia="Calibri" w:hAnsi="Garamond" w:cs="Times New Roman"/>
          <w:color w:val="000000"/>
          <w:sz w:val="24"/>
          <w:szCs w:val="24"/>
          <w:lang w:val="en-GB"/>
        </w:rPr>
        <w:t xml:space="preserve"> contact hypothesis. </w:t>
      </w:r>
      <w:proofErr w:type="spellStart"/>
      <w:r w:rsidRPr="006250C0">
        <w:rPr>
          <w:rFonts w:ascii="Garamond" w:eastAsia="Calibri" w:hAnsi="Garamond" w:cs="Times New Roman"/>
          <w:color w:val="000000"/>
          <w:sz w:val="24"/>
          <w:szCs w:val="24"/>
          <w:lang w:val="en-GB"/>
        </w:rPr>
        <w:t>Allport</w:t>
      </w:r>
      <w:proofErr w:type="spellEnd"/>
      <w:r w:rsidRPr="006250C0">
        <w:rPr>
          <w:rFonts w:ascii="Garamond" w:eastAsia="Calibri" w:hAnsi="Garamond" w:cs="Times New Roman"/>
          <w:color w:val="000000"/>
          <w:sz w:val="24"/>
          <w:szCs w:val="24"/>
          <w:lang w:val="en-GB"/>
        </w:rPr>
        <w:t xml:space="preserve"> does not see core values as necessary for the reduction of stereotypical views. Just by working together and having the same goals a lot can be accomplished (</w:t>
      </w:r>
      <w:proofErr w:type="spellStart"/>
      <w:r w:rsidRPr="006250C0">
        <w:rPr>
          <w:rFonts w:ascii="Garamond" w:eastAsia="Calibri" w:hAnsi="Garamond" w:cs="Times New Roman"/>
          <w:color w:val="000000"/>
          <w:sz w:val="24"/>
          <w:szCs w:val="24"/>
          <w:lang w:val="en-GB"/>
        </w:rPr>
        <w:t>Allport</w:t>
      </w:r>
      <w:proofErr w:type="spellEnd"/>
      <w:r w:rsidRPr="006250C0">
        <w:rPr>
          <w:rFonts w:ascii="Garamond" w:eastAsia="Calibri" w:hAnsi="Garamond" w:cs="Times New Roman"/>
          <w:color w:val="000000"/>
          <w:sz w:val="24"/>
          <w:szCs w:val="24"/>
          <w:lang w:val="en-GB"/>
        </w:rPr>
        <w:t>,</w:t>
      </w:r>
      <w:r w:rsidR="00B516B3">
        <w:rPr>
          <w:rFonts w:ascii="Garamond" w:eastAsia="Calibri" w:hAnsi="Garamond" w:cs="Times New Roman"/>
          <w:color w:val="000000"/>
          <w:sz w:val="24"/>
          <w:szCs w:val="24"/>
          <w:lang w:val="en-GB"/>
        </w:rPr>
        <w:t xml:space="preserve"> 1954,</w:t>
      </w:r>
      <w:r w:rsidRPr="006250C0">
        <w:rPr>
          <w:rFonts w:ascii="Garamond" w:eastAsia="Calibri" w:hAnsi="Garamond" w:cs="Times New Roman"/>
          <w:color w:val="000000"/>
          <w:sz w:val="24"/>
          <w:szCs w:val="24"/>
          <w:lang w:val="en-GB"/>
        </w:rPr>
        <w:t xml:space="preserve"> 281). Just as we have seen with </w:t>
      </w:r>
      <w:proofErr w:type="spellStart"/>
      <w:r w:rsidRPr="006250C0">
        <w:rPr>
          <w:rFonts w:ascii="Garamond" w:eastAsia="Calibri" w:hAnsi="Garamond" w:cs="Times New Roman"/>
          <w:color w:val="000000"/>
          <w:sz w:val="24"/>
          <w:szCs w:val="24"/>
          <w:lang w:val="en-GB"/>
        </w:rPr>
        <w:t>Allport’s</w:t>
      </w:r>
      <w:proofErr w:type="spellEnd"/>
      <w:r w:rsidRPr="006250C0">
        <w:rPr>
          <w:rFonts w:ascii="Garamond" w:eastAsia="Calibri" w:hAnsi="Garamond" w:cs="Times New Roman"/>
          <w:color w:val="000000"/>
          <w:sz w:val="24"/>
          <w:szCs w:val="24"/>
          <w:lang w:val="en-GB"/>
        </w:rPr>
        <w:t xml:space="preserve"> example of an athletic team, addressing core-values and passions are not necessary to inspire solidarity (ibid.: 276). </w:t>
      </w:r>
    </w:p>
    <w:p w14:paraId="49799152"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Side-by-side citizenship also demands less from citizens in terms of investing energy to interact or explicitly acknowledge each other. As long as there is no discrimination, avoidance or violation of basic rights of others, citizens are allowed to mind their own business. This does not mean that anything more in terms of engagement and interaction is not allowed or not preferable. However, it is not ethically unacceptable to act in accordance with nothing more than the moral minimum of side-by-side citizenship. This makes this mode of living more feasible than a mode of agonistic strive. Another important element of side-by-side citizenship is its aim to look beyond the differences. </w:t>
      </w:r>
    </w:p>
    <w:p w14:paraId="57C8DECA" w14:textId="5033654D"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However, a lack of interaction with different kind of citizens can make it hard for c</w:t>
      </w:r>
      <w:r w:rsidR="00B516B3">
        <w:rPr>
          <w:rFonts w:ascii="Garamond" w:eastAsia="Calibri" w:hAnsi="Garamond" w:cs="Times New Roman"/>
          <w:color w:val="000000"/>
          <w:sz w:val="24"/>
          <w:szCs w:val="24"/>
          <w:lang w:val="en-GB"/>
        </w:rPr>
        <w:t>itizens to understand the other’</w:t>
      </w:r>
      <w:r w:rsidRPr="006250C0">
        <w:rPr>
          <w:rFonts w:ascii="Garamond" w:eastAsia="Calibri" w:hAnsi="Garamond" w:cs="Times New Roman"/>
          <w:color w:val="000000"/>
          <w:sz w:val="24"/>
          <w:szCs w:val="24"/>
          <w:lang w:val="en-GB"/>
        </w:rPr>
        <w:t xml:space="preserve">s position and needs. This is especially the case with culture-specific values that may seem at odds with western liberal values. Sennett gives an example of how easily different cultures can be misunderstood when he describes the situation in an intake centre for refugees in Sweden (Sennett, 2018, 122). In this centre, clothes and food were provided for the immigrants. However, the food, which consisted mostly of stews, remained untouched because </w:t>
      </w:r>
      <w:r w:rsidR="00B516B3">
        <w:rPr>
          <w:rFonts w:ascii="Garamond" w:eastAsia="Calibri" w:hAnsi="Garamond" w:cs="Times New Roman"/>
          <w:color w:val="000000"/>
          <w:sz w:val="24"/>
          <w:szCs w:val="24"/>
          <w:lang w:val="en-GB"/>
        </w:rPr>
        <w:t xml:space="preserve">it was </w:t>
      </w:r>
      <w:r w:rsidRPr="006250C0">
        <w:rPr>
          <w:rFonts w:ascii="Garamond" w:eastAsia="Calibri" w:hAnsi="Garamond" w:cs="Times New Roman"/>
          <w:color w:val="000000"/>
          <w:sz w:val="24"/>
          <w:szCs w:val="24"/>
          <w:lang w:val="en-GB"/>
        </w:rPr>
        <w:t xml:space="preserve">suspected of containing pork meat. The girls were prohibited to wear the offered clothes because the refugees </w:t>
      </w:r>
      <w:r w:rsidRPr="006250C0">
        <w:rPr>
          <w:rFonts w:ascii="Garamond" w:eastAsia="Calibri" w:hAnsi="Garamond" w:cs="Times New Roman"/>
          <w:color w:val="000000"/>
          <w:sz w:val="24"/>
          <w:szCs w:val="24"/>
          <w:lang w:val="en-GB"/>
        </w:rPr>
        <w:lastRenderedPageBreak/>
        <w:t xml:space="preserve">perceived them as immodest. Sennett concluded, “The host’s error was to imagine that what we would have wanted, the refugees would have wanted” (ibid.). This example shows how hard it is to place oneself in the shoes of people from different cultures. </w:t>
      </w:r>
    </w:p>
    <w:p w14:paraId="5017C9B8" w14:textId="3BDD6E38"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Another example can be found in relati</w:t>
      </w:r>
      <w:r w:rsidR="00B516B3">
        <w:rPr>
          <w:rFonts w:ascii="Garamond" w:eastAsia="Calibri" w:hAnsi="Garamond" w:cs="Times New Roman"/>
          <w:color w:val="000000"/>
          <w:sz w:val="24"/>
          <w:szCs w:val="24"/>
          <w:lang w:val="en-GB"/>
        </w:rPr>
        <w:t>on to the right to practice one’</w:t>
      </w:r>
      <w:r w:rsidRPr="006250C0">
        <w:rPr>
          <w:rFonts w:ascii="Garamond" w:eastAsia="Calibri" w:hAnsi="Garamond" w:cs="Times New Roman"/>
          <w:color w:val="000000"/>
          <w:sz w:val="24"/>
          <w:szCs w:val="24"/>
          <w:lang w:val="en-GB"/>
        </w:rPr>
        <w:t>s faith. This is a liberal value that tries to ensure that religious citizens can live their life as they deem to be appropriate. However, many people have problems with a Muslim woman wearing headscarves and burkas are forbidden in many countries (</w:t>
      </w:r>
      <w:proofErr w:type="spellStart"/>
      <w:r w:rsidRPr="006250C0">
        <w:rPr>
          <w:rFonts w:ascii="Garamond" w:eastAsia="Calibri" w:hAnsi="Garamond" w:cs="Times New Roman"/>
          <w:color w:val="000000"/>
          <w:sz w:val="24"/>
          <w:szCs w:val="24"/>
          <w:lang w:val="en-GB"/>
        </w:rPr>
        <w:t>Sanghani</w:t>
      </w:r>
      <w:proofErr w:type="spellEnd"/>
      <w:r w:rsidRPr="006250C0">
        <w:rPr>
          <w:rFonts w:ascii="Garamond" w:eastAsia="Calibri" w:hAnsi="Garamond" w:cs="Times New Roman"/>
          <w:color w:val="000000"/>
          <w:sz w:val="24"/>
          <w:szCs w:val="24"/>
          <w:lang w:val="en-GB"/>
        </w:rPr>
        <w:t>, 2017). The argument can be made that Muslim women are forced to wear these religious and that they do not really have a choice. This makes wearing headscarves sexist, oppressive and in contrast with liberal values. However, assuming that this is the case without talking with the women themselves is problematic. Many Muslim women also wear these religious garbs out of their free will. Should they be prohibited to practice their faith in the way they see fit? The point I am trying to make is that it can be very hard to determine what the basic needs of people are without dialogue. Without a certain demand for interaction between citizens, misunderstandings and stigma can very easily lead to situations in which basic needs are misunderstood or even ignored.</w:t>
      </w:r>
    </w:p>
    <w:p w14:paraId="3BA2659F"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Especially in the city, the risk to misunderstand, or even ignore, the needs of others seems ever-present. Simmel underlines this when he refers to the blasé outlook of city dwellers (1903, 14). The many impulses of the city have forced its inhabitant to a mode of indifference towards anything that is not directly of value to him (ibid.: 14-15). If the city dweller remains in a mode of indifferent apathy, it becomes difficult to inspire empathy and involvement in cases of injustice that demand this. This inability of the city dweller to act when deemed necessary can also be seen when Milgram refers to the Genovese murder (Milgram, 1970). Milgram refers to the murder of Catherine Genovese in 1964 in Queens as an example of bystander behaviour in the city. Catherine Genovese was stabbed multiple times in the early morning, which was witnessed by at least 38 fellow citizens. Despite this high number of witnesses, none of them intervened or called the police until it was too late (ibid.). </w:t>
      </w:r>
    </w:p>
    <w:p w14:paraId="60214D11"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Milgram &amp; Hollander assigned a couple of reasons for this passive attitude of the bystanders. The first reason can be found in a characteristic of the city (Hollander &amp; Milgram, 1969, 602). The size of the city opens up the possibility for a network of friends spread over the whole city without one of them living in the same neighbourhood as you. This has led to a situation where Catherine Genovese was attacked so close to home but with no friend in sight to help her. Another reason for the passive attitude of all bystanders is that no one felt responsible. She may have cried for help, but these cries were not directed at anybody in particular. All witnesses seemed to have thought that some other bystander would act, resulting in no action at all (ibid.). This behaviour falls in line with the study results of </w:t>
      </w:r>
      <w:proofErr w:type="spellStart"/>
      <w:r w:rsidRPr="006250C0">
        <w:rPr>
          <w:rFonts w:ascii="Garamond" w:eastAsia="Calibri" w:hAnsi="Garamond" w:cs="Times New Roman"/>
          <w:color w:val="000000"/>
          <w:sz w:val="24"/>
          <w:szCs w:val="24"/>
          <w:lang w:val="en-GB"/>
        </w:rPr>
        <w:t>Bibb</w:t>
      </w:r>
      <w:proofErr w:type="spellEnd"/>
      <w:r w:rsidRPr="006250C0">
        <w:rPr>
          <w:rFonts w:ascii="Garamond" w:eastAsia="Calibri" w:hAnsi="Garamond" w:cs="Times New Roman"/>
          <w:color w:val="000000"/>
          <w:sz w:val="24"/>
          <w:szCs w:val="24"/>
          <w:lang w:val="en-GB"/>
        </w:rPr>
        <w:t xml:space="preserve"> </w:t>
      </w:r>
      <w:proofErr w:type="spellStart"/>
      <w:r w:rsidRPr="006250C0">
        <w:rPr>
          <w:rFonts w:ascii="Garamond" w:eastAsia="Calibri" w:hAnsi="Garamond" w:cs="Times New Roman"/>
          <w:color w:val="000000"/>
          <w:sz w:val="24"/>
          <w:szCs w:val="24"/>
          <w:lang w:val="en-GB"/>
        </w:rPr>
        <w:t>Latané</w:t>
      </w:r>
      <w:proofErr w:type="spellEnd"/>
      <w:r w:rsidRPr="006250C0">
        <w:rPr>
          <w:rFonts w:ascii="Garamond" w:eastAsia="Calibri" w:hAnsi="Garamond" w:cs="Times New Roman"/>
          <w:color w:val="000000"/>
          <w:sz w:val="24"/>
          <w:szCs w:val="24"/>
          <w:lang w:val="en-GB"/>
        </w:rPr>
        <w:t xml:space="preserve"> &amp; John Darley which found that the chance of bystanders intervening decreases when the number of bystanders rises (1969, 244).</w:t>
      </w:r>
    </w:p>
    <w:p w14:paraId="789669E0"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When city dwellers are as indifferent as Simmel and Milgram seem to think, it becomes hard to guarantee emphatic responses when situations demand this. The Genovese murder is an example of this. This raises the question if side-by-side citizenship is enough to inspire such empathy in city dwellers when injustice prevails. When no form of interaction is explicitly demanded in attitudes toward each other, it is very easy to </w:t>
      </w:r>
      <w:r w:rsidRPr="006250C0">
        <w:rPr>
          <w:rFonts w:ascii="Garamond" w:eastAsia="Calibri" w:hAnsi="Garamond" w:cs="Times New Roman"/>
          <w:color w:val="000000" w:themeColor="text1"/>
          <w:sz w:val="24"/>
          <w:szCs w:val="24"/>
          <w:lang w:val="en-GB"/>
        </w:rPr>
        <w:t xml:space="preserve">neglect </w:t>
      </w:r>
      <w:r w:rsidRPr="006250C0">
        <w:rPr>
          <w:rFonts w:ascii="Garamond" w:eastAsia="Calibri" w:hAnsi="Garamond" w:cs="Times New Roman"/>
          <w:color w:val="000000"/>
          <w:sz w:val="24"/>
          <w:szCs w:val="24"/>
          <w:lang w:val="en-GB"/>
        </w:rPr>
        <w:t xml:space="preserve">the needs of others. This is problematized even further by the nature of these acts. Discriminatory acts may be very subtle and hard to observe for bystanders. Even when forms of discrimination are expressed directly in the public space, from a distance this may look like acquaintances arguing over a private matter. </w:t>
      </w:r>
    </w:p>
    <w:p w14:paraId="3D68BB60"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lastRenderedPageBreak/>
        <w:t xml:space="preserve">Even when the needs of others are appreciated sufficiently and the act of discrimination is observed consciously, it still may be the case that city dwellers care too little to intervene. </w:t>
      </w:r>
      <w:r w:rsidRPr="006250C0">
        <w:rPr>
          <w:rFonts w:ascii="Garamond" w:eastAsia="Calibri" w:hAnsi="Garamond" w:cs="Times New Roman"/>
          <w:sz w:val="24"/>
          <w:szCs w:val="24"/>
          <w:lang w:val="en-GB"/>
        </w:rPr>
        <w:t xml:space="preserve">The tendency to not speak out will be reinforced by the fact that interaction and explicit acknowledgment of the other are not necessary for side-by-side citizenship. Because of this, city dwellers might remain unfamiliar with others and their needs. To be fair, this neglect of such unjust practices is not acceptable for side-by-side citizenship. </w:t>
      </w:r>
      <w:r w:rsidRPr="006250C0">
        <w:rPr>
          <w:rFonts w:ascii="Garamond" w:eastAsia="Calibri" w:hAnsi="Garamond" w:cs="Times New Roman"/>
          <w:color w:val="000000"/>
          <w:sz w:val="24"/>
          <w:szCs w:val="24"/>
          <w:lang w:val="en-GB"/>
        </w:rPr>
        <w:t>However,</w:t>
      </w:r>
      <w:r w:rsidRPr="006250C0">
        <w:rPr>
          <w:rFonts w:ascii="Garamond" w:eastAsia="Calibri" w:hAnsi="Garamond" w:cs="Times New Roman"/>
          <w:sz w:val="24"/>
          <w:szCs w:val="24"/>
          <w:lang w:val="en-GB"/>
        </w:rPr>
        <w:t xml:space="preserve"> when we look at the realities of the city, this may very well be how side-by-side citizenship would turn out in practice. Because of this, side-by-side citizenship may be too minimal to ensure empathy and something more demanding might be needed.  </w:t>
      </w:r>
    </w:p>
    <w:p w14:paraId="75E9153C" w14:textId="77777777" w:rsidR="00790DEC" w:rsidRPr="006250C0" w:rsidRDefault="00790DEC" w:rsidP="002E07B1">
      <w:pPr>
        <w:spacing w:line="256" w:lineRule="auto"/>
        <w:jc w:val="both"/>
        <w:rPr>
          <w:rFonts w:ascii="Garamond" w:eastAsia="Calibri" w:hAnsi="Garamond" w:cs="Times New Roman"/>
          <w:sz w:val="24"/>
          <w:szCs w:val="24"/>
          <w:lang w:val="en-GB"/>
        </w:rPr>
      </w:pPr>
      <w:r w:rsidRPr="006250C0">
        <w:rPr>
          <w:rFonts w:ascii="Garamond" w:eastAsia="Calibri" w:hAnsi="Garamond" w:cs="Times New Roman"/>
          <w:sz w:val="24"/>
          <w:szCs w:val="24"/>
          <w:lang w:val="en-GB"/>
        </w:rPr>
        <w:t>As I have argued, both positions have elements that are valuable for a viable model for living with difference. The focus of agonistic thinkers on confrontation as a means to interact is too direct for meaningful interaction. This creates tensions that will more likely lead to the freezing of identities than a transformation of any sort. Side-by-side citizenship prevents such polarization by proposing a minimal attitude that looks beyond differences but does not need interaction per se. The aim to look beyond differences is especially valuable in a multicultural society.</w:t>
      </w:r>
      <w:r w:rsidRPr="006250C0">
        <w:rPr>
          <w:rFonts w:ascii="Garamond" w:eastAsia="Calibri" w:hAnsi="Garamond" w:cs="Times New Roman"/>
          <w:color w:val="000000"/>
          <w:sz w:val="24"/>
          <w:szCs w:val="24"/>
          <w:lang w:val="en-GB"/>
        </w:rPr>
        <w:t xml:space="preserve"> However, this could also lead to a situation where a violation of the needs of others is not perceived or not valued adequately. A lot of empathy and understanding of the other is needed to battle the inequalities and tensions in society. </w:t>
      </w:r>
      <w:r w:rsidRPr="006250C0">
        <w:rPr>
          <w:rFonts w:ascii="Garamond" w:eastAsia="Calibri" w:hAnsi="Garamond" w:cs="Times New Roman"/>
          <w:color w:val="000000" w:themeColor="text1"/>
          <w:sz w:val="24"/>
          <w:szCs w:val="24"/>
          <w:lang w:val="en-GB"/>
        </w:rPr>
        <w:t xml:space="preserve">In this sense, I agree with </w:t>
      </w:r>
      <w:proofErr w:type="spellStart"/>
      <w:r w:rsidRPr="006250C0">
        <w:rPr>
          <w:rFonts w:ascii="Garamond" w:eastAsia="Calibri" w:hAnsi="Garamond" w:cs="Times New Roman"/>
          <w:color w:val="000000" w:themeColor="text1"/>
          <w:sz w:val="24"/>
          <w:szCs w:val="24"/>
          <w:lang w:val="en-GB"/>
        </w:rPr>
        <w:t>agonism</w:t>
      </w:r>
      <w:proofErr w:type="spellEnd"/>
      <w:r w:rsidRPr="006250C0">
        <w:rPr>
          <w:rFonts w:ascii="Garamond" w:eastAsia="Calibri" w:hAnsi="Garamond" w:cs="Times New Roman"/>
          <w:color w:val="000000" w:themeColor="text1"/>
          <w:sz w:val="24"/>
          <w:szCs w:val="24"/>
          <w:lang w:val="en-GB"/>
        </w:rPr>
        <w:t xml:space="preserve"> that a certain form of interaction is needed to address these problems adequately. However, this should not be done in an agonistic matter. Some different manner of interaction is needed to mediate differences. How this can be done will be examined in the next chapter. </w:t>
      </w:r>
    </w:p>
    <w:p w14:paraId="09E083F4" w14:textId="77777777" w:rsidR="00790DEC" w:rsidRPr="006250C0" w:rsidRDefault="00790DEC" w:rsidP="002E07B1">
      <w:pPr>
        <w:jc w:val="both"/>
        <w:rPr>
          <w:rFonts w:ascii="Garamond" w:eastAsia="Calibri" w:hAnsi="Garamond" w:cs="Times New Roman"/>
          <w:color w:val="000000" w:themeColor="text1"/>
          <w:sz w:val="28"/>
          <w:szCs w:val="28"/>
          <w:u w:val="single"/>
          <w:lang w:val="en-GB"/>
        </w:rPr>
      </w:pPr>
      <w:r w:rsidRPr="006250C0">
        <w:rPr>
          <w:rFonts w:ascii="Garamond" w:eastAsia="Calibri" w:hAnsi="Garamond" w:cs="Times New Roman"/>
          <w:color w:val="000000" w:themeColor="text1"/>
          <w:sz w:val="28"/>
          <w:szCs w:val="28"/>
          <w:u w:val="single"/>
          <w:lang w:val="en-GB"/>
        </w:rPr>
        <w:br w:type="page"/>
      </w:r>
    </w:p>
    <w:p w14:paraId="0532E383" w14:textId="2DA81363" w:rsidR="00790DEC" w:rsidRPr="006250C0" w:rsidRDefault="00790DEC" w:rsidP="002E07B1">
      <w:pPr>
        <w:keepNext/>
        <w:keepLines/>
        <w:spacing w:before="240" w:after="0"/>
        <w:jc w:val="both"/>
        <w:outlineLvl w:val="0"/>
        <w:rPr>
          <w:rFonts w:ascii="Garamond" w:eastAsia="Calibri" w:hAnsi="Garamond" w:cstheme="majorBidi"/>
          <w:b/>
          <w:color w:val="000000" w:themeColor="text1"/>
          <w:sz w:val="36"/>
          <w:szCs w:val="36"/>
          <w:lang w:val="en-GB"/>
        </w:rPr>
      </w:pPr>
      <w:bookmarkStart w:id="80" w:name="_Toc12122218"/>
      <w:bookmarkStart w:id="81" w:name="_Toc12185343"/>
      <w:bookmarkStart w:id="82" w:name="_Toc12190558"/>
      <w:bookmarkStart w:id="83" w:name="_Toc12264087"/>
      <w:bookmarkStart w:id="84" w:name="_Toc12268854"/>
      <w:bookmarkStart w:id="85" w:name="_Toc12269126"/>
      <w:bookmarkStart w:id="86" w:name="_Toc13050256"/>
      <w:bookmarkStart w:id="87" w:name="_Toc13061256"/>
      <w:r w:rsidRPr="006250C0">
        <w:rPr>
          <w:rFonts w:ascii="Garamond" w:eastAsia="Calibri" w:hAnsi="Garamond" w:cstheme="majorBidi"/>
          <w:b/>
          <w:color w:val="000000" w:themeColor="text1"/>
          <w:sz w:val="36"/>
          <w:szCs w:val="36"/>
          <w:lang w:val="en-GB"/>
        </w:rPr>
        <w:lastRenderedPageBreak/>
        <w:t>Chapter 5:</w:t>
      </w:r>
      <w:bookmarkEnd w:id="80"/>
      <w:r w:rsidR="00FD4ED5">
        <w:rPr>
          <w:rFonts w:ascii="Garamond" w:eastAsia="Calibri" w:hAnsi="Garamond" w:cstheme="majorBidi"/>
          <w:b/>
          <w:color w:val="000000" w:themeColor="text1"/>
          <w:sz w:val="36"/>
          <w:szCs w:val="36"/>
          <w:lang w:val="en-GB"/>
        </w:rPr>
        <w:t xml:space="preserve"> An Alternative Mode for Dealing with D</w:t>
      </w:r>
      <w:r w:rsidRPr="006250C0">
        <w:rPr>
          <w:rFonts w:ascii="Garamond" w:eastAsia="Calibri" w:hAnsi="Garamond" w:cstheme="majorBidi"/>
          <w:b/>
          <w:color w:val="000000" w:themeColor="text1"/>
          <w:sz w:val="36"/>
          <w:szCs w:val="36"/>
          <w:lang w:val="en-GB"/>
        </w:rPr>
        <w:t>ifference</w:t>
      </w:r>
      <w:bookmarkEnd w:id="81"/>
      <w:bookmarkEnd w:id="82"/>
      <w:bookmarkEnd w:id="83"/>
      <w:bookmarkEnd w:id="84"/>
      <w:bookmarkEnd w:id="85"/>
      <w:bookmarkEnd w:id="86"/>
      <w:bookmarkEnd w:id="87"/>
    </w:p>
    <w:p w14:paraId="0C4ED117" w14:textId="290E5FD8"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t>This chapter will propose an alternative attitude to mediate differences between, often highly polarized, cultural groups. As said earlier in the previous chapter, I believe that an agonistic approach for mediating differences will not lead to meaningful engagement, but rather to closed attitudes. This is the case because deeply felt values of citizens are intrinsically connected to worldviews and identities (Forester, 2009, 77). When these values are questioned this can fee</w:t>
      </w:r>
      <w:r w:rsidR="00B516B3">
        <w:rPr>
          <w:rFonts w:ascii="Garamond" w:eastAsia="Calibri" w:hAnsi="Garamond" w:cs="Times New Roman"/>
          <w:color w:val="000000" w:themeColor="text1"/>
          <w:sz w:val="24"/>
          <w:szCs w:val="24"/>
          <w:lang w:val="en-GB"/>
        </w:rPr>
        <w:t>l like a personal attack on one’</w:t>
      </w:r>
      <w:r w:rsidRPr="006250C0">
        <w:rPr>
          <w:rFonts w:ascii="Garamond" w:eastAsia="Calibri" w:hAnsi="Garamond" w:cs="Times New Roman"/>
          <w:color w:val="000000" w:themeColor="text1"/>
          <w:sz w:val="24"/>
          <w:szCs w:val="24"/>
          <w:lang w:val="en-GB"/>
        </w:rPr>
        <w:t>s identity (ibid: 60). This does not mean that matters concerning deep-rooted values and worldviews need to be shunned from the debate. Entirely excluding matters of value differences in disputes fails to acknowledge the existence and importance of value differences. However, these values need to be addressed in new creative ways of indirect communication. This allows participants to express their selves without having to rely on confrontational methods.</w:t>
      </w:r>
    </w:p>
    <w:p w14:paraId="46B8112F" w14:textId="77777777" w:rsidR="00790DEC" w:rsidRPr="006250C0" w:rsidRDefault="00790DEC" w:rsidP="002E07B1">
      <w:pPr>
        <w:keepNext/>
        <w:keepLines/>
        <w:spacing w:before="40" w:after="0"/>
        <w:jc w:val="both"/>
        <w:outlineLvl w:val="1"/>
        <w:rPr>
          <w:rFonts w:ascii="Garamond" w:eastAsia="Calibri" w:hAnsi="Garamond" w:cstheme="majorBidi"/>
          <w:color w:val="000000" w:themeColor="text1"/>
          <w:sz w:val="28"/>
          <w:szCs w:val="28"/>
          <w:u w:val="single"/>
          <w:lang w:val="en-GB"/>
        </w:rPr>
      </w:pPr>
      <w:bookmarkStart w:id="88" w:name="_Toc12185344"/>
      <w:bookmarkStart w:id="89" w:name="_Toc12190559"/>
      <w:bookmarkStart w:id="90" w:name="_Toc12264088"/>
      <w:bookmarkStart w:id="91" w:name="_Toc12268855"/>
      <w:bookmarkStart w:id="92" w:name="_Toc12269127"/>
      <w:bookmarkStart w:id="93" w:name="_Toc13050257"/>
      <w:bookmarkStart w:id="94" w:name="_Toc13061257"/>
      <w:r w:rsidRPr="006250C0">
        <w:rPr>
          <w:rFonts w:ascii="Garamond" w:eastAsia="Calibri" w:hAnsi="Garamond" w:cstheme="majorBidi"/>
          <w:color w:val="000000" w:themeColor="text1"/>
          <w:sz w:val="28"/>
          <w:szCs w:val="28"/>
          <w:u w:val="single"/>
          <w:lang w:val="en-GB"/>
        </w:rPr>
        <w:t>A Civilized Interaction</w:t>
      </w:r>
      <w:bookmarkEnd w:id="88"/>
      <w:bookmarkEnd w:id="89"/>
      <w:bookmarkEnd w:id="90"/>
      <w:bookmarkEnd w:id="91"/>
      <w:bookmarkEnd w:id="92"/>
      <w:bookmarkEnd w:id="93"/>
      <w:bookmarkEnd w:id="94"/>
    </w:p>
    <w:p w14:paraId="1E7809E6"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One practical way to prevent debates structured around core values is by letting involved parties express themselves in terms of interests (Forester, 2009, 81). Where values may feel as fundamentals part of our identity and non-negotiable, interests are easier to negotiate. When it becomes clear that certain interests cannot be secured in discussions, these can be compensated by meeting other interests that are acceptable for the opposing party (ibid). A focus on interests also makes it easier to focus on general rights (</w:t>
      </w: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xml:space="preserve">, 2005, 224). The focus is hereby not on the other group, which illegitimate values they hold or what unacceptable acts they have committed. </w:t>
      </w:r>
    </w:p>
    <w:p w14:paraId="7E207D84"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xml:space="preserve"> gives an example of rape and murder in a Bosnian village to illustrate this point. These horrible events can be narrated in terms of guilt and victimhood, which makes it personal and evokes feelings of revenge. However, </w:t>
      </w: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xml:space="preserve"> states that narrating the story in more broad terms, such as the violation of basic rights that apply to all ethnicities, makes scenarios of reconciliation more feasible (</w:t>
      </w:r>
      <w:proofErr w:type="spellStart"/>
      <w:r w:rsidRPr="006250C0">
        <w:rPr>
          <w:rFonts w:ascii="Garamond" w:eastAsia="Calibri" w:hAnsi="Garamond" w:cs="Times New Roman"/>
          <w:color w:val="000000"/>
          <w:sz w:val="24"/>
          <w:szCs w:val="24"/>
          <w:lang w:val="en-GB"/>
        </w:rPr>
        <w:t>Dryzek</w:t>
      </w:r>
      <w:proofErr w:type="spellEnd"/>
      <w:r w:rsidRPr="006250C0">
        <w:rPr>
          <w:rFonts w:ascii="Garamond" w:eastAsia="Calibri" w:hAnsi="Garamond" w:cs="Times New Roman"/>
          <w:color w:val="000000"/>
          <w:sz w:val="24"/>
          <w:szCs w:val="24"/>
          <w:lang w:val="en-GB"/>
        </w:rPr>
        <w:t>, 2005, 224.). This makes the tone of the dispute become less personal and with fewer tendencies to accuse the other (ibid.: 225). In this way, the relationship can be built up in a more constructive and meaningful way. Metaphors could also be used for expressions in more general terms (Forester, 2009, 62).</w:t>
      </w:r>
    </w:p>
    <w:p w14:paraId="3F7C1D4D"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However, this does not mean that these emotions need to be disregarded. On the contrary, to realize the open attitudes of participants, it is important to address emotions to a certain extent. Otherwise, their feelings will remain unanswered and then there is no way to mediate them. However, addressing emotions needs to be done through softer methods that will not antagonize the participants (Forester, 2009, 71).</w:t>
      </w:r>
      <w:r w:rsidRPr="006250C0">
        <w:rPr>
          <w:rFonts w:ascii="Garamond" w:eastAsia="Calibri" w:hAnsi="Garamond" w:cs="Times New Roman"/>
          <w:color w:val="C00000"/>
          <w:sz w:val="24"/>
          <w:szCs w:val="24"/>
          <w:lang w:val="en-GB"/>
        </w:rPr>
        <w:t xml:space="preserve"> </w:t>
      </w:r>
      <w:r w:rsidRPr="006250C0">
        <w:rPr>
          <w:rFonts w:ascii="Garamond" w:eastAsia="Calibri" w:hAnsi="Garamond" w:cs="Times New Roman"/>
          <w:color w:val="000000" w:themeColor="text1"/>
          <w:sz w:val="24"/>
          <w:szCs w:val="24"/>
          <w:lang w:val="en-GB"/>
        </w:rPr>
        <w:t xml:space="preserve">In this sense, it can be worthwhile to use a more inward-looking approach and let the participants focus on their own experiences </w:t>
      </w:r>
      <w:r w:rsidRPr="006250C0">
        <w:rPr>
          <w:rFonts w:ascii="Garamond" w:eastAsia="Calibri" w:hAnsi="Garamond" w:cs="Times New Roman"/>
          <w:color w:val="000000"/>
          <w:sz w:val="24"/>
          <w:szCs w:val="24"/>
          <w:lang w:val="en-GB"/>
        </w:rPr>
        <w:t xml:space="preserve">(ibid.: 70). Referring to personal emotions, fears and experiences will enable participants to explain their values and motives in ways that their adversaries have not heard before (ibid.: 28). It will enable the opposition to understand the actions and values of others in a different way. This also opens up the possibility to express strong emotions, although this can be risky during disputes (ibid.). However, the expression of these strong emotions is necessary, because by doing this the importance of these emotions can be recognized and dealt with. </w:t>
      </w:r>
    </w:p>
    <w:p w14:paraId="177CDFA1" w14:textId="5CA5444E"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Other indirect forms of communication can also be helpful to realize constructive interaction. Forester points out that one way to do this is by stimulating small talk. As research concerning the prisoner’s dilemma have shown, even a short irrelevant discussion can increase cooperation (Dawes, </w:t>
      </w:r>
      <w:proofErr w:type="spellStart"/>
      <w:r w:rsidRPr="006250C0">
        <w:rPr>
          <w:rFonts w:ascii="Garamond" w:eastAsia="Calibri" w:hAnsi="Garamond" w:cs="Times New Roman"/>
          <w:color w:val="000000"/>
          <w:sz w:val="24"/>
          <w:szCs w:val="24"/>
          <w:lang w:val="en-GB"/>
        </w:rPr>
        <w:t>Orbell</w:t>
      </w:r>
      <w:proofErr w:type="spellEnd"/>
      <w:r w:rsidRPr="006250C0">
        <w:rPr>
          <w:rFonts w:ascii="Garamond" w:eastAsia="Calibri" w:hAnsi="Garamond" w:cs="Times New Roman"/>
          <w:color w:val="000000"/>
          <w:sz w:val="24"/>
          <w:szCs w:val="24"/>
          <w:lang w:val="en-GB"/>
        </w:rPr>
        <w:t xml:space="preserve"> &amp; Van de </w:t>
      </w:r>
      <w:proofErr w:type="spellStart"/>
      <w:r w:rsidRPr="006250C0">
        <w:rPr>
          <w:rFonts w:ascii="Garamond" w:eastAsia="Calibri" w:hAnsi="Garamond" w:cs="Times New Roman"/>
          <w:color w:val="000000"/>
          <w:sz w:val="24"/>
          <w:szCs w:val="24"/>
          <w:lang w:val="en-GB"/>
        </w:rPr>
        <w:t>Kragt</w:t>
      </w:r>
      <w:proofErr w:type="spellEnd"/>
      <w:r w:rsidRPr="006250C0">
        <w:rPr>
          <w:rFonts w:ascii="Garamond" w:eastAsia="Calibri" w:hAnsi="Garamond" w:cs="Times New Roman"/>
          <w:color w:val="000000"/>
          <w:sz w:val="24"/>
          <w:szCs w:val="24"/>
          <w:lang w:val="en-GB"/>
        </w:rPr>
        <w:t xml:space="preserve">, 1988, 188). Another method that can foster meaningful interaction is by allowing humour and irony to enter the process. As long as this is respectful of course, </w:t>
      </w:r>
      <w:r w:rsidR="00BD062E">
        <w:rPr>
          <w:rFonts w:ascii="Garamond" w:eastAsia="Calibri" w:hAnsi="Garamond" w:cs="Times New Roman"/>
          <w:color w:val="000000"/>
          <w:sz w:val="24"/>
          <w:szCs w:val="24"/>
          <w:lang w:val="en-GB"/>
        </w:rPr>
        <w:lastRenderedPageBreak/>
        <w:t>otherwise this</w:t>
      </w:r>
      <w:r w:rsidRPr="006250C0">
        <w:rPr>
          <w:rFonts w:ascii="Garamond" w:eastAsia="Calibri" w:hAnsi="Garamond" w:cs="Times New Roman"/>
          <w:color w:val="000000"/>
          <w:sz w:val="24"/>
          <w:szCs w:val="24"/>
          <w:lang w:val="en-GB"/>
        </w:rPr>
        <w:t xml:space="preserve"> could also backfire (Forester, 2004, 223). Humour can connect participants and even bring forward a form of mutual acknowledgment (ibid.: 224). It shows that at the very least, they have humour in common. When humour is applied to the conflict that is mediated, it can also underline the absurdity </w:t>
      </w:r>
      <w:r w:rsidR="00BD062E">
        <w:rPr>
          <w:rFonts w:ascii="Garamond" w:eastAsia="Calibri" w:hAnsi="Garamond" w:cs="Times New Roman"/>
          <w:color w:val="000000"/>
          <w:sz w:val="24"/>
          <w:szCs w:val="24"/>
          <w:lang w:val="en-GB"/>
        </w:rPr>
        <w:t xml:space="preserve">of the situation </w:t>
      </w:r>
      <w:r w:rsidRPr="006250C0">
        <w:rPr>
          <w:rFonts w:ascii="Garamond" w:eastAsia="Calibri" w:hAnsi="Garamond" w:cs="Times New Roman"/>
          <w:color w:val="000000"/>
          <w:sz w:val="24"/>
          <w:szCs w:val="24"/>
          <w:lang w:val="en-GB"/>
        </w:rPr>
        <w:t>and a shared understanding concerning this. It can also lighten the process and decrease internal barriers to open up (ibid.: 228).</w:t>
      </w:r>
    </w:p>
    <w:p w14:paraId="2C9BCFFF" w14:textId="77777777" w:rsidR="00790DEC" w:rsidRPr="006250C0" w:rsidRDefault="00790DEC" w:rsidP="002E07B1">
      <w:pPr>
        <w:spacing w:line="256" w:lineRule="auto"/>
        <w:jc w:val="both"/>
        <w:rPr>
          <w:rFonts w:ascii="Garamond" w:eastAsia="Calibri" w:hAnsi="Garamond" w:cs="Times New Roman"/>
          <w:color w:val="C00000"/>
          <w:sz w:val="24"/>
          <w:szCs w:val="24"/>
          <w:lang w:val="en-GB"/>
        </w:rPr>
      </w:pPr>
      <w:r w:rsidRPr="006250C0">
        <w:rPr>
          <w:rFonts w:ascii="Garamond" w:eastAsia="Calibri" w:hAnsi="Garamond" w:cs="Times New Roman"/>
          <w:sz w:val="24"/>
          <w:szCs w:val="24"/>
          <w:lang w:val="en-GB"/>
        </w:rPr>
        <w:t xml:space="preserve">Lastly, it can be useful to work toward a situation where common ground can be found. </w:t>
      </w:r>
      <w:r w:rsidRPr="006250C0">
        <w:rPr>
          <w:rFonts w:ascii="Garamond" w:eastAsia="Calibri" w:hAnsi="Garamond" w:cs="Times New Roman"/>
          <w:color w:val="000000"/>
          <w:sz w:val="24"/>
          <w:szCs w:val="24"/>
          <w:lang w:val="en-GB"/>
        </w:rPr>
        <w:t xml:space="preserve">Participants in disputes, especially when these disputes concern deep values, often have little hope that the other will understand them (Forester, 2009, 78). The participants presume that the differences in their worldview are irreconcilable. This reaction seems reasonable when we remember the connection that deep values have with identity. However, solutions can be found, especially when the positions are expressed in more practical terms like interests (ibid.: 79). In the case of neighbourhood conflicts, it is also worthy to point to the common ground that they share as inhabitants of the same space. (ibid.: 31). </w:t>
      </w:r>
      <w:r w:rsidRPr="006250C0">
        <w:rPr>
          <w:rFonts w:ascii="Garamond" w:eastAsia="Calibri" w:hAnsi="Garamond" w:cs="Times New Roman"/>
          <w:color w:val="000000" w:themeColor="text1"/>
          <w:sz w:val="24"/>
          <w:szCs w:val="24"/>
          <w:lang w:val="en-GB"/>
        </w:rPr>
        <w:t>This highlights the shared interest those groups have and the interdependency that follows from this. Although this may not mean that these groups have the exact same interests, it at least becomes clear solving these disputes is in both their interests.</w:t>
      </w:r>
      <w:r w:rsidRPr="006250C0">
        <w:rPr>
          <w:rFonts w:ascii="Garamond" w:eastAsia="Calibri" w:hAnsi="Garamond" w:cs="Times New Roman"/>
          <w:color w:val="C00000"/>
          <w:sz w:val="24"/>
          <w:szCs w:val="24"/>
          <w:lang w:val="en-GB"/>
        </w:rPr>
        <w:t xml:space="preserve"> </w:t>
      </w:r>
      <w:r w:rsidRPr="006250C0">
        <w:rPr>
          <w:rFonts w:ascii="Garamond" w:eastAsia="Calibri" w:hAnsi="Garamond" w:cs="Times New Roman"/>
          <w:color w:val="000000" w:themeColor="text1"/>
          <w:sz w:val="24"/>
          <w:szCs w:val="24"/>
          <w:lang w:val="en-GB"/>
        </w:rPr>
        <w:t xml:space="preserve">In this way, </w:t>
      </w:r>
      <w:proofErr w:type="spellStart"/>
      <w:r w:rsidRPr="006250C0">
        <w:rPr>
          <w:rFonts w:ascii="Garamond" w:eastAsia="Calibri" w:hAnsi="Garamond" w:cs="Times New Roman"/>
          <w:color w:val="000000" w:themeColor="text1"/>
          <w:sz w:val="24"/>
          <w:szCs w:val="24"/>
          <w:lang w:val="en-GB"/>
        </w:rPr>
        <w:t>Allport’s</w:t>
      </w:r>
      <w:proofErr w:type="spellEnd"/>
      <w:r w:rsidRPr="006250C0">
        <w:rPr>
          <w:rFonts w:ascii="Garamond" w:eastAsia="Calibri" w:hAnsi="Garamond" w:cs="Times New Roman"/>
          <w:color w:val="000000" w:themeColor="text1"/>
          <w:sz w:val="24"/>
          <w:szCs w:val="24"/>
          <w:lang w:val="en-GB"/>
        </w:rPr>
        <w:t xml:space="preserve"> condition for meaningful contact, which is the pursuit of a common goal, can be satisfied (1954, 281).</w:t>
      </w:r>
    </w:p>
    <w:p w14:paraId="70873F6D" w14:textId="77777777" w:rsidR="00790DEC" w:rsidRPr="006250C0" w:rsidRDefault="00790DEC" w:rsidP="002E07B1">
      <w:pPr>
        <w:keepNext/>
        <w:keepLines/>
        <w:spacing w:before="40" w:after="0"/>
        <w:jc w:val="both"/>
        <w:outlineLvl w:val="1"/>
        <w:rPr>
          <w:rFonts w:ascii="Garamond" w:eastAsia="Calibri" w:hAnsi="Garamond" w:cstheme="majorBidi"/>
          <w:color w:val="000000" w:themeColor="text1"/>
          <w:sz w:val="28"/>
          <w:szCs w:val="28"/>
          <w:u w:val="single"/>
          <w:lang w:val="en-GB"/>
        </w:rPr>
      </w:pPr>
      <w:bookmarkStart w:id="95" w:name="_Toc12185345"/>
      <w:bookmarkStart w:id="96" w:name="_Toc12190560"/>
      <w:bookmarkStart w:id="97" w:name="_Toc12264089"/>
      <w:bookmarkStart w:id="98" w:name="_Toc12268856"/>
      <w:bookmarkStart w:id="99" w:name="_Toc12269128"/>
      <w:bookmarkStart w:id="100" w:name="_Toc13050258"/>
      <w:bookmarkStart w:id="101" w:name="_Toc13061258"/>
      <w:r w:rsidRPr="006250C0">
        <w:rPr>
          <w:rFonts w:ascii="Garamond" w:eastAsia="Calibri" w:hAnsi="Garamond" w:cstheme="majorBidi"/>
          <w:color w:val="000000" w:themeColor="text1"/>
          <w:sz w:val="28"/>
          <w:szCs w:val="28"/>
          <w:u w:val="single"/>
          <w:lang w:val="en-GB"/>
        </w:rPr>
        <w:t>The Importance of a Mediator</w:t>
      </w:r>
      <w:bookmarkEnd w:id="95"/>
      <w:bookmarkEnd w:id="96"/>
      <w:bookmarkEnd w:id="97"/>
      <w:bookmarkEnd w:id="98"/>
      <w:bookmarkEnd w:id="99"/>
      <w:bookmarkEnd w:id="100"/>
      <w:bookmarkEnd w:id="101"/>
    </w:p>
    <w:p w14:paraId="0F9937FB" w14:textId="77777777" w:rsidR="00790DEC" w:rsidRPr="006250C0" w:rsidRDefault="00790DEC" w:rsidP="002E07B1">
      <w:pPr>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To oversee and direct the mediation process, mediators play a decisive role</w:t>
      </w:r>
      <w:r w:rsidRPr="006250C0">
        <w:rPr>
          <w:rFonts w:ascii="Garamond" w:eastAsia="Calibri" w:hAnsi="Garamond" w:cs="Times New Roman"/>
          <w:color w:val="C00000"/>
          <w:sz w:val="24"/>
          <w:szCs w:val="24"/>
          <w:lang w:val="en-GB"/>
        </w:rPr>
        <w:t xml:space="preserve">. </w:t>
      </w:r>
      <w:r w:rsidRPr="006250C0">
        <w:rPr>
          <w:rFonts w:ascii="Garamond" w:eastAsia="Calibri" w:hAnsi="Garamond" w:cs="Times New Roman"/>
          <w:color w:val="000000"/>
          <w:sz w:val="24"/>
          <w:szCs w:val="24"/>
          <w:lang w:val="en-GB"/>
        </w:rPr>
        <w:t xml:space="preserve">The methods that Forester discusses are presented as tools that need to be introduced by the mediators. Without their presence, there is no one involved to introduce the de-escalating methods that are needed to mediate differences. To expect citizens to do this themselves without some sort of authority to guide the process is simply too much to ask. As Forester states, “Civil society turns out to be not so civil after all” (2009, 19). </w:t>
      </w:r>
      <w:r w:rsidRPr="006250C0">
        <w:rPr>
          <w:rFonts w:ascii="Garamond" w:eastAsia="Calibri" w:hAnsi="Garamond" w:cs="Times New Roman"/>
          <w:color w:val="000000" w:themeColor="text1"/>
          <w:sz w:val="24"/>
          <w:szCs w:val="24"/>
          <w:lang w:val="en-GB"/>
        </w:rPr>
        <w:t xml:space="preserve">What this role of mediator entails will be discussed in the next section, but first, let me start with an example. </w:t>
      </w:r>
    </w:p>
    <w:p w14:paraId="04054392" w14:textId="77777777" w:rsidR="00790DEC" w:rsidRPr="006250C0" w:rsidRDefault="00790DEC" w:rsidP="002E07B1">
      <w:pPr>
        <w:spacing w:line="256" w:lineRule="auto"/>
        <w:jc w:val="both"/>
        <w:rPr>
          <w:rFonts w:ascii="Garamond" w:eastAsia="Calibri" w:hAnsi="Garamond" w:cs="Times New Roman"/>
          <w:sz w:val="24"/>
          <w:szCs w:val="24"/>
          <w:lang w:val="en-GB"/>
        </w:rPr>
      </w:pPr>
      <w:r w:rsidRPr="006250C0">
        <w:rPr>
          <w:rFonts w:ascii="Garamond" w:eastAsia="Calibri" w:hAnsi="Garamond" w:cs="Times New Roman"/>
          <w:sz w:val="24"/>
          <w:szCs w:val="24"/>
          <w:lang w:val="en-GB"/>
        </w:rPr>
        <w:t>The Australian example that I will elaborate on is about a neighbourhood dispute in which a city planner had to act up as a mediator. In this particular dispute in the Sydney neighbourhood of Redfern, different groups ended up in a conflict about what needed to be done with a factory site (</w:t>
      </w:r>
      <w:proofErr w:type="spellStart"/>
      <w:r w:rsidRPr="006250C0">
        <w:rPr>
          <w:rFonts w:ascii="Garamond" w:eastAsia="Calibri" w:hAnsi="Garamond" w:cs="Times New Roman"/>
          <w:sz w:val="24"/>
          <w:szCs w:val="24"/>
          <w:lang w:val="en-GB"/>
        </w:rPr>
        <w:t>Sandercock</w:t>
      </w:r>
      <w:proofErr w:type="spellEnd"/>
      <w:r w:rsidRPr="006250C0">
        <w:rPr>
          <w:rFonts w:ascii="Garamond" w:eastAsia="Calibri" w:hAnsi="Garamond" w:cs="Times New Roman"/>
          <w:sz w:val="24"/>
          <w:szCs w:val="24"/>
          <w:lang w:val="en-GB"/>
        </w:rPr>
        <w:t xml:space="preserve">, 2003, 160). The land rights of the site had been granted to Aboriginals, but in later years, this place had become a site for drug dealing and substance abuse. When the local Sydney council wanted to repurpose the site, this triggered some disagreement among the residents in the neighbourhood. The Redfern Aboriginal group wanted the site to be used for Aboriginal community purposes, which was supported by a portion of the white resident (ibid.: 160-161). Another portion of the white residents was against the use of the site for Aboriginal purposes (ibid.: 160). </w:t>
      </w:r>
    </w:p>
    <w:p w14:paraId="58FDF208" w14:textId="77777777" w:rsidR="00790DEC" w:rsidRPr="006250C0" w:rsidRDefault="00790DEC" w:rsidP="002E07B1">
      <w:pPr>
        <w:spacing w:line="256" w:lineRule="auto"/>
        <w:jc w:val="both"/>
        <w:rPr>
          <w:rFonts w:ascii="Garamond" w:eastAsia="Calibri" w:hAnsi="Garamond" w:cs="Times New Roman"/>
          <w:sz w:val="24"/>
          <w:szCs w:val="24"/>
          <w:lang w:val="en-GB"/>
        </w:rPr>
      </w:pPr>
      <w:r w:rsidRPr="006250C0">
        <w:rPr>
          <w:rFonts w:ascii="Garamond" w:eastAsia="Calibri" w:hAnsi="Garamond" w:cs="Times New Roman"/>
          <w:sz w:val="24"/>
          <w:szCs w:val="24"/>
          <w:lang w:val="en-GB"/>
        </w:rPr>
        <w:t xml:space="preserve">To solve this dispute, social planning consultant, </w:t>
      </w:r>
      <w:proofErr w:type="spellStart"/>
      <w:r w:rsidRPr="006250C0">
        <w:rPr>
          <w:rFonts w:ascii="Garamond" w:eastAsia="Calibri" w:hAnsi="Garamond" w:cs="Times New Roman"/>
          <w:sz w:val="24"/>
          <w:szCs w:val="24"/>
          <w:lang w:val="en-GB"/>
        </w:rPr>
        <w:t>Dr.</w:t>
      </w:r>
      <w:proofErr w:type="spellEnd"/>
      <w:r w:rsidRPr="006250C0">
        <w:rPr>
          <w:rFonts w:ascii="Garamond" w:eastAsia="Calibri" w:hAnsi="Garamond" w:cs="Times New Roman"/>
          <w:sz w:val="24"/>
          <w:szCs w:val="24"/>
          <w:lang w:val="en-GB"/>
        </w:rPr>
        <w:t xml:space="preserve"> Wendy </w:t>
      </w:r>
      <w:proofErr w:type="spellStart"/>
      <w:r w:rsidRPr="006250C0">
        <w:rPr>
          <w:rFonts w:ascii="Garamond" w:eastAsia="Calibri" w:hAnsi="Garamond" w:cs="Times New Roman"/>
          <w:sz w:val="24"/>
          <w:szCs w:val="24"/>
          <w:lang w:val="en-GB"/>
        </w:rPr>
        <w:t>Sarkissian</w:t>
      </w:r>
      <w:proofErr w:type="spellEnd"/>
      <w:r w:rsidRPr="006250C0">
        <w:rPr>
          <w:rFonts w:ascii="Garamond" w:eastAsia="Calibri" w:hAnsi="Garamond" w:cs="Times New Roman"/>
          <w:sz w:val="24"/>
          <w:szCs w:val="24"/>
          <w:lang w:val="en-GB"/>
        </w:rPr>
        <w:t xml:space="preserve"> was hired for consultancy (</w:t>
      </w:r>
      <w:proofErr w:type="spellStart"/>
      <w:r w:rsidRPr="006250C0">
        <w:rPr>
          <w:rFonts w:ascii="Garamond" w:eastAsia="Calibri" w:hAnsi="Garamond" w:cs="Times New Roman"/>
          <w:sz w:val="24"/>
          <w:szCs w:val="24"/>
          <w:lang w:val="en-GB"/>
        </w:rPr>
        <w:t>Sandercock</w:t>
      </w:r>
      <w:proofErr w:type="spellEnd"/>
      <w:r w:rsidRPr="006250C0">
        <w:rPr>
          <w:rFonts w:ascii="Garamond" w:eastAsia="Calibri" w:hAnsi="Garamond" w:cs="Times New Roman"/>
          <w:sz w:val="24"/>
          <w:szCs w:val="24"/>
          <w:lang w:val="en-GB"/>
        </w:rPr>
        <w:t xml:space="preserve">, 2003, 161). She was faced with a situation where groups were unwilling to talk to each other. To work toward a situation in which they would be willing to talk to each other, she started to organize meetings with members of all groups, from large meetings to small meetings in living rooms. These preparatory meetings lasted three months and were done for multiple reasons. The first most obvious reason is to get an idea about what is going on and to clarify what the position and motifs of the involved groups are exactly. The second reason was to build trust toward her consultation and her team (ibid.: 161-162). Another reason was to create a safe space in which all parties would feel free to speak without the fear of being dismissed, humiliated, or attacked (ibid.: 161). This was necessary because </w:t>
      </w:r>
      <w:proofErr w:type="spellStart"/>
      <w:r w:rsidRPr="006250C0">
        <w:rPr>
          <w:rFonts w:ascii="Garamond" w:eastAsia="Calibri" w:hAnsi="Garamond" w:cs="Times New Roman"/>
          <w:sz w:val="24"/>
          <w:szCs w:val="24"/>
          <w:lang w:val="en-GB"/>
        </w:rPr>
        <w:t>Sarkissian’s</w:t>
      </w:r>
      <w:proofErr w:type="spellEnd"/>
      <w:r w:rsidRPr="006250C0">
        <w:rPr>
          <w:rFonts w:ascii="Garamond" w:eastAsia="Calibri" w:hAnsi="Garamond" w:cs="Times New Roman"/>
          <w:sz w:val="24"/>
          <w:szCs w:val="24"/>
          <w:lang w:val="en-GB"/>
        </w:rPr>
        <w:t xml:space="preserve"> end goal was a ‘speak-out’. On this event, all parties would be allowed to speak their minds, even when this could easily scare the other parties away. </w:t>
      </w:r>
      <w:r w:rsidRPr="006250C0">
        <w:rPr>
          <w:rFonts w:ascii="Garamond" w:eastAsia="Calibri" w:hAnsi="Garamond" w:cs="Times New Roman"/>
          <w:sz w:val="24"/>
          <w:szCs w:val="24"/>
          <w:lang w:val="en-GB"/>
        </w:rPr>
        <w:lastRenderedPageBreak/>
        <w:t xml:space="preserve">The other parties could do the same and in this way an opportunity was created to truly speak, and more importantly, to listen. After the speak out, it was possible to move further in the process by organizing group discussions and negotiations (ibid.: 162). This was followed by nine more months of negotiating to actually come to an agreement. In this agreement, the involved groups agreed that some training facilities for Aboriginals were allowed (ibid.). </w:t>
      </w:r>
    </w:p>
    <w:p w14:paraId="213B0D60" w14:textId="77777777" w:rsidR="00790DEC" w:rsidRPr="006250C0" w:rsidRDefault="00790DEC" w:rsidP="002E07B1">
      <w:pPr>
        <w:spacing w:line="256" w:lineRule="auto"/>
        <w:jc w:val="both"/>
        <w:rPr>
          <w:rFonts w:ascii="Garamond" w:eastAsia="Calibri" w:hAnsi="Garamond" w:cs="Times New Roman"/>
          <w:sz w:val="24"/>
          <w:szCs w:val="24"/>
          <w:lang w:val="en-GB"/>
        </w:rPr>
      </w:pPr>
      <w:r w:rsidRPr="006250C0">
        <w:rPr>
          <w:rFonts w:ascii="Garamond" w:eastAsia="Calibri" w:hAnsi="Garamond" w:cs="Times New Roman"/>
          <w:sz w:val="24"/>
          <w:szCs w:val="24"/>
          <w:lang w:val="en-GB"/>
        </w:rPr>
        <w:t xml:space="preserve">The Redfern case tells us a lot about the role of mediators that are also underlined by Forester. Mediators are the actors in complex disputes that try to work between conflicting parties to realize sustainable and meaningful outcomes (Forster, 2009, 19). They are not judges nor experts (ibid.: 25). They are there to successfully mediate differences in civil society (ibid.). However, although mediators are not committed to specific outcomes, they are not neutral either (ibid.: 26). By their acts, they influence which groups are represented, and by whom. At the same time, they guide the manner in which the involved parties perceive each other, how they listen and speak, and what the agreement looks like (ibid.). This is necessary to demand the respect that is needed, yet never guaranteed when dealing with disputes (ibid.: 20). Mediators need to inspire and enforce such respectful attitudes, as we have seen in the Redfern case. </w:t>
      </w:r>
    </w:p>
    <w:p w14:paraId="717CE800" w14:textId="77777777" w:rsidR="00790DEC" w:rsidRPr="006250C0" w:rsidRDefault="00790DEC" w:rsidP="002E07B1">
      <w:pPr>
        <w:spacing w:line="256" w:lineRule="auto"/>
        <w:jc w:val="both"/>
        <w:rPr>
          <w:rFonts w:ascii="Garamond" w:eastAsia="Calibri" w:hAnsi="Garamond" w:cs="Times New Roman"/>
          <w:sz w:val="24"/>
          <w:szCs w:val="24"/>
          <w:lang w:val="en-GB"/>
        </w:rPr>
      </w:pPr>
      <w:r w:rsidRPr="006250C0">
        <w:rPr>
          <w:rFonts w:ascii="Garamond" w:eastAsia="Calibri" w:hAnsi="Garamond" w:cs="Times New Roman"/>
          <w:sz w:val="24"/>
          <w:szCs w:val="24"/>
          <w:lang w:val="en-GB"/>
        </w:rPr>
        <w:t xml:space="preserve">The fact that it took </w:t>
      </w:r>
      <w:proofErr w:type="spellStart"/>
      <w:r w:rsidRPr="006250C0">
        <w:rPr>
          <w:rFonts w:ascii="Garamond" w:eastAsia="Calibri" w:hAnsi="Garamond" w:cs="Times New Roman"/>
          <w:sz w:val="24"/>
          <w:szCs w:val="24"/>
          <w:lang w:val="en-GB"/>
        </w:rPr>
        <w:t>Sarkissian</w:t>
      </w:r>
      <w:proofErr w:type="spellEnd"/>
      <w:r w:rsidRPr="006250C0">
        <w:rPr>
          <w:rFonts w:ascii="Garamond" w:eastAsia="Calibri" w:hAnsi="Garamond" w:cs="Times New Roman"/>
          <w:sz w:val="24"/>
          <w:szCs w:val="24"/>
          <w:lang w:val="en-GB"/>
        </w:rPr>
        <w:t xml:space="preserve"> three months only to get to a point where the involved parties were willing to talk with each other shows how time-consuming this can be. The defining role that mediators play in structuring the process, also explains the importance of winning the trust of the involved parties. When a mediator is so influential in the process, involved parties want to know that these mediators will act in their interest. This also underlines the importance of the preparatory part for the success of such a process. Without this, it very hard to realize meaningful interaction and constructive outcomes. The same can be said for the presence of a mediator in general.  </w:t>
      </w:r>
    </w:p>
    <w:p w14:paraId="5FDD36D1" w14:textId="77777777" w:rsidR="00790DEC" w:rsidRPr="006250C0" w:rsidRDefault="00790DEC" w:rsidP="002E07B1">
      <w:pPr>
        <w:spacing w:line="256" w:lineRule="auto"/>
        <w:jc w:val="both"/>
        <w:rPr>
          <w:rFonts w:ascii="Garamond" w:eastAsia="Calibri" w:hAnsi="Garamond" w:cs="Times New Roman"/>
          <w:color w:val="000000"/>
          <w:sz w:val="24"/>
          <w:szCs w:val="24"/>
          <w:lang w:val="en-GB"/>
        </w:rPr>
      </w:pPr>
      <w:proofErr w:type="spellStart"/>
      <w:r w:rsidRPr="006250C0">
        <w:rPr>
          <w:rFonts w:ascii="Garamond" w:eastAsia="Calibri" w:hAnsi="Garamond" w:cs="Times New Roman"/>
          <w:color w:val="000000"/>
          <w:sz w:val="24"/>
          <w:szCs w:val="24"/>
          <w:lang w:val="en-GB"/>
        </w:rPr>
        <w:t>Sandercock</w:t>
      </w:r>
      <w:proofErr w:type="spellEnd"/>
      <w:r w:rsidRPr="006250C0">
        <w:rPr>
          <w:rFonts w:ascii="Garamond" w:eastAsia="Calibri" w:hAnsi="Garamond" w:cs="Times New Roman"/>
          <w:color w:val="000000"/>
          <w:sz w:val="24"/>
          <w:szCs w:val="24"/>
          <w:lang w:val="en-GB"/>
        </w:rPr>
        <w:t xml:space="preserve"> called this approach ‘therapeutic planning’, which according to her is a model that is especially fitting for addressing the complicated issues like nation-building and community development in multicultural society (2003, 162). These kinds of disputes often have a long painful history that needs to be addressed. The experiences are not rational, but emotional and these emotional experiences are important to address to move forward. By acknowledging emotion and stories, the underlying tensions can be adequately addressed (ibid.: 163). This process creates t</w:t>
      </w:r>
      <w:r w:rsidRPr="006250C0">
        <w:rPr>
          <w:rFonts w:ascii="Garamond" w:eastAsia="Calibri" w:hAnsi="Garamond" w:cs="Times New Roman"/>
          <w:color w:val="000000" w:themeColor="text1"/>
          <w:sz w:val="24"/>
          <w:szCs w:val="24"/>
          <w:lang w:val="en-GB"/>
        </w:rPr>
        <w:t xml:space="preserve">he possibility to observe the other and observe ourselves in relation to them (ibid.: 64). These interactions can lead to a transformation in how we understand the other. In this way, horizons </w:t>
      </w:r>
      <w:r w:rsidRPr="006250C0">
        <w:rPr>
          <w:rFonts w:ascii="Garamond" w:eastAsia="Calibri" w:hAnsi="Garamond" w:cs="Times New Roman"/>
          <w:color w:val="000000"/>
          <w:sz w:val="24"/>
          <w:szCs w:val="24"/>
          <w:lang w:val="en-GB"/>
        </w:rPr>
        <w:t>are broadened, and prejudices are reflected on (ibid.). I agree that this manner of dealing with differences is very effective for mediating multicultural differences.</w:t>
      </w:r>
    </w:p>
    <w:p w14:paraId="448CE2A4" w14:textId="21D54EF3" w:rsidR="00790DEC" w:rsidRPr="006250C0" w:rsidRDefault="00FD4ED5" w:rsidP="002E07B1">
      <w:pPr>
        <w:keepNext/>
        <w:keepLines/>
        <w:spacing w:before="40" w:after="0"/>
        <w:jc w:val="both"/>
        <w:outlineLvl w:val="1"/>
        <w:rPr>
          <w:rFonts w:ascii="Garamond" w:eastAsia="Calibri" w:hAnsi="Garamond" w:cstheme="majorBidi"/>
          <w:color w:val="000000" w:themeColor="text1"/>
          <w:sz w:val="28"/>
          <w:szCs w:val="28"/>
          <w:u w:val="single"/>
          <w:lang w:val="en-GB"/>
        </w:rPr>
      </w:pPr>
      <w:bookmarkStart w:id="102" w:name="_Toc12185346"/>
      <w:bookmarkStart w:id="103" w:name="_Toc12190561"/>
      <w:bookmarkStart w:id="104" w:name="_Toc12264090"/>
      <w:bookmarkStart w:id="105" w:name="_Toc12268857"/>
      <w:bookmarkStart w:id="106" w:name="_Toc12269129"/>
      <w:bookmarkStart w:id="107" w:name="_Toc13050259"/>
      <w:bookmarkStart w:id="108" w:name="_Toc13061259"/>
      <w:r>
        <w:rPr>
          <w:rFonts w:ascii="Garamond" w:eastAsia="Calibri" w:hAnsi="Garamond" w:cstheme="majorBidi"/>
          <w:color w:val="000000" w:themeColor="text1"/>
          <w:sz w:val="28"/>
          <w:szCs w:val="28"/>
          <w:u w:val="single"/>
          <w:lang w:val="en-GB"/>
        </w:rPr>
        <w:t>Points of C</w:t>
      </w:r>
      <w:r w:rsidR="00790DEC" w:rsidRPr="006250C0">
        <w:rPr>
          <w:rFonts w:ascii="Garamond" w:eastAsia="Calibri" w:hAnsi="Garamond" w:cstheme="majorBidi"/>
          <w:color w:val="000000" w:themeColor="text1"/>
          <w:sz w:val="28"/>
          <w:szCs w:val="28"/>
          <w:u w:val="single"/>
          <w:lang w:val="en-GB"/>
        </w:rPr>
        <w:t>riticism</w:t>
      </w:r>
      <w:bookmarkEnd w:id="102"/>
      <w:bookmarkEnd w:id="103"/>
      <w:bookmarkEnd w:id="104"/>
      <w:bookmarkEnd w:id="105"/>
      <w:bookmarkEnd w:id="106"/>
      <w:bookmarkEnd w:id="107"/>
      <w:bookmarkEnd w:id="108"/>
    </w:p>
    <w:p w14:paraId="6BDF8AF0" w14:textId="670B804D"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This mode of interaction does not come without risks and limitations. Making groups express their selves in terms of stories, fears and emotion also bring along a great deal of relativity. This opens up the possibility to incorporate lies or misinformation in the stories that are being told (</w:t>
      </w:r>
      <w:proofErr w:type="spellStart"/>
      <w:r w:rsidRPr="006250C0">
        <w:rPr>
          <w:rFonts w:ascii="Garamond" w:eastAsia="Calibri" w:hAnsi="Garamond" w:cs="Times New Roman"/>
          <w:color w:val="000000"/>
          <w:sz w:val="24"/>
          <w:szCs w:val="24"/>
          <w:lang w:val="en-GB"/>
        </w:rPr>
        <w:t>Sandercock</w:t>
      </w:r>
      <w:proofErr w:type="spellEnd"/>
      <w:r w:rsidRPr="006250C0">
        <w:rPr>
          <w:rFonts w:ascii="Garamond" w:eastAsia="Calibri" w:hAnsi="Garamond" w:cs="Times New Roman"/>
          <w:color w:val="000000"/>
          <w:sz w:val="24"/>
          <w:szCs w:val="24"/>
          <w:lang w:val="en-GB"/>
        </w:rPr>
        <w:t>, 2003, 203). When disputes are expressed through storytelling, they focus on personal experiences, yet simultaneously, these are claims of truth. The fact that these stories are told to settle a dispute however, also means that they are tactical methods and they should be perceiv</w:t>
      </w:r>
      <w:r w:rsidR="005E388D">
        <w:rPr>
          <w:rFonts w:ascii="Garamond" w:eastAsia="Calibri" w:hAnsi="Garamond" w:cs="Times New Roman"/>
          <w:color w:val="000000"/>
          <w:sz w:val="24"/>
          <w:szCs w:val="24"/>
          <w:lang w:val="en-GB"/>
        </w:rPr>
        <w:t>ed as such. As Forester states “</w:t>
      </w:r>
      <w:r w:rsidRPr="006250C0">
        <w:rPr>
          <w:rFonts w:ascii="Garamond" w:eastAsia="Calibri" w:hAnsi="Garamond" w:cs="Times New Roman"/>
          <w:color w:val="000000"/>
          <w:sz w:val="24"/>
          <w:szCs w:val="24"/>
          <w:lang w:val="en-GB"/>
        </w:rPr>
        <w:t>claims can not only be bogus or inflated or exaggerated or manipulative or self-serving or oppressing but threatening or insulting or abusive or hectoring” (2009, 20). The mediator should consider this when judging these stories of the participants. This can be problematic, while the risk of falsely accusing participants of exaggerations can have significant meaning for the trust in the mediator and the mediation process in general. However, in some cases, it might be necessary.</w:t>
      </w:r>
    </w:p>
    <w:p w14:paraId="79E1FF76" w14:textId="3F184650"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lastRenderedPageBreak/>
        <w:t>This also brings up the question to what degree factuality and rationality should be involved in these processes. Forester does not seem to be in favour of this. He recognizes the dangers o</w:t>
      </w:r>
      <w:r w:rsidR="005E388D">
        <w:rPr>
          <w:rFonts w:ascii="Garamond" w:eastAsia="Calibri" w:hAnsi="Garamond" w:cs="Times New Roman"/>
          <w:color w:val="000000"/>
          <w:sz w:val="24"/>
          <w:szCs w:val="24"/>
          <w:lang w:val="en-GB"/>
        </w:rPr>
        <w:t>f perceiving truth as relative “</w:t>
      </w:r>
      <w:r w:rsidRPr="006250C0">
        <w:rPr>
          <w:rFonts w:ascii="Garamond" w:eastAsia="Calibri" w:hAnsi="Garamond" w:cs="Times New Roman"/>
          <w:color w:val="000000"/>
          <w:sz w:val="24"/>
          <w:szCs w:val="24"/>
          <w:lang w:val="en-GB"/>
        </w:rPr>
        <w:t>when anyt</w:t>
      </w:r>
      <w:r w:rsidR="00BD062E">
        <w:rPr>
          <w:rFonts w:ascii="Garamond" w:eastAsia="Calibri" w:hAnsi="Garamond" w:cs="Times New Roman"/>
          <w:color w:val="000000"/>
          <w:sz w:val="24"/>
          <w:szCs w:val="24"/>
          <w:lang w:val="en-GB"/>
        </w:rPr>
        <w:t xml:space="preserve">hing goes, critical thinking </w:t>
      </w:r>
      <w:r w:rsidRPr="006250C0">
        <w:rPr>
          <w:rFonts w:ascii="Garamond" w:eastAsia="Calibri" w:hAnsi="Garamond" w:cs="Times New Roman"/>
          <w:color w:val="000000"/>
          <w:sz w:val="24"/>
          <w:szCs w:val="24"/>
          <w:lang w:val="en-GB"/>
        </w:rPr>
        <w:t>about real future possibilities will</w:t>
      </w:r>
      <w:r w:rsidR="005E388D">
        <w:rPr>
          <w:rFonts w:ascii="Garamond" w:eastAsia="Calibri" w:hAnsi="Garamond" w:cs="Times New Roman"/>
          <w:color w:val="000000"/>
          <w:sz w:val="24"/>
          <w:szCs w:val="24"/>
          <w:lang w:val="en-GB"/>
        </w:rPr>
        <w:t xml:space="preserve"> be among the first casualties”</w:t>
      </w:r>
      <w:r w:rsidRPr="006250C0">
        <w:rPr>
          <w:rFonts w:ascii="Garamond" w:eastAsia="Calibri" w:hAnsi="Garamond" w:cs="Times New Roman"/>
          <w:color w:val="000000"/>
          <w:sz w:val="24"/>
          <w:szCs w:val="24"/>
          <w:lang w:val="en-GB"/>
        </w:rPr>
        <w:t xml:space="preserve"> (ibid.: 21). However, to Forester, this does not mean that we need to have criteria to de</w:t>
      </w:r>
      <w:r w:rsidR="00B516B3">
        <w:rPr>
          <w:rFonts w:ascii="Garamond" w:eastAsia="Calibri" w:hAnsi="Garamond" w:cs="Times New Roman"/>
          <w:color w:val="000000"/>
          <w:sz w:val="24"/>
          <w:szCs w:val="24"/>
          <w:lang w:val="en-GB"/>
        </w:rPr>
        <w:t>termine what ‘the right answers’</w:t>
      </w:r>
      <w:r w:rsidRPr="006250C0">
        <w:rPr>
          <w:rFonts w:ascii="Garamond" w:eastAsia="Calibri" w:hAnsi="Garamond" w:cs="Times New Roman"/>
          <w:color w:val="000000"/>
          <w:sz w:val="24"/>
          <w:szCs w:val="24"/>
          <w:lang w:val="en-GB"/>
        </w:rPr>
        <w:t xml:space="preserve"> are (ibid.: 22). What is more important is that we work towards a process that is culturally inclusive and focused on mutual learning. It is about working toward new possibilities by listening and learning, and ultimately, acting. Truth-seeking might not be relevant for accomplishing this (ibid.). I agree with this statement to the extent that truth-seeking is indeed not the main goal for mediating differences. Although it can be important to nuance exaggerated positions and false statements, this is far from the aim of these processes. The main goal is to build bridges and to create understanding between groups. Facts and rationality do not always have a role to play in this.</w:t>
      </w:r>
    </w:p>
    <w:p w14:paraId="6E124FD2" w14:textId="69F0BCFA" w:rsidR="00790DEC" w:rsidRPr="006250C0" w:rsidRDefault="00790DEC" w:rsidP="002E07B1">
      <w:pPr>
        <w:spacing w:line="256" w:lineRule="auto"/>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Another point of criticism that is that these mediation processes are very demanding in both time, money and energy. As we have seen in the Redfern case, the preparatory process alone lasted three </w:t>
      </w:r>
      <w:r w:rsidRPr="006250C0">
        <w:rPr>
          <w:rFonts w:ascii="Garamond" w:eastAsia="Calibri" w:hAnsi="Garamond" w:cs="Times New Roman"/>
          <w:color w:val="000000" w:themeColor="text1"/>
          <w:sz w:val="24"/>
          <w:szCs w:val="24"/>
          <w:lang w:val="en-GB"/>
        </w:rPr>
        <w:t>months (</w:t>
      </w:r>
      <w:proofErr w:type="spellStart"/>
      <w:r w:rsidRPr="006250C0">
        <w:rPr>
          <w:rFonts w:ascii="Garamond" w:eastAsia="Calibri" w:hAnsi="Garamond" w:cs="Times New Roman"/>
          <w:color w:val="000000" w:themeColor="text1"/>
          <w:sz w:val="24"/>
          <w:szCs w:val="24"/>
          <w:lang w:val="en-GB"/>
        </w:rPr>
        <w:t>Sandercock</w:t>
      </w:r>
      <w:proofErr w:type="spellEnd"/>
      <w:r w:rsidRPr="006250C0">
        <w:rPr>
          <w:rFonts w:ascii="Garamond" w:eastAsia="Calibri" w:hAnsi="Garamond" w:cs="Times New Roman"/>
          <w:color w:val="000000" w:themeColor="text1"/>
          <w:sz w:val="24"/>
          <w:szCs w:val="24"/>
          <w:lang w:val="en-GB"/>
        </w:rPr>
        <w:t xml:space="preserve">, 2003, 163). It took another nine months to actually come to an agreement (ibid.: 163). However, although </w:t>
      </w:r>
      <w:r w:rsidRPr="006250C0">
        <w:rPr>
          <w:rFonts w:ascii="Garamond" w:eastAsia="Calibri" w:hAnsi="Garamond" w:cs="Times New Roman"/>
          <w:color w:val="000000"/>
          <w:sz w:val="24"/>
          <w:szCs w:val="24"/>
          <w:lang w:val="en-GB"/>
        </w:rPr>
        <w:t>the mediation process is slow, it is essential for a meaningful outcome. Mediating differences, especially with very polarized groups, takes time and cannot be rushed. The Redfern case is also a good example of how costly these processes can be. The budget for the Redfern case was 50,000 dollars. Another aspect of meditation that is very costly is training for mediators. For mediators, training in negotiating, mediating, facili</w:t>
      </w:r>
      <w:r w:rsidR="003849EF">
        <w:rPr>
          <w:rFonts w:ascii="Garamond" w:eastAsia="Calibri" w:hAnsi="Garamond" w:cs="Times New Roman"/>
          <w:color w:val="000000"/>
          <w:sz w:val="24"/>
          <w:szCs w:val="24"/>
          <w:lang w:val="en-GB"/>
        </w:rPr>
        <w:t>tating and consensus building are</w:t>
      </w:r>
      <w:r w:rsidRPr="006250C0">
        <w:rPr>
          <w:rFonts w:ascii="Garamond" w:eastAsia="Calibri" w:hAnsi="Garamond" w:cs="Times New Roman"/>
          <w:color w:val="000000"/>
          <w:sz w:val="24"/>
          <w:szCs w:val="24"/>
          <w:lang w:val="en-GB"/>
        </w:rPr>
        <w:t xml:space="preserve"> just the tip of the iceberg (ibid.: 164). Some insight into the psychology of individuals, groups and neighbourhoods, and the dynamics that play a role in this are also necessary (ibid.). The amount of resources that this approach demands is a lot and some neighbourhoods and municipal governments may not have the capacity to actually realize this. However, this is not the point of my text. My point is that if we want to mediate differences, this approach may be one of the few methods, if not the only, that can actually achieve a mode of living with difference. In this sense, the costs are worth it. </w:t>
      </w:r>
    </w:p>
    <w:p w14:paraId="4F8D122A" w14:textId="77777777" w:rsidR="00790DEC" w:rsidRPr="006250C0" w:rsidRDefault="00790DEC" w:rsidP="002E07B1">
      <w:pPr>
        <w:jc w:val="both"/>
        <w:rPr>
          <w:rFonts w:ascii="Garamond" w:hAnsi="Garamond"/>
          <w:color w:val="C00000"/>
          <w:sz w:val="24"/>
          <w:szCs w:val="24"/>
          <w:lang w:val="en-GB"/>
        </w:rPr>
      </w:pPr>
      <w:r w:rsidRPr="006250C0">
        <w:rPr>
          <w:rFonts w:ascii="Garamond" w:hAnsi="Garamond"/>
          <w:color w:val="000000" w:themeColor="text1"/>
          <w:sz w:val="24"/>
          <w:szCs w:val="24"/>
          <w:lang w:val="en-GB"/>
        </w:rPr>
        <w:t xml:space="preserve">To summarize, what I have done in this section is to propose a viable mode of living with difference that lends both elements from urban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and side-by-side citizenship. I particularly agree with the emphasis of urban agonistic writings on interaction as a means to transform identities. However, I disagree with the agonistic belief that this needs to be done by centring engagement between groups around conflict and values. This will not transform identities but freeze them. Sometimes it may be valuable to look beyond differences, or at least beyond the specific details of the particular conflict at play. Therefore, I propose an attitude in mediating conflict that employs more indirect forms of communication in order to realize meaningful interaction. This can be achieved by speaking in terms of interests or general principles that apply to everyone. Small talk and humour can also be meaningful in realizing interaction that is less hostile and more constructive. This attitude is inward-looking. It focusses on telling personal stories and the articulation of group interests. Accusations toward the other are not appropriate. The focus on the other group should only be when they tell their stories. In that case, they deserve the full attention of the listener. In this way, the involved parties will feel more at ease, which will enable them to truly open up, and thus, listen and learn from each other.</w:t>
      </w:r>
    </w:p>
    <w:p w14:paraId="71FEBE3B" w14:textId="77777777" w:rsidR="00790DEC" w:rsidRPr="006250C0" w:rsidRDefault="00790DEC" w:rsidP="002E07B1">
      <w:pPr>
        <w:jc w:val="both"/>
        <w:rPr>
          <w:rFonts w:ascii="Garamond" w:hAnsi="Garamond"/>
          <w:b/>
          <w:color w:val="000000" w:themeColor="text1"/>
          <w:sz w:val="36"/>
          <w:szCs w:val="36"/>
          <w:lang w:val="en-GB"/>
        </w:rPr>
      </w:pPr>
      <w:r w:rsidRPr="006250C0">
        <w:rPr>
          <w:rFonts w:ascii="Garamond" w:hAnsi="Garamond"/>
          <w:b/>
          <w:color w:val="000000" w:themeColor="text1"/>
          <w:sz w:val="36"/>
          <w:szCs w:val="36"/>
          <w:lang w:val="en-GB"/>
        </w:rPr>
        <w:br w:type="page"/>
      </w:r>
    </w:p>
    <w:p w14:paraId="54D4C9A1" w14:textId="77777777" w:rsidR="00790DEC" w:rsidRPr="006250C0" w:rsidRDefault="00790DEC" w:rsidP="002E07B1">
      <w:pPr>
        <w:keepNext/>
        <w:keepLines/>
        <w:spacing w:before="240" w:after="0"/>
        <w:jc w:val="both"/>
        <w:outlineLvl w:val="0"/>
        <w:rPr>
          <w:rFonts w:ascii="Garamond" w:eastAsiaTheme="majorEastAsia" w:hAnsi="Garamond" w:cstheme="majorBidi"/>
          <w:b/>
          <w:color w:val="000000" w:themeColor="text1"/>
          <w:sz w:val="36"/>
          <w:szCs w:val="36"/>
          <w:lang w:val="en-GB"/>
        </w:rPr>
      </w:pPr>
      <w:bookmarkStart w:id="109" w:name="_Toc12122219"/>
      <w:bookmarkStart w:id="110" w:name="_Toc12185347"/>
      <w:bookmarkStart w:id="111" w:name="_Toc12190562"/>
      <w:bookmarkStart w:id="112" w:name="_Toc12264091"/>
      <w:bookmarkStart w:id="113" w:name="_Toc12268858"/>
      <w:bookmarkStart w:id="114" w:name="_Toc12269130"/>
      <w:bookmarkStart w:id="115" w:name="_Toc13050260"/>
      <w:bookmarkStart w:id="116" w:name="_Toc13061260"/>
      <w:r w:rsidRPr="006250C0">
        <w:rPr>
          <w:rFonts w:ascii="Garamond" w:eastAsiaTheme="majorEastAsia" w:hAnsi="Garamond" w:cstheme="majorBidi"/>
          <w:b/>
          <w:color w:val="000000" w:themeColor="text1"/>
          <w:sz w:val="36"/>
          <w:szCs w:val="36"/>
          <w:lang w:val="en-GB"/>
        </w:rPr>
        <w:lastRenderedPageBreak/>
        <w:t>Chapter 6: Realizing Interaction</w:t>
      </w:r>
      <w:bookmarkEnd w:id="109"/>
      <w:bookmarkEnd w:id="110"/>
      <w:bookmarkEnd w:id="111"/>
      <w:bookmarkEnd w:id="112"/>
      <w:bookmarkEnd w:id="113"/>
      <w:bookmarkEnd w:id="114"/>
      <w:bookmarkEnd w:id="115"/>
      <w:bookmarkEnd w:id="116"/>
    </w:p>
    <w:p w14:paraId="02480A6C" w14:textId="4F7FC58A"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In the last chapter, I have tried to propose an alternative attitude for living with difference that incorporated lessons learned from side-by-side citizenship and </w:t>
      </w:r>
      <w:proofErr w:type="spellStart"/>
      <w:r w:rsidRPr="006250C0">
        <w:rPr>
          <w:rFonts w:ascii="Garamond" w:hAnsi="Garamond"/>
          <w:color w:val="000000" w:themeColor="text1"/>
          <w:sz w:val="24"/>
          <w:szCs w:val="24"/>
          <w:lang w:val="en-GB"/>
        </w:rPr>
        <w:t>agonism</w:t>
      </w:r>
      <w:proofErr w:type="spellEnd"/>
      <w:r w:rsidRPr="006250C0">
        <w:rPr>
          <w:rFonts w:ascii="Garamond" w:hAnsi="Garamond"/>
          <w:color w:val="000000" w:themeColor="text1"/>
          <w:sz w:val="24"/>
          <w:szCs w:val="24"/>
          <w:lang w:val="en-GB"/>
        </w:rPr>
        <w:t xml:space="preserve">. This position focusses on personal expressions and inward-looking positions to prevent the counterproductive effect of conflict. This will enable citizens to work toward transformation instead of the freezing of identities. However, for this mode of living with difference to be considered realistic, it is necessary to look at other external conditions that need to be met. I do not believe that people will naturally adopt a mode of living with difference when it is presented to them. Citizens need to be inspired to adopt a specific mode of living together. The first condition that needs to be realized is spatial integration. I see segregation as an obstacle for the mode of living with difference that I propose. Why and how this needs to be done will be discussed in the first section of this chapter. The second condition that needs to be realized is the presence of a mediator, as I have argued earlier in Chapter 4. I think local neighbourhood organizations are particularly fit to play this role. Why this is the case and how these organizations can work toward social integration will be discussed in the last section of this chapter. </w:t>
      </w:r>
    </w:p>
    <w:p w14:paraId="20C4780D" w14:textId="29DA140B" w:rsidR="00790DEC" w:rsidRPr="006250C0" w:rsidRDefault="00FD4ED5" w:rsidP="002E07B1">
      <w:pPr>
        <w:keepNext/>
        <w:keepLines/>
        <w:spacing w:before="40" w:after="0"/>
        <w:jc w:val="both"/>
        <w:outlineLvl w:val="1"/>
        <w:rPr>
          <w:rFonts w:ascii="Garamond" w:eastAsiaTheme="majorEastAsia" w:hAnsi="Garamond" w:cstheme="majorBidi"/>
          <w:color w:val="000000" w:themeColor="text1"/>
          <w:sz w:val="28"/>
          <w:szCs w:val="28"/>
          <w:u w:val="single"/>
          <w:lang w:val="en-GB"/>
        </w:rPr>
      </w:pPr>
      <w:bookmarkStart w:id="117" w:name="_Toc12185348"/>
      <w:bookmarkStart w:id="118" w:name="_Toc12190563"/>
      <w:bookmarkStart w:id="119" w:name="_Toc12264092"/>
      <w:bookmarkStart w:id="120" w:name="_Toc12268859"/>
      <w:bookmarkStart w:id="121" w:name="_Toc12269131"/>
      <w:bookmarkStart w:id="122" w:name="_Toc13050261"/>
      <w:bookmarkStart w:id="123" w:name="_Toc13061261"/>
      <w:r>
        <w:rPr>
          <w:rFonts w:ascii="Garamond" w:eastAsiaTheme="majorEastAsia" w:hAnsi="Garamond" w:cstheme="majorBidi"/>
          <w:color w:val="000000" w:themeColor="text1"/>
          <w:sz w:val="28"/>
          <w:szCs w:val="28"/>
          <w:u w:val="single"/>
          <w:lang w:val="en-GB"/>
        </w:rPr>
        <w:t>The Necessity of Spatial I</w:t>
      </w:r>
      <w:r w:rsidR="00790DEC" w:rsidRPr="006250C0">
        <w:rPr>
          <w:rFonts w:ascii="Garamond" w:eastAsiaTheme="majorEastAsia" w:hAnsi="Garamond" w:cstheme="majorBidi"/>
          <w:color w:val="000000" w:themeColor="text1"/>
          <w:sz w:val="28"/>
          <w:szCs w:val="28"/>
          <w:u w:val="single"/>
          <w:lang w:val="en-GB"/>
        </w:rPr>
        <w:t>ntegration</w:t>
      </w:r>
      <w:bookmarkEnd w:id="117"/>
      <w:bookmarkEnd w:id="118"/>
      <w:bookmarkEnd w:id="119"/>
      <w:bookmarkEnd w:id="120"/>
      <w:bookmarkEnd w:id="121"/>
      <w:bookmarkEnd w:id="122"/>
      <w:bookmarkEnd w:id="123"/>
    </w:p>
    <w:p w14:paraId="2C3E41A6" w14:textId="77777777" w:rsidR="00790DEC" w:rsidRPr="006250C0" w:rsidRDefault="00790DEC" w:rsidP="002E07B1">
      <w:pPr>
        <w:spacing w:line="256" w:lineRule="auto"/>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When it comes to mediating differences between citizens, I have argued that contact between citizens is necessary. The ideal place for this type of contact is the urban landscape while a great number of cultural minorities tend to gravitate toward the city (Dang, 2002, 19).</w:t>
      </w:r>
      <w:r w:rsidRPr="006250C0">
        <w:rPr>
          <w:rFonts w:ascii="Garamond" w:hAnsi="Garamond"/>
          <w:color w:val="C00000"/>
          <w:sz w:val="24"/>
          <w:szCs w:val="24"/>
          <w:lang w:val="en-GB"/>
        </w:rPr>
        <w:t xml:space="preserve"> </w:t>
      </w:r>
      <w:r w:rsidRPr="006250C0">
        <w:rPr>
          <w:rFonts w:ascii="Garamond" w:hAnsi="Garamond"/>
          <w:color w:val="000000" w:themeColor="text1"/>
          <w:sz w:val="24"/>
          <w:szCs w:val="24"/>
          <w:lang w:val="en-GB"/>
        </w:rPr>
        <w:t>The ideal level for interaction is the local level since this is the place where people live their lives and meaningful interaction actually happens (2002, 967).</w:t>
      </w:r>
      <w:r w:rsidRPr="006250C0">
        <w:rPr>
          <w:rFonts w:ascii="Garamond" w:hAnsi="Garamond"/>
          <w:color w:val="C00000"/>
          <w:sz w:val="24"/>
          <w:szCs w:val="24"/>
          <w:lang w:val="en-GB"/>
        </w:rPr>
        <w:t xml:space="preserve"> </w:t>
      </w:r>
      <w:r w:rsidRPr="006250C0">
        <w:rPr>
          <w:rFonts w:ascii="Garamond" w:hAnsi="Garamond"/>
          <w:color w:val="000000" w:themeColor="text1"/>
          <w:sz w:val="24"/>
          <w:szCs w:val="24"/>
          <w:lang w:val="en-GB"/>
        </w:rPr>
        <w:t>Segregation is an obstacle to achieve this goal. When I talk about segregation, I refer to the spatial concentration of citizens based on demographical characteristics (Merry, 2013, 22). Although segregation can be based on a wide range of characteristics, like class or religion, I will refer to segregation as based on ethnicity. Segregation has many negative effects, as it often leads to unequal access to services and opportunities between neighbourhoods (Young, 2000, 205-206).</w:t>
      </w:r>
    </w:p>
    <w:p w14:paraId="6B694D40" w14:textId="77777777" w:rsidR="00790DEC" w:rsidRPr="006250C0" w:rsidRDefault="00790DEC" w:rsidP="002E07B1">
      <w:pPr>
        <w:spacing w:line="256" w:lineRule="auto"/>
        <w:jc w:val="both"/>
        <w:rPr>
          <w:rFonts w:ascii="Garamond" w:hAnsi="Garamond"/>
          <w:color w:val="000000" w:themeColor="text1"/>
          <w:sz w:val="24"/>
          <w:szCs w:val="24"/>
          <w:u w:val="single"/>
          <w:lang w:val="en-GB"/>
        </w:rPr>
      </w:pPr>
      <w:r w:rsidRPr="006250C0">
        <w:rPr>
          <w:rFonts w:ascii="Garamond" w:hAnsi="Garamond"/>
          <w:color w:val="000000" w:themeColor="text1"/>
          <w:sz w:val="24"/>
          <w:szCs w:val="24"/>
          <w:lang w:val="en-GB"/>
        </w:rPr>
        <w:t>Although this is highly problematic, I want to focus on another negative effect of segregation. Because segregation spatially separates citizens with different backgrounds from one another, they do not encounter each other in public space. This spatial integration also decreases the possibility that different ethnic groups will go to school together (Amin, 2002, 963).</w:t>
      </w:r>
      <w:r w:rsidRPr="006250C0">
        <w:rPr>
          <w:rFonts w:ascii="Garamond" w:eastAsia="Calibri" w:hAnsi="Garamond" w:cs="Times New Roman"/>
          <w:color w:val="000000"/>
          <w:sz w:val="24"/>
          <w:szCs w:val="24"/>
          <w:lang w:val="en-GB"/>
        </w:rPr>
        <w:t xml:space="preserve"> Segregation can also lead to a situation where the needs of others are not perceived at all. Iris Marion Young warned against such a situation when she discussed the harms of segregation. One of her biggest problems with segregation is the fact that it obscures the privileges it creates (Young, 2000, 208). Privileged groups are unaware of their relative advantages and perceive their life as average because they do not see how other groups in society live (ibid.). In other words, it makes the privileged blind to their privileges. This also means that it makes the privileged blind for the disadvantages of other groups in society. The aim of my proposed mode of living is to let citizens from different background learn the stories and fears of others and by doing this inspire more trust and empathy. Segregation is incompatible with such an approach because it makes interaction between citizens impossible and even creates more misunderstanding concerning the position of other groups in society.  </w:t>
      </w:r>
    </w:p>
    <w:p w14:paraId="41C5892F" w14:textId="22CE164D" w:rsidR="00790DEC" w:rsidRPr="006250C0" w:rsidRDefault="00790DEC" w:rsidP="002E07B1">
      <w:pPr>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 xml:space="preserve">Because of the obstacles that segregation poses for meaningful interaction, I argue that spatial integration is a necessity. With spatial mixing, I refer to the residential mixing of different groups in neighbourhoods. It is particularly important to mix different ethnic groups, but the presence of variation of other characteristics, like age or class, also has considerable value. This will enable citizens to encounter, or at least observe, citizens with different backgrounds and different ways of living in their immediate surroundings. </w:t>
      </w:r>
      <w:proofErr w:type="spellStart"/>
      <w:r w:rsidRPr="006250C0">
        <w:rPr>
          <w:rFonts w:ascii="Garamond" w:eastAsia="Calibri" w:hAnsi="Garamond" w:cs="Times New Roman"/>
          <w:color w:val="000000"/>
          <w:sz w:val="24"/>
          <w:szCs w:val="24"/>
          <w:lang w:val="en-GB"/>
        </w:rPr>
        <w:t>Allport’s</w:t>
      </w:r>
      <w:proofErr w:type="spellEnd"/>
      <w:r w:rsidRPr="006250C0">
        <w:rPr>
          <w:rFonts w:ascii="Garamond" w:eastAsia="Calibri" w:hAnsi="Garamond" w:cs="Times New Roman"/>
          <w:color w:val="000000"/>
          <w:sz w:val="24"/>
          <w:szCs w:val="24"/>
          <w:lang w:val="en-GB"/>
        </w:rPr>
        <w:t xml:space="preserve"> empirical data has shown tha</w:t>
      </w:r>
      <w:r w:rsidR="004204A3">
        <w:rPr>
          <w:rFonts w:ascii="Garamond" w:eastAsia="Calibri" w:hAnsi="Garamond" w:cs="Times New Roman"/>
          <w:color w:val="000000"/>
          <w:sz w:val="24"/>
          <w:szCs w:val="24"/>
          <w:lang w:val="en-GB"/>
        </w:rPr>
        <w:t>t prejudice decreases</w:t>
      </w:r>
      <w:r w:rsidRPr="006250C0">
        <w:rPr>
          <w:rFonts w:ascii="Garamond" w:eastAsia="Calibri" w:hAnsi="Garamond" w:cs="Times New Roman"/>
          <w:color w:val="000000"/>
          <w:sz w:val="24"/>
          <w:szCs w:val="24"/>
          <w:lang w:val="en-GB"/>
        </w:rPr>
        <w:t xml:space="preserve"> </w:t>
      </w:r>
      <w:r w:rsidR="004204A3">
        <w:rPr>
          <w:rFonts w:ascii="Garamond" w:eastAsia="Calibri" w:hAnsi="Garamond" w:cs="Times New Roman"/>
          <w:color w:val="000000"/>
          <w:sz w:val="24"/>
          <w:szCs w:val="24"/>
          <w:lang w:val="en-GB"/>
        </w:rPr>
        <w:lastRenderedPageBreak/>
        <w:t>when different groups live</w:t>
      </w:r>
      <w:r w:rsidRPr="006250C0">
        <w:rPr>
          <w:rFonts w:ascii="Garamond" w:eastAsia="Calibri" w:hAnsi="Garamond" w:cs="Times New Roman"/>
          <w:color w:val="000000"/>
          <w:sz w:val="24"/>
          <w:szCs w:val="24"/>
          <w:lang w:val="en-GB"/>
        </w:rPr>
        <w:t xml:space="preserve"> together (1954, 269). However, ethnic minorities must first reach a critical mass for this to happen (ibid.: 269). However, more is needed to actually accomplish meaningful interaction through social integration. </w:t>
      </w:r>
    </w:p>
    <w:p w14:paraId="522CB082" w14:textId="5D75391B" w:rsidR="00790DEC" w:rsidRPr="006250C0" w:rsidRDefault="00B516B3" w:rsidP="002E07B1">
      <w:pPr>
        <w:jc w:val="both"/>
        <w:rPr>
          <w:rFonts w:ascii="Garamond" w:eastAsia="Calibri" w:hAnsi="Garamond" w:cs="Times New Roman"/>
          <w:color w:val="000000"/>
          <w:sz w:val="24"/>
          <w:szCs w:val="24"/>
          <w:lang w:val="en-GB"/>
        </w:rPr>
      </w:pPr>
      <w:r>
        <w:rPr>
          <w:rFonts w:ascii="Garamond" w:eastAsia="Calibri" w:hAnsi="Garamond" w:cs="Times New Roman"/>
          <w:color w:val="000000"/>
          <w:sz w:val="24"/>
          <w:szCs w:val="24"/>
          <w:lang w:val="en-GB"/>
        </w:rPr>
        <w:t>I adopt Elizabeth Anderson’</w:t>
      </w:r>
      <w:r w:rsidR="00790DEC" w:rsidRPr="006250C0">
        <w:rPr>
          <w:rFonts w:ascii="Garamond" w:eastAsia="Calibri" w:hAnsi="Garamond" w:cs="Times New Roman"/>
          <w:color w:val="000000"/>
          <w:sz w:val="24"/>
          <w:szCs w:val="24"/>
          <w:lang w:val="en-GB"/>
        </w:rPr>
        <w:t>s definition of social integration. For Anderson, social integration exists of two stages (2010, 116). The first, formal social integration, is when citizens of all ethnicities have access to institutionally defined social roles. In this sense, every superior gets the same respect no matter what ethnicity he has. The second stage is when social barriers between ethnicities are broken. This means that they become friends, fall in love, get married and start families without a sense of this being anything more than normal (ibid.). I argue that spatial integration is the first step that needs to be taken to achieve this because without this people will not encounter each other. Thereby they miss the opportunity to meaningful interaction and thus, prejudice cannot be countered. Without this, citizens of different ethnic groups miss the chance to grow toward each other.</w:t>
      </w:r>
    </w:p>
    <w:p w14:paraId="177C3C4D" w14:textId="77777777" w:rsidR="00790DEC" w:rsidRPr="006250C0" w:rsidRDefault="00790DEC" w:rsidP="002E07B1">
      <w:pPr>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In order to achieve spatial integration in a desirable way, it is important to determine which mixing strategies are acceptable means to achieve these goals. I agree with Young that instituted quotas that determine how many civilians of a particular group may live in a building or neighbourhood are insufficient means to achieve spatial integration (1999, 245). In practice, these policies often result in situations where houses are reserved for white citizens, while minority groups end up on long waiting lists (ibid.). When the goal is to create buildings or neighbourhoods with a demographic distribution similar to that of the city or the country, this can become problematic. By doing this, small pieces of the pie are distributed between different minority groups, while members of the white majority are assured at least half the pie.</w:t>
      </w:r>
    </w:p>
    <w:p w14:paraId="14221DFB" w14:textId="027926C9" w:rsidR="00790DEC" w:rsidRPr="006250C0" w:rsidRDefault="00790DEC" w:rsidP="002E07B1">
      <w:pPr>
        <w:jc w:val="both"/>
        <w:rPr>
          <w:rFonts w:ascii="Garamond" w:eastAsia="Calibri" w:hAnsi="Garamond" w:cs="Times New Roman"/>
          <w:color w:val="000000"/>
          <w:sz w:val="24"/>
          <w:szCs w:val="24"/>
          <w:lang w:val="en-GB"/>
        </w:rPr>
      </w:pPr>
      <w:r w:rsidRPr="006250C0">
        <w:rPr>
          <w:rFonts w:ascii="Garamond" w:eastAsia="Calibri" w:hAnsi="Garamond" w:cs="Times New Roman"/>
          <w:color w:val="000000"/>
          <w:sz w:val="24"/>
          <w:szCs w:val="24"/>
          <w:lang w:val="en-GB"/>
        </w:rPr>
        <w:t>Another argument against policies t</w:t>
      </w:r>
      <w:r w:rsidR="00B516B3">
        <w:rPr>
          <w:rFonts w:ascii="Garamond" w:eastAsia="Calibri" w:hAnsi="Garamond" w:cs="Times New Roman"/>
          <w:color w:val="000000"/>
          <w:sz w:val="24"/>
          <w:szCs w:val="24"/>
          <w:lang w:val="en-GB"/>
        </w:rPr>
        <w:t>hat assign housing based on one’</w:t>
      </w:r>
      <w:r w:rsidRPr="006250C0">
        <w:rPr>
          <w:rFonts w:ascii="Garamond" w:eastAsia="Calibri" w:hAnsi="Garamond" w:cs="Times New Roman"/>
          <w:color w:val="000000"/>
          <w:sz w:val="24"/>
          <w:szCs w:val="24"/>
          <w:lang w:val="en-GB"/>
        </w:rPr>
        <w:t xml:space="preserve">s ethnic background is that it is unethical. </w:t>
      </w:r>
      <w:r w:rsidRPr="006250C0">
        <w:rPr>
          <w:rFonts w:ascii="Garamond" w:eastAsia="Calibri" w:hAnsi="Garamond" w:cs="Times New Roman"/>
          <w:color w:val="000000" w:themeColor="text1"/>
          <w:sz w:val="24"/>
          <w:szCs w:val="24"/>
          <w:lang w:val="en-GB"/>
        </w:rPr>
        <w:t xml:space="preserve">Margot </w:t>
      </w:r>
      <w:proofErr w:type="spellStart"/>
      <w:r w:rsidRPr="006250C0">
        <w:rPr>
          <w:rFonts w:ascii="Garamond" w:eastAsia="Calibri" w:hAnsi="Garamond" w:cs="Times New Roman"/>
          <w:color w:val="000000" w:themeColor="text1"/>
          <w:sz w:val="24"/>
          <w:szCs w:val="24"/>
          <w:lang w:val="en-GB"/>
        </w:rPr>
        <w:t>Trappenburg</w:t>
      </w:r>
      <w:proofErr w:type="spellEnd"/>
      <w:r w:rsidRPr="006250C0">
        <w:rPr>
          <w:rFonts w:ascii="Garamond" w:eastAsia="Calibri" w:hAnsi="Garamond" w:cs="Times New Roman"/>
          <w:color w:val="000000" w:themeColor="text1"/>
          <w:sz w:val="24"/>
          <w:szCs w:val="24"/>
          <w:lang w:val="en-GB"/>
        </w:rPr>
        <w:t xml:space="preserve"> seems to defend this position when she applies Michael </w:t>
      </w:r>
      <w:proofErr w:type="spellStart"/>
      <w:r w:rsidRPr="006250C0">
        <w:rPr>
          <w:rFonts w:ascii="Garamond" w:eastAsia="Calibri" w:hAnsi="Garamond" w:cs="Times New Roman"/>
          <w:color w:val="000000" w:themeColor="text1"/>
          <w:sz w:val="24"/>
          <w:szCs w:val="24"/>
          <w:lang w:val="en-GB"/>
        </w:rPr>
        <w:t>Walzer’s</w:t>
      </w:r>
      <w:proofErr w:type="spellEnd"/>
      <w:r w:rsidRPr="006250C0">
        <w:rPr>
          <w:rFonts w:ascii="Garamond" w:eastAsia="Calibri" w:hAnsi="Garamond" w:cs="Times New Roman"/>
          <w:color w:val="000000" w:themeColor="text1"/>
          <w:sz w:val="24"/>
          <w:szCs w:val="24"/>
          <w:lang w:val="en-GB"/>
        </w:rPr>
        <w:t xml:space="preserve"> writings on morality to determine what an appropriate rationale for finding a house could be</w:t>
      </w:r>
      <w:r w:rsidRPr="006250C0">
        <w:rPr>
          <w:rFonts w:ascii="Garamond" w:eastAsia="Calibri" w:hAnsi="Garamond" w:cs="Times New Roman"/>
          <w:color w:val="000000"/>
          <w:sz w:val="24"/>
          <w:szCs w:val="24"/>
          <w:lang w:val="en-GB"/>
        </w:rPr>
        <w:t xml:space="preserve">. To </w:t>
      </w:r>
      <w:proofErr w:type="spellStart"/>
      <w:r w:rsidRPr="006250C0">
        <w:rPr>
          <w:rFonts w:ascii="Garamond" w:eastAsia="Calibri" w:hAnsi="Garamond" w:cs="Times New Roman"/>
          <w:color w:val="000000"/>
          <w:sz w:val="24"/>
          <w:szCs w:val="24"/>
          <w:lang w:val="en-GB"/>
        </w:rPr>
        <w:t>Walzer</w:t>
      </w:r>
      <w:proofErr w:type="spellEnd"/>
      <w:r w:rsidRPr="006250C0">
        <w:rPr>
          <w:rFonts w:ascii="Garamond" w:eastAsia="Calibri" w:hAnsi="Garamond" w:cs="Times New Roman"/>
          <w:color w:val="000000"/>
          <w:sz w:val="24"/>
          <w:szCs w:val="24"/>
          <w:lang w:val="en-GB"/>
        </w:rPr>
        <w:t>, a just society can only exist when distinct moral logics are applied in their appropriate spheres (1983, 319). For example, the logic of supply and demand is appropriate to use in the financial sphere, but not in the sphere of love where emotions</w:t>
      </w:r>
      <w:r w:rsidR="00B516B3">
        <w:rPr>
          <w:rFonts w:ascii="Garamond" w:eastAsia="Calibri" w:hAnsi="Garamond" w:cs="Times New Roman"/>
          <w:color w:val="000000"/>
          <w:sz w:val="24"/>
          <w:szCs w:val="24"/>
          <w:lang w:val="en-GB"/>
        </w:rPr>
        <w:t xml:space="preserve"> should be guiding one’</w:t>
      </w:r>
      <w:r w:rsidR="004204A3">
        <w:rPr>
          <w:rFonts w:ascii="Garamond" w:eastAsia="Calibri" w:hAnsi="Garamond" w:cs="Times New Roman"/>
          <w:color w:val="000000"/>
          <w:sz w:val="24"/>
          <w:szCs w:val="24"/>
          <w:lang w:val="en-GB"/>
        </w:rPr>
        <w:t>s action (ibid.). T</w:t>
      </w:r>
      <w:r w:rsidRPr="006250C0">
        <w:rPr>
          <w:rFonts w:ascii="Garamond" w:eastAsia="Calibri" w:hAnsi="Garamond" w:cs="Times New Roman"/>
          <w:color w:val="000000"/>
          <w:sz w:val="24"/>
          <w:szCs w:val="24"/>
          <w:lang w:val="en-GB"/>
        </w:rPr>
        <w:t>his leads to the conclusion</w:t>
      </w:r>
      <w:r w:rsidR="004204A3">
        <w:rPr>
          <w:rFonts w:ascii="Garamond" w:eastAsia="Calibri" w:hAnsi="Garamond" w:cs="Times New Roman"/>
          <w:color w:val="000000"/>
          <w:sz w:val="24"/>
          <w:szCs w:val="24"/>
          <w:lang w:val="en-GB"/>
        </w:rPr>
        <w:t>, for example,</w:t>
      </w:r>
      <w:r w:rsidRPr="006250C0">
        <w:rPr>
          <w:rFonts w:ascii="Garamond" w:eastAsia="Calibri" w:hAnsi="Garamond" w:cs="Times New Roman"/>
          <w:color w:val="000000"/>
          <w:sz w:val="24"/>
          <w:szCs w:val="24"/>
          <w:lang w:val="en-GB"/>
        </w:rPr>
        <w:t xml:space="preserve"> that prostitution is morally wrong. By following this rationale, </w:t>
      </w:r>
      <w:proofErr w:type="spellStart"/>
      <w:r w:rsidRPr="006250C0">
        <w:rPr>
          <w:rFonts w:ascii="Garamond" w:eastAsia="Calibri" w:hAnsi="Garamond" w:cs="Times New Roman"/>
          <w:color w:val="000000"/>
          <w:sz w:val="24"/>
          <w:szCs w:val="24"/>
          <w:lang w:val="en-GB"/>
        </w:rPr>
        <w:t>Trappenburg</w:t>
      </w:r>
      <w:proofErr w:type="spellEnd"/>
      <w:r w:rsidRPr="006250C0">
        <w:rPr>
          <w:rFonts w:ascii="Garamond" w:eastAsia="Calibri" w:hAnsi="Garamond" w:cs="Times New Roman"/>
          <w:color w:val="000000"/>
          <w:sz w:val="24"/>
          <w:szCs w:val="24"/>
          <w:lang w:val="en-GB"/>
        </w:rPr>
        <w:t xml:space="preserve"> arrives at the conclusion that choosing residence because of the presence of ethnically similar neighbours is inappropriate (2003, 306). Such a criterion seems at odds with the shared understanding of what should guide decisions when choosing a home (ibid.). </w:t>
      </w:r>
      <w:r w:rsidRPr="006250C0">
        <w:rPr>
          <w:rFonts w:ascii="Garamond" w:eastAsia="Calibri" w:hAnsi="Garamond" w:cs="Times New Roman"/>
          <w:color w:val="000000" w:themeColor="text1"/>
          <w:sz w:val="24"/>
          <w:szCs w:val="24"/>
          <w:lang w:val="en-GB"/>
        </w:rPr>
        <w:t>I</w:t>
      </w:r>
      <w:r w:rsidRPr="006250C0">
        <w:rPr>
          <w:rFonts w:ascii="Garamond" w:eastAsia="Calibri" w:hAnsi="Garamond" w:cs="Times New Roman"/>
          <w:color w:val="000000"/>
          <w:sz w:val="24"/>
          <w:szCs w:val="24"/>
          <w:lang w:val="en-GB"/>
        </w:rPr>
        <w:t>f this is the case, the same holds true for policies that assign housing based on ethnic quotas. A rationale that assigns housing based on ethnicity is inappropriate, unethical and thus, unacceptable.</w:t>
      </w:r>
    </w:p>
    <w:p w14:paraId="7BE4EF03" w14:textId="0394D43D" w:rsidR="00790DEC" w:rsidRPr="006250C0" w:rsidRDefault="00790DEC" w:rsidP="002E07B1">
      <w:pPr>
        <w:jc w:val="both"/>
        <w:rPr>
          <w:rFonts w:ascii="Garamond" w:eastAsia="Calibri" w:hAnsi="Garamond" w:cs="Times New Roman"/>
          <w:color w:val="000000"/>
          <w:sz w:val="24"/>
          <w:szCs w:val="24"/>
          <w:lang w:val="en-GB"/>
        </w:rPr>
      </w:pPr>
      <w:proofErr w:type="spellStart"/>
      <w:r w:rsidRPr="006250C0">
        <w:rPr>
          <w:rFonts w:ascii="Garamond" w:eastAsia="Calibri" w:hAnsi="Garamond" w:cs="Times New Roman"/>
          <w:color w:val="000000"/>
          <w:sz w:val="24"/>
          <w:szCs w:val="24"/>
          <w:lang w:val="en-GB"/>
        </w:rPr>
        <w:t>Trappenburg</w:t>
      </w:r>
      <w:proofErr w:type="spellEnd"/>
      <w:r w:rsidRPr="006250C0">
        <w:rPr>
          <w:rFonts w:ascii="Garamond" w:eastAsia="Calibri" w:hAnsi="Garamond" w:cs="Times New Roman"/>
          <w:color w:val="000000"/>
          <w:sz w:val="24"/>
          <w:szCs w:val="24"/>
          <w:lang w:val="en-GB"/>
        </w:rPr>
        <w:t xml:space="preserve"> does elaborate on what she considers legitimate criteria for choosing a place of residence. Although she admits that it is difficult to determine clear objective criteria when choosing a house, she refers to the </w:t>
      </w:r>
      <w:r w:rsidRPr="006250C0">
        <w:rPr>
          <w:rFonts w:ascii="Garamond" w:eastAsia="Calibri" w:hAnsi="Garamond" w:cs="Times New Roman"/>
          <w:color w:val="000000" w:themeColor="text1"/>
          <w:sz w:val="24"/>
          <w:szCs w:val="24"/>
          <w:lang w:val="en-GB"/>
        </w:rPr>
        <w:t>affordability of residences or its relative location near transport, work or residence as possible factors (</w:t>
      </w:r>
      <w:proofErr w:type="spellStart"/>
      <w:r w:rsidRPr="006250C0">
        <w:rPr>
          <w:rFonts w:ascii="Garamond" w:eastAsia="Calibri" w:hAnsi="Garamond" w:cs="Times New Roman"/>
          <w:color w:val="000000" w:themeColor="text1"/>
          <w:sz w:val="24"/>
          <w:szCs w:val="24"/>
          <w:lang w:val="en-GB"/>
        </w:rPr>
        <w:t>Trappenburg</w:t>
      </w:r>
      <w:proofErr w:type="spellEnd"/>
      <w:r w:rsidRPr="006250C0">
        <w:rPr>
          <w:rFonts w:ascii="Garamond" w:eastAsia="Calibri" w:hAnsi="Garamond" w:cs="Times New Roman"/>
          <w:color w:val="000000" w:themeColor="text1"/>
          <w:sz w:val="24"/>
          <w:szCs w:val="24"/>
          <w:lang w:val="en-GB"/>
        </w:rPr>
        <w:t>, 2003, 306). The implication of this statement is that people should be able to choose their residency based on preference. Young agrees w</w:t>
      </w:r>
      <w:r w:rsidR="004204A3">
        <w:rPr>
          <w:rFonts w:ascii="Garamond" w:eastAsia="Calibri" w:hAnsi="Garamond" w:cs="Times New Roman"/>
          <w:color w:val="000000" w:themeColor="text1"/>
          <w:sz w:val="24"/>
          <w:szCs w:val="24"/>
          <w:lang w:val="en-GB"/>
        </w:rPr>
        <w:t>ith this when she states that “s</w:t>
      </w:r>
      <w:r w:rsidRPr="006250C0">
        <w:rPr>
          <w:rFonts w:ascii="Garamond" w:eastAsia="Calibri" w:hAnsi="Garamond" w:cs="Times New Roman"/>
          <w:color w:val="000000" w:themeColor="text1"/>
          <w:sz w:val="24"/>
          <w:szCs w:val="24"/>
          <w:lang w:val="en-GB"/>
        </w:rPr>
        <w:t>ocial policies aimed at desegregation should open opportunities for individuals and allow them the liberty to pursue their own chosen goals for their personal lives, especially their place of residency” (Young, 1999, 247). This leads Young to conclude that allocation of housing should be solely based on price regulated or subsidized markets. When houses are assigned, this should be done based on the resident’s preference. In this sense, Young does not consider assigned housing based on ethnic quotas as appropriate.</w:t>
      </w:r>
    </w:p>
    <w:p w14:paraId="18B23536" w14:textId="57A88BB7"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lastRenderedPageBreak/>
        <w:t>It is valu</w:t>
      </w:r>
      <w:r w:rsidR="00B516B3">
        <w:rPr>
          <w:rFonts w:ascii="Garamond" w:eastAsia="Calibri" w:hAnsi="Garamond" w:cs="Times New Roman"/>
          <w:color w:val="000000" w:themeColor="text1"/>
          <w:sz w:val="24"/>
          <w:szCs w:val="24"/>
          <w:lang w:val="en-GB"/>
        </w:rPr>
        <w:t>able for the quality of citizen’</w:t>
      </w:r>
      <w:r w:rsidRPr="006250C0">
        <w:rPr>
          <w:rFonts w:ascii="Garamond" w:eastAsia="Calibri" w:hAnsi="Garamond" w:cs="Times New Roman"/>
          <w:color w:val="000000" w:themeColor="text1"/>
          <w:sz w:val="24"/>
          <w:szCs w:val="24"/>
          <w:lang w:val="en-GB"/>
        </w:rPr>
        <w:t>s life to find a residency in which citizens feel comfortable. This also leads me to believe that citizens should indeed be as free as possible in choosing a house as long as they can afford it. However, what mixing strategies then remain as an appropriate means to realize spatial integration? As Young notes, this can be done by trying to provide opportunities for other ethnic groups to move to white neighbourhoods (Young, 1999, 247). Another way to realize this is by encouraging white citizens to settle or remain in multicultural neighbourhoods (ibid.). To be able to do this, it can be useful to introduce financial stimuli or interfere with the behaviour of renters (ibid.: 248). In this way, the freedom of choice of citizens can be maintained or even enhanced, while still contributing to the goal of spatial interaction.</w:t>
      </w:r>
    </w:p>
    <w:p w14:paraId="07B01A7C" w14:textId="77777777" w:rsidR="00790DEC" w:rsidRPr="006250C0" w:rsidRDefault="00790DEC" w:rsidP="002E07B1">
      <w:pPr>
        <w:jc w:val="both"/>
        <w:rPr>
          <w:rFonts w:ascii="Garamond" w:eastAsia="Calibri" w:hAnsi="Garamond" w:cs="Times New Roman"/>
          <w:color w:val="000000"/>
          <w:sz w:val="24"/>
          <w:szCs w:val="24"/>
          <w:lang w:val="en-GB"/>
        </w:rPr>
      </w:pPr>
      <w:r w:rsidRPr="006250C0">
        <w:rPr>
          <w:rFonts w:ascii="Garamond" w:eastAsia="Calibri" w:hAnsi="Garamond" w:cs="Times New Roman"/>
          <w:color w:val="000000" w:themeColor="text1"/>
          <w:sz w:val="24"/>
          <w:szCs w:val="24"/>
          <w:lang w:val="en-GB"/>
        </w:rPr>
        <w:t>Spatial integration can also be stimulated by increasing the diversity of residences in the neighbourhood. If the goal is to bring people from different ethnic backgrounds together, it can also be useful to introduce policies that aim to stimulate the integration of class. These two categories often overlap, because minority cultures also tend to be social-economically disadvantaged (Castles &amp; Miller, 2003, 249). One method that can be used to stimulate the mix of classes, and thus indirectly ethical mixing, is by building neighbourhoods or apartments with varying price ranges. In this way, people from different classes can encounter each other in public spaces or the hallways of their buildings. Sennett admits that this may not be attractive for real estate agents, while people want to cluster with people that are similar to them (ibid.: 160). However, he responds by stating that what people want may not be what is best for society, and therefore these wishes for similar neighbours should be bypassed. I agree with this statement. Multicultural society might be awkward, painful and frightening. However, these emotions need to be addressed to be able to move forward. Evading these emotions, and by doing this also evading ‘the other', is not helpful but harmful.</w:t>
      </w:r>
    </w:p>
    <w:p w14:paraId="09F4AD90" w14:textId="0735A897" w:rsidR="00790DEC" w:rsidRPr="006250C0" w:rsidRDefault="00FD4ED5" w:rsidP="002E07B1">
      <w:pPr>
        <w:keepNext/>
        <w:keepLines/>
        <w:spacing w:before="40" w:after="0"/>
        <w:jc w:val="both"/>
        <w:outlineLvl w:val="1"/>
        <w:rPr>
          <w:rFonts w:ascii="Garamond" w:eastAsia="Calibri" w:hAnsi="Garamond" w:cstheme="majorBidi"/>
          <w:color w:val="000000" w:themeColor="text1"/>
          <w:sz w:val="28"/>
          <w:szCs w:val="28"/>
          <w:u w:val="single"/>
          <w:lang w:val="en-GB"/>
        </w:rPr>
      </w:pPr>
      <w:bookmarkStart w:id="124" w:name="_Toc12185349"/>
      <w:bookmarkStart w:id="125" w:name="_Toc12190564"/>
      <w:bookmarkStart w:id="126" w:name="_Toc12264093"/>
      <w:bookmarkStart w:id="127" w:name="_Toc12268860"/>
      <w:bookmarkStart w:id="128" w:name="_Toc12269132"/>
      <w:bookmarkStart w:id="129" w:name="_Toc13050262"/>
      <w:bookmarkStart w:id="130" w:name="_Toc13061262"/>
      <w:r>
        <w:rPr>
          <w:rFonts w:ascii="Garamond" w:eastAsia="Calibri" w:hAnsi="Garamond" w:cstheme="majorBidi"/>
          <w:color w:val="000000" w:themeColor="text1"/>
          <w:sz w:val="28"/>
          <w:szCs w:val="28"/>
          <w:u w:val="single"/>
          <w:lang w:val="en-GB"/>
        </w:rPr>
        <w:t>Neighbourhood Organizations as Mediators for Social I</w:t>
      </w:r>
      <w:r w:rsidR="00790DEC" w:rsidRPr="006250C0">
        <w:rPr>
          <w:rFonts w:ascii="Garamond" w:eastAsia="Calibri" w:hAnsi="Garamond" w:cstheme="majorBidi"/>
          <w:color w:val="000000" w:themeColor="text1"/>
          <w:sz w:val="28"/>
          <w:szCs w:val="28"/>
          <w:u w:val="single"/>
          <w:lang w:val="en-GB"/>
        </w:rPr>
        <w:t>ntegration</w:t>
      </w:r>
      <w:bookmarkEnd w:id="124"/>
      <w:bookmarkEnd w:id="125"/>
      <w:bookmarkEnd w:id="126"/>
      <w:bookmarkEnd w:id="127"/>
      <w:bookmarkEnd w:id="128"/>
      <w:bookmarkEnd w:id="129"/>
      <w:bookmarkEnd w:id="130"/>
    </w:p>
    <w:p w14:paraId="0AB32EBA" w14:textId="77777777"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sz w:val="24"/>
          <w:szCs w:val="24"/>
          <w:lang w:val="en-GB"/>
        </w:rPr>
        <w:t xml:space="preserve">When spatial integration is realized, social integration needs to be realized for a viable mode of living with difference. It is especially important to create a climate that facilitates engagement between groups so meaningful interaction between citizens can take </w:t>
      </w:r>
      <w:r w:rsidRPr="006250C0">
        <w:rPr>
          <w:rFonts w:ascii="Garamond" w:eastAsia="Calibri" w:hAnsi="Garamond" w:cs="Times New Roman"/>
          <w:color w:val="000000" w:themeColor="text1"/>
          <w:sz w:val="24"/>
          <w:szCs w:val="24"/>
          <w:lang w:val="en-GB"/>
        </w:rPr>
        <w:t>place. When I refer to meaningful interaction I mean the civil manner of engagement that I have proposed in Chapter 5. Creating platforms on the local level, like community centres, are essential for this</w:t>
      </w:r>
      <w:r w:rsidRPr="006250C0">
        <w:rPr>
          <w:rFonts w:ascii="Garamond" w:eastAsia="Calibri" w:hAnsi="Garamond" w:cs="Times New Roman"/>
          <w:color w:val="000000"/>
          <w:sz w:val="24"/>
          <w:szCs w:val="24"/>
          <w:lang w:val="en-GB"/>
        </w:rPr>
        <w:t>. Such organizations</w:t>
      </w:r>
      <w:r w:rsidRPr="006250C0">
        <w:rPr>
          <w:rFonts w:ascii="Garamond" w:eastAsia="Calibri" w:hAnsi="Garamond" w:cs="Times New Roman"/>
          <w:color w:val="000000" w:themeColor="text1"/>
          <w:sz w:val="24"/>
          <w:szCs w:val="24"/>
          <w:lang w:val="en-GB"/>
        </w:rPr>
        <w:t xml:space="preserve"> have bonds with the residents</w:t>
      </w:r>
      <w:r w:rsidRPr="006250C0">
        <w:rPr>
          <w:rFonts w:ascii="Garamond" w:eastAsia="Calibri" w:hAnsi="Garamond" w:cs="Times New Roman"/>
          <w:color w:val="000000"/>
          <w:sz w:val="24"/>
          <w:szCs w:val="24"/>
          <w:lang w:val="en-GB"/>
        </w:rPr>
        <w:t xml:space="preserve"> and create physical spaces where interaction between citizens can take place</w:t>
      </w:r>
      <w:r w:rsidRPr="006250C0">
        <w:rPr>
          <w:rFonts w:ascii="Garamond" w:eastAsia="Calibri" w:hAnsi="Garamond" w:cs="Times New Roman"/>
          <w:color w:val="000000" w:themeColor="text1"/>
          <w:sz w:val="24"/>
          <w:szCs w:val="24"/>
          <w:lang w:val="en-GB"/>
        </w:rPr>
        <w:t xml:space="preserve">. These organizations, and its employees, also hold the potential to satisfy the conditions necessary for good mediation. However, some considerations need to be taken into account for these conditions to be satisfied.  </w:t>
      </w:r>
    </w:p>
    <w:p w14:paraId="17145F01" w14:textId="7DDDB585"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t xml:space="preserve">To be able to put the role of mediator in practice in a meaningful way, it is important that this person, or at least the organization he or she represents, inspire some degree of trust. Neighbourhood organizations are familiar to many residents, because of the events and activities they organize. These employees often are resident themselves. Therefore, when the organization assigns employees, this will often be familiar </w:t>
      </w:r>
      <w:r w:rsidR="004204A3">
        <w:rPr>
          <w:rFonts w:ascii="Garamond" w:eastAsia="Calibri" w:hAnsi="Garamond" w:cs="Times New Roman"/>
          <w:color w:val="000000" w:themeColor="text1"/>
          <w:sz w:val="24"/>
          <w:szCs w:val="24"/>
          <w:lang w:val="en-GB"/>
        </w:rPr>
        <w:t>faces of</w:t>
      </w:r>
      <w:r w:rsidRPr="006250C0">
        <w:rPr>
          <w:rFonts w:ascii="Garamond" w:eastAsia="Calibri" w:hAnsi="Garamond" w:cs="Times New Roman"/>
          <w:color w:val="000000" w:themeColor="text1"/>
          <w:sz w:val="24"/>
          <w:szCs w:val="24"/>
          <w:lang w:val="en-GB"/>
        </w:rPr>
        <w:t xml:space="preserve"> people that they have encountered before. This can make the process of engaging with conflicting parties less intimidating. However, it must be noted that familiar faces do not have to be a good thing per se. Residents may not like this person or are afraid he will be biased because they are familiar with the employee’s opinions. In order to prevent this, staff may need to adopt moderate attitudes as they represent the organization. In this way, the organization and its employees can maintain a sense of neutrality, which is necessary to earn the trust of residents (Dang, 2002, 86). </w:t>
      </w:r>
    </w:p>
    <w:p w14:paraId="038D5D25" w14:textId="77777777"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lastRenderedPageBreak/>
        <w:t xml:space="preserve">One clear advantage that neighbourhood organizations have for inspiring trust is that these are places that they can attract a diversity of people that visit regularly over a long period of time. Because they offer a variety of activities and classes, attracting both young children and senior citizens, these organizations create attachments to a broad variety of people. Because these classes often occur on a weekly basis, the attachments with this organization will deepen over time. This also makes it possible that interaction between residents can occur on a regular basis, which will inspire trust and increase familiarity between citizens. </w:t>
      </w:r>
    </w:p>
    <w:p w14:paraId="613AF542" w14:textId="77777777"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sz w:val="24"/>
          <w:szCs w:val="24"/>
          <w:lang w:val="en-GB"/>
        </w:rPr>
        <w:t>As Dang notes, it often is not sufficient to create platforms for interaction and expect citizens to naturally show up (2002, 80).</w:t>
      </w:r>
      <w:r w:rsidRPr="006250C0">
        <w:rPr>
          <w:rFonts w:ascii="Garamond" w:eastAsia="Calibri" w:hAnsi="Garamond" w:cs="Times New Roman"/>
          <w:color w:val="000000" w:themeColor="text1"/>
          <w:sz w:val="24"/>
          <w:szCs w:val="24"/>
          <w:lang w:val="en-GB"/>
        </w:rPr>
        <w:t xml:space="preserve"> When providing a large variety of programs that aims to involve the neighbourhood in the broadest sense, </w:t>
      </w:r>
      <w:r w:rsidRPr="006250C0">
        <w:rPr>
          <w:rFonts w:ascii="Garamond" w:eastAsia="Calibri" w:hAnsi="Garamond" w:cs="Times New Roman"/>
          <w:color w:val="000000"/>
          <w:sz w:val="24"/>
          <w:szCs w:val="24"/>
          <w:lang w:val="en-GB"/>
        </w:rPr>
        <w:t>certain services will need to be provided to facilitate this. For residents with weakened mobility, like the elderly or the mentally challenged, this will mean that forms of transportation need to be provided (ibid.: 80). For people with children and busy jobs to show up, services like childcare can be a solution (ibid.: 79). For members of minority cultures that have difficulty with speaking the native language, providing matters like source material and announcements in multiple languages can be helpful. The presence of translators can also be valuable for this (ibid.).</w:t>
      </w:r>
    </w:p>
    <w:p w14:paraId="2DDFD43F" w14:textId="77777777" w:rsidR="00790DEC" w:rsidRPr="006250C0" w:rsidRDefault="00790DEC" w:rsidP="002E07B1">
      <w:pPr>
        <w:jc w:val="both"/>
        <w:rPr>
          <w:rFonts w:ascii="Garamond" w:eastAsia="Calibri" w:hAnsi="Garamond" w:cs="Times New Roman"/>
          <w:color w:val="C45911" w:themeColor="accent2" w:themeShade="BF"/>
          <w:sz w:val="24"/>
          <w:szCs w:val="24"/>
          <w:lang w:val="en-GB"/>
        </w:rPr>
      </w:pPr>
      <w:r w:rsidRPr="006250C0">
        <w:rPr>
          <w:rFonts w:ascii="Garamond" w:eastAsia="Calibri" w:hAnsi="Garamond" w:cs="Times New Roman"/>
          <w:color w:val="000000"/>
          <w:sz w:val="24"/>
          <w:szCs w:val="24"/>
          <w:lang w:val="en-GB"/>
        </w:rPr>
        <w:t>Other ways in which citizens, in the most diverse sense of the word, can be attracted, is by setting up networks with community leaders and social service providers like religious institutions, schools and health clinics (Dang, 2002, 80-81).</w:t>
      </w:r>
      <w:r w:rsidRPr="006250C0">
        <w:rPr>
          <w:rFonts w:ascii="Garamond" w:eastAsia="Calibri" w:hAnsi="Garamond" w:cs="Times New Roman"/>
          <w:color w:val="000000" w:themeColor="text1"/>
          <w:sz w:val="24"/>
          <w:szCs w:val="24"/>
          <w:lang w:val="en-GB"/>
        </w:rPr>
        <w:t xml:space="preserve"> Another method that seems particularly successful is to organize events around art projects, community festivals and multicultural celebrations (ibid.: 84). These events often create chances of interaction through art, children and food, which creates a less intimidating introduction to a neighbourhood organization than for example debates around intercultural citizenship. In this way, citizens are eased into more in-depth interaction to mediate differences. These events, in this sense, lowers the bar for long-term involvement (ibid.). </w:t>
      </w:r>
    </w:p>
    <w:p w14:paraId="7EDE449B" w14:textId="3CEC493D" w:rsidR="00790DEC" w:rsidRPr="006250C0" w:rsidRDefault="00790DEC" w:rsidP="002E07B1">
      <w:pPr>
        <w:jc w:val="both"/>
        <w:rPr>
          <w:rFonts w:ascii="Garamond" w:hAnsi="Garamond"/>
          <w:color w:val="000000" w:themeColor="text1"/>
          <w:sz w:val="24"/>
          <w:szCs w:val="24"/>
          <w:lang w:val="en-GB"/>
        </w:rPr>
      </w:pPr>
      <w:r w:rsidRPr="006250C0">
        <w:rPr>
          <w:rFonts w:ascii="Garamond" w:eastAsia="Calibri" w:hAnsi="Garamond" w:cs="Times New Roman"/>
          <w:color w:val="000000"/>
          <w:sz w:val="24"/>
          <w:szCs w:val="24"/>
          <w:lang w:val="en-GB"/>
        </w:rPr>
        <w:t xml:space="preserve">It may be necessary to particularly pay attention to attracting under-represented groups, like </w:t>
      </w:r>
      <w:r w:rsidRPr="006250C0">
        <w:rPr>
          <w:rFonts w:ascii="Garamond" w:eastAsia="Calibri" w:hAnsi="Garamond" w:cs="Times New Roman"/>
          <w:color w:val="000000" w:themeColor="text1"/>
          <w:sz w:val="24"/>
          <w:szCs w:val="24"/>
          <w:lang w:val="en-GB"/>
        </w:rPr>
        <w:t xml:space="preserve">cultural minorities. When </w:t>
      </w:r>
      <w:r w:rsidRPr="006250C0">
        <w:rPr>
          <w:rFonts w:ascii="Garamond" w:eastAsia="Calibri" w:hAnsi="Garamond" w:cs="Times New Roman"/>
          <w:color w:val="000000"/>
          <w:sz w:val="24"/>
          <w:szCs w:val="24"/>
          <w:lang w:val="en-GB"/>
        </w:rPr>
        <w:t>you are a member of a marginalized group, a high trust in political institutions is unlikely, e</w:t>
      </w:r>
      <w:r w:rsidRPr="006250C0">
        <w:rPr>
          <w:rFonts w:ascii="Garamond" w:eastAsia="Calibri" w:hAnsi="Garamond" w:cs="Times New Roman"/>
          <w:color w:val="000000" w:themeColor="text1"/>
          <w:sz w:val="24"/>
          <w:szCs w:val="24"/>
          <w:lang w:val="en-GB"/>
        </w:rPr>
        <w:t xml:space="preserve">specially when it comes to looking out for your specific interests over that of the majority of society. </w:t>
      </w:r>
      <w:r w:rsidRPr="006250C0">
        <w:rPr>
          <w:rFonts w:ascii="Garamond" w:eastAsia="Calibri" w:hAnsi="Garamond" w:cs="Times New Roman"/>
          <w:color w:val="000000"/>
          <w:sz w:val="24"/>
          <w:szCs w:val="24"/>
          <w:lang w:val="en-GB"/>
        </w:rPr>
        <w:t xml:space="preserve">It is therefore important to communicate a dedication to multicultural values to these groups. </w:t>
      </w:r>
      <w:r w:rsidRPr="006250C0">
        <w:rPr>
          <w:rFonts w:ascii="Garamond" w:eastAsia="Calibri" w:hAnsi="Garamond" w:cs="Times New Roman"/>
          <w:color w:val="000000" w:themeColor="text1"/>
          <w:sz w:val="24"/>
          <w:szCs w:val="24"/>
          <w:lang w:val="en-GB"/>
        </w:rPr>
        <w:t xml:space="preserve">An example of how these can be communicated can be found by looking at policies of Frankfurt’s </w:t>
      </w:r>
      <w:r w:rsidRPr="006250C0">
        <w:rPr>
          <w:rFonts w:ascii="Garamond" w:hAnsi="Garamond"/>
          <w:color w:val="000000" w:themeColor="text1"/>
          <w:sz w:val="24"/>
          <w:szCs w:val="24"/>
          <w:lang w:val="en-GB"/>
        </w:rPr>
        <w:t>Municipal Department of Multicultural Affairs, also known as AMKA (</w:t>
      </w:r>
      <w:proofErr w:type="spellStart"/>
      <w:r w:rsidRPr="006250C0">
        <w:rPr>
          <w:rFonts w:ascii="Garamond" w:hAnsi="Garamond"/>
          <w:color w:val="000000" w:themeColor="text1"/>
          <w:sz w:val="24"/>
          <w:szCs w:val="24"/>
          <w:lang w:val="en-GB"/>
        </w:rPr>
        <w:t>Frie</w:t>
      </w:r>
      <w:r w:rsidR="00B516B3">
        <w:rPr>
          <w:rFonts w:ascii="Garamond" w:hAnsi="Garamond"/>
          <w:color w:val="000000" w:themeColor="text1"/>
          <w:sz w:val="24"/>
          <w:szCs w:val="24"/>
          <w:lang w:val="en-GB"/>
        </w:rPr>
        <w:t>dmann</w:t>
      </w:r>
      <w:proofErr w:type="spellEnd"/>
      <w:r w:rsidR="00B516B3">
        <w:rPr>
          <w:rFonts w:ascii="Garamond" w:hAnsi="Garamond"/>
          <w:color w:val="000000" w:themeColor="text1"/>
          <w:sz w:val="24"/>
          <w:szCs w:val="24"/>
          <w:lang w:val="en-GB"/>
        </w:rPr>
        <w:t xml:space="preserve"> &amp; Lehrer, 1997, 61). AMKA’</w:t>
      </w:r>
      <w:r w:rsidRPr="006250C0">
        <w:rPr>
          <w:rFonts w:ascii="Garamond" w:hAnsi="Garamond"/>
          <w:color w:val="000000" w:themeColor="text1"/>
          <w:sz w:val="24"/>
          <w:szCs w:val="24"/>
          <w:lang w:val="en-GB"/>
        </w:rPr>
        <w:t>s main goals were to r</w:t>
      </w:r>
      <w:r w:rsidR="00B516B3">
        <w:rPr>
          <w:rFonts w:ascii="Garamond" w:hAnsi="Garamond"/>
          <w:color w:val="000000" w:themeColor="text1"/>
          <w:sz w:val="24"/>
          <w:szCs w:val="24"/>
          <w:lang w:val="en-GB"/>
        </w:rPr>
        <w:t>ealize a ‘multicultural society’</w:t>
      </w:r>
      <w:r w:rsidRPr="006250C0">
        <w:rPr>
          <w:rFonts w:ascii="Garamond" w:hAnsi="Garamond"/>
          <w:color w:val="000000" w:themeColor="text1"/>
          <w:sz w:val="24"/>
          <w:szCs w:val="24"/>
          <w:lang w:val="en-GB"/>
        </w:rPr>
        <w:t xml:space="preserve"> at the community level (</w:t>
      </w:r>
      <w:r w:rsidR="004204A3">
        <w:rPr>
          <w:rFonts w:ascii="Garamond" w:hAnsi="Garamond"/>
          <w:color w:val="000000" w:themeColor="text1"/>
          <w:sz w:val="24"/>
          <w:szCs w:val="24"/>
          <w:lang w:val="en-GB"/>
        </w:rPr>
        <w:t>ibid.: 67). One of the methods that AMKA used</w:t>
      </w:r>
      <w:r w:rsidRPr="006250C0">
        <w:rPr>
          <w:rFonts w:ascii="Garamond" w:hAnsi="Garamond"/>
          <w:color w:val="000000" w:themeColor="text1"/>
          <w:sz w:val="24"/>
          <w:szCs w:val="24"/>
          <w:lang w:val="en-GB"/>
        </w:rPr>
        <w:t xml:space="preserve"> to achieve their goals </w:t>
      </w:r>
      <w:r w:rsidR="004204A3">
        <w:rPr>
          <w:rFonts w:ascii="Garamond" w:hAnsi="Garamond"/>
          <w:color w:val="000000" w:themeColor="text1"/>
          <w:sz w:val="24"/>
          <w:szCs w:val="24"/>
          <w:lang w:val="en-GB"/>
        </w:rPr>
        <w:t xml:space="preserve">was by organizing </w:t>
      </w:r>
      <w:r w:rsidRPr="006250C0">
        <w:rPr>
          <w:rFonts w:ascii="Garamond" w:hAnsi="Garamond"/>
          <w:color w:val="000000" w:themeColor="text1"/>
          <w:sz w:val="24"/>
          <w:szCs w:val="24"/>
          <w:lang w:val="en-GB"/>
        </w:rPr>
        <w:t xml:space="preserve">public hearings (Friedman &amp; Lehrer, 1997, 69). One of the functions of these hearings was to reach out to and involve migrants in the process. Because of this, it makes sense that the first public hearing in 1989 aimed to show migrant groups that AMKA as an organization was on their side and </w:t>
      </w:r>
      <w:r w:rsidR="00B516B3">
        <w:rPr>
          <w:rFonts w:ascii="Garamond" w:hAnsi="Garamond"/>
          <w:color w:val="000000" w:themeColor="text1"/>
          <w:sz w:val="24"/>
          <w:szCs w:val="24"/>
          <w:lang w:val="en-GB"/>
        </w:rPr>
        <w:t>would aim to better the migrant’</w:t>
      </w:r>
      <w:r w:rsidRPr="006250C0">
        <w:rPr>
          <w:rFonts w:ascii="Garamond" w:hAnsi="Garamond"/>
          <w:color w:val="000000" w:themeColor="text1"/>
          <w:sz w:val="24"/>
          <w:szCs w:val="24"/>
          <w:lang w:val="en-GB"/>
        </w:rPr>
        <w:t xml:space="preserve">s position. The hearing was held in the Plenary Hall of the City Council, a place that has great symbolic value. In this space, 190 organization were invited to hear the message of the AMKA and share their own experience (ibid.). By doing this, the AMKA created an event in which they could communicate their goals to the minority groups in Frankfurt, inspire trust and give the minority groups an opportunity to speak. </w:t>
      </w:r>
    </w:p>
    <w:p w14:paraId="2FFAF8B4" w14:textId="5210E095"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t xml:space="preserve">When ethnic minorities are attracted to these local places, this can lead to surprising chances for intercultural contact. My dear friend M. </w:t>
      </w:r>
      <w:proofErr w:type="spellStart"/>
      <w:r w:rsidRPr="006250C0">
        <w:rPr>
          <w:rFonts w:ascii="Garamond" w:eastAsia="Calibri" w:hAnsi="Garamond" w:cs="Times New Roman"/>
          <w:color w:val="000000" w:themeColor="text1"/>
          <w:sz w:val="24"/>
          <w:szCs w:val="24"/>
          <w:lang w:val="en-GB"/>
        </w:rPr>
        <w:t>Geddi</w:t>
      </w:r>
      <w:proofErr w:type="spellEnd"/>
      <w:r w:rsidRPr="006250C0">
        <w:rPr>
          <w:rFonts w:ascii="Garamond" w:eastAsia="Calibri" w:hAnsi="Garamond" w:cs="Times New Roman"/>
          <w:color w:val="000000" w:themeColor="text1"/>
          <w:sz w:val="24"/>
          <w:szCs w:val="24"/>
          <w:lang w:val="en-GB"/>
        </w:rPr>
        <w:t xml:space="preserve"> (personal communication, 20 April 2019) once told me a story about her experiences with community centre De </w:t>
      </w:r>
      <w:proofErr w:type="spellStart"/>
      <w:r w:rsidRPr="006250C0">
        <w:rPr>
          <w:rFonts w:ascii="Garamond" w:eastAsia="Calibri" w:hAnsi="Garamond" w:cs="Times New Roman"/>
          <w:color w:val="000000" w:themeColor="text1"/>
          <w:sz w:val="24"/>
          <w:szCs w:val="24"/>
          <w:lang w:val="en-GB"/>
        </w:rPr>
        <w:t>Schalmei</w:t>
      </w:r>
      <w:proofErr w:type="spellEnd"/>
      <w:r w:rsidRPr="006250C0">
        <w:rPr>
          <w:rFonts w:ascii="Garamond" w:eastAsia="Calibri" w:hAnsi="Garamond" w:cs="Times New Roman"/>
          <w:color w:val="000000" w:themeColor="text1"/>
          <w:sz w:val="24"/>
          <w:szCs w:val="24"/>
          <w:lang w:val="en-GB"/>
        </w:rPr>
        <w:t xml:space="preserve"> in East-</w:t>
      </w:r>
      <w:proofErr w:type="spellStart"/>
      <w:r w:rsidRPr="006250C0">
        <w:rPr>
          <w:rFonts w:ascii="Garamond" w:eastAsia="Calibri" w:hAnsi="Garamond" w:cs="Times New Roman"/>
          <w:color w:val="000000" w:themeColor="text1"/>
          <w:sz w:val="24"/>
          <w:szCs w:val="24"/>
          <w:lang w:val="en-GB"/>
        </w:rPr>
        <w:t>Neerbosch</w:t>
      </w:r>
      <w:proofErr w:type="spellEnd"/>
      <w:r w:rsidRPr="006250C0">
        <w:rPr>
          <w:rFonts w:ascii="Garamond" w:eastAsia="Calibri" w:hAnsi="Garamond" w:cs="Times New Roman"/>
          <w:color w:val="000000" w:themeColor="text1"/>
          <w:sz w:val="24"/>
          <w:szCs w:val="24"/>
          <w:lang w:val="en-GB"/>
        </w:rPr>
        <w:t xml:space="preserve">, one of the more culturally diverse neighbourhoods in Nijmegen. As a young girl, she used to go to De </w:t>
      </w:r>
      <w:proofErr w:type="spellStart"/>
      <w:r w:rsidRPr="006250C0">
        <w:rPr>
          <w:rFonts w:ascii="Garamond" w:eastAsia="Calibri" w:hAnsi="Garamond" w:cs="Times New Roman"/>
          <w:color w:val="000000" w:themeColor="text1"/>
          <w:sz w:val="24"/>
          <w:szCs w:val="24"/>
          <w:lang w:val="en-GB"/>
        </w:rPr>
        <w:t>Schalmei</w:t>
      </w:r>
      <w:proofErr w:type="spellEnd"/>
      <w:r w:rsidRPr="006250C0">
        <w:rPr>
          <w:rFonts w:ascii="Garamond" w:eastAsia="Calibri" w:hAnsi="Garamond" w:cs="Times New Roman"/>
          <w:color w:val="000000" w:themeColor="text1"/>
          <w:sz w:val="24"/>
          <w:szCs w:val="24"/>
          <w:lang w:val="en-GB"/>
        </w:rPr>
        <w:t xml:space="preserve"> to attend Arabic lessons, while in the other room senior citizens where attending line-</w:t>
      </w:r>
      <w:r w:rsidRPr="006250C0">
        <w:rPr>
          <w:rFonts w:ascii="Garamond" w:eastAsia="Calibri" w:hAnsi="Garamond" w:cs="Times New Roman"/>
          <w:color w:val="000000" w:themeColor="text1"/>
          <w:sz w:val="24"/>
          <w:szCs w:val="24"/>
          <w:lang w:val="en-GB"/>
        </w:rPr>
        <w:lastRenderedPageBreak/>
        <w:t>dance classes. During the breaks, the two groups used to dance together, young children with a migrant background along with the elderly, a group that tends to be more suspicious of migrants. To me, this is a moving example of how intercultural exch</w:t>
      </w:r>
      <w:r w:rsidR="005633D8">
        <w:rPr>
          <w:rFonts w:ascii="Garamond" w:eastAsia="Calibri" w:hAnsi="Garamond" w:cs="Times New Roman"/>
          <w:color w:val="000000" w:themeColor="text1"/>
          <w:sz w:val="24"/>
          <w:szCs w:val="24"/>
          <w:lang w:val="en-GB"/>
        </w:rPr>
        <w:t>ange, without having to refer to</w:t>
      </w:r>
      <w:r w:rsidRPr="006250C0">
        <w:rPr>
          <w:rFonts w:ascii="Garamond" w:eastAsia="Calibri" w:hAnsi="Garamond" w:cs="Times New Roman"/>
          <w:color w:val="000000" w:themeColor="text1"/>
          <w:sz w:val="24"/>
          <w:szCs w:val="24"/>
          <w:lang w:val="en-GB"/>
        </w:rPr>
        <w:t xml:space="preserve"> core-values, can lead to social integration.     </w:t>
      </w:r>
    </w:p>
    <w:p w14:paraId="4A23D7BF" w14:textId="45FA8889" w:rsidR="00790DEC" w:rsidRPr="006250C0" w:rsidRDefault="00790DEC" w:rsidP="002E07B1">
      <w:pPr>
        <w:jc w:val="both"/>
        <w:rPr>
          <w:rFonts w:ascii="Garamond" w:eastAsia="Calibri" w:hAnsi="Garamond" w:cs="Times New Roman"/>
          <w:color w:val="000000" w:themeColor="text1"/>
          <w:sz w:val="24"/>
          <w:szCs w:val="24"/>
          <w:lang w:val="en-GB"/>
        </w:rPr>
      </w:pPr>
      <w:r w:rsidRPr="006250C0">
        <w:rPr>
          <w:rFonts w:ascii="Garamond" w:eastAsia="Calibri" w:hAnsi="Garamond" w:cs="Times New Roman"/>
          <w:color w:val="000000" w:themeColor="text1"/>
          <w:sz w:val="24"/>
          <w:szCs w:val="24"/>
          <w:lang w:val="en-GB"/>
        </w:rPr>
        <w:t>This is an example of how activities provi</w:t>
      </w:r>
      <w:r w:rsidR="005633D8">
        <w:rPr>
          <w:rFonts w:ascii="Garamond" w:eastAsia="Calibri" w:hAnsi="Garamond" w:cs="Times New Roman"/>
          <w:color w:val="000000" w:themeColor="text1"/>
          <w:sz w:val="24"/>
          <w:szCs w:val="24"/>
          <w:lang w:val="en-GB"/>
        </w:rPr>
        <w:t>ded by community centres can lead</w:t>
      </w:r>
      <w:r w:rsidRPr="006250C0">
        <w:rPr>
          <w:rFonts w:ascii="Garamond" w:eastAsia="Calibri" w:hAnsi="Garamond" w:cs="Times New Roman"/>
          <w:color w:val="000000" w:themeColor="text1"/>
          <w:sz w:val="24"/>
          <w:szCs w:val="24"/>
          <w:lang w:val="en-GB"/>
        </w:rPr>
        <w:t xml:space="preserve"> residents of different people to work together through playful activities. In this sense, social barriers are diminished in an informal and natural way. This is one of the strengths of community services. The same could be done by doing community work, such as cleaning up the neighbourhood. As </w:t>
      </w:r>
      <w:proofErr w:type="spellStart"/>
      <w:r w:rsidRPr="006250C0">
        <w:rPr>
          <w:rFonts w:ascii="Garamond" w:eastAsia="Calibri" w:hAnsi="Garamond" w:cs="Times New Roman"/>
          <w:color w:val="000000" w:themeColor="text1"/>
          <w:sz w:val="24"/>
          <w:szCs w:val="24"/>
          <w:lang w:val="en-GB"/>
        </w:rPr>
        <w:t>Allport</w:t>
      </w:r>
      <w:proofErr w:type="spellEnd"/>
      <w:r w:rsidRPr="006250C0">
        <w:rPr>
          <w:rFonts w:ascii="Garamond" w:eastAsia="Calibri" w:hAnsi="Garamond" w:cs="Times New Roman"/>
          <w:color w:val="000000" w:themeColor="text1"/>
          <w:sz w:val="24"/>
          <w:szCs w:val="24"/>
          <w:lang w:val="en-GB"/>
        </w:rPr>
        <w:t xml:space="preserve"> has said, when citizens have equal status and common goals, prejudice may be reduced (1954, 281). Community services provide such opportunities because citizens are equal as residents of the neighbourhood and their shared goal is the betterment of that neighbourhood.</w:t>
      </w:r>
    </w:p>
    <w:p w14:paraId="5C18A9BB" w14:textId="77777777"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 xml:space="preserve">On a similar note, an advantage that neighbourhood organizations like community centres have in moderating the interaction process between residents is the fact that they can find common ground in these situations. As I have said in the previous chapter, it may be valuable to frame engagement in such a way that it highlights the common ground that residents from the same neighbourhood have in occupying the same space. These neighbourhood organizations are particularly capable of applying this frame because their function is to accommodate the entirety of the neighbourhood. In other words, their mandate as a facilitator in a neighbourhood makes these organizations particularly fit to point out these shared interests and this state of interdependency. It helps that community centres often are stable organization that exists for years, if not decades. This also means that they are particularly suited for mediation processes as they can be very time-consuming.  </w:t>
      </w:r>
    </w:p>
    <w:p w14:paraId="393441A0" w14:textId="4CE6D964" w:rsidR="00790DEC" w:rsidRPr="006250C0" w:rsidRDefault="00790DEC" w:rsidP="002E07B1">
      <w:pPr>
        <w:jc w:val="both"/>
        <w:rPr>
          <w:rFonts w:ascii="Garamond" w:hAnsi="Garamond"/>
          <w:color w:val="000000" w:themeColor="text1"/>
          <w:sz w:val="24"/>
          <w:szCs w:val="24"/>
          <w:lang w:val="en-GB"/>
        </w:rPr>
      </w:pPr>
      <w:r w:rsidRPr="006250C0">
        <w:rPr>
          <w:rFonts w:ascii="Garamond" w:hAnsi="Garamond"/>
          <w:color w:val="000000" w:themeColor="text1"/>
          <w:sz w:val="24"/>
          <w:szCs w:val="24"/>
          <w:lang w:val="en-GB"/>
        </w:rPr>
        <w:t>This chapter has aimed to elaborate on what needs to be done to actually achieve a viable mode of living with difference. The first condition that needs to be met is spatial integration. This is necessary to enable citizens of different cultural groups to engage in meaningful contact between one another. I also argue this need be done by stimulation and never trough racial quotas. However, spatial integration alone will not lead to social integration. What is needed is a way in which different groups can be brought together with a common goal and in the presence of a mediator. I argue that the most effective way that this can be done is by getting local organizations, like community centres, involved. They are ideal actors in this context because they can inspire trust, reduce fears and enable people to get familiar with each other. They are also ideal actors to emphasize the interdependence and mutual interests as residents of a shared neighbourhood. They can also provide the psychical spaces for engagement. When the conditions of spatial integration and social integration and mediation facilitated by local organizations are met, a situation is created where the civil interaction that I have described in Chapter 5 can thrive. In this way, differences can actually be mediated and a viable m</w:t>
      </w:r>
      <w:r w:rsidR="005633D8">
        <w:rPr>
          <w:rFonts w:ascii="Garamond" w:hAnsi="Garamond"/>
          <w:color w:val="000000" w:themeColor="text1"/>
          <w:sz w:val="24"/>
          <w:szCs w:val="24"/>
          <w:lang w:val="en-GB"/>
        </w:rPr>
        <w:t>ode of living with difference can be</w:t>
      </w:r>
      <w:r w:rsidRPr="006250C0">
        <w:rPr>
          <w:rFonts w:ascii="Garamond" w:hAnsi="Garamond"/>
          <w:color w:val="000000" w:themeColor="text1"/>
          <w:sz w:val="24"/>
          <w:szCs w:val="24"/>
          <w:lang w:val="en-GB"/>
        </w:rPr>
        <w:t xml:space="preserve"> realized. </w:t>
      </w:r>
    </w:p>
    <w:p w14:paraId="471A94EF" w14:textId="77777777" w:rsidR="00790DEC" w:rsidRDefault="00790DEC" w:rsidP="002E07B1">
      <w:pPr>
        <w:pStyle w:val="Heading1"/>
        <w:jc w:val="both"/>
        <w:rPr>
          <w:rFonts w:ascii="Garamond" w:hAnsi="Garamond"/>
          <w:b/>
          <w:color w:val="000000" w:themeColor="text1"/>
          <w:sz w:val="36"/>
          <w:szCs w:val="36"/>
          <w:lang w:val="en-GB"/>
        </w:rPr>
      </w:pPr>
      <w:r w:rsidRPr="006250C0">
        <w:rPr>
          <w:rFonts w:ascii="Garamond" w:hAnsi="Garamond"/>
          <w:b/>
          <w:color w:val="000000" w:themeColor="text1"/>
          <w:sz w:val="36"/>
          <w:szCs w:val="36"/>
          <w:lang w:val="en-GB"/>
        </w:rPr>
        <w:br/>
      </w:r>
    </w:p>
    <w:p w14:paraId="1394288C" w14:textId="77777777" w:rsidR="00790DEC" w:rsidRDefault="00790DEC" w:rsidP="002E07B1">
      <w:pPr>
        <w:jc w:val="both"/>
        <w:rPr>
          <w:rFonts w:ascii="Garamond" w:eastAsiaTheme="majorEastAsia" w:hAnsi="Garamond" w:cstheme="majorBidi"/>
          <w:b/>
          <w:color w:val="000000" w:themeColor="text1"/>
          <w:sz w:val="36"/>
          <w:szCs w:val="36"/>
          <w:lang w:val="en-GB"/>
        </w:rPr>
      </w:pPr>
      <w:r>
        <w:rPr>
          <w:rFonts w:ascii="Garamond" w:hAnsi="Garamond"/>
          <w:b/>
          <w:color w:val="000000" w:themeColor="text1"/>
          <w:sz w:val="36"/>
          <w:szCs w:val="36"/>
          <w:lang w:val="en-GB"/>
        </w:rPr>
        <w:br w:type="page"/>
      </w:r>
    </w:p>
    <w:p w14:paraId="38DBE266" w14:textId="61D06A8A" w:rsidR="0033719A" w:rsidRPr="00223BE6" w:rsidRDefault="0033719A" w:rsidP="002E07B1">
      <w:pPr>
        <w:pStyle w:val="Heading1"/>
        <w:jc w:val="both"/>
        <w:rPr>
          <w:rFonts w:ascii="Garamond" w:hAnsi="Garamond"/>
          <w:b/>
          <w:color w:val="000000" w:themeColor="text1"/>
          <w:sz w:val="36"/>
          <w:szCs w:val="36"/>
          <w:lang w:val="en-GB"/>
        </w:rPr>
      </w:pPr>
      <w:bookmarkStart w:id="131" w:name="_Toc13050263"/>
      <w:bookmarkStart w:id="132" w:name="_Toc13061263"/>
      <w:r w:rsidRPr="00223BE6">
        <w:rPr>
          <w:rFonts w:ascii="Garamond" w:hAnsi="Garamond"/>
          <w:b/>
          <w:color w:val="000000" w:themeColor="text1"/>
          <w:sz w:val="36"/>
          <w:szCs w:val="36"/>
          <w:lang w:val="en-GB"/>
        </w:rPr>
        <w:lastRenderedPageBreak/>
        <w:t>Chapter 7: Conclusion</w:t>
      </w:r>
      <w:bookmarkEnd w:id="131"/>
      <w:bookmarkEnd w:id="4"/>
      <w:bookmarkEnd w:id="3"/>
      <w:bookmarkEnd w:id="2"/>
      <w:bookmarkEnd w:id="132"/>
    </w:p>
    <w:p w14:paraId="6689272A" w14:textId="5F64CB1D"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In this thesis, I have aimed to answer one question:</w:t>
      </w:r>
      <w:r w:rsidRPr="00223BE6">
        <w:rPr>
          <w:lang w:val="en-GB"/>
        </w:rPr>
        <w:t xml:space="preserve"> </w:t>
      </w:r>
      <w:r w:rsidRPr="00223BE6">
        <w:rPr>
          <w:rFonts w:ascii="Garamond" w:hAnsi="Garamond"/>
          <w:color w:val="000000" w:themeColor="text1"/>
          <w:sz w:val="24"/>
          <w:szCs w:val="24"/>
          <w:lang w:val="en-GB"/>
        </w:rPr>
        <w:t>How can a mode of living with difference be realized that is both practically and morally viable? I have done this by examining two mutually exclusive approaches that have aimed to answer this quest</w:t>
      </w:r>
      <w:r w:rsidR="00C5718A" w:rsidRPr="00223BE6">
        <w:rPr>
          <w:rFonts w:ascii="Garamond" w:hAnsi="Garamond"/>
          <w:color w:val="000000" w:themeColor="text1"/>
          <w:sz w:val="24"/>
          <w:szCs w:val="24"/>
          <w:lang w:val="en-GB"/>
        </w:rPr>
        <w:t>ion. The first position that was</w:t>
      </w:r>
      <w:r w:rsidRPr="00223BE6">
        <w:rPr>
          <w:rFonts w:ascii="Garamond" w:hAnsi="Garamond"/>
          <w:color w:val="000000" w:themeColor="text1"/>
          <w:sz w:val="24"/>
          <w:szCs w:val="24"/>
          <w:lang w:val="en-GB"/>
        </w:rPr>
        <w:t xml:space="preserve"> examined was that of urban </w:t>
      </w:r>
      <w:proofErr w:type="spellStart"/>
      <w:r w:rsidRPr="00223BE6">
        <w:rPr>
          <w:rFonts w:ascii="Garamond" w:hAnsi="Garamond"/>
          <w:color w:val="000000" w:themeColor="text1"/>
          <w:sz w:val="24"/>
          <w:szCs w:val="24"/>
          <w:lang w:val="en-GB"/>
        </w:rPr>
        <w:t>agonism</w:t>
      </w:r>
      <w:proofErr w:type="spellEnd"/>
      <w:r w:rsidRPr="00223BE6">
        <w:rPr>
          <w:rFonts w:ascii="Garamond" w:hAnsi="Garamond"/>
          <w:color w:val="000000" w:themeColor="text1"/>
          <w:sz w:val="24"/>
          <w:szCs w:val="24"/>
          <w:lang w:val="en-GB"/>
        </w:rPr>
        <w:t xml:space="preserve"> and is thoroughly discussed in the second chapter. Urban agonist’s beliefs that civilians should mediate differences by acknowledging conflict and by </w:t>
      </w:r>
      <w:r w:rsidR="00C5718A" w:rsidRPr="00223BE6">
        <w:rPr>
          <w:rFonts w:ascii="Garamond" w:hAnsi="Garamond"/>
          <w:color w:val="000000" w:themeColor="text1"/>
          <w:sz w:val="24"/>
          <w:szCs w:val="24"/>
          <w:lang w:val="en-GB"/>
        </w:rPr>
        <w:t xml:space="preserve">the </w:t>
      </w:r>
      <w:r w:rsidRPr="00223BE6">
        <w:rPr>
          <w:rFonts w:ascii="Garamond" w:hAnsi="Garamond"/>
          <w:color w:val="000000" w:themeColor="text1"/>
          <w:sz w:val="24"/>
          <w:szCs w:val="24"/>
          <w:lang w:val="en-GB"/>
        </w:rPr>
        <w:t>expression of their passions (Landry &amp; Woods, 2002, 6-7). These platforms for interaction can be public space</w:t>
      </w:r>
      <w:r w:rsidR="00C5718A" w:rsidRPr="00223BE6">
        <w:rPr>
          <w:rFonts w:ascii="Garamond" w:hAnsi="Garamond"/>
          <w:color w:val="000000" w:themeColor="text1"/>
          <w:sz w:val="24"/>
          <w:szCs w:val="24"/>
          <w:lang w:val="en-GB"/>
        </w:rPr>
        <w:t>s</w:t>
      </w:r>
      <w:r w:rsidRPr="00223BE6">
        <w:rPr>
          <w:rFonts w:ascii="Garamond" w:hAnsi="Garamond"/>
          <w:color w:val="000000" w:themeColor="text1"/>
          <w:sz w:val="24"/>
          <w:szCs w:val="24"/>
          <w:lang w:val="en-GB"/>
        </w:rPr>
        <w:t xml:space="preserve">, as Landry &amp; Wood argue (ibid.: 9), or micro-publics, as described by Amin (2002, 969). </w:t>
      </w:r>
    </w:p>
    <w:p w14:paraId="36B0545E" w14:textId="2A4B401F"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 xml:space="preserve">In the third chapter, side-by-side citizenship is discussed. This position proposes </w:t>
      </w:r>
      <w:r w:rsidR="00295AA6">
        <w:rPr>
          <w:rFonts w:ascii="Garamond" w:hAnsi="Garamond"/>
          <w:color w:val="000000" w:themeColor="text1"/>
          <w:sz w:val="24"/>
          <w:szCs w:val="24"/>
          <w:lang w:val="en-GB"/>
        </w:rPr>
        <w:t>a</w:t>
      </w:r>
      <w:r w:rsidR="00295AA6" w:rsidRPr="00223BE6">
        <w:rPr>
          <w:rFonts w:ascii="Garamond" w:hAnsi="Garamond"/>
          <w:color w:val="000000" w:themeColor="text1"/>
          <w:sz w:val="24"/>
          <w:szCs w:val="24"/>
          <w:lang w:val="en-GB"/>
        </w:rPr>
        <w:t xml:space="preserve"> </w:t>
      </w:r>
      <w:r w:rsidRPr="00223BE6">
        <w:rPr>
          <w:rFonts w:ascii="Garamond" w:hAnsi="Garamond"/>
          <w:color w:val="000000" w:themeColor="text1"/>
          <w:sz w:val="24"/>
          <w:szCs w:val="24"/>
          <w:lang w:val="en-GB"/>
        </w:rPr>
        <w:t xml:space="preserve">mode of living with difference that does not demand, nor excludes, interaction between citizens (Van </w:t>
      </w:r>
      <w:proofErr w:type="spellStart"/>
      <w:r w:rsidRPr="00223BE6">
        <w:rPr>
          <w:rFonts w:ascii="Garamond" w:hAnsi="Garamond"/>
          <w:color w:val="000000" w:themeColor="text1"/>
          <w:sz w:val="24"/>
          <w:szCs w:val="24"/>
          <w:lang w:val="en-GB"/>
        </w:rPr>
        <w:t>Leeuwen</w:t>
      </w:r>
      <w:proofErr w:type="spellEnd"/>
      <w:r w:rsidRPr="00223BE6">
        <w:rPr>
          <w:rFonts w:ascii="Garamond" w:hAnsi="Garamond"/>
          <w:color w:val="000000" w:themeColor="text1"/>
          <w:sz w:val="24"/>
          <w:szCs w:val="24"/>
          <w:lang w:val="en-GB"/>
        </w:rPr>
        <w:t xml:space="preserve">, 2015, 803).  Side-by-side citizenship proposes an ethical minimum in which people do not need to interact with </w:t>
      </w:r>
      <w:r w:rsidR="00295AA6" w:rsidRPr="00223BE6">
        <w:rPr>
          <w:rFonts w:ascii="Garamond" w:hAnsi="Garamond"/>
          <w:color w:val="000000" w:themeColor="text1"/>
          <w:sz w:val="24"/>
          <w:szCs w:val="24"/>
          <w:lang w:val="en-GB"/>
        </w:rPr>
        <w:t>each other but</w:t>
      </w:r>
      <w:r w:rsidRPr="00223BE6">
        <w:rPr>
          <w:rFonts w:ascii="Garamond" w:hAnsi="Garamond"/>
          <w:color w:val="000000" w:themeColor="text1"/>
          <w:sz w:val="24"/>
          <w:szCs w:val="24"/>
          <w:lang w:val="en-GB"/>
        </w:rPr>
        <w:t xml:space="preserve"> are allowed to respectfully let each other be. In this sense, citizens look beyond the differences of others (ibid.). This does not mean that doing more than this ethical minimum cannot be considered as preferabl</w:t>
      </w:r>
      <w:r w:rsidR="00295AA6">
        <w:rPr>
          <w:rFonts w:ascii="Garamond" w:hAnsi="Garamond"/>
          <w:color w:val="000000" w:themeColor="text1"/>
          <w:sz w:val="24"/>
          <w:szCs w:val="24"/>
          <w:lang w:val="en-GB"/>
        </w:rPr>
        <w:t>e</w:t>
      </w:r>
      <w:r w:rsidRPr="00223BE6">
        <w:rPr>
          <w:rFonts w:ascii="Garamond" w:hAnsi="Garamond"/>
          <w:color w:val="000000" w:themeColor="text1"/>
          <w:sz w:val="24"/>
          <w:szCs w:val="24"/>
          <w:lang w:val="en-GB"/>
        </w:rPr>
        <w:t xml:space="preserve">, but doing </w:t>
      </w:r>
      <w:r w:rsidR="00295AA6">
        <w:rPr>
          <w:rFonts w:ascii="Garamond" w:hAnsi="Garamond"/>
          <w:color w:val="000000" w:themeColor="text1"/>
          <w:sz w:val="24"/>
          <w:szCs w:val="24"/>
          <w:lang w:val="en-GB"/>
        </w:rPr>
        <w:t xml:space="preserve">so </w:t>
      </w:r>
      <w:r w:rsidRPr="00223BE6">
        <w:rPr>
          <w:rFonts w:ascii="Garamond" w:hAnsi="Garamond"/>
          <w:color w:val="000000" w:themeColor="text1"/>
          <w:sz w:val="24"/>
          <w:szCs w:val="24"/>
          <w:lang w:val="en-GB"/>
        </w:rPr>
        <w:t xml:space="preserve">is simply not necessary. However, neglect of the basic needs of others is unacceptable (Van </w:t>
      </w:r>
      <w:proofErr w:type="spellStart"/>
      <w:r w:rsidRPr="00223BE6">
        <w:rPr>
          <w:rFonts w:ascii="Garamond" w:hAnsi="Garamond"/>
          <w:color w:val="000000" w:themeColor="text1"/>
          <w:sz w:val="24"/>
          <w:szCs w:val="24"/>
          <w:lang w:val="en-GB"/>
        </w:rPr>
        <w:t>Leeuwen</w:t>
      </w:r>
      <w:proofErr w:type="spellEnd"/>
      <w:r w:rsidRPr="00223BE6">
        <w:rPr>
          <w:rFonts w:ascii="Garamond" w:hAnsi="Garamond"/>
          <w:color w:val="000000" w:themeColor="text1"/>
          <w:sz w:val="24"/>
          <w:szCs w:val="24"/>
          <w:lang w:val="en-GB"/>
        </w:rPr>
        <w:t>, 2010, 643). The same goes for the avoidance of the cultural other, while this is not compatible with the indifference to difference that side-by-side citizenship proposes (ibid.).</w:t>
      </w:r>
    </w:p>
    <w:p w14:paraId="25A17962" w14:textId="2C6EAC0B"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In the fourth chapter, I have discussed which lessons from both positions should be taken into account for a viable mode of living with difference. I recognize the focus of urban agonistic scholar</w:t>
      </w:r>
      <w:r w:rsidR="00DD7BC6" w:rsidRPr="00223BE6">
        <w:rPr>
          <w:rFonts w:ascii="Garamond" w:hAnsi="Garamond"/>
          <w:color w:val="000000" w:themeColor="text1"/>
          <w:sz w:val="24"/>
          <w:szCs w:val="24"/>
          <w:lang w:val="en-GB"/>
        </w:rPr>
        <w:t>s</w:t>
      </w:r>
      <w:r w:rsidRPr="00223BE6">
        <w:rPr>
          <w:rFonts w:ascii="Garamond" w:hAnsi="Garamond"/>
          <w:color w:val="000000" w:themeColor="text1"/>
          <w:sz w:val="24"/>
          <w:szCs w:val="24"/>
          <w:lang w:val="en-GB"/>
        </w:rPr>
        <w:t xml:space="preserve"> on contact between groups to transform the attitude of citizens. This will reduce fear and create understanding between groups. In this way, prejudice toward minority cultures can be reduced. However, I agree with advocates of side-by-si</w:t>
      </w:r>
      <w:r w:rsidR="00C5718A" w:rsidRPr="00223BE6">
        <w:rPr>
          <w:rFonts w:ascii="Garamond" w:hAnsi="Garamond"/>
          <w:color w:val="000000" w:themeColor="text1"/>
          <w:sz w:val="24"/>
          <w:szCs w:val="24"/>
          <w:lang w:val="en-GB"/>
        </w:rPr>
        <w:t>de citizenship that the agonist’</w:t>
      </w:r>
      <w:r w:rsidRPr="00223BE6">
        <w:rPr>
          <w:rFonts w:ascii="Garamond" w:hAnsi="Garamond"/>
          <w:color w:val="000000" w:themeColor="text1"/>
          <w:sz w:val="24"/>
          <w:szCs w:val="24"/>
          <w:lang w:val="en-GB"/>
        </w:rPr>
        <w:t>s focus on interaction through conflict and stri</w:t>
      </w:r>
      <w:r w:rsidR="00295AA6">
        <w:rPr>
          <w:rFonts w:ascii="Garamond" w:hAnsi="Garamond"/>
          <w:color w:val="000000" w:themeColor="text1"/>
          <w:sz w:val="24"/>
          <w:szCs w:val="24"/>
          <w:lang w:val="en-GB"/>
        </w:rPr>
        <w:t>f</w:t>
      </w:r>
      <w:r w:rsidRPr="00223BE6">
        <w:rPr>
          <w:rFonts w:ascii="Garamond" w:hAnsi="Garamond"/>
          <w:color w:val="000000" w:themeColor="text1"/>
          <w:sz w:val="24"/>
          <w:szCs w:val="24"/>
          <w:lang w:val="en-GB"/>
        </w:rPr>
        <w:t xml:space="preserve">e is counterproductive for mediating differences (Van </w:t>
      </w:r>
      <w:proofErr w:type="spellStart"/>
      <w:r w:rsidRPr="00223BE6">
        <w:rPr>
          <w:rFonts w:ascii="Garamond" w:hAnsi="Garamond"/>
          <w:color w:val="000000" w:themeColor="text1"/>
          <w:sz w:val="24"/>
          <w:szCs w:val="24"/>
          <w:lang w:val="en-GB"/>
        </w:rPr>
        <w:t>Leeuwen</w:t>
      </w:r>
      <w:proofErr w:type="spellEnd"/>
      <w:r w:rsidRPr="00223BE6">
        <w:rPr>
          <w:rFonts w:ascii="Garamond" w:hAnsi="Garamond"/>
          <w:color w:val="000000" w:themeColor="text1"/>
          <w:sz w:val="24"/>
          <w:szCs w:val="24"/>
          <w:lang w:val="en-GB"/>
        </w:rPr>
        <w:t>, 2015, 797). This will not inspire understanding between citizens, but rather sc</w:t>
      </w:r>
      <w:r w:rsidR="00C5718A" w:rsidRPr="00223BE6">
        <w:rPr>
          <w:rFonts w:ascii="Garamond" w:hAnsi="Garamond"/>
          <w:color w:val="000000" w:themeColor="text1"/>
          <w:sz w:val="24"/>
          <w:szCs w:val="24"/>
          <w:lang w:val="en-GB"/>
        </w:rPr>
        <w:t>are them away</w:t>
      </w:r>
      <w:r w:rsidRPr="00223BE6">
        <w:rPr>
          <w:rFonts w:ascii="Garamond" w:hAnsi="Garamond"/>
          <w:color w:val="000000" w:themeColor="text1"/>
          <w:sz w:val="24"/>
          <w:szCs w:val="24"/>
          <w:lang w:val="en-GB"/>
        </w:rPr>
        <w:t>. I also acknowledge the need to look beyond diff</w:t>
      </w:r>
      <w:r w:rsidR="00C5718A" w:rsidRPr="00223BE6">
        <w:rPr>
          <w:rFonts w:ascii="Garamond" w:hAnsi="Garamond"/>
          <w:color w:val="000000" w:themeColor="text1"/>
          <w:sz w:val="24"/>
          <w:szCs w:val="24"/>
          <w:lang w:val="en-GB"/>
        </w:rPr>
        <w:t>erence, as proposed by advocates</w:t>
      </w:r>
      <w:r w:rsidRPr="00223BE6">
        <w:rPr>
          <w:rFonts w:ascii="Garamond" w:hAnsi="Garamond"/>
          <w:color w:val="000000" w:themeColor="text1"/>
          <w:sz w:val="24"/>
          <w:szCs w:val="24"/>
          <w:lang w:val="en-GB"/>
        </w:rPr>
        <w:t xml:space="preserve"> of side-by-side citizenship. My concern with side-by-side citizenship, on the other hand, is that its minimal attitude cannot realize an intercultural understanding that is needed to address the complexities of multicultural society. I am also concerned that the moral minimum of sid</w:t>
      </w:r>
      <w:r w:rsidR="00C5718A" w:rsidRPr="00223BE6">
        <w:rPr>
          <w:rFonts w:ascii="Garamond" w:hAnsi="Garamond"/>
          <w:color w:val="000000" w:themeColor="text1"/>
          <w:sz w:val="24"/>
          <w:szCs w:val="24"/>
          <w:lang w:val="en-GB"/>
        </w:rPr>
        <w:t xml:space="preserve">e-by-side citizenship might </w:t>
      </w:r>
      <w:r w:rsidRPr="00223BE6">
        <w:rPr>
          <w:rFonts w:ascii="Garamond" w:hAnsi="Garamond"/>
          <w:color w:val="000000" w:themeColor="text1"/>
          <w:sz w:val="24"/>
          <w:szCs w:val="24"/>
          <w:lang w:val="en-GB"/>
        </w:rPr>
        <w:t>lead to a situation where</w:t>
      </w:r>
      <w:r w:rsidR="00C5718A" w:rsidRPr="00223BE6">
        <w:rPr>
          <w:rFonts w:ascii="Garamond" w:hAnsi="Garamond"/>
          <w:color w:val="000000" w:themeColor="text1"/>
          <w:sz w:val="24"/>
          <w:szCs w:val="24"/>
          <w:lang w:val="en-GB"/>
        </w:rPr>
        <w:t xml:space="preserve"> citizen</w:t>
      </w:r>
      <w:r w:rsidR="00F12FE0">
        <w:rPr>
          <w:rFonts w:ascii="Garamond" w:hAnsi="Garamond"/>
          <w:color w:val="000000" w:themeColor="text1"/>
          <w:sz w:val="24"/>
          <w:szCs w:val="24"/>
          <w:lang w:val="en-GB"/>
        </w:rPr>
        <w:t>s</w:t>
      </w:r>
      <w:r w:rsidR="00C5718A" w:rsidRPr="00223BE6">
        <w:rPr>
          <w:rFonts w:ascii="Garamond" w:hAnsi="Garamond"/>
          <w:color w:val="000000" w:themeColor="text1"/>
          <w:sz w:val="24"/>
          <w:szCs w:val="24"/>
          <w:lang w:val="en-GB"/>
        </w:rPr>
        <w:t xml:space="preserve"> no longer observe violations of </w:t>
      </w:r>
      <w:r w:rsidRPr="00223BE6">
        <w:rPr>
          <w:rFonts w:ascii="Garamond" w:hAnsi="Garamond"/>
          <w:color w:val="000000" w:themeColor="text1"/>
          <w:sz w:val="24"/>
          <w:szCs w:val="24"/>
          <w:lang w:val="en-GB"/>
        </w:rPr>
        <w:t xml:space="preserve">basic </w:t>
      </w:r>
      <w:r w:rsidR="00C5718A" w:rsidRPr="00223BE6">
        <w:rPr>
          <w:rFonts w:ascii="Garamond" w:hAnsi="Garamond"/>
          <w:color w:val="000000" w:themeColor="text1"/>
          <w:sz w:val="24"/>
          <w:szCs w:val="24"/>
          <w:lang w:val="en-GB"/>
        </w:rPr>
        <w:t>rights</w:t>
      </w:r>
      <w:r w:rsidRPr="00223BE6">
        <w:rPr>
          <w:rFonts w:ascii="Garamond" w:hAnsi="Garamond"/>
          <w:color w:val="000000" w:themeColor="text1"/>
          <w:sz w:val="24"/>
          <w:szCs w:val="24"/>
          <w:lang w:val="en-GB"/>
        </w:rPr>
        <w:t>, or worse, are too apathetic to care.</w:t>
      </w:r>
    </w:p>
    <w:p w14:paraId="3EBA7945" w14:textId="1AD4B00C"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 xml:space="preserve">In the fifth chapter, I propose a position for mediating differences. This position aims to mediate difference </w:t>
      </w:r>
      <w:r w:rsidR="00DD7BC6" w:rsidRPr="00223BE6">
        <w:rPr>
          <w:rFonts w:ascii="Garamond" w:hAnsi="Garamond"/>
          <w:color w:val="000000" w:themeColor="text1"/>
          <w:sz w:val="24"/>
          <w:szCs w:val="24"/>
          <w:lang w:val="en-GB"/>
        </w:rPr>
        <w:t>and expressions of emotions in</w:t>
      </w:r>
      <w:r w:rsidRPr="00223BE6">
        <w:rPr>
          <w:rFonts w:ascii="Garamond" w:hAnsi="Garamond"/>
          <w:color w:val="000000" w:themeColor="text1"/>
          <w:sz w:val="24"/>
          <w:szCs w:val="24"/>
          <w:lang w:val="en-GB"/>
        </w:rPr>
        <w:t xml:space="preserve"> ways that will not freeze identities. This does not mean that the fear, hurt and frustration must be ignored, but </w:t>
      </w:r>
      <w:r w:rsidR="00750916">
        <w:rPr>
          <w:rFonts w:ascii="Garamond" w:hAnsi="Garamond"/>
          <w:color w:val="000000" w:themeColor="text1"/>
          <w:sz w:val="24"/>
          <w:szCs w:val="24"/>
          <w:lang w:val="en-GB"/>
        </w:rPr>
        <w:t>that they need</w:t>
      </w:r>
      <w:r w:rsidR="00DD7BC6" w:rsidRPr="00223BE6">
        <w:rPr>
          <w:rFonts w:ascii="Garamond" w:hAnsi="Garamond"/>
          <w:color w:val="000000" w:themeColor="text1"/>
          <w:sz w:val="24"/>
          <w:szCs w:val="24"/>
          <w:lang w:val="en-GB"/>
        </w:rPr>
        <w:t xml:space="preserve"> to </w:t>
      </w:r>
      <w:r w:rsidR="00750916">
        <w:rPr>
          <w:rFonts w:ascii="Garamond" w:hAnsi="Garamond"/>
          <w:color w:val="000000" w:themeColor="text1"/>
          <w:sz w:val="24"/>
          <w:szCs w:val="24"/>
          <w:lang w:val="en-GB"/>
        </w:rPr>
        <w:t xml:space="preserve">be </w:t>
      </w:r>
      <w:r w:rsidRPr="00223BE6">
        <w:rPr>
          <w:rFonts w:ascii="Garamond" w:hAnsi="Garamond"/>
          <w:color w:val="000000" w:themeColor="text1"/>
          <w:sz w:val="24"/>
          <w:szCs w:val="24"/>
          <w:lang w:val="en-GB"/>
        </w:rPr>
        <w:t xml:space="preserve">presented in another way. This is done by expression in terms of interests, personal stories and general rights. The presence of small talk, </w:t>
      </w:r>
      <w:r w:rsidR="00750916" w:rsidRPr="00223BE6">
        <w:rPr>
          <w:rFonts w:ascii="Garamond" w:hAnsi="Garamond"/>
          <w:color w:val="000000" w:themeColor="text1"/>
          <w:sz w:val="24"/>
          <w:szCs w:val="24"/>
          <w:lang w:val="en-GB"/>
        </w:rPr>
        <w:t>humour</w:t>
      </w:r>
      <w:r w:rsidRPr="00223BE6">
        <w:rPr>
          <w:rFonts w:ascii="Garamond" w:hAnsi="Garamond"/>
          <w:color w:val="000000" w:themeColor="text1"/>
          <w:sz w:val="24"/>
          <w:szCs w:val="24"/>
          <w:lang w:val="en-GB"/>
        </w:rPr>
        <w:t xml:space="preserve"> and finding common ground can also have a positive influence on the success of this process. This attitude is inward-looking and only focusses on the other </w:t>
      </w:r>
      <w:r w:rsidR="00DD7BC6" w:rsidRPr="00223BE6">
        <w:rPr>
          <w:rFonts w:ascii="Garamond" w:hAnsi="Garamond"/>
          <w:color w:val="000000" w:themeColor="text1"/>
          <w:sz w:val="24"/>
          <w:szCs w:val="24"/>
          <w:lang w:val="en-GB"/>
        </w:rPr>
        <w:t xml:space="preserve">when </w:t>
      </w:r>
      <w:r w:rsidRPr="00223BE6">
        <w:rPr>
          <w:rFonts w:ascii="Garamond" w:hAnsi="Garamond"/>
          <w:color w:val="000000" w:themeColor="text1"/>
          <w:sz w:val="24"/>
          <w:szCs w:val="24"/>
          <w:lang w:val="en-GB"/>
        </w:rPr>
        <w:t>listen</w:t>
      </w:r>
      <w:r w:rsidR="00DD7BC6" w:rsidRPr="00223BE6">
        <w:rPr>
          <w:rFonts w:ascii="Garamond" w:hAnsi="Garamond"/>
          <w:color w:val="000000" w:themeColor="text1"/>
          <w:sz w:val="24"/>
          <w:szCs w:val="24"/>
          <w:lang w:val="en-GB"/>
        </w:rPr>
        <w:t>ing</w:t>
      </w:r>
      <w:r w:rsidRPr="00223BE6">
        <w:rPr>
          <w:rFonts w:ascii="Garamond" w:hAnsi="Garamond"/>
          <w:color w:val="000000" w:themeColor="text1"/>
          <w:sz w:val="24"/>
          <w:szCs w:val="24"/>
          <w:lang w:val="en-GB"/>
        </w:rPr>
        <w:t xml:space="preserve"> to the other. Criticizing values or accusations toward the other are not seen as a helpful means of communication. To realize this, mediators are also needed in the process. Therefore, to answer the research question directly, a viable mode of living with difference focusses on the interaction between culturally different citizens but aims to realize this in a peaceful manner that focusses on a process of sharing experiences and mutual learning instead of conflict and criticizing core-values.</w:t>
      </w:r>
    </w:p>
    <w:p w14:paraId="12CB2FA6" w14:textId="30D1C3D5"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 xml:space="preserve">In the sixth chapter, I have tried to elaborate on what is necessary to create a situation in which my proposed manner of interaction can be realized. The first condition that is important to be met is spatial integration. This is important because people with different cultural backgrounds cannot </w:t>
      </w:r>
      <w:r w:rsidRPr="00223BE6">
        <w:rPr>
          <w:rFonts w:ascii="Garamond" w:hAnsi="Garamond"/>
          <w:color w:val="000000" w:themeColor="text1"/>
          <w:sz w:val="24"/>
          <w:szCs w:val="24"/>
          <w:lang w:val="en-GB"/>
        </w:rPr>
        <w:lastRenderedPageBreak/>
        <w:t xml:space="preserve">come together if they live in segregated </w:t>
      </w:r>
      <w:r w:rsidR="00A14244" w:rsidRPr="00223BE6">
        <w:rPr>
          <w:rFonts w:ascii="Garamond" w:hAnsi="Garamond"/>
          <w:color w:val="000000" w:themeColor="text1"/>
          <w:sz w:val="24"/>
          <w:szCs w:val="24"/>
          <w:lang w:val="en-GB"/>
        </w:rPr>
        <w:t>neighbourhoods</w:t>
      </w:r>
      <w:r w:rsidRPr="00223BE6">
        <w:rPr>
          <w:rFonts w:ascii="Garamond" w:hAnsi="Garamond"/>
          <w:color w:val="000000" w:themeColor="text1"/>
          <w:sz w:val="24"/>
          <w:szCs w:val="24"/>
          <w:lang w:val="en-GB"/>
        </w:rPr>
        <w:t xml:space="preserve">. To facilitate interaction between cultures and inspiring social integration, mediation will be needed. I argue that the actor that is particularly fit to take on the role of a mediator, are </w:t>
      </w:r>
      <w:r w:rsidR="00A14244" w:rsidRPr="00223BE6">
        <w:rPr>
          <w:rFonts w:ascii="Garamond" w:hAnsi="Garamond"/>
          <w:color w:val="000000" w:themeColor="text1"/>
          <w:sz w:val="24"/>
          <w:szCs w:val="24"/>
          <w:lang w:val="en-GB"/>
        </w:rPr>
        <w:t>neighbourhood</w:t>
      </w:r>
      <w:r w:rsidRPr="00223BE6">
        <w:rPr>
          <w:rFonts w:ascii="Garamond" w:hAnsi="Garamond"/>
          <w:color w:val="000000" w:themeColor="text1"/>
          <w:sz w:val="24"/>
          <w:szCs w:val="24"/>
          <w:lang w:val="en-GB"/>
        </w:rPr>
        <w:t xml:space="preserve"> organizations such as community </w:t>
      </w:r>
      <w:r w:rsidR="00A14244" w:rsidRPr="00223BE6">
        <w:rPr>
          <w:rFonts w:ascii="Garamond" w:hAnsi="Garamond"/>
          <w:color w:val="000000" w:themeColor="text1"/>
          <w:sz w:val="24"/>
          <w:szCs w:val="24"/>
          <w:lang w:val="en-GB"/>
        </w:rPr>
        <w:t>centres</w:t>
      </w:r>
      <w:r w:rsidRPr="00223BE6">
        <w:rPr>
          <w:rFonts w:ascii="Garamond" w:hAnsi="Garamond"/>
          <w:color w:val="000000" w:themeColor="text1"/>
          <w:sz w:val="24"/>
          <w:szCs w:val="24"/>
          <w:lang w:val="en-GB"/>
        </w:rPr>
        <w:t>. These have the capa</w:t>
      </w:r>
      <w:r w:rsidR="00DD7BC6" w:rsidRPr="00223BE6">
        <w:rPr>
          <w:rFonts w:ascii="Garamond" w:hAnsi="Garamond"/>
          <w:color w:val="000000" w:themeColor="text1"/>
          <w:sz w:val="24"/>
          <w:szCs w:val="24"/>
          <w:lang w:val="en-GB"/>
        </w:rPr>
        <w:t>city to inspire trust and maintain</w:t>
      </w:r>
      <w:r w:rsidRPr="00223BE6">
        <w:rPr>
          <w:rFonts w:ascii="Garamond" w:hAnsi="Garamond"/>
          <w:color w:val="000000" w:themeColor="text1"/>
          <w:sz w:val="24"/>
          <w:szCs w:val="24"/>
          <w:lang w:val="en-GB"/>
        </w:rPr>
        <w:t xml:space="preserve"> the neutrality </w:t>
      </w:r>
      <w:r w:rsidR="00DD7BC6" w:rsidRPr="00223BE6">
        <w:rPr>
          <w:rFonts w:ascii="Garamond" w:hAnsi="Garamond"/>
          <w:color w:val="000000" w:themeColor="text1"/>
          <w:sz w:val="24"/>
          <w:szCs w:val="24"/>
          <w:lang w:val="en-GB"/>
        </w:rPr>
        <w:t xml:space="preserve">needed to take on the role of </w:t>
      </w:r>
      <w:r w:rsidRPr="00223BE6">
        <w:rPr>
          <w:rFonts w:ascii="Garamond" w:hAnsi="Garamond"/>
          <w:color w:val="000000" w:themeColor="text1"/>
          <w:sz w:val="24"/>
          <w:szCs w:val="24"/>
          <w:lang w:val="en-GB"/>
        </w:rPr>
        <w:t xml:space="preserve">mediator. These places are also particularly equipped to point out the shared interests and interdependency of </w:t>
      </w:r>
      <w:r w:rsidR="00DD7BC6" w:rsidRPr="00223BE6">
        <w:rPr>
          <w:rFonts w:ascii="Garamond" w:hAnsi="Garamond"/>
          <w:color w:val="000000" w:themeColor="text1"/>
          <w:sz w:val="24"/>
          <w:szCs w:val="24"/>
          <w:lang w:val="en-GB"/>
        </w:rPr>
        <w:t xml:space="preserve">residents </w:t>
      </w:r>
      <w:r w:rsidRPr="00223BE6">
        <w:rPr>
          <w:rFonts w:ascii="Garamond" w:hAnsi="Garamond"/>
          <w:color w:val="000000" w:themeColor="text1"/>
          <w:sz w:val="24"/>
          <w:szCs w:val="24"/>
          <w:lang w:val="en-GB"/>
        </w:rPr>
        <w:t xml:space="preserve">of a </w:t>
      </w:r>
      <w:r w:rsidR="00A14244" w:rsidRPr="00223BE6">
        <w:rPr>
          <w:rFonts w:ascii="Garamond" w:hAnsi="Garamond"/>
          <w:color w:val="000000" w:themeColor="text1"/>
          <w:sz w:val="24"/>
          <w:szCs w:val="24"/>
          <w:lang w:val="en-GB"/>
        </w:rPr>
        <w:t>neighbourhood</w:t>
      </w:r>
      <w:r w:rsidRPr="00223BE6">
        <w:rPr>
          <w:rFonts w:ascii="Garamond" w:hAnsi="Garamond"/>
          <w:color w:val="000000" w:themeColor="text1"/>
          <w:sz w:val="24"/>
          <w:szCs w:val="24"/>
          <w:lang w:val="en-GB"/>
        </w:rPr>
        <w:t>.</w:t>
      </w:r>
    </w:p>
    <w:p w14:paraId="17EFB625" w14:textId="38B7ED34"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This thesis contributes by discussing and evaluating different modes of living with difference. It also contributes by exploring a new variant for living with difference and elaborating on the conditions that need to be met to reali</w:t>
      </w:r>
      <w:r w:rsidR="00DD7BC6" w:rsidRPr="00223BE6">
        <w:rPr>
          <w:rFonts w:ascii="Garamond" w:hAnsi="Garamond"/>
          <w:color w:val="000000" w:themeColor="text1"/>
          <w:sz w:val="24"/>
          <w:szCs w:val="24"/>
          <w:lang w:val="en-GB"/>
        </w:rPr>
        <w:t>ze this. I have specifically referred</w:t>
      </w:r>
      <w:r w:rsidRPr="00223BE6">
        <w:rPr>
          <w:rFonts w:ascii="Garamond" w:hAnsi="Garamond"/>
          <w:color w:val="000000" w:themeColor="text1"/>
          <w:sz w:val="24"/>
          <w:szCs w:val="24"/>
          <w:lang w:val="en-GB"/>
        </w:rPr>
        <w:t xml:space="preserve"> to the importance of spatial and social integration and the involvement of </w:t>
      </w:r>
      <w:r w:rsidR="00A14244" w:rsidRPr="00223BE6">
        <w:rPr>
          <w:rFonts w:ascii="Garamond" w:hAnsi="Garamond"/>
          <w:color w:val="000000" w:themeColor="text1"/>
          <w:sz w:val="24"/>
          <w:szCs w:val="24"/>
          <w:lang w:val="en-GB"/>
        </w:rPr>
        <w:t>neighbourhood</w:t>
      </w:r>
      <w:r w:rsidR="00DD7BC6" w:rsidRPr="00223BE6">
        <w:rPr>
          <w:rFonts w:ascii="Garamond" w:hAnsi="Garamond"/>
          <w:color w:val="000000" w:themeColor="text1"/>
          <w:sz w:val="24"/>
          <w:szCs w:val="24"/>
          <w:lang w:val="en-GB"/>
        </w:rPr>
        <w:t xml:space="preserve"> organizations</w:t>
      </w:r>
      <w:r w:rsidRPr="00223BE6">
        <w:rPr>
          <w:rFonts w:ascii="Garamond" w:hAnsi="Garamond"/>
          <w:color w:val="000000" w:themeColor="text1"/>
          <w:sz w:val="24"/>
          <w:szCs w:val="24"/>
          <w:lang w:val="en-GB"/>
        </w:rPr>
        <w:t>. In this sense, this thesis has tri</w:t>
      </w:r>
      <w:r w:rsidR="00DD7BC6" w:rsidRPr="00223BE6">
        <w:rPr>
          <w:rFonts w:ascii="Garamond" w:hAnsi="Garamond"/>
          <w:color w:val="000000" w:themeColor="text1"/>
          <w:sz w:val="24"/>
          <w:szCs w:val="24"/>
          <w:lang w:val="en-GB"/>
        </w:rPr>
        <w:t xml:space="preserve">ed to </w:t>
      </w:r>
      <w:r w:rsidR="008E0CE3">
        <w:rPr>
          <w:rFonts w:ascii="Garamond" w:hAnsi="Garamond"/>
          <w:color w:val="000000" w:themeColor="text1"/>
          <w:sz w:val="24"/>
          <w:szCs w:val="24"/>
          <w:lang w:val="en-GB"/>
        </w:rPr>
        <w:t>make contribution</w:t>
      </w:r>
      <w:r w:rsidR="00DD7BC6" w:rsidRPr="00223BE6">
        <w:rPr>
          <w:rFonts w:ascii="Garamond" w:hAnsi="Garamond"/>
          <w:color w:val="000000" w:themeColor="text1"/>
          <w:sz w:val="24"/>
          <w:szCs w:val="24"/>
          <w:lang w:val="en-GB"/>
        </w:rPr>
        <w:t xml:space="preserve"> to the debate on</w:t>
      </w:r>
      <w:r w:rsidRPr="00223BE6">
        <w:rPr>
          <w:rFonts w:ascii="Garamond" w:hAnsi="Garamond"/>
          <w:color w:val="000000" w:themeColor="text1"/>
          <w:sz w:val="24"/>
          <w:szCs w:val="24"/>
          <w:lang w:val="en-GB"/>
        </w:rPr>
        <w:t xml:space="preserve"> how difference</w:t>
      </w:r>
      <w:r w:rsidR="00DD7BC6" w:rsidRPr="00223BE6">
        <w:rPr>
          <w:rFonts w:ascii="Garamond" w:hAnsi="Garamond"/>
          <w:color w:val="000000" w:themeColor="text1"/>
          <w:sz w:val="24"/>
          <w:szCs w:val="24"/>
          <w:lang w:val="en-GB"/>
        </w:rPr>
        <w:t>s in society should be mediated</w:t>
      </w:r>
      <w:r w:rsidRPr="00223BE6">
        <w:rPr>
          <w:rFonts w:ascii="Garamond" w:hAnsi="Garamond"/>
          <w:color w:val="000000" w:themeColor="text1"/>
          <w:sz w:val="24"/>
          <w:szCs w:val="24"/>
          <w:lang w:val="en-GB"/>
        </w:rPr>
        <w:t>. I also hope that this thesis can function as an inspiration for cities and city planners.</w:t>
      </w:r>
    </w:p>
    <w:p w14:paraId="622B5DD1" w14:textId="67EC2562" w:rsidR="0033719A" w:rsidRPr="00223BE6" w:rsidRDefault="0033719A" w:rsidP="002E07B1">
      <w:pPr>
        <w:jc w:val="both"/>
        <w:rPr>
          <w:rFonts w:ascii="Garamond" w:hAnsi="Garamond"/>
          <w:color w:val="000000" w:themeColor="text1"/>
          <w:sz w:val="24"/>
          <w:szCs w:val="24"/>
          <w:lang w:val="en-GB"/>
        </w:rPr>
      </w:pPr>
      <w:r w:rsidRPr="00223BE6">
        <w:rPr>
          <w:rFonts w:ascii="Garamond" w:hAnsi="Garamond"/>
          <w:color w:val="000000" w:themeColor="text1"/>
          <w:sz w:val="24"/>
          <w:szCs w:val="24"/>
          <w:lang w:val="en-GB"/>
        </w:rPr>
        <w:t xml:space="preserve">However, there are many other </w:t>
      </w:r>
      <w:r w:rsidR="00DD7BC6" w:rsidRPr="00223BE6">
        <w:rPr>
          <w:rFonts w:ascii="Garamond" w:hAnsi="Garamond"/>
          <w:color w:val="000000" w:themeColor="text1"/>
          <w:sz w:val="24"/>
          <w:szCs w:val="24"/>
          <w:lang w:val="en-GB"/>
        </w:rPr>
        <w:t xml:space="preserve">relevant </w:t>
      </w:r>
      <w:proofErr w:type="spellStart"/>
      <w:r w:rsidR="00DD7BC6" w:rsidRPr="00223BE6">
        <w:rPr>
          <w:rFonts w:ascii="Garamond" w:hAnsi="Garamond"/>
          <w:color w:val="000000" w:themeColor="text1"/>
          <w:sz w:val="24"/>
          <w:szCs w:val="24"/>
          <w:lang w:val="en-GB"/>
        </w:rPr>
        <w:t>actors</w:t>
      </w:r>
      <w:proofErr w:type="spellEnd"/>
      <w:r w:rsidR="00DD7BC6" w:rsidRPr="00223BE6">
        <w:rPr>
          <w:rFonts w:ascii="Garamond" w:hAnsi="Garamond"/>
          <w:color w:val="000000" w:themeColor="text1"/>
          <w:sz w:val="24"/>
          <w:szCs w:val="24"/>
          <w:lang w:val="en-GB"/>
        </w:rPr>
        <w:t xml:space="preserve"> </w:t>
      </w:r>
      <w:r w:rsidRPr="00223BE6">
        <w:rPr>
          <w:rFonts w:ascii="Garamond" w:hAnsi="Garamond"/>
          <w:color w:val="000000" w:themeColor="text1"/>
          <w:sz w:val="24"/>
          <w:szCs w:val="24"/>
          <w:lang w:val="en-GB"/>
        </w:rPr>
        <w:t xml:space="preserve">that are left out of the discussion to preserve a sense of focus. Examples of such actors are governments, municipalities, the media </w:t>
      </w:r>
      <w:r w:rsidR="00A14244">
        <w:rPr>
          <w:rFonts w:ascii="Garamond" w:hAnsi="Garamond"/>
          <w:color w:val="000000" w:themeColor="text1"/>
          <w:sz w:val="24"/>
          <w:szCs w:val="24"/>
          <w:lang w:val="en-GB"/>
        </w:rPr>
        <w:t>and</w:t>
      </w:r>
      <w:r w:rsidR="00A14244" w:rsidRPr="00223BE6">
        <w:rPr>
          <w:rFonts w:ascii="Garamond" w:hAnsi="Garamond"/>
          <w:color w:val="000000" w:themeColor="text1"/>
          <w:sz w:val="24"/>
          <w:szCs w:val="24"/>
          <w:lang w:val="en-GB"/>
        </w:rPr>
        <w:t xml:space="preserve"> </w:t>
      </w:r>
      <w:r w:rsidRPr="00223BE6">
        <w:rPr>
          <w:rFonts w:ascii="Garamond" w:hAnsi="Garamond"/>
          <w:color w:val="000000" w:themeColor="text1"/>
          <w:sz w:val="24"/>
          <w:szCs w:val="24"/>
          <w:lang w:val="en-GB"/>
        </w:rPr>
        <w:t xml:space="preserve">schools. Governments and municipalities will always be important because of their place in the political hierarchy. They determine what local organization are allowed to do </w:t>
      </w:r>
      <w:r w:rsidR="008E0CE3">
        <w:rPr>
          <w:rFonts w:ascii="Garamond" w:hAnsi="Garamond"/>
          <w:color w:val="000000" w:themeColor="text1"/>
          <w:sz w:val="24"/>
          <w:szCs w:val="24"/>
          <w:lang w:val="en-GB"/>
        </w:rPr>
        <w:t xml:space="preserve">and </w:t>
      </w:r>
      <w:r w:rsidRPr="00223BE6">
        <w:rPr>
          <w:rFonts w:ascii="Garamond" w:hAnsi="Garamond"/>
          <w:color w:val="000000" w:themeColor="text1"/>
          <w:sz w:val="24"/>
          <w:szCs w:val="24"/>
          <w:lang w:val="en-GB"/>
        </w:rPr>
        <w:t>if and how much they are funded. The media is important because it influences the perception of people. This can have a considerable influence on the success of new forms of citizenship as discussed in this thesis. Education also plays a considerable role by encouraging students to address issues related to multi</w:t>
      </w:r>
      <w:r w:rsidR="008E0CE3">
        <w:rPr>
          <w:rFonts w:ascii="Garamond" w:hAnsi="Garamond"/>
          <w:color w:val="000000" w:themeColor="text1"/>
          <w:sz w:val="24"/>
          <w:szCs w:val="24"/>
          <w:lang w:val="en-GB"/>
        </w:rPr>
        <w:t>culturalism at an early stage</w:t>
      </w:r>
      <w:r w:rsidRPr="00223BE6">
        <w:rPr>
          <w:rFonts w:ascii="Garamond" w:hAnsi="Garamond"/>
          <w:color w:val="000000" w:themeColor="text1"/>
          <w:sz w:val="24"/>
          <w:szCs w:val="24"/>
          <w:lang w:val="en-GB"/>
        </w:rPr>
        <w:t>. The role that schools adopt concerning this and the curriculum they provide are very important for this. Education is also important in terms of communicating wha</w:t>
      </w:r>
      <w:r w:rsidR="00DD7BC6" w:rsidRPr="00223BE6">
        <w:rPr>
          <w:rFonts w:ascii="Garamond" w:hAnsi="Garamond"/>
          <w:color w:val="000000" w:themeColor="text1"/>
          <w:sz w:val="24"/>
          <w:szCs w:val="24"/>
          <w:lang w:val="en-GB"/>
        </w:rPr>
        <w:t xml:space="preserve">t prejudices are unfounded and </w:t>
      </w:r>
      <w:r w:rsidRPr="00223BE6">
        <w:rPr>
          <w:rFonts w:ascii="Garamond" w:hAnsi="Garamond"/>
          <w:color w:val="000000" w:themeColor="text1"/>
          <w:sz w:val="24"/>
          <w:szCs w:val="24"/>
          <w:lang w:val="en-GB"/>
        </w:rPr>
        <w:t xml:space="preserve">what understanding of specific cultures is correct. This is not only important for students but </w:t>
      </w:r>
      <w:r w:rsidR="00DD7BC6" w:rsidRPr="00223BE6">
        <w:rPr>
          <w:rFonts w:ascii="Garamond" w:hAnsi="Garamond"/>
          <w:color w:val="000000" w:themeColor="text1"/>
          <w:sz w:val="24"/>
          <w:szCs w:val="24"/>
          <w:lang w:val="en-GB"/>
        </w:rPr>
        <w:t xml:space="preserve">also </w:t>
      </w:r>
      <w:r w:rsidRPr="00223BE6">
        <w:rPr>
          <w:rFonts w:ascii="Garamond" w:hAnsi="Garamond"/>
          <w:color w:val="000000" w:themeColor="text1"/>
          <w:sz w:val="24"/>
          <w:szCs w:val="24"/>
          <w:lang w:val="en-GB"/>
        </w:rPr>
        <w:t xml:space="preserve">for citizens in general. This could be done, for example, by providing public lectures accessible to everyone. On a similar note, I have predominantly focused on public space and local arenas for </w:t>
      </w:r>
      <w:r w:rsidR="008E0CE3">
        <w:rPr>
          <w:rFonts w:ascii="Garamond" w:hAnsi="Garamond"/>
          <w:color w:val="000000" w:themeColor="text1"/>
          <w:sz w:val="24"/>
          <w:szCs w:val="24"/>
          <w:lang w:val="en-GB"/>
        </w:rPr>
        <w:t xml:space="preserve">the </w:t>
      </w:r>
      <w:r w:rsidRPr="00223BE6">
        <w:rPr>
          <w:rFonts w:ascii="Garamond" w:hAnsi="Garamond"/>
          <w:color w:val="000000" w:themeColor="text1"/>
          <w:sz w:val="24"/>
          <w:szCs w:val="24"/>
          <w:lang w:val="en-GB"/>
        </w:rPr>
        <w:t>mediation of difference. By doing this, I have refrained from discussing micro-public as opportunities for mediating differences.</w:t>
      </w:r>
    </w:p>
    <w:p w14:paraId="34BAF37E" w14:textId="56B919D1" w:rsidR="0033719A" w:rsidRPr="00223BE6" w:rsidRDefault="0033719A" w:rsidP="002E07B1">
      <w:pPr>
        <w:jc w:val="both"/>
        <w:rPr>
          <w:lang w:val="en-GB"/>
        </w:rPr>
      </w:pPr>
      <w:r w:rsidRPr="00223BE6">
        <w:rPr>
          <w:rFonts w:ascii="Garamond" w:hAnsi="Garamond"/>
          <w:color w:val="000000" w:themeColor="text1"/>
          <w:sz w:val="24"/>
          <w:szCs w:val="24"/>
          <w:lang w:val="en-GB"/>
        </w:rPr>
        <w:t xml:space="preserve">The fact that these dimensions have been left </w:t>
      </w:r>
      <w:r w:rsidR="00DD7BC6" w:rsidRPr="00223BE6">
        <w:rPr>
          <w:rFonts w:ascii="Garamond" w:hAnsi="Garamond"/>
          <w:color w:val="000000" w:themeColor="text1"/>
          <w:sz w:val="24"/>
          <w:szCs w:val="24"/>
          <w:lang w:val="en-GB"/>
        </w:rPr>
        <w:t>un</w:t>
      </w:r>
      <w:r w:rsidRPr="00223BE6">
        <w:rPr>
          <w:rFonts w:ascii="Garamond" w:hAnsi="Garamond"/>
          <w:color w:val="000000" w:themeColor="text1"/>
          <w:sz w:val="24"/>
          <w:szCs w:val="24"/>
          <w:lang w:val="en-GB"/>
        </w:rPr>
        <w:t xml:space="preserve">explored in this thesis creates opportunities for further research to delve </w:t>
      </w:r>
      <w:r w:rsidR="00A14244">
        <w:rPr>
          <w:rFonts w:ascii="Garamond" w:hAnsi="Garamond"/>
          <w:color w:val="000000" w:themeColor="text1"/>
          <w:sz w:val="24"/>
          <w:szCs w:val="24"/>
          <w:lang w:val="en-GB"/>
        </w:rPr>
        <w:t xml:space="preserve">deeper </w:t>
      </w:r>
      <w:r w:rsidRPr="00223BE6">
        <w:rPr>
          <w:rFonts w:ascii="Garamond" w:hAnsi="Garamond"/>
          <w:color w:val="000000" w:themeColor="text1"/>
          <w:sz w:val="24"/>
          <w:szCs w:val="24"/>
          <w:lang w:val="en-GB"/>
        </w:rPr>
        <w:t>into this</w:t>
      </w:r>
      <w:r w:rsidR="00A14244">
        <w:rPr>
          <w:rFonts w:ascii="Garamond" w:hAnsi="Garamond"/>
          <w:color w:val="000000" w:themeColor="text1"/>
          <w:sz w:val="24"/>
          <w:szCs w:val="24"/>
          <w:lang w:val="en-GB"/>
        </w:rPr>
        <w:t xml:space="preserve"> subject</w:t>
      </w:r>
      <w:r w:rsidRPr="00223BE6">
        <w:rPr>
          <w:rFonts w:ascii="Garamond" w:hAnsi="Garamond"/>
          <w:color w:val="000000" w:themeColor="text1"/>
          <w:sz w:val="24"/>
          <w:szCs w:val="24"/>
          <w:lang w:val="en-GB"/>
        </w:rPr>
        <w:t xml:space="preserve">. What roles do and should (municipal) governments play in relation to local organizations? What roles should they play in more general terms to realize a viable mode of living with difference? </w:t>
      </w:r>
      <w:r w:rsidR="007325A2" w:rsidRPr="00223BE6">
        <w:rPr>
          <w:rFonts w:ascii="Garamond" w:hAnsi="Garamond"/>
          <w:color w:val="000000" w:themeColor="text1"/>
          <w:sz w:val="24"/>
          <w:szCs w:val="24"/>
          <w:lang w:val="en-GB"/>
        </w:rPr>
        <w:t>What role does the media play concerning the formation of opinion</w:t>
      </w:r>
      <w:r w:rsidRPr="00223BE6">
        <w:rPr>
          <w:rFonts w:ascii="Garamond" w:hAnsi="Garamond"/>
          <w:color w:val="000000" w:themeColor="text1"/>
          <w:sz w:val="24"/>
          <w:szCs w:val="24"/>
          <w:lang w:val="en-GB"/>
        </w:rPr>
        <w:t xml:space="preserve">? Are restrictions on media acceptable if this reduces prejudice? Should education be reformed to facilitate intercultural exchange? Are there any other important factors </w:t>
      </w:r>
      <w:r w:rsidR="007325A2" w:rsidRPr="00223BE6">
        <w:rPr>
          <w:rFonts w:ascii="Garamond" w:hAnsi="Garamond"/>
          <w:color w:val="000000" w:themeColor="text1"/>
          <w:sz w:val="24"/>
          <w:szCs w:val="24"/>
          <w:lang w:val="en-GB"/>
        </w:rPr>
        <w:t>and actors for</w:t>
      </w:r>
      <w:r w:rsidRPr="00223BE6">
        <w:rPr>
          <w:rFonts w:ascii="Garamond" w:hAnsi="Garamond"/>
          <w:color w:val="000000" w:themeColor="text1"/>
          <w:sz w:val="24"/>
          <w:szCs w:val="24"/>
          <w:lang w:val="en-GB"/>
        </w:rPr>
        <w:t xml:space="preserve"> </w:t>
      </w:r>
      <w:r w:rsidR="007325A2" w:rsidRPr="00223BE6">
        <w:rPr>
          <w:rFonts w:ascii="Garamond" w:hAnsi="Garamond"/>
          <w:color w:val="000000" w:themeColor="text1"/>
          <w:sz w:val="24"/>
          <w:szCs w:val="24"/>
          <w:lang w:val="en-GB"/>
        </w:rPr>
        <w:t>the realization of</w:t>
      </w:r>
      <w:r w:rsidRPr="00223BE6">
        <w:rPr>
          <w:rFonts w:ascii="Garamond" w:hAnsi="Garamond"/>
          <w:color w:val="000000" w:themeColor="text1"/>
          <w:sz w:val="24"/>
          <w:szCs w:val="24"/>
          <w:lang w:val="en-GB"/>
        </w:rPr>
        <w:t xml:space="preserve"> a viable mode of living with difference? These are a couple of </w:t>
      </w:r>
      <w:r w:rsidR="007325A2" w:rsidRPr="00223BE6">
        <w:rPr>
          <w:rFonts w:ascii="Garamond" w:hAnsi="Garamond"/>
          <w:color w:val="000000" w:themeColor="text1"/>
          <w:sz w:val="24"/>
          <w:szCs w:val="24"/>
          <w:lang w:val="en-GB"/>
        </w:rPr>
        <w:t xml:space="preserve">the </w:t>
      </w:r>
      <w:r w:rsidRPr="00223BE6">
        <w:rPr>
          <w:rFonts w:ascii="Garamond" w:hAnsi="Garamond"/>
          <w:color w:val="000000" w:themeColor="text1"/>
          <w:sz w:val="24"/>
          <w:szCs w:val="24"/>
          <w:lang w:val="en-GB"/>
        </w:rPr>
        <w:t xml:space="preserve">many questions that could be elaborated on in further research. Another valuable direction for further research could be through the examination of case studies. </w:t>
      </w:r>
      <w:r w:rsidR="000D0353" w:rsidRPr="00223BE6">
        <w:rPr>
          <w:rFonts w:ascii="Garamond" w:hAnsi="Garamond"/>
          <w:color w:val="000000" w:themeColor="text1"/>
          <w:sz w:val="24"/>
          <w:szCs w:val="24"/>
          <w:lang w:val="en-GB"/>
        </w:rPr>
        <w:t>This can be helpful t</w:t>
      </w:r>
      <w:r w:rsidRPr="00223BE6">
        <w:rPr>
          <w:rFonts w:ascii="Garamond" w:hAnsi="Garamond"/>
          <w:color w:val="000000" w:themeColor="text1"/>
          <w:sz w:val="24"/>
          <w:szCs w:val="24"/>
          <w:lang w:val="en-GB"/>
        </w:rPr>
        <w:t xml:space="preserve">o determine what methods, approaches and attitudes are helpful in </w:t>
      </w:r>
      <w:r w:rsidR="000D0353" w:rsidRPr="00223BE6">
        <w:rPr>
          <w:rFonts w:ascii="Garamond" w:hAnsi="Garamond"/>
          <w:color w:val="000000" w:themeColor="text1"/>
          <w:sz w:val="24"/>
          <w:szCs w:val="24"/>
          <w:lang w:val="en-GB"/>
        </w:rPr>
        <w:t>specific situation</w:t>
      </w:r>
      <w:r w:rsidR="00545C11" w:rsidRPr="00223BE6">
        <w:rPr>
          <w:rFonts w:ascii="Garamond" w:hAnsi="Garamond"/>
          <w:color w:val="000000" w:themeColor="text1"/>
          <w:sz w:val="24"/>
          <w:szCs w:val="24"/>
          <w:lang w:val="en-GB"/>
        </w:rPr>
        <w:t>s</w:t>
      </w:r>
      <w:r w:rsidR="000D0353" w:rsidRPr="00223BE6">
        <w:rPr>
          <w:rFonts w:ascii="Garamond" w:hAnsi="Garamond"/>
          <w:color w:val="000000" w:themeColor="text1"/>
          <w:sz w:val="24"/>
          <w:szCs w:val="24"/>
          <w:lang w:val="en-GB"/>
        </w:rPr>
        <w:t>.</w:t>
      </w:r>
    </w:p>
    <w:p w14:paraId="7BCF2BF6" w14:textId="55AFE87F" w:rsidR="00D50790" w:rsidRPr="00223BE6" w:rsidRDefault="00D50790" w:rsidP="002E07B1">
      <w:pPr>
        <w:jc w:val="both"/>
        <w:rPr>
          <w:rFonts w:ascii="Garamond" w:hAnsi="Garamond"/>
          <w:color w:val="000000" w:themeColor="text1"/>
          <w:sz w:val="24"/>
          <w:szCs w:val="24"/>
          <w:lang w:val="en-GB"/>
        </w:rPr>
      </w:pPr>
      <w:r w:rsidRPr="00223BE6">
        <w:rPr>
          <w:rFonts w:ascii="Garamond" w:hAnsi="Garamond"/>
          <w:b/>
          <w:sz w:val="36"/>
          <w:szCs w:val="36"/>
          <w:lang w:val="en-GB"/>
        </w:rPr>
        <w:br w:type="page"/>
      </w:r>
    </w:p>
    <w:p w14:paraId="7056A7F3" w14:textId="7CE1C1A7" w:rsidR="00834171" w:rsidRPr="00223BE6" w:rsidRDefault="006068AD" w:rsidP="001A0D61">
      <w:pPr>
        <w:pStyle w:val="Heading1"/>
        <w:rPr>
          <w:rFonts w:ascii="Garamond" w:hAnsi="Garamond"/>
          <w:b/>
          <w:color w:val="000000" w:themeColor="text1"/>
          <w:sz w:val="36"/>
          <w:szCs w:val="36"/>
          <w:lang w:val="en-GB"/>
        </w:rPr>
      </w:pPr>
      <w:bookmarkStart w:id="133" w:name="_Toc12190566"/>
      <w:bookmarkStart w:id="134" w:name="_Toc12264095"/>
      <w:bookmarkStart w:id="135" w:name="_Toc12268862"/>
      <w:bookmarkStart w:id="136" w:name="_Toc12269134"/>
      <w:bookmarkStart w:id="137" w:name="_Toc13050264"/>
      <w:bookmarkStart w:id="138" w:name="_Toc13061264"/>
      <w:r w:rsidRPr="00223BE6">
        <w:rPr>
          <w:rFonts w:ascii="Garamond" w:hAnsi="Garamond"/>
          <w:b/>
          <w:color w:val="000000" w:themeColor="text1"/>
          <w:sz w:val="36"/>
          <w:szCs w:val="36"/>
          <w:lang w:val="en-GB"/>
        </w:rPr>
        <w:lastRenderedPageBreak/>
        <w:t>Bibliography</w:t>
      </w:r>
      <w:bookmarkEnd w:id="133"/>
      <w:bookmarkEnd w:id="134"/>
      <w:bookmarkEnd w:id="135"/>
      <w:bookmarkEnd w:id="136"/>
      <w:bookmarkEnd w:id="137"/>
      <w:bookmarkEnd w:id="138"/>
    </w:p>
    <w:p w14:paraId="7338092B" w14:textId="4D92542C" w:rsidR="002659DC" w:rsidRPr="00223BE6" w:rsidRDefault="002659DC" w:rsidP="00B7472F">
      <w:pPr>
        <w:pStyle w:val="ListParagraph"/>
        <w:numPr>
          <w:ilvl w:val="0"/>
          <w:numId w:val="1"/>
        </w:numPr>
        <w:rPr>
          <w:rFonts w:ascii="Garamond" w:hAnsi="Garamond" w:cs="Times New Roman"/>
          <w:i/>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Allport</w:t>
      </w:r>
      <w:proofErr w:type="spellEnd"/>
      <w:r w:rsidRPr="00223BE6">
        <w:rPr>
          <w:rFonts w:ascii="Garamond" w:hAnsi="Garamond" w:cs="Times New Roman"/>
          <w:color w:val="000000" w:themeColor="text1"/>
          <w:spacing w:val="3"/>
          <w:sz w:val="24"/>
          <w:szCs w:val="24"/>
          <w:lang w:val="en-GB"/>
        </w:rPr>
        <w:t xml:space="preserve">, G. W. (1954). </w:t>
      </w:r>
      <w:r w:rsidRPr="00223BE6">
        <w:rPr>
          <w:rFonts w:ascii="Garamond" w:hAnsi="Garamond" w:cs="Times New Roman"/>
          <w:i/>
          <w:color w:val="000000" w:themeColor="text1"/>
          <w:spacing w:val="3"/>
          <w:sz w:val="24"/>
          <w:szCs w:val="24"/>
          <w:lang w:val="en-GB"/>
        </w:rPr>
        <w:t xml:space="preserve">The Nature of Prejudice. </w:t>
      </w:r>
      <w:r w:rsidRPr="00223BE6">
        <w:rPr>
          <w:rFonts w:ascii="Garamond" w:hAnsi="Garamond" w:cs="Times New Roman"/>
          <w:color w:val="000000" w:themeColor="text1"/>
          <w:spacing w:val="3"/>
          <w:sz w:val="24"/>
          <w:szCs w:val="24"/>
          <w:lang w:val="en-GB"/>
        </w:rPr>
        <w:t>Reading: Addison Wesley</w:t>
      </w:r>
      <w:r w:rsidR="009A7A97" w:rsidRPr="00223BE6">
        <w:rPr>
          <w:rFonts w:ascii="Garamond" w:hAnsi="Garamond" w:cs="Times New Roman"/>
          <w:color w:val="000000" w:themeColor="text1"/>
          <w:spacing w:val="3"/>
          <w:sz w:val="24"/>
          <w:szCs w:val="24"/>
          <w:lang w:val="en-GB"/>
        </w:rPr>
        <w:t>.</w:t>
      </w:r>
    </w:p>
    <w:p w14:paraId="5B1218AC" w14:textId="46A72912" w:rsidR="00834171" w:rsidRPr="00223BE6" w:rsidRDefault="00834171" w:rsidP="001A13D4">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cs="Times New Roman"/>
          <w:color w:val="000000" w:themeColor="text1"/>
          <w:spacing w:val="3"/>
          <w:sz w:val="24"/>
          <w:szCs w:val="24"/>
          <w:lang w:val="en-GB"/>
        </w:rPr>
        <w:t>Amin</w:t>
      </w:r>
      <w:r w:rsidR="00D260FB" w:rsidRPr="00223BE6">
        <w:rPr>
          <w:rFonts w:ascii="Garamond" w:hAnsi="Garamond" w:cs="Times New Roman"/>
          <w:color w:val="000000" w:themeColor="text1"/>
          <w:spacing w:val="3"/>
          <w:sz w:val="24"/>
          <w:szCs w:val="24"/>
          <w:lang w:val="en-GB"/>
        </w:rPr>
        <w:t>, A. (2002). Ethnicity and the M</w:t>
      </w:r>
      <w:r w:rsidRPr="00223BE6">
        <w:rPr>
          <w:rFonts w:ascii="Garamond" w:hAnsi="Garamond" w:cs="Times New Roman"/>
          <w:color w:val="000000" w:themeColor="text1"/>
          <w:spacing w:val="3"/>
          <w:sz w:val="24"/>
          <w:szCs w:val="24"/>
          <w:lang w:val="en-GB"/>
        </w:rPr>
        <w:t>ul</w:t>
      </w:r>
      <w:r w:rsidR="00D260FB" w:rsidRPr="00223BE6">
        <w:rPr>
          <w:rFonts w:ascii="Garamond" w:hAnsi="Garamond" w:cs="Times New Roman"/>
          <w:color w:val="000000" w:themeColor="text1"/>
          <w:spacing w:val="3"/>
          <w:sz w:val="24"/>
          <w:szCs w:val="24"/>
          <w:lang w:val="en-GB"/>
        </w:rPr>
        <w:t>ticultural City: Living with D</w:t>
      </w:r>
      <w:r w:rsidRPr="00223BE6">
        <w:rPr>
          <w:rFonts w:ascii="Garamond" w:hAnsi="Garamond" w:cs="Times New Roman"/>
          <w:color w:val="000000" w:themeColor="text1"/>
          <w:spacing w:val="3"/>
          <w:sz w:val="24"/>
          <w:szCs w:val="24"/>
          <w:lang w:val="en-GB"/>
        </w:rPr>
        <w:t xml:space="preserve">iversity. </w:t>
      </w:r>
      <w:r w:rsidRPr="00223BE6">
        <w:rPr>
          <w:rFonts w:ascii="Garamond" w:hAnsi="Garamond" w:cs="Times New Roman"/>
          <w:i/>
          <w:color w:val="000000" w:themeColor="text1"/>
          <w:spacing w:val="3"/>
          <w:sz w:val="24"/>
          <w:szCs w:val="24"/>
          <w:lang w:val="en-GB"/>
        </w:rPr>
        <w:t>Environment and Planning A 3</w:t>
      </w:r>
      <w:r w:rsidR="004974FA" w:rsidRPr="00223BE6">
        <w:rPr>
          <w:rFonts w:ascii="Garamond" w:hAnsi="Garamond" w:cs="Times New Roman"/>
          <w:i/>
          <w:color w:val="000000" w:themeColor="text1"/>
          <w:spacing w:val="3"/>
          <w:sz w:val="24"/>
          <w:szCs w:val="24"/>
          <w:lang w:val="en-GB"/>
        </w:rPr>
        <w:t>4</w:t>
      </w:r>
      <w:r w:rsidR="004974FA" w:rsidRPr="00223BE6">
        <w:rPr>
          <w:rFonts w:ascii="Garamond" w:hAnsi="Garamond" w:cs="Times New Roman"/>
          <w:color w:val="000000" w:themeColor="text1"/>
          <w:spacing w:val="3"/>
          <w:sz w:val="24"/>
          <w:szCs w:val="24"/>
          <w:lang w:val="en-GB"/>
        </w:rPr>
        <w:t xml:space="preserve">(6), 959-980. </w:t>
      </w:r>
    </w:p>
    <w:p w14:paraId="15DF7341" w14:textId="5EEA371F" w:rsidR="00036548" w:rsidRPr="00223BE6" w:rsidRDefault="00036548" w:rsidP="00036548">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sz w:val="24"/>
          <w:szCs w:val="24"/>
          <w:lang w:val="en-GB"/>
        </w:rPr>
        <w:t xml:space="preserve">Anderson, E. (2010). </w:t>
      </w:r>
      <w:r w:rsidRPr="00223BE6">
        <w:rPr>
          <w:rFonts w:ascii="Garamond" w:hAnsi="Garamond"/>
          <w:i/>
          <w:sz w:val="24"/>
          <w:szCs w:val="24"/>
          <w:lang w:val="en-GB"/>
        </w:rPr>
        <w:t xml:space="preserve">The Imperative of Integration. </w:t>
      </w:r>
      <w:r w:rsidRPr="00223BE6">
        <w:rPr>
          <w:rFonts w:ascii="Garamond" w:hAnsi="Garamond"/>
          <w:sz w:val="24"/>
          <w:szCs w:val="24"/>
          <w:lang w:val="en-GB"/>
        </w:rPr>
        <w:t>Princeton University Press: Princeton.</w:t>
      </w:r>
    </w:p>
    <w:p w14:paraId="49E1A6C8" w14:textId="62423848" w:rsidR="009C1DB1" w:rsidRPr="00223BE6" w:rsidRDefault="009C1DB1" w:rsidP="00935014">
      <w:pPr>
        <w:pStyle w:val="ListParagraph"/>
        <w:numPr>
          <w:ilvl w:val="0"/>
          <w:numId w:val="1"/>
        </w:numPr>
        <w:rPr>
          <w:rFonts w:ascii="Garamond" w:hAnsi="Garamond" w:cs="Times New Roman"/>
          <w:i/>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Bloemraad</w:t>
      </w:r>
      <w:proofErr w:type="spellEnd"/>
      <w:r w:rsidRPr="00223BE6">
        <w:rPr>
          <w:rFonts w:ascii="Garamond" w:hAnsi="Garamond" w:cs="Times New Roman"/>
          <w:color w:val="000000" w:themeColor="text1"/>
          <w:spacing w:val="3"/>
          <w:sz w:val="24"/>
          <w:szCs w:val="24"/>
          <w:lang w:val="en-GB"/>
        </w:rPr>
        <w:t xml:space="preserve">, I. </w:t>
      </w:r>
      <w:r w:rsidR="00935014" w:rsidRPr="00223BE6">
        <w:rPr>
          <w:rFonts w:ascii="Garamond" w:hAnsi="Garamond" w:cs="Times New Roman"/>
          <w:color w:val="000000" w:themeColor="text1"/>
          <w:spacing w:val="3"/>
          <w:sz w:val="24"/>
          <w:szCs w:val="24"/>
          <w:lang w:val="en-GB"/>
        </w:rPr>
        <w:t xml:space="preserve">(2011, 11 September). </w:t>
      </w:r>
      <w:r w:rsidR="00935014" w:rsidRPr="00223BE6">
        <w:rPr>
          <w:rFonts w:ascii="Garamond" w:hAnsi="Garamond" w:cs="Times New Roman"/>
          <w:i/>
          <w:color w:val="000000" w:themeColor="text1"/>
          <w:spacing w:val="3"/>
          <w:sz w:val="24"/>
          <w:szCs w:val="24"/>
          <w:lang w:val="en-GB"/>
        </w:rPr>
        <w:t xml:space="preserve">The Debate Over Multiculturalism: Philosophy, Politics, and Policy. </w:t>
      </w:r>
      <w:r w:rsidR="00935014" w:rsidRPr="00223BE6">
        <w:rPr>
          <w:rFonts w:ascii="Garamond" w:hAnsi="Garamond" w:cs="Times New Roman"/>
          <w:color w:val="000000" w:themeColor="text1"/>
          <w:spacing w:val="3"/>
          <w:sz w:val="24"/>
          <w:szCs w:val="24"/>
          <w:lang w:val="en-GB"/>
        </w:rPr>
        <w:t xml:space="preserve">Retrieved on </w:t>
      </w:r>
      <w:r w:rsidR="007B1B40" w:rsidRPr="00223BE6">
        <w:rPr>
          <w:rFonts w:ascii="Garamond" w:hAnsi="Garamond" w:cs="Times New Roman"/>
          <w:color w:val="000000" w:themeColor="text1"/>
          <w:spacing w:val="3"/>
          <w:sz w:val="24"/>
          <w:szCs w:val="24"/>
          <w:lang w:val="en-GB"/>
        </w:rPr>
        <w:t>18 A</w:t>
      </w:r>
      <w:r w:rsidR="00935014" w:rsidRPr="00223BE6">
        <w:rPr>
          <w:rFonts w:ascii="Garamond" w:hAnsi="Garamond" w:cs="Times New Roman"/>
          <w:color w:val="000000" w:themeColor="text1"/>
          <w:spacing w:val="3"/>
          <w:sz w:val="24"/>
          <w:szCs w:val="24"/>
          <w:lang w:val="en-GB"/>
        </w:rPr>
        <w:t xml:space="preserve">pril 2019, from </w:t>
      </w:r>
      <w:hyperlink r:id="rId12" w:history="1">
        <w:r w:rsidR="00935014" w:rsidRPr="00223BE6">
          <w:rPr>
            <w:rStyle w:val="Hyperlink"/>
            <w:rFonts w:ascii="Garamond" w:hAnsi="Garamond" w:cs="Times New Roman"/>
            <w:spacing w:val="3"/>
            <w:sz w:val="24"/>
            <w:szCs w:val="24"/>
            <w:lang w:val="en-GB"/>
          </w:rPr>
          <w:t>https://www.migrationpolicy.org/article/debate-over-multiculturalism-philosophy-politics-and-policy</w:t>
        </w:r>
      </w:hyperlink>
      <w:r w:rsidR="00935014" w:rsidRPr="00223BE6">
        <w:rPr>
          <w:rFonts w:ascii="Garamond" w:hAnsi="Garamond" w:cs="Times New Roman"/>
          <w:color w:val="000000" w:themeColor="text1"/>
          <w:spacing w:val="3"/>
          <w:sz w:val="24"/>
          <w:szCs w:val="24"/>
          <w:lang w:val="en-GB"/>
        </w:rPr>
        <w:t xml:space="preserve">. </w:t>
      </w:r>
    </w:p>
    <w:p w14:paraId="217614E0" w14:textId="54237182" w:rsidR="00F3586B" w:rsidRPr="00223BE6" w:rsidRDefault="00F3586B" w:rsidP="00935014">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Castles, S. &amp; Miller, M. J. (2003). </w:t>
      </w:r>
      <w:r w:rsidRPr="00223BE6">
        <w:rPr>
          <w:rFonts w:ascii="Garamond" w:hAnsi="Garamond" w:cs="Times New Roman"/>
          <w:i/>
          <w:color w:val="000000" w:themeColor="text1"/>
          <w:spacing w:val="3"/>
          <w:sz w:val="24"/>
          <w:szCs w:val="24"/>
          <w:lang w:val="en-GB"/>
        </w:rPr>
        <w:t xml:space="preserve">The Age of Migration. </w:t>
      </w:r>
      <w:r w:rsidRPr="00223BE6">
        <w:rPr>
          <w:rFonts w:ascii="Garamond" w:hAnsi="Garamond" w:cs="Times New Roman"/>
          <w:color w:val="000000" w:themeColor="text1"/>
          <w:spacing w:val="3"/>
          <w:sz w:val="24"/>
          <w:szCs w:val="24"/>
          <w:lang w:val="en-GB"/>
        </w:rPr>
        <w:t xml:space="preserve">New York: The Guilford Press. </w:t>
      </w:r>
    </w:p>
    <w:p w14:paraId="6EC67026" w14:textId="35EC739F" w:rsidR="00E736FB" w:rsidRPr="00223BE6" w:rsidRDefault="00E736FB" w:rsidP="00935014">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Chauncey, G. (1994). </w:t>
      </w:r>
      <w:r w:rsidR="00D24519" w:rsidRPr="00223BE6">
        <w:rPr>
          <w:rFonts w:ascii="Garamond" w:hAnsi="Garamond" w:cs="Times New Roman"/>
          <w:i/>
          <w:color w:val="000000" w:themeColor="text1"/>
          <w:spacing w:val="3"/>
          <w:sz w:val="24"/>
          <w:szCs w:val="24"/>
          <w:lang w:val="en-GB"/>
        </w:rPr>
        <w:t>New York.</w:t>
      </w:r>
      <w:r w:rsidRPr="00223BE6">
        <w:rPr>
          <w:rFonts w:ascii="Garamond" w:hAnsi="Garamond" w:cs="Times New Roman"/>
          <w:i/>
          <w:color w:val="000000" w:themeColor="text1"/>
          <w:spacing w:val="3"/>
          <w:sz w:val="24"/>
          <w:szCs w:val="24"/>
          <w:lang w:val="en-GB"/>
        </w:rPr>
        <w:t xml:space="preserve"> Gender, Urban Culture and the Making of the Gay Male World, 1890-1940.</w:t>
      </w:r>
      <w:r w:rsidRPr="00223BE6">
        <w:rPr>
          <w:rFonts w:ascii="Garamond" w:hAnsi="Garamond" w:cs="Times New Roman"/>
          <w:color w:val="000000" w:themeColor="text1"/>
          <w:spacing w:val="3"/>
          <w:sz w:val="24"/>
          <w:szCs w:val="24"/>
          <w:lang w:val="en-GB"/>
        </w:rPr>
        <w:t xml:space="preserve"> </w:t>
      </w:r>
      <w:r w:rsidR="00D24519" w:rsidRPr="00223BE6">
        <w:rPr>
          <w:rFonts w:ascii="Garamond" w:hAnsi="Garamond" w:cs="Times New Roman"/>
          <w:color w:val="000000" w:themeColor="text1"/>
          <w:spacing w:val="3"/>
          <w:sz w:val="24"/>
          <w:szCs w:val="24"/>
          <w:lang w:val="en-GB"/>
        </w:rPr>
        <w:t xml:space="preserve">New York: Basic Books. </w:t>
      </w:r>
    </w:p>
    <w:p w14:paraId="418AA176" w14:textId="129C4FE8" w:rsidR="00B76C79" w:rsidRPr="00223BE6" w:rsidRDefault="00B76C79" w:rsidP="002620A5">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Dang, S. R. (2002). </w:t>
      </w:r>
      <w:r w:rsidRPr="00223BE6">
        <w:rPr>
          <w:rFonts w:ascii="Garamond" w:hAnsi="Garamond" w:cs="Times New Roman"/>
          <w:i/>
          <w:color w:val="000000" w:themeColor="text1"/>
          <w:spacing w:val="3"/>
          <w:sz w:val="24"/>
          <w:szCs w:val="24"/>
          <w:lang w:val="en-GB"/>
        </w:rPr>
        <w:t xml:space="preserve">Creating </w:t>
      </w:r>
      <w:proofErr w:type="spellStart"/>
      <w:r w:rsidRPr="00223BE6">
        <w:rPr>
          <w:rFonts w:ascii="Garamond" w:hAnsi="Garamond" w:cs="Times New Roman"/>
          <w:i/>
          <w:color w:val="000000" w:themeColor="text1"/>
          <w:spacing w:val="3"/>
          <w:sz w:val="24"/>
          <w:szCs w:val="24"/>
          <w:lang w:val="en-GB"/>
        </w:rPr>
        <w:t>Cosmopolis</w:t>
      </w:r>
      <w:proofErr w:type="spellEnd"/>
      <w:r w:rsidRPr="00223BE6">
        <w:rPr>
          <w:rFonts w:ascii="Garamond" w:hAnsi="Garamond" w:cs="Times New Roman"/>
          <w:i/>
          <w:color w:val="000000" w:themeColor="text1"/>
          <w:spacing w:val="3"/>
          <w:sz w:val="24"/>
          <w:szCs w:val="24"/>
          <w:lang w:val="en-GB"/>
        </w:rPr>
        <w:t xml:space="preserve">: The End of Mainstream. </w:t>
      </w:r>
      <w:r w:rsidRPr="00223BE6">
        <w:rPr>
          <w:rFonts w:ascii="Garamond" w:hAnsi="Garamond" w:cs="Times New Roman"/>
          <w:color w:val="000000" w:themeColor="text1"/>
          <w:spacing w:val="3"/>
          <w:sz w:val="24"/>
          <w:szCs w:val="24"/>
          <w:lang w:val="en-GB"/>
        </w:rPr>
        <w:t xml:space="preserve">(Unpublished Master Thesis). Vancouver: </w:t>
      </w:r>
      <w:r w:rsidR="00D1356C" w:rsidRPr="00223BE6">
        <w:rPr>
          <w:rFonts w:ascii="Garamond" w:hAnsi="Garamond" w:cs="Times New Roman"/>
          <w:color w:val="000000" w:themeColor="text1"/>
          <w:spacing w:val="3"/>
          <w:sz w:val="24"/>
          <w:szCs w:val="24"/>
          <w:lang w:val="en-GB"/>
        </w:rPr>
        <w:t>The University of British Colombia.</w:t>
      </w:r>
    </w:p>
    <w:p w14:paraId="0F5E598E" w14:textId="6563E77B" w:rsidR="00F739A5" w:rsidRPr="00223BE6" w:rsidRDefault="00F739A5" w:rsidP="002620A5">
      <w:pPr>
        <w:pStyle w:val="ListParagraph"/>
        <w:numPr>
          <w:ilvl w:val="0"/>
          <w:numId w:val="1"/>
        </w:numPr>
        <w:rPr>
          <w:rFonts w:ascii="Garamond" w:hAnsi="Garamond" w:cs="Times New Roman"/>
          <w:i/>
          <w:color w:val="000000" w:themeColor="text1"/>
          <w:spacing w:val="3"/>
          <w:sz w:val="24"/>
          <w:szCs w:val="24"/>
          <w:lang w:val="en-GB"/>
        </w:rPr>
      </w:pPr>
      <w:proofErr w:type="spellStart"/>
      <w:r w:rsidRPr="00C71D25">
        <w:rPr>
          <w:rFonts w:ascii="Garamond" w:hAnsi="Garamond" w:cs="Times New Roman"/>
          <w:color w:val="000000" w:themeColor="text1"/>
          <w:spacing w:val="3"/>
          <w:sz w:val="24"/>
          <w:szCs w:val="24"/>
          <w:lang w:val="es-ES"/>
        </w:rPr>
        <w:t>Darley</w:t>
      </w:r>
      <w:proofErr w:type="spellEnd"/>
      <w:r w:rsidRPr="00C71D25">
        <w:rPr>
          <w:rFonts w:ascii="Garamond" w:hAnsi="Garamond" w:cs="Times New Roman"/>
          <w:color w:val="000000" w:themeColor="text1"/>
          <w:spacing w:val="3"/>
          <w:sz w:val="24"/>
          <w:szCs w:val="24"/>
          <w:lang w:val="es-ES"/>
        </w:rPr>
        <w:t xml:space="preserve">, J. M. &amp; </w:t>
      </w:r>
      <w:proofErr w:type="spellStart"/>
      <w:r w:rsidRPr="00C71D25">
        <w:rPr>
          <w:rFonts w:ascii="Garamond" w:hAnsi="Garamond" w:cs="Times New Roman"/>
          <w:color w:val="000000" w:themeColor="text1"/>
          <w:spacing w:val="3"/>
          <w:sz w:val="24"/>
          <w:szCs w:val="24"/>
          <w:lang w:val="es-ES"/>
        </w:rPr>
        <w:t>Latané</w:t>
      </w:r>
      <w:proofErr w:type="spellEnd"/>
      <w:r w:rsidRPr="00C71D25">
        <w:rPr>
          <w:rFonts w:ascii="Garamond" w:hAnsi="Garamond" w:cs="Times New Roman"/>
          <w:color w:val="000000" w:themeColor="text1"/>
          <w:spacing w:val="3"/>
          <w:sz w:val="24"/>
          <w:szCs w:val="24"/>
          <w:lang w:val="es-ES"/>
        </w:rPr>
        <w:t xml:space="preserve">, B. (1969). </w:t>
      </w:r>
      <w:r w:rsidRPr="00223BE6">
        <w:rPr>
          <w:rFonts w:ascii="Garamond" w:hAnsi="Garamond" w:cs="Times New Roman"/>
          <w:color w:val="000000" w:themeColor="text1"/>
          <w:spacing w:val="3"/>
          <w:sz w:val="24"/>
          <w:szCs w:val="24"/>
          <w:lang w:val="en-GB"/>
        </w:rPr>
        <w:t xml:space="preserve">Bystander “Apathy”. </w:t>
      </w:r>
      <w:r w:rsidRPr="00223BE6">
        <w:rPr>
          <w:rFonts w:ascii="Garamond" w:hAnsi="Garamond" w:cs="Times New Roman"/>
          <w:i/>
          <w:color w:val="000000" w:themeColor="text1"/>
          <w:spacing w:val="3"/>
          <w:sz w:val="24"/>
          <w:szCs w:val="24"/>
          <w:lang w:val="en-GB"/>
        </w:rPr>
        <w:t>American Scientist, 57</w:t>
      </w:r>
      <w:r w:rsidR="009A7A97" w:rsidRPr="00223BE6">
        <w:rPr>
          <w:rFonts w:ascii="Garamond" w:hAnsi="Garamond" w:cs="Times New Roman"/>
          <w:color w:val="000000" w:themeColor="text1"/>
          <w:spacing w:val="3"/>
          <w:sz w:val="24"/>
          <w:szCs w:val="24"/>
          <w:lang w:val="en-GB"/>
        </w:rPr>
        <w:t>(2),</w:t>
      </w:r>
      <w:r w:rsidRPr="00223BE6">
        <w:rPr>
          <w:rFonts w:ascii="Garamond" w:hAnsi="Garamond" w:cs="Times New Roman"/>
          <w:color w:val="000000" w:themeColor="text1"/>
          <w:spacing w:val="3"/>
          <w:sz w:val="24"/>
          <w:szCs w:val="24"/>
          <w:lang w:val="en-GB"/>
        </w:rPr>
        <w:t xml:space="preserve"> 244-268. </w:t>
      </w:r>
    </w:p>
    <w:p w14:paraId="44B43B51" w14:textId="05C6D2AD" w:rsidR="00F84154" w:rsidRPr="00223BE6" w:rsidRDefault="00F84154" w:rsidP="002620A5">
      <w:pPr>
        <w:pStyle w:val="ListParagraph"/>
        <w:numPr>
          <w:ilvl w:val="0"/>
          <w:numId w:val="1"/>
        </w:numPr>
        <w:rPr>
          <w:rFonts w:ascii="Garamond" w:hAnsi="Garamond" w:cs="Times New Roman"/>
          <w:i/>
          <w:color w:val="000000" w:themeColor="text1"/>
          <w:spacing w:val="3"/>
          <w:sz w:val="24"/>
          <w:szCs w:val="24"/>
          <w:lang w:val="en-GB"/>
        </w:rPr>
      </w:pPr>
      <w:proofErr w:type="spellStart"/>
      <w:r w:rsidRPr="00C71D25">
        <w:rPr>
          <w:rFonts w:ascii="Garamond" w:hAnsi="Garamond" w:cs="Times New Roman"/>
          <w:color w:val="000000" w:themeColor="text1"/>
          <w:spacing w:val="3"/>
          <w:sz w:val="24"/>
          <w:szCs w:val="24"/>
        </w:rPr>
        <w:t>Dawes</w:t>
      </w:r>
      <w:proofErr w:type="spellEnd"/>
      <w:r w:rsidRPr="00C71D25">
        <w:rPr>
          <w:rFonts w:ascii="Garamond" w:hAnsi="Garamond" w:cs="Times New Roman"/>
          <w:color w:val="000000" w:themeColor="text1"/>
          <w:spacing w:val="3"/>
          <w:sz w:val="24"/>
          <w:szCs w:val="24"/>
        </w:rPr>
        <w:t xml:space="preserve">, R. M., </w:t>
      </w:r>
      <w:proofErr w:type="spellStart"/>
      <w:r w:rsidRPr="00C71D25">
        <w:rPr>
          <w:rFonts w:ascii="Garamond" w:hAnsi="Garamond" w:cs="Times New Roman"/>
          <w:color w:val="000000" w:themeColor="text1"/>
          <w:spacing w:val="3"/>
          <w:sz w:val="24"/>
          <w:szCs w:val="24"/>
        </w:rPr>
        <w:t>Orbell</w:t>
      </w:r>
      <w:proofErr w:type="spellEnd"/>
      <w:r w:rsidRPr="00C71D25">
        <w:rPr>
          <w:rFonts w:ascii="Garamond" w:hAnsi="Garamond" w:cs="Times New Roman"/>
          <w:color w:val="000000" w:themeColor="text1"/>
          <w:spacing w:val="3"/>
          <w:sz w:val="24"/>
          <w:szCs w:val="24"/>
        </w:rPr>
        <w:t xml:space="preserve">, J. M. &amp; Van de Kragt, A. J. C. (1988). </w:t>
      </w:r>
      <w:r w:rsidRPr="00223BE6">
        <w:rPr>
          <w:rFonts w:ascii="Garamond" w:hAnsi="Garamond" w:cs="Times New Roman"/>
          <w:color w:val="000000" w:themeColor="text1"/>
          <w:spacing w:val="3"/>
          <w:sz w:val="24"/>
          <w:szCs w:val="24"/>
          <w:lang w:val="en-GB"/>
        </w:rPr>
        <w:t xml:space="preserve">Explaining Discussion-Induced Cooperation. </w:t>
      </w:r>
      <w:r w:rsidRPr="00223BE6">
        <w:rPr>
          <w:rFonts w:ascii="Garamond" w:hAnsi="Garamond" w:cs="Times New Roman"/>
          <w:i/>
          <w:color w:val="000000" w:themeColor="text1"/>
          <w:spacing w:val="3"/>
          <w:sz w:val="24"/>
          <w:szCs w:val="24"/>
          <w:lang w:val="en-GB"/>
        </w:rPr>
        <w:t>Journal of Personality and Social Psychology, 54</w:t>
      </w:r>
      <w:r w:rsidRPr="00223BE6">
        <w:rPr>
          <w:rFonts w:ascii="Garamond" w:hAnsi="Garamond" w:cs="Times New Roman"/>
          <w:color w:val="000000" w:themeColor="text1"/>
          <w:spacing w:val="3"/>
          <w:sz w:val="24"/>
          <w:szCs w:val="24"/>
          <w:lang w:val="en-GB"/>
        </w:rPr>
        <w:t>(5), 811-819.</w:t>
      </w:r>
    </w:p>
    <w:p w14:paraId="31C66459" w14:textId="1AAA9386" w:rsidR="009A7A97" w:rsidRPr="00223BE6" w:rsidRDefault="009A7A97" w:rsidP="002620A5">
      <w:pPr>
        <w:pStyle w:val="ListParagraph"/>
        <w:numPr>
          <w:ilvl w:val="0"/>
          <w:numId w:val="1"/>
        </w:numPr>
        <w:rPr>
          <w:rFonts w:ascii="Garamond" w:hAnsi="Garamond" w:cs="Times New Roman"/>
          <w:i/>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Dryzek</w:t>
      </w:r>
      <w:proofErr w:type="spellEnd"/>
      <w:r w:rsidRPr="00223BE6">
        <w:rPr>
          <w:rFonts w:ascii="Garamond" w:hAnsi="Garamond" w:cs="Times New Roman"/>
          <w:color w:val="000000" w:themeColor="text1"/>
          <w:spacing w:val="3"/>
          <w:sz w:val="24"/>
          <w:szCs w:val="24"/>
          <w:lang w:val="en-GB"/>
        </w:rPr>
        <w:t xml:space="preserve">, J. S. (2005). Deliberative Democracy in </w:t>
      </w:r>
      <w:r w:rsidR="00DD5EB5" w:rsidRPr="00223BE6">
        <w:rPr>
          <w:rFonts w:ascii="Garamond" w:hAnsi="Garamond" w:cs="Times New Roman"/>
          <w:color w:val="000000" w:themeColor="text1"/>
          <w:spacing w:val="3"/>
          <w:sz w:val="24"/>
          <w:szCs w:val="24"/>
          <w:lang w:val="en-GB"/>
        </w:rPr>
        <w:t>Divided</w:t>
      </w:r>
      <w:r w:rsidRPr="00223BE6">
        <w:rPr>
          <w:rFonts w:ascii="Garamond" w:hAnsi="Garamond" w:cs="Times New Roman"/>
          <w:color w:val="000000" w:themeColor="text1"/>
          <w:spacing w:val="3"/>
          <w:sz w:val="24"/>
          <w:szCs w:val="24"/>
          <w:lang w:val="en-GB"/>
        </w:rPr>
        <w:t xml:space="preserve"> Society. </w:t>
      </w:r>
      <w:r w:rsidRPr="00223BE6">
        <w:rPr>
          <w:rFonts w:ascii="Garamond" w:hAnsi="Garamond" w:cs="Times New Roman"/>
          <w:i/>
          <w:color w:val="000000" w:themeColor="text1"/>
          <w:spacing w:val="3"/>
          <w:sz w:val="24"/>
          <w:szCs w:val="24"/>
          <w:lang w:val="en-GB"/>
        </w:rPr>
        <w:t>Political Theory, 33</w:t>
      </w:r>
      <w:r w:rsidRPr="00223BE6">
        <w:rPr>
          <w:rFonts w:ascii="Garamond" w:hAnsi="Garamond" w:cs="Times New Roman"/>
          <w:color w:val="000000" w:themeColor="text1"/>
          <w:spacing w:val="3"/>
          <w:sz w:val="24"/>
          <w:szCs w:val="24"/>
          <w:lang w:val="en-GB"/>
        </w:rPr>
        <w:t xml:space="preserve">(2), 218-242. </w:t>
      </w:r>
    </w:p>
    <w:p w14:paraId="064BB47D" w14:textId="1FDBE1D3" w:rsidR="00A91EF5" w:rsidRPr="00223BE6" w:rsidRDefault="00A91EF5" w:rsidP="002620A5">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Forester, J. (2004). Critical Moment in Negotiations: On </w:t>
      </w:r>
      <w:proofErr w:type="spellStart"/>
      <w:r w:rsidRPr="00223BE6">
        <w:rPr>
          <w:rFonts w:ascii="Garamond" w:hAnsi="Garamond" w:cs="Times New Roman"/>
          <w:color w:val="000000" w:themeColor="text1"/>
          <w:spacing w:val="3"/>
          <w:sz w:val="24"/>
          <w:szCs w:val="24"/>
          <w:lang w:val="en-GB"/>
        </w:rPr>
        <w:t>Humor</w:t>
      </w:r>
      <w:proofErr w:type="spellEnd"/>
      <w:r w:rsidRPr="00223BE6">
        <w:rPr>
          <w:rFonts w:ascii="Garamond" w:hAnsi="Garamond" w:cs="Times New Roman"/>
          <w:color w:val="000000" w:themeColor="text1"/>
          <w:spacing w:val="3"/>
          <w:sz w:val="24"/>
          <w:szCs w:val="24"/>
          <w:lang w:val="en-GB"/>
        </w:rPr>
        <w:t>, Recognition and Hope. Negotiation Journal 20(2):</w:t>
      </w:r>
      <w:r w:rsidR="00A24EA3" w:rsidRPr="00223BE6">
        <w:rPr>
          <w:rFonts w:ascii="Garamond" w:hAnsi="Garamond" w:cs="Times New Roman"/>
          <w:color w:val="000000" w:themeColor="text1"/>
          <w:spacing w:val="3"/>
          <w:sz w:val="24"/>
          <w:szCs w:val="24"/>
          <w:lang w:val="en-GB"/>
        </w:rPr>
        <w:t xml:space="preserve"> 231-238. </w:t>
      </w:r>
    </w:p>
    <w:p w14:paraId="72E6BDBB" w14:textId="70672438" w:rsidR="00A91EF5" w:rsidRPr="00223BE6" w:rsidRDefault="00380D32" w:rsidP="00A91EF5">
      <w:pPr>
        <w:pStyle w:val="ListParagraph"/>
        <w:numPr>
          <w:ilvl w:val="0"/>
          <w:numId w:val="1"/>
        </w:numPr>
        <w:rPr>
          <w:rFonts w:ascii="Garamond" w:hAnsi="Garamond" w:cs="Times New Roman"/>
          <w:i/>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Forester, J. (2009). </w:t>
      </w:r>
      <w:r w:rsidRPr="00223BE6">
        <w:rPr>
          <w:rFonts w:ascii="Garamond" w:hAnsi="Garamond" w:cs="Times New Roman"/>
          <w:i/>
          <w:color w:val="000000" w:themeColor="text1"/>
          <w:spacing w:val="3"/>
          <w:sz w:val="24"/>
          <w:szCs w:val="24"/>
          <w:lang w:val="en-GB"/>
        </w:rPr>
        <w:t xml:space="preserve">Dealing with Differences. Dramas of Mediating Public Disputes. </w:t>
      </w:r>
      <w:r w:rsidRPr="00223BE6">
        <w:rPr>
          <w:rFonts w:ascii="Garamond" w:hAnsi="Garamond" w:cs="Times New Roman"/>
          <w:color w:val="000000" w:themeColor="text1"/>
          <w:spacing w:val="3"/>
          <w:sz w:val="24"/>
          <w:szCs w:val="24"/>
          <w:lang w:val="en-GB"/>
        </w:rPr>
        <w:t>New York: Oxford University Press.</w:t>
      </w:r>
    </w:p>
    <w:p w14:paraId="237BDD36" w14:textId="2CF629A8" w:rsidR="00CB2628" w:rsidRPr="00223BE6" w:rsidRDefault="00CB2628" w:rsidP="002620A5">
      <w:pPr>
        <w:pStyle w:val="ListParagraph"/>
        <w:numPr>
          <w:ilvl w:val="0"/>
          <w:numId w:val="1"/>
        </w:numPr>
        <w:rPr>
          <w:rFonts w:ascii="Garamond" w:hAnsi="Garamond" w:cs="Times New Roman"/>
          <w:i/>
          <w:color w:val="000000" w:themeColor="text1"/>
          <w:spacing w:val="3"/>
          <w:sz w:val="24"/>
          <w:szCs w:val="24"/>
          <w:lang w:val="en-GB"/>
        </w:rPr>
      </w:pPr>
      <w:r w:rsidRPr="00C71D25">
        <w:rPr>
          <w:rFonts w:ascii="Garamond" w:hAnsi="Garamond" w:cs="Times New Roman"/>
          <w:color w:val="000000" w:themeColor="text1"/>
          <w:spacing w:val="3"/>
          <w:sz w:val="24"/>
          <w:szCs w:val="24"/>
          <w:lang w:val="de-DE"/>
        </w:rPr>
        <w:t>Friedmann</w:t>
      </w:r>
      <w:r w:rsidR="00686F2E" w:rsidRPr="00C71D25">
        <w:rPr>
          <w:rFonts w:ascii="Garamond" w:hAnsi="Garamond" w:cs="Times New Roman"/>
          <w:color w:val="000000" w:themeColor="text1"/>
          <w:spacing w:val="3"/>
          <w:sz w:val="24"/>
          <w:szCs w:val="24"/>
          <w:lang w:val="de-DE"/>
        </w:rPr>
        <w:t>,</w:t>
      </w:r>
      <w:r w:rsidRPr="00C71D25">
        <w:rPr>
          <w:rFonts w:ascii="Garamond" w:hAnsi="Garamond" w:cs="Times New Roman"/>
          <w:color w:val="000000" w:themeColor="text1"/>
          <w:spacing w:val="3"/>
          <w:sz w:val="24"/>
          <w:szCs w:val="24"/>
          <w:lang w:val="de-DE"/>
        </w:rPr>
        <w:t xml:space="preserve"> J. &amp; Lehrer, U.</w:t>
      </w:r>
      <w:r w:rsidR="00686F2E" w:rsidRPr="00C71D25">
        <w:rPr>
          <w:rFonts w:ascii="Garamond" w:hAnsi="Garamond" w:cs="Times New Roman"/>
          <w:color w:val="000000" w:themeColor="text1"/>
          <w:spacing w:val="3"/>
          <w:sz w:val="24"/>
          <w:szCs w:val="24"/>
          <w:lang w:val="de-DE"/>
        </w:rPr>
        <w:t xml:space="preserve"> </w:t>
      </w:r>
      <w:r w:rsidRPr="00C71D25">
        <w:rPr>
          <w:rFonts w:ascii="Garamond" w:hAnsi="Garamond" w:cs="Times New Roman"/>
          <w:color w:val="000000" w:themeColor="text1"/>
          <w:spacing w:val="3"/>
          <w:sz w:val="24"/>
          <w:szCs w:val="24"/>
          <w:lang w:val="de-DE"/>
        </w:rPr>
        <w:t xml:space="preserve">A. (1997). </w:t>
      </w:r>
      <w:r w:rsidRPr="00223BE6">
        <w:rPr>
          <w:rFonts w:ascii="Garamond" w:hAnsi="Garamond" w:cs="Times New Roman"/>
          <w:color w:val="000000" w:themeColor="text1"/>
          <w:spacing w:val="3"/>
          <w:sz w:val="24"/>
          <w:szCs w:val="24"/>
          <w:lang w:val="en-GB"/>
        </w:rPr>
        <w:t xml:space="preserve">Urban Policy Responses to foreign In-Migration: The Case of Frankfurt-am-Main. </w:t>
      </w:r>
      <w:r w:rsidRPr="00223BE6">
        <w:rPr>
          <w:rFonts w:ascii="Garamond" w:hAnsi="Garamond" w:cs="Times New Roman"/>
          <w:i/>
          <w:color w:val="000000" w:themeColor="text1"/>
          <w:spacing w:val="3"/>
          <w:sz w:val="24"/>
          <w:szCs w:val="24"/>
          <w:lang w:val="en-GB"/>
        </w:rPr>
        <w:t>Journal of the American Planning Association, 63</w:t>
      </w:r>
      <w:r w:rsidRPr="00223BE6">
        <w:rPr>
          <w:rFonts w:ascii="Garamond" w:hAnsi="Garamond" w:cs="Times New Roman"/>
          <w:color w:val="000000" w:themeColor="text1"/>
          <w:spacing w:val="3"/>
          <w:sz w:val="24"/>
          <w:szCs w:val="24"/>
          <w:lang w:val="en-GB"/>
        </w:rPr>
        <w:t xml:space="preserve">(1), 61-78. </w:t>
      </w:r>
    </w:p>
    <w:p w14:paraId="27CBFFE3" w14:textId="73C93C21" w:rsidR="00DC3497" w:rsidRPr="00223BE6" w:rsidRDefault="00DC3497" w:rsidP="002620A5">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Glover, R. W. (</w:t>
      </w:r>
      <w:r w:rsidR="008949F2" w:rsidRPr="00223BE6">
        <w:rPr>
          <w:rFonts w:ascii="Garamond" w:hAnsi="Garamond" w:cs="Times New Roman"/>
          <w:color w:val="000000" w:themeColor="text1"/>
          <w:spacing w:val="3"/>
          <w:sz w:val="24"/>
          <w:szCs w:val="24"/>
          <w:lang w:val="en-GB"/>
        </w:rPr>
        <w:t xml:space="preserve">2011). Of Virtues and Values: Sympathy, Empathy, and </w:t>
      </w:r>
      <w:proofErr w:type="spellStart"/>
      <w:r w:rsidR="008949F2" w:rsidRPr="00223BE6">
        <w:rPr>
          <w:rFonts w:ascii="Garamond" w:hAnsi="Garamond" w:cs="Times New Roman"/>
          <w:color w:val="000000" w:themeColor="text1"/>
          <w:spacing w:val="3"/>
          <w:sz w:val="24"/>
          <w:szCs w:val="24"/>
          <w:lang w:val="en-GB"/>
        </w:rPr>
        <w:t>Ag</w:t>
      </w:r>
      <w:r w:rsidR="00600328" w:rsidRPr="00223BE6">
        <w:rPr>
          <w:rFonts w:ascii="Garamond" w:hAnsi="Garamond" w:cs="Times New Roman"/>
          <w:color w:val="000000" w:themeColor="text1"/>
          <w:spacing w:val="3"/>
          <w:sz w:val="24"/>
          <w:szCs w:val="24"/>
          <w:lang w:val="en-GB"/>
        </w:rPr>
        <w:t>o</w:t>
      </w:r>
      <w:r w:rsidR="008949F2" w:rsidRPr="00223BE6">
        <w:rPr>
          <w:rFonts w:ascii="Garamond" w:hAnsi="Garamond" w:cs="Times New Roman"/>
          <w:color w:val="000000" w:themeColor="text1"/>
          <w:spacing w:val="3"/>
          <w:sz w:val="24"/>
          <w:szCs w:val="24"/>
          <w:lang w:val="en-GB"/>
        </w:rPr>
        <w:t>nostic</w:t>
      </w:r>
      <w:proofErr w:type="spellEnd"/>
      <w:r w:rsidR="008949F2" w:rsidRPr="00223BE6">
        <w:rPr>
          <w:rFonts w:ascii="Garamond" w:hAnsi="Garamond" w:cs="Times New Roman"/>
          <w:color w:val="000000" w:themeColor="text1"/>
          <w:spacing w:val="3"/>
          <w:sz w:val="24"/>
          <w:szCs w:val="24"/>
          <w:lang w:val="en-GB"/>
        </w:rPr>
        <w:t xml:space="preserve"> Respect in Recent Democratic Theory (APSA 2011 Annual Meeting Paper). Washington D.C.: American Political Science Association. </w:t>
      </w:r>
    </w:p>
    <w:p w14:paraId="572C4CC7" w14:textId="02FF3BAE" w:rsidR="00F739A5" w:rsidRPr="00223BE6" w:rsidRDefault="00F739A5" w:rsidP="002620A5">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Hollander, P. &amp; Milgram, S. (1964). The Murder They Heard. </w:t>
      </w:r>
      <w:r w:rsidRPr="00223BE6">
        <w:rPr>
          <w:rFonts w:ascii="Garamond" w:hAnsi="Garamond" w:cs="Times New Roman"/>
          <w:i/>
          <w:color w:val="000000" w:themeColor="text1"/>
          <w:spacing w:val="3"/>
          <w:sz w:val="24"/>
          <w:szCs w:val="24"/>
          <w:lang w:val="en-GB"/>
        </w:rPr>
        <w:t xml:space="preserve">The Nation, </w:t>
      </w:r>
      <w:r w:rsidRPr="00223BE6">
        <w:rPr>
          <w:rFonts w:ascii="Garamond" w:hAnsi="Garamond" w:cs="Times New Roman"/>
          <w:color w:val="000000" w:themeColor="text1"/>
          <w:spacing w:val="3"/>
          <w:sz w:val="24"/>
          <w:szCs w:val="24"/>
          <w:lang w:val="en-GB"/>
        </w:rPr>
        <w:t>p. 602-604.</w:t>
      </w:r>
      <w:r w:rsidRPr="00223BE6">
        <w:rPr>
          <w:rFonts w:ascii="Garamond" w:hAnsi="Garamond" w:cs="Times New Roman"/>
          <w:i/>
          <w:color w:val="000000" w:themeColor="text1"/>
          <w:spacing w:val="3"/>
          <w:sz w:val="24"/>
          <w:szCs w:val="24"/>
          <w:lang w:val="en-GB"/>
        </w:rPr>
        <w:t xml:space="preserve"> </w:t>
      </w:r>
    </w:p>
    <w:p w14:paraId="7E2FFC06" w14:textId="5A98DD57" w:rsidR="004974FA" w:rsidRPr="00223BE6" w:rsidRDefault="004974FA" w:rsidP="002620A5">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Landry, C. &amp; Wood, P. (2008). </w:t>
      </w:r>
      <w:r w:rsidRPr="00223BE6">
        <w:rPr>
          <w:rFonts w:ascii="Garamond" w:hAnsi="Garamond" w:cs="Times New Roman"/>
          <w:i/>
          <w:color w:val="000000" w:themeColor="text1"/>
          <w:spacing w:val="3"/>
          <w:sz w:val="24"/>
          <w:szCs w:val="24"/>
          <w:lang w:val="en-GB"/>
        </w:rPr>
        <w:t>The Intercultural City. Planning for Diversity Planning.</w:t>
      </w:r>
      <w:r w:rsidRPr="00223BE6">
        <w:rPr>
          <w:rFonts w:ascii="Garamond" w:hAnsi="Garamond" w:cs="Times New Roman"/>
          <w:color w:val="000000" w:themeColor="text1"/>
          <w:spacing w:val="3"/>
          <w:sz w:val="24"/>
          <w:szCs w:val="24"/>
          <w:lang w:val="en-GB"/>
        </w:rPr>
        <w:t xml:space="preserve"> London: </w:t>
      </w:r>
      <w:proofErr w:type="spellStart"/>
      <w:r w:rsidRPr="00223BE6">
        <w:rPr>
          <w:rFonts w:ascii="Garamond" w:hAnsi="Garamond" w:cs="Times New Roman"/>
          <w:color w:val="000000" w:themeColor="text1"/>
          <w:spacing w:val="3"/>
          <w:sz w:val="24"/>
          <w:szCs w:val="24"/>
          <w:lang w:val="en-GB"/>
        </w:rPr>
        <w:t>Earthscan</w:t>
      </w:r>
      <w:proofErr w:type="spellEnd"/>
      <w:r w:rsidRPr="00223BE6">
        <w:rPr>
          <w:rFonts w:ascii="Garamond" w:hAnsi="Garamond" w:cs="Times New Roman"/>
          <w:color w:val="000000" w:themeColor="text1"/>
          <w:spacing w:val="3"/>
          <w:sz w:val="24"/>
          <w:szCs w:val="24"/>
          <w:lang w:val="en-GB"/>
        </w:rPr>
        <w:t xml:space="preserve">. </w:t>
      </w:r>
    </w:p>
    <w:p w14:paraId="35703822" w14:textId="7FF80F38" w:rsidR="00C140B1" w:rsidRPr="00223BE6" w:rsidRDefault="00C140B1" w:rsidP="00C140B1">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Merry, M. S. (2013). </w:t>
      </w:r>
      <w:r w:rsidRPr="00223BE6">
        <w:rPr>
          <w:rFonts w:ascii="Garamond" w:hAnsi="Garamond" w:cs="Times New Roman"/>
          <w:i/>
          <w:color w:val="000000" w:themeColor="text1"/>
          <w:spacing w:val="3"/>
          <w:sz w:val="24"/>
          <w:szCs w:val="24"/>
          <w:lang w:val="en-GB"/>
        </w:rPr>
        <w:t>Equality, Citizenship, and Segregation.</w:t>
      </w:r>
      <w:r w:rsidRPr="00223BE6">
        <w:rPr>
          <w:rFonts w:ascii="Garamond" w:hAnsi="Garamond" w:cs="Times New Roman"/>
          <w:color w:val="000000" w:themeColor="text1"/>
          <w:spacing w:val="3"/>
          <w:sz w:val="24"/>
          <w:szCs w:val="24"/>
          <w:lang w:val="en-GB"/>
        </w:rPr>
        <w:t xml:space="preserve"> Palgrave Macmillan: New York</w:t>
      </w:r>
    </w:p>
    <w:p w14:paraId="7D58289F" w14:textId="10D1680D" w:rsidR="004F02C8" w:rsidRPr="00223BE6" w:rsidRDefault="004F02C8" w:rsidP="004F02C8">
      <w:pPr>
        <w:pStyle w:val="ListParagraph"/>
        <w:numPr>
          <w:ilvl w:val="0"/>
          <w:numId w:val="1"/>
        </w:numPr>
        <w:jc w:val="both"/>
        <w:rPr>
          <w:rFonts w:ascii="Garamond" w:hAnsi="Garamond" w:cs="Times New Roman"/>
          <w:color w:val="000000" w:themeColor="text1"/>
          <w:sz w:val="24"/>
          <w:szCs w:val="24"/>
          <w:lang w:val="en-GB"/>
        </w:rPr>
      </w:pPr>
      <w:r w:rsidRPr="00223BE6">
        <w:rPr>
          <w:rFonts w:ascii="Garamond" w:hAnsi="Garamond" w:cs="Times New Roman"/>
          <w:color w:val="000000" w:themeColor="text1"/>
          <w:sz w:val="24"/>
          <w:szCs w:val="24"/>
          <w:lang w:val="en-GB"/>
        </w:rPr>
        <w:t xml:space="preserve">Milgram, S. (1970). The Experience of Living in Cities. </w:t>
      </w:r>
      <w:r w:rsidRPr="00223BE6">
        <w:rPr>
          <w:rFonts w:ascii="Garamond" w:hAnsi="Garamond" w:cs="Times New Roman"/>
          <w:i/>
          <w:color w:val="000000" w:themeColor="text1"/>
          <w:sz w:val="24"/>
          <w:szCs w:val="24"/>
          <w:lang w:val="en-GB"/>
        </w:rPr>
        <w:t>American Association for the Advancement of Science, 157</w:t>
      </w:r>
      <w:r w:rsidRPr="00223BE6">
        <w:rPr>
          <w:rFonts w:ascii="Garamond" w:hAnsi="Garamond" w:cs="Times New Roman"/>
          <w:color w:val="000000" w:themeColor="text1"/>
          <w:sz w:val="24"/>
          <w:szCs w:val="24"/>
          <w:lang w:val="en-GB"/>
        </w:rPr>
        <w:t xml:space="preserve">(3924), 1461-1468. </w:t>
      </w:r>
    </w:p>
    <w:p w14:paraId="794BF9DB" w14:textId="12A4AAC5" w:rsidR="007035DD" w:rsidRPr="00223BE6" w:rsidRDefault="007035DD" w:rsidP="007035DD">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Mouffe</w:t>
      </w:r>
      <w:proofErr w:type="spellEnd"/>
      <w:r w:rsidRPr="00223BE6">
        <w:rPr>
          <w:rFonts w:ascii="Garamond" w:hAnsi="Garamond" w:cs="Times New Roman"/>
          <w:color w:val="000000" w:themeColor="text1"/>
          <w:spacing w:val="3"/>
          <w:sz w:val="24"/>
          <w:szCs w:val="24"/>
          <w:lang w:val="en-GB"/>
        </w:rPr>
        <w:t xml:space="preserve">, C. (2000). </w:t>
      </w:r>
      <w:r w:rsidRPr="00223BE6">
        <w:rPr>
          <w:rFonts w:ascii="Garamond" w:hAnsi="Garamond" w:cs="Times New Roman"/>
          <w:i/>
          <w:color w:val="000000" w:themeColor="text1"/>
          <w:spacing w:val="3"/>
          <w:sz w:val="24"/>
          <w:szCs w:val="24"/>
          <w:lang w:val="en-GB"/>
        </w:rPr>
        <w:t xml:space="preserve">The </w:t>
      </w:r>
      <w:r w:rsidR="00497356" w:rsidRPr="00223BE6">
        <w:rPr>
          <w:rFonts w:ascii="Garamond" w:hAnsi="Garamond" w:cs="Times New Roman"/>
          <w:i/>
          <w:color w:val="000000" w:themeColor="text1"/>
          <w:spacing w:val="3"/>
          <w:sz w:val="24"/>
          <w:szCs w:val="24"/>
          <w:lang w:val="en-GB"/>
        </w:rPr>
        <w:t>Democratic</w:t>
      </w:r>
      <w:r w:rsidRPr="00223BE6">
        <w:rPr>
          <w:rFonts w:ascii="Garamond" w:hAnsi="Garamond" w:cs="Times New Roman"/>
          <w:i/>
          <w:color w:val="000000" w:themeColor="text1"/>
          <w:spacing w:val="3"/>
          <w:sz w:val="24"/>
          <w:szCs w:val="24"/>
          <w:lang w:val="en-GB"/>
        </w:rPr>
        <w:t xml:space="preserve"> Paradox.</w:t>
      </w:r>
      <w:r w:rsidRPr="00223BE6">
        <w:rPr>
          <w:rFonts w:ascii="Garamond" w:hAnsi="Garamond" w:cs="Times New Roman"/>
          <w:color w:val="000000" w:themeColor="text1"/>
          <w:spacing w:val="3"/>
          <w:sz w:val="24"/>
          <w:szCs w:val="24"/>
          <w:lang w:val="en-GB"/>
        </w:rPr>
        <w:t xml:space="preserve"> London: Verso Books. </w:t>
      </w:r>
    </w:p>
    <w:p w14:paraId="52193D57" w14:textId="2239D565" w:rsidR="00F84154" w:rsidRPr="00223BE6" w:rsidRDefault="001A13D4" w:rsidP="00F84154">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Mouffe</w:t>
      </w:r>
      <w:proofErr w:type="spellEnd"/>
      <w:r w:rsidRPr="00223BE6">
        <w:rPr>
          <w:rFonts w:ascii="Garamond" w:hAnsi="Garamond" w:cs="Times New Roman"/>
          <w:color w:val="000000" w:themeColor="text1"/>
          <w:spacing w:val="3"/>
          <w:sz w:val="24"/>
          <w:szCs w:val="24"/>
          <w:lang w:val="en-GB"/>
        </w:rPr>
        <w:t xml:space="preserve">, C. (2005). </w:t>
      </w:r>
      <w:r w:rsidRPr="00223BE6">
        <w:rPr>
          <w:rFonts w:ascii="Garamond" w:hAnsi="Garamond" w:cs="Times New Roman"/>
          <w:i/>
          <w:color w:val="000000" w:themeColor="text1"/>
          <w:spacing w:val="3"/>
          <w:sz w:val="24"/>
          <w:szCs w:val="24"/>
          <w:lang w:val="en-GB"/>
        </w:rPr>
        <w:t>On the Political</w:t>
      </w:r>
      <w:r w:rsidRPr="00223BE6">
        <w:rPr>
          <w:rFonts w:ascii="Garamond" w:hAnsi="Garamond" w:cs="Times New Roman"/>
          <w:color w:val="000000" w:themeColor="text1"/>
          <w:spacing w:val="3"/>
          <w:sz w:val="24"/>
          <w:szCs w:val="24"/>
          <w:lang w:val="en-GB"/>
        </w:rPr>
        <w:t xml:space="preserve">. London: Routledge.   </w:t>
      </w:r>
    </w:p>
    <w:p w14:paraId="1FBC3812" w14:textId="497F2F04" w:rsidR="007A05B7" w:rsidRPr="00223BE6" w:rsidRDefault="007A05B7" w:rsidP="00602A81">
      <w:pPr>
        <w:pStyle w:val="ListParagraph"/>
        <w:numPr>
          <w:ilvl w:val="0"/>
          <w:numId w:val="1"/>
        </w:numPr>
        <w:rPr>
          <w:rFonts w:ascii="Garamond" w:hAnsi="Garamond" w:cs="Times New Roman"/>
          <w:color w:val="000000" w:themeColor="text1"/>
          <w:spacing w:val="3"/>
          <w:sz w:val="24"/>
          <w:szCs w:val="24"/>
          <w:lang w:val="en-GB"/>
        </w:rPr>
      </w:pPr>
      <w:r w:rsidRPr="00C71D25">
        <w:rPr>
          <w:rFonts w:ascii="Garamond" w:hAnsi="Garamond" w:cs="Times New Roman"/>
          <w:color w:val="000000" w:themeColor="text1"/>
          <w:spacing w:val="3"/>
          <w:sz w:val="24"/>
          <w:szCs w:val="24"/>
        </w:rPr>
        <w:t>NOS (201</w:t>
      </w:r>
      <w:r w:rsidR="00602A81" w:rsidRPr="00C71D25">
        <w:rPr>
          <w:rFonts w:ascii="Garamond" w:hAnsi="Garamond" w:cs="Times New Roman"/>
          <w:color w:val="000000" w:themeColor="text1"/>
          <w:spacing w:val="3"/>
          <w:sz w:val="24"/>
          <w:szCs w:val="24"/>
        </w:rPr>
        <w:t xml:space="preserve">9, 4 </w:t>
      </w:r>
      <w:proofErr w:type="spellStart"/>
      <w:r w:rsidR="00602A81" w:rsidRPr="00C71D25">
        <w:rPr>
          <w:rFonts w:ascii="Garamond" w:hAnsi="Garamond" w:cs="Times New Roman"/>
          <w:color w:val="000000" w:themeColor="text1"/>
          <w:spacing w:val="3"/>
          <w:sz w:val="24"/>
          <w:szCs w:val="24"/>
        </w:rPr>
        <w:t>June</w:t>
      </w:r>
      <w:proofErr w:type="spellEnd"/>
      <w:r w:rsidR="00602A81" w:rsidRPr="00C71D25">
        <w:rPr>
          <w:rFonts w:ascii="Garamond" w:hAnsi="Garamond" w:cs="Times New Roman"/>
          <w:color w:val="000000" w:themeColor="text1"/>
          <w:spacing w:val="3"/>
          <w:sz w:val="24"/>
          <w:szCs w:val="24"/>
        </w:rPr>
        <w:t xml:space="preserve">). </w:t>
      </w:r>
      <w:proofErr w:type="spellStart"/>
      <w:r w:rsidR="00602A81" w:rsidRPr="00C71D25">
        <w:rPr>
          <w:rFonts w:ascii="Garamond" w:hAnsi="Garamond" w:cs="Times New Roman"/>
          <w:color w:val="000000" w:themeColor="text1"/>
          <w:spacing w:val="3"/>
          <w:sz w:val="24"/>
          <w:szCs w:val="24"/>
        </w:rPr>
        <w:t>Pegida</w:t>
      </w:r>
      <w:proofErr w:type="spellEnd"/>
      <w:r w:rsidR="00602A81" w:rsidRPr="00C71D25">
        <w:rPr>
          <w:rFonts w:ascii="Garamond" w:hAnsi="Garamond" w:cs="Times New Roman"/>
          <w:color w:val="000000" w:themeColor="text1"/>
          <w:spacing w:val="3"/>
          <w:sz w:val="24"/>
          <w:szCs w:val="24"/>
        </w:rPr>
        <w:t xml:space="preserve"> houdt met handjevol activisten de gemoederen flink bezig. </w:t>
      </w:r>
      <w:r w:rsidR="00602A81" w:rsidRPr="00223BE6">
        <w:rPr>
          <w:rFonts w:ascii="Garamond" w:hAnsi="Garamond" w:cs="Times New Roman"/>
          <w:color w:val="000000" w:themeColor="text1"/>
          <w:spacing w:val="3"/>
          <w:sz w:val="24"/>
          <w:szCs w:val="24"/>
          <w:lang w:val="en-GB"/>
        </w:rPr>
        <w:t xml:space="preserve">Retrieved on 20 June 2019, from </w:t>
      </w:r>
      <w:hyperlink r:id="rId13" w:history="1">
        <w:r w:rsidR="00602A81" w:rsidRPr="00223BE6">
          <w:rPr>
            <w:rStyle w:val="Hyperlink"/>
            <w:rFonts w:ascii="Garamond" w:hAnsi="Garamond" w:cs="Times New Roman"/>
            <w:spacing w:val="3"/>
            <w:sz w:val="24"/>
            <w:szCs w:val="24"/>
            <w:lang w:val="en-GB"/>
          </w:rPr>
          <w:t>https://nos.nl/artikel/2287610-pegida-houdt-met-handjevol-activisten-de-gemoederen-flink-bezig.html</w:t>
        </w:r>
      </w:hyperlink>
      <w:r w:rsidR="00602A81" w:rsidRPr="00223BE6">
        <w:rPr>
          <w:rFonts w:ascii="Garamond" w:hAnsi="Garamond" w:cs="Times New Roman"/>
          <w:color w:val="000000" w:themeColor="text1"/>
          <w:spacing w:val="3"/>
          <w:sz w:val="24"/>
          <w:szCs w:val="24"/>
          <w:lang w:val="en-GB"/>
        </w:rPr>
        <w:t xml:space="preserve">. </w:t>
      </w:r>
    </w:p>
    <w:p w14:paraId="3A828FE8" w14:textId="480B9687" w:rsidR="00432374" w:rsidRPr="00223BE6" w:rsidRDefault="00432374" w:rsidP="00432374">
      <w:pPr>
        <w:pStyle w:val="ListParagraph"/>
        <w:numPr>
          <w:ilvl w:val="0"/>
          <w:numId w:val="1"/>
        </w:numPr>
        <w:rPr>
          <w:rFonts w:ascii="Garamond" w:hAnsi="Garamond" w:cs="Times New Roman"/>
          <w:color w:val="000000" w:themeColor="text1"/>
          <w:spacing w:val="3"/>
          <w:sz w:val="24"/>
          <w:szCs w:val="24"/>
          <w:lang w:val="en-GB"/>
        </w:rPr>
      </w:pPr>
      <w:r w:rsidRPr="00C71D25">
        <w:rPr>
          <w:rFonts w:ascii="Garamond" w:hAnsi="Garamond" w:cs="Times New Roman"/>
          <w:color w:val="000000" w:themeColor="text1"/>
          <w:spacing w:val="3"/>
          <w:sz w:val="24"/>
          <w:szCs w:val="24"/>
        </w:rPr>
        <w:t xml:space="preserve">Nu.nl (2017, 18 </w:t>
      </w:r>
      <w:proofErr w:type="spellStart"/>
      <w:r w:rsidRPr="00C71D25">
        <w:rPr>
          <w:rFonts w:ascii="Garamond" w:hAnsi="Garamond" w:cs="Times New Roman"/>
          <w:color w:val="000000" w:themeColor="text1"/>
          <w:spacing w:val="3"/>
          <w:sz w:val="24"/>
          <w:szCs w:val="24"/>
        </w:rPr>
        <w:t>July</w:t>
      </w:r>
      <w:proofErr w:type="spellEnd"/>
      <w:r w:rsidRPr="00C71D25">
        <w:rPr>
          <w:rFonts w:ascii="Garamond" w:hAnsi="Garamond" w:cs="Times New Roman"/>
          <w:color w:val="000000" w:themeColor="text1"/>
          <w:spacing w:val="3"/>
          <w:sz w:val="24"/>
          <w:szCs w:val="24"/>
        </w:rPr>
        <w:t xml:space="preserve">). Minister Blok: ‘Ik ken geen multiculturele samenleving die vreedzaam is’. </w:t>
      </w:r>
      <w:r w:rsidR="006865E3" w:rsidRPr="00223BE6">
        <w:rPr>
          <w:rFonts w:ascii="Garamond" w:hAnsi="Garamond" w:cs="Times New Roman"/>
          <w:color w:val="000000" w:themeColor="text1"/>
          <w:spacing w:val="3"/>
          <w:sz w:val="24"/>
          <w:szCs w:val="24"/>
          <w:lang w:val="en-GB"/>
        </w:rPr>
        <w:t>Retrieved on 20 June</w:t>
      </w:r>
      <w:r w:rsidRPr="00223BE6">
        <w:rPr>
          <w:rFonts w:ascii="Garamond" w:hAnsi="Garamond" w:cs="Times New Roman"/>
          <w:color w:val="000000" w:themeColor="text1"/>
          <w:spacing w:val="3"/>
          <w:sz w:val="24"/>
          <w:szCs w:val="24"/>
          <w:lang w:val="en-GB"/>
        </w:rPr>
        <w:t xml:space="preserve"> 2019, from </w:t>
      </w:r>
      <w:hyperlink r:id="rId14" w:history="1">
        <w:r w:rsidRPr="00223BE6">
          <w:rPr>
            <w:rStyle w:val="Hyperlink"/>
            <w:rFonts w:ascii="Garamond" w:hAnsi="Garamond" w:cs="Times New Roman"/>
            <w:spacing w:val="3"/>
            <w:sz w:val="24"/>
            <w:szCs w:val="24"/>
            <w:lang w:val="en-GB"/>
          </w:rPr>
          <w:t>https://www.nu.nl/politiek/5370869/minister-blok-ik-ken-geen-multiculturele-samenleving-vreedzaam-is.html</w:t>
        </w:r>
      </w:hyperlink>
      <w:r w:rsidRPr="00223BE6">
        <w:rPr>
          <w:rFonts w:ascii="Garamond" w:hAnsi="Garamond" w:cs="Times New Roman"/>
          <w:color w:val="000000" w:themeColor="text1"/>
          <w:spacing w:val="3"/>
          <w:sz w:val="24"/>
          <w:szCs w:val="24"/>
          <w:lang w:val="en-GB"/>
        </w:rPr>
        <w:t xml:space="preserve">. </w:t>
      </w:r>
    </w:p>
    <w:p w14:paraId="029CA5CB" w14:textId="3E7094D1" w:rsidR="006865E3" w:rsidRPr="00223BE6" w:rsidRDefault="006865E3" w:rsidP="006865E3">
      <w:pPr>
        <w:pStyle w:val="ListParagraph"/>
        <w:numPr>
          <w:ilvl w:val="0"/>
          <w:numId w:val="1"/>
        </w:numPr>
        <w:rPr>
          <w:rFonts w:ascii="Garamond" w:hAnsi="Garamond" w:cs="Times New Roman"/>
          <w:color w:val="000000" w:themeColor="text1"/>
          <w:spacing w:val="3"/>
          <w:sz w:val="24"/>
          <w:szCs w:val="24"/>
          <w:lang w:val="en-GB"/>
        </w:rPr>
      </w:pPr>
      <w:r w:rsidRPr="00C71D25">
        <w:rPr>
          <w:rFonts w:ascii="Garamond" w:hAnsi="Garamond" w:cs="Times New Roman"/>
          <w:color w:val="000000" w:themeColor="text1"/>
          <w:spacing w:val="3"/>
          <w:sz w:val="24"/>
          <w:szCs w:val="24"/>
        </w:rPr>
        <w:t xml:space="preserve">Nu.nl (2015, 11 </w:t>
      </w:r>
      <w:proofErr w:type="spellStart"/>
      <w:r w:rsidRPr="00C71D25">
        <w:rPr>
          <w:rFonts w:ascii="Garamond" w:hAnsi="Garamond" w:cs="Times New Roman"/>
          <w:color w:val="000000" w:themeColor="text1"/>
          <w:spacing w:val="3"/>
          <w:sz w:val="24"/>
          <w:szCs w:val="24"/>
        </w:rPr>
        <w:t>October</w:t>
      </w:r>
      <w:proofErr w:type="spellEnd"/>
      <w:r w:rsidRPr="00C71D25">
        <w:rPr>
          <w:rFonts w:ascii="Garamond" w:hAnsi="Garamond" w:cs="Times New Roman"/>
          <w:color w:val="000000" w:themeColor="text1"/>
          <w:spacing w:val="3"/>
          <w:sz w:val="24"/>
          <w:szCs w:val="24"/>
        </w:rPr>
        <w:t xml:space="preserve">). </w:t>
      </w:r>
      <w:proofErr w:type="spellStart"/>
      <w:r w:rsidRPr="00C71D25">
        <w:rPr>
          <w:rFonts w:ascii="Garamond" w:hAnsi="Garamond" w:cs="Times New Roman"/>
          <w:color w:val="000000" w:themeColor="text1"/>
          <w:spacing w:val="3"/>
          <w:sz w:val="24"/>
          <w:szCs w:val="24"/>
        </w:rPr>
        <w:t>Pegida</w:t>
      </w:r>
      <w:proofErr w:type="spellEnd"/>
      <w:r w:rsidRPr="00C71D25">
        <w:rPr>
          <w:rFonts w:ascii="Garamond" w:hAnsi="Garamond" w:cs="Times New Roman"/>
          <w:color w:val="000000" w:themeColor="text1"/>
          <w:spacing w:val="3"/>
          <w:sz w:val="24"/>
          <w:szCs w:val="24"/>
        </w:rPr>
        <w:t>: Een</w:t>
      </w:r>
      <w:r w:rsidR="00602A81" w:rsidRPr="00C71D25">
        <w:rPr>
          <w:rFonts w:ascii="Garamond" w:hAnsi="Garamond" w:cs="Times New Roman"/>
          <w:color w:val="000000" w:themeColor="text1"/>
          <w:spacing w:val="3"/>
          <w:sz w:val="24"/>
          <w:szCs w:val="24"/>
        </w:rPr>
        <w:t xml:space="preserve"> k</w:t>
      </w:r>
      <w:r w:rsidRPr="00C71D25">
        <w:rPr>
          <w:rFonts w:ascii="Garamond" w:hAnsi="Garamond" w:cs="Times New Roman"/>
          <w:color w:val="000000" w:themeColor="text1"/>
          <w:spacing w:val="3"/>
          <w:sz w:val="24"/>
          <w:szCs w:val="24"/>
        </w:rPr>
        <w:t>orte</w:t>
      </w:r>
      <w:r w:rsidR="00602A81" w:rsidRPr="00C71D25">
        <w:rPr>
          <w:rFonts w:ascii="Garamond" w:hAnsi="Garamond" w:cs="Times New Roman"/>
          <w:color w:val="000000" w:themeColor="text1"/>
          <w:spacing w:val="3"/>
          <w:sz w:val="24"/>
          <w:szCs w:val="24"/>
        </w:rPr>
        <w:t xml:space="preserve"> uitleg van de p</w:t>
      </w:r>
      <w:r w:rsidRPr="00C71D25">
        <w:rPr>
          <w:rFonts w:ascii="Garamond" w:hAnsi="Garamond" w:cs="Times New Roman"/>
          <w:color w:val="000000" w:themeColor="text1"/>
          <w:spacing w:val="3"/>
          <w:sz w:val="24"/>
          <w:szCs w:val="24"/>
        </w:rPr>
        <w:t>rotestb</w:t>
      </w:r>
      <w:r w:rsidR="00602A81" w:rsidRPr="00C71D25">
        <w:rPr>
          <w:rFonts w:ascii="Garamond" w:hAnsi="Garamond" w:cs="Times New Roman"/>
          <w:color w:val="000000" w:themeColor="text1"/>
          <w:spacing w:val="3"/>
          <w:sz w:val="24"/>
          <w:szCs w:val="24"/>
        </w:rPr>
        <w:t>e</w:t>
      </w:r>
      <w:r w:rsidRPr="00C71D25">
        <w:rPr>
          <w:rFonts w:ascii="Garamond" w:hAnsi="Garamond" w:cs="Times New Roman"/>
          <w:color w:val="000000" w:themeColor="text1"/>
          <w:spacing w:val="3"/>
          <w:sz w:val="24"/>
          <w:szCs w:val="24"/>
        </w:rPr>
        <w:t xml:space="preserve">weging. </w:t>
      </w:r>
      <w:r w:rsidRPr="00223BE6">
        <w:rPr>
          <w:rFonts w:ascii="Garamond" w:hAnsi="Garamond" w:cs="Times New Roman"/>
          <w:color w:val="000000" w:themeColor="text1"/>
          <w:spacing w:val="3"/>
          <w:sz w:val="24"/>
          <w:szCs w:val="24"/>
          <w:lang w:val="en-GB"/>
        </w:rPr>
        <w:t xml:space="preserve">Retrieved on 20 June 2019, from </w:t>
      </w:r>
      <w:hyperlink r:id="rId15" w:history="1">
        <w:r w:rsidRPr="00223BE6">
          <w:rPr>
            <w:rStyle w:val="Hyperlink"/>
            <w:rFonts w:ascii="Garamond" w:hAnsi="Garamond" w:cs="Times New Roman"/>
            <w:spacing w:val="3"/>
            <w:sz w:val="24"/>
            <w:szCs w:val="24"/>
            <w:lang w:val="en-GB"/>
          </w:rPr>
          <w:t>https://www.nu.nl/dvn/4143009/pegida-korte-uitleg-van-protestbeweging.html</w:t>
        </w:r>
      </w:hyperlink>
      <w:r w:rsidRPr="00223BE6">
        <w:rPr>
          <w:rFonts w:ascii="Garamond" w:hAnsi="Garamond" w:cs="Times New Roman"/>
          <w:color w:val="000000" w:themeColor="text1"/>
          <w:spacing w:val="3"/>
          <w:sz w:val="24"/>
          <w:szCs w:val="24"/>
          <w:lang w:val="en-GB"/>
        </w:rPr>
        <w:t xml:space="preserve">. </w:t>
      </w:r>
    </w:p>
    <w:p w14:paraId="7A7DDD96" w14:textId="0062A2B7" w:rsidR="006A235C" w:rsidRPr="00223BE6" w:rsidRDefault="006A235C" w:rsidP="001A13D4">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lastRenderedPageBreak/>
        <w:t>Papademetrious</w:t>
      </w:r>
      <w:proofErr w:type="spellEnd"/>
      <w:r w:rsidRPr="00223BE6">
        <w:rPr>
          <w:rFonts w:ascii="Garamond" w:hAnsi="Garamond" w:cs="Times New Roman"/>
          <w:color w:val="000000" w:themeColor="text1"/>
          <w:spacing w:val="3"/>
          <w:sz w:val="24"/>
          <w:szCs w:val="24"/>
          <w:lang w:val="en-GB"/>
        </w:rPr>
        <w:t xml:space="preserve">, D. (2002). Reflection on International Migration and its Future. </w:t>
      </w:r>
      <w:r w:rsidR="003D3144" w:rsidRPr="00223BE6">
        <w:rPr>
          <w:rFonts w:ascii="Garamond" w:hAnsi="Garamond" w:cs="Times New Roman"/>
          <w:color w:val="000000" w:themeColor="text1"/>
          <w:spacing w:val="3"/>
          <w:sz w:val="24"/>
          <w:szCs w:val="24"/>
          <w:lang w:val="en-GB"/>
        </w:rPr>
        <w:t xml:space="preserve">Law Journal, 4(2), 933-966).  </w:t>
      </w:r>
    </w:p>
    <w:p w14:paraId="6308ECD8" w14:textId="2231203E" w:rsidR="00E87DC9" w:rsidRPr="00223BE6" w:rsidRDefault="00E87DC9" w:rsidP="00E87DC9">
      <w:pPr>
        <w:pStyle w:val="ListParagraph"/>
        <w:numPr>
          <w:ilvl w:val="0"/>
          <w:numId w:val="1"/>
        </w:numPr>
        <w:rPr>
          <w:rFonts w:ascii="Garamond" w:hAnsi="Garamond" w:cs="Times New Roman"/>
          <w:i/>
          <w:color w:val="000000" w:themeColor="text1"/>
          <w:spacing w:val="3"/>
          <w:sz w:val="24"/>
          <w:szCs w:val="24"/>
          <w:lang w:val="en-GB"/>
        </w:rPr>
      </w:pPr>
      <w:proofErr w:type="spellStart"/>
      <w:r w:rsidRPr="00C71D25">
        <w:rPr>
          <w:rFonts w:ascii="Garamond" w:hAnsi="Garamond" w:cs="Times New Roman"/>
          <w:color w:val="000000" w:themeColor="text1"/>
          <w:spacing w:val="3"/>
          <w:sz w:val="24"/>
          <w:szCs w:val="24"/>
        </w:rPr>
        <w:t>R</w:t>
      </w:r>
      <w:r w:rsidR="00501B66" w:rsidRPr="00C71D25">
        <w:rPr>
          <w:rFonts w:ascii="Garamond" w:hAnsi="Garamond" w:cs="Times New Roman"/>
          <w:color w:val="000000" w:themeColor="text1"/>
          <w:spacing w:val="3"/>
          <w:sz w:val="24"/>
          <w:szCs w:val="24"/>
        </w:rPr>
        <w:t>itzen</w:t>
      </w:r>
      <w:proofErr w:type="spellEnd"/>
      <w:r w:rsidR="00501B66" w:rsidRPr="00C71D25">
        <w:rPr>
          <w:rFonts w:ascii="Garamond" w:hAnsi="Garamond" w:cs="Times New Roman"/>
          <w:color w:val="000000" w:themeColor="text1"/>
          <w:spacing w:val="3"/>
          <w:sz w:val="24"/>
          <w:szCs w:val="24"/>
        </w:rPr>
        <w:t xml:space="preserve">, G. (2019, 15 </w:t>
      </w:r>
      <w:proofErr w:type="spellStart"/>
      <w:r w:rsidR="00501B66" w:rsidRPr="00C71D25">
        <w:rPr>
          <w:rFonts w:ascii="Garamond" w:hAnsi="Garamond" w:cs="Times New Roman"/>
          <w:color w:val="000000" w:themeColor="text1"/>
          <w:spacing w:val="3"/>
          <w:sz w:val="24"/>
          <w:szCs w:val="24"/>
        </w:rPr>
        <w:t>June</w:t>
      </w:r>
      <w:proofErr w:type="spellEnd"/>
      <w:r w:rsidR="00501B66" w:rsidRPr="00C71D25">
        <w:rPr>
          <w:rFonts w:ascii="Garamond" w:hAnsi="Garamond" w:cs="Times New Roman"/>
          <w:color w:val="000000" w:themeColor="text1"/>
          <w:spacing w:val="3"/>
          <w:sz w:val="24"/>
          <w:szCs w:val="24"/>
        </w:rPr>
        <w:t xml:space="preserve">). </w:t>
      </w:r>
      <w:proofErr w:type="spellStart"/>
      <w:r w:rsidR="00501B66" w:rsidRPr="00C71D25">
        <w:rPr>
          <w:rFonts w:ascii="Garamond" w:hAnsi="Garamond" w:cs="Times New Roman"/>
          <w:color w:val="000000" w:themeColor="text1"/>
          <w:spacing w:val="3"/>
          <w:sz w:val="24"/>
          <w:szCs w:val="24"/>
        </w:rPr>
        <w:t>Pegid</w:t>
      </w:r>
      <w:r w:rsidRPr="00C71D25">
        <w:rPr>
          <w:rFonts w:ascii="Garamond" w:hAnsi="Garamond" w:cs="Times New Roman"/>
          <w:color w:val="000000" w:themeColor="text1"/>
          <w:spacing w:val="3"/>
          <w:sz w:val="24"/>
          <w:szCs w:val="24"/>
        </w:rPr>
        <w:t>a</w:t>
      </w:r>
      <w:proofErr w:type="spellEnd"/>
      <w:r w:rsidRPr="00C71D25">
        <w:rPr>
          <w:rFonts w:ascii="Garamond" w:hAnsi="Garamond" w:cs="Times New Roman"/>
          <w:color w:val="000000" w:themeColor="text1"/>
          <w:spacing w:val="3"/>
          <w:sz w:val="24"/>
          <w:szCs w:val="24"/>
        </w:rPr>
        <w:t xml:space="preserve">-voorman Aangevallen bij Flyeractie in Eindhoven. </w:t>
      </w:r>
      <w:r w:rsidRPr="00223BE6">
        <w:rPr>
          <w:rFonts w:ascii="Garamond" w:hAnsi="Garamond" w:cs="Times New Roman"/>
          <w:i/>
          <w:color w:val="000000" w:themeColor="text1"/>
          <w:spacing w:val="3"/>
          <w:sz w:val="24"/>
          <w:szCs w:val="24"/>
          <w:lang w:val="en-GB"/>
        </w:rPr>
        <w:t xml:space="preserve">NRC. </w:t>
      </w:r>
      <w:r w:rsidRPr="00223BE6">
        <w:rPr>
          <w:rFonts w:ascii="Garamond" w:hAnsi="Garamond" w:cs="Times New Roman"/>
          <w:color w:val="000000" w:themeColor="text1"/>
          <w:spacing w:val="3"/>
          <w:sz w:val="24"/>
          <w:szCs w:val="24"/>
          <w:lang w:val="en-GB"/>
        </w:rPr>
        <w:t xml:space="preserve">Retrieved on 20 June 2019, from </w:t>
      </w:r>
      <w:hyperlink r:id="rId16" w:history="1">
        <w:r w:rsidRPr="00223BE6">
          <w:rPr>
            <w:rStyle w:val="Hyperlink"/>
            <w:rFonts w:ascii="Garamond" w:hAnsi="Garamond" w:cs="Times New Roman"/>
            <w:spacing w:val="3"/>
            <w:sz w:val="24"/>
            <w:szCs w:val="24"/>
            <w:lang w:val="en-GB"/>
          </w:rPr>
          <w:t>https://www.nrc.nl/nieuws/2019/06/15/pegida-voorman-aangevallen-bij-flyeractie-in-eindhoven-a3963851</w:t>
        </w:r>
      </w:hyperlink>
      <w:r w:rsidRPr="00223BE6">
        <w:rPr>
          <w:rFonts w:ascii="Garamond" w:hAnsi="Garamond" w:cs="Times New Roman"/>
          <w:color w:val="000000" w:themeColor="text1"/>
          <w:spacing w:val="3"/>
          <w:sz w:val="24"/>
          <w:szCs w:val="24"/>
          <w:lang w:val="en-GB"/>
        </w:rPr>
        <w:t xml:space="preserve">. </w:t>
      </w:r>
    </w:p>
    <w:p w14:paraId="4A58DE0A" w14:textId="374CE60F" w:rsidR="00D27EEF" w:rsidRPr="00223BE6" w:rsidRDefault="001A13D4" w:rsidP="00C43572">
      <w:pPr>
        <w:pStyle w:val="ListParagraph"/>
        <w:numPr>
          <w:ilvl w:val="0"/>
          <w:numId w:val="1"/>
        </w:numPr>
        <w:rPr>
          <w:rFonts w:ascii="Garamond" w:hAnsi="Garamond" w:cs="Times New Roman"/>
          <w:color w:val="000000" w:themeColor="text1"/>
          <w:spacing w:val="3"/>
          <w:sz w:val="24"/>
          <w:szCs w:val="24"/>
          <w:lang w:val="en-GB"/>
        </w:rPr>
      </w:pPr>
      <w:proofErr w:type="spellStart"/>
      <w:r w:rsidRPr="00C71D25">
        <w:rPr>
          <w:rFonts w:ascii="Garamond" w:hAnsi="Garamond" w:cs="Times New Roman"/>
          <w:color w:val="000000" w:themeColor="text1"/>
          <w:spacing w:val="3"/>
          <w:sz w:val="24"/>
          <w:szCs w:val="24"/>
          <w:lang w:val="en-GB"/>
        </w:rPr>
        <w:t>Sandercock</w:t>
      </w:r>
      <w:proofErr w:type="spellEnd"/>
      <w:r w:rsidRPr="00C71D25">
        <w:rPr>
          <w:rFonts w:ascii="Garamond" w:hAnsi="Garamond" w:cs="Times New Roman"/>
          <w:color w:val="000000" w:themeColor="text1"/>
          <w:spacing w:val="3"/>
          <w:sz w:val="24"/>
          <w:szCs w:val="24"/>
          <w:lang w:val="en-GB"/>
        </w:rPr>
        <w:t xml:space="preserve">, L. (2003). </w:t>
      </w:r>
      <w:proofErr w:type="spellStart"/>
      <w:r w:rsidRPr="00C71D25">
        <w:rPr>
          <w:rFonts w:ascii="Garamond" w:hAnsi="Garamond" w:cs="Times New Roman"/>
          <w:i/>
          <w:color w:val="000000" w:themeColor="text1"/>
          <w:spacing w:val="3"/>
          <w:sz w:val="24"/>
          <w:szCs w:val="24"/>
          <w:lang w:val="en-GB"/>
        </w:rPr>
        <w:t>Cosmopolis</w:t>
      </w:r>
      <w:proofErr w:type="spellEnd"/>
      <w:r w:rsidRPr="00C71D25">
        <w:rPr>
          <w:rFonts w:ascii="Garamond" w:hAnsi="Garamond" w:cs="Times New Roman"/>
          <w:i/>
          <w:color w:val="000000" w:themeColor="text1"/>
          <w:spacing w:val="3"/>
          <w:sz w:val="24"/>
          <w:szCs w:val="24"/>
          <w:lang w:val="en-GB"/>
        </w:rPr>
        <w:t xml:space="preserve"> II. </w:t>
      </w:r>
      <w:r w:rsidRPr="00C71D25">
        <w:rPr>
          <w:rFonts w:ascii="Garamond" w:hAnsi="Garamond" w:cs="Times New Roman"/>
          <w:color w:val="000000" w:themeColor="text1"/>
          <w:spacing w:val="3"/>
          <w:sz w:val="24"/>
          <w:szCs w:val="24"/>
          <w:lang w:val="en-GB"/>
        </w:rPr>
        <w:t>London</w:t>
      </w:r>
      <w:r w:rsidRPr="00223BE6">
        <w:rPr>
          <w:rFonts w:ascii="Garamond" w:hAnsi="Garamond" w:cs="Times New Roman"/>
          <w:color w:val="000000" w:themeColor="text1"/>
          <w:spacing w:val="3"/>
          <w:sz w:val="24"/>
          <w:szCs w:val="24"/>
          <w:lang w:val="en-GB"/>
        </w:rPr>
        <w:t xml:space="preserve">: Continuum. </w:t>
      </w:r>
    </w:p>
    <w:p w14:paraId="38B16B36" w14:textId="7E84EFA7" w:rsidR="005D6F4D" w:rsidRPr="00223BE6" w:rsidRDefault="00653455" w:rsidP="005D6F4D">
      <w:pPr>
        <w:pStyle w:val="ListParagraph"/>
        <w:numPr>
          <w:ilvl w:val="0"/>
          <w:numId w:val="1"/>
        </w:numPr>
        <w:rPr>
          <w:rFonts w:ascii="Garamond" w:hAnsi="Garamond" w:cs="Times New Roman"/>
          <w:i/>
          <w:sz w:val="24"/>
          <w:szCs w:val="24"/>
          <w:lang w:val="en-GB"/>
        </w:rPr>
      </w:pPr>
      <w:proofErr w:type="spellStart"/>
      <w:r w:rsidRPr="00223BE6">
        <w:rPr>
          <w:rFonts w:ascii="Garamond" w:hAnsi="Garamond" w:cs="Times New Roman"/>
          <w:sz w:val="24"/>
          <w:szCs w:val="24"/>
          <w:lang w:val="en-GB"/>
        </w:rPr>
        <w:t>Sangha</w:t>
      </w:r>
      <w:r w:rsidR="00D260FB" w:rsidRPr="00223BE6">
        <w:rPr>
          <w:rFonts w:ascii="Garamond" w:hAnsi="Garamond" w:cs="Times New Roman"/>
          <w:sz w:val="24"/>
          <w:szCs w:val="24"/>
          <w:lang w:val="en-GB"/>
        </w:rPr>
        <w:t>ni</w:t>
      </w:r>
      <w:proofErr w:type="spellEnd"/>
      <w:r w:rsidR="00D260FB" w:rsidRPr="00223BE6">
        <w:rPr>
          <w:rFonts w:ascii="Garamond" w:hAnsi="Garamond" w:cs="Times New Roman"/>
          <w:sz w:val="24"/>
          <w:szCs w:val="24"/>
          <w:lang w:val="en-GB"/>
        </w:rPr>
        <w:t>, R. (2017). Burka bans: The C</w:t>
      </w:r>
      <w:r w:rsidR="00B516B3">
        <w:rPr>
          <w:rFonts w:ascii="Garamond" w:hAnsi="Garamond" w:cs="Times New Roman"/>
          <w:sz w:val="24"/>
          <w:szCs w:val="24"/>
          <w:lang w:val="en-GB"/>
        </w:rPr>
        <w:t>ountries Where Muslim Women Can’</w:t>
      </w:r>
      <w:r w:rsidR="00D260FB" w:rsidRPr="00223BE6">
        <w:rPr>
          <w:rFonts w:ascii="Garamond" w:hAnsi="Garamond" w:cs="Times New Roman"/>
          <w:sz w:val="24"/>
          <w:szCs w:val="24"/>
          <w:lang w:val="en-GB"/>
        </w:rPr>
        <w:t>t Wear V</w:t>
      </w:r>
      <w:r w:rsidRPr="00223BE6">
        <w:rPr>
          <w:rFonts w:ascii="Garamond" w:hAnsi="Garamond" w:cs="Times New Roman"/>
          <w:sz w:val="24"/>
          <w:szCs w:val="24"/>
          <w:lang w:val="en-GB"/>
        </w:rPr>
        <w:t>eils.</w:t>
      </w:r>
      <w:r w:rsidRPr="00223BE6">
        <w:rPr>
          <w:rFonts w:ascii="Garamond" w:hAnsi="Garamond" w:cs="Times New Roman"/>
          <w:i/>
          <w:sz w:val="24"/>
          <w:szCs w:val="24"/>
          <w:lang w:val="en-GB"/>
        </w:rPr>
        <w:t xml:space="preserve"> Telegraph. </w:t>
      </w:r>
      <w:r w:rsidRPr="00223BE6">
        <w:rPr>
          <w:rFonts w:ascii="Garamond" w:hAnsi="Garamond" w:cs="Times New Roman"/>
          <w:sz w:val="24"/>
          <w:szCs w:val="24"/>
          <w:lang w:val="en-GB"/>
        </w:rPr>
        <w:t xml:space="preserve">Retrieved on 18 May 2019, from </w:t>
      </w:r>
      <w:hyperlink r:id="rId17" w:history="1">
        <w:r w:rsidRPr="00223BE6">
          <w:rPr>
            <w:rStyle w:val="Hyperlink"/>
            <w:rFonts w:ascii="Garamond" w:hAnsi="Garamond" w:cs="Times New Roman"/>
            <w:sz w:val="24"/>
            <w:szCs w:val="24"/>
            <w:lang w:val="en-GB"/>
          </w:rPr>
          <w:t>https://www.telegraph.co.uk/women/life/burka-bans-the-countries-where-muslim-women-cant-wear-veils/</w:t>
        </w:r>
      </w:hyperlink>
      <w:r w:rsidRPr="00223BE6">
        <w:rPr>
          <w:rFonts w:ascii="Garamond" w:hAnsi="Garamond" w:cs="Times New Roman"/>
          <w:sz w:val="24"/>
          <w:szCs w:val="24"/>
          <w:lang w:val="en-GB"/>
        </w:rPr>
        <w:t xml:space="preserve">. </w:t>
      </w:r>
    </w:p>
    <w:p w14:paraId="56417187" w14:textId="4B3388FE" w:rsidR="004F02C8" w:rsidRPr="00223BE6" w:rsidRDefault="004F02C8" w:rsidP="004F02C8">
      <w:pPr>
        <w:pStyle w:val="ListParagraph"/>
        <w:numPr>
          <w:ilvl w:val="0"/>
          <w:numId w:val="1"/>
        </w:numPr>
        <w:jc w:val="both"/>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Schipper</w:t>
      </w:r>
      <w:proofErr w:type="spellEnd"/>
      <w:r w:rsidRPr="00223BE6">
        <w:rPr>
          <w:rFonts w:ascii="Garamond" w:hAnsi="Garamond" w:cs="Times New Roman"/>
          <w:color w:val="000000" w:themeColor="text1"/>
          <w:spacing w:val="3"/>
          <w:sz w:val="24"/>
          <w:szCs w:val="24"/>
          <w:lang w:val="en-GB"/>
        </w:rPr>
        <w:t xml:space="preserve">, N. &amp; </w:t>
      </w:r>
      <w:proofErr w:type="spellStart"/>
      <w:r w:rsidRPr="00223BE6">
        <w:rPr>
          <w:rFonts w:ascii="Garamond" w:hAnsi="Garamond" w:cs="Times New Roman"/>
          <w:color w:val="000000" w:themeColor="text1"/>
          <w:spacing w:val="3"/>
          <w:sz w:val="24"/>
          <w:szCs w:val="24"/>
          <w:lang w:val="en-GB"/>
        </w:rPr>
        <w:t>Wildermeersch</w:t>
      </w:r>
      <w:proofErr w:type="spellEnd"/>
      <w:r w:rsidRPr="00223BE6">
        <w:rPr>
          <w:rFonts w:ascii="Garamond" w:hAnsi="Garamond" w:cs="Times New Roman"/>
          <w:color w:val="000000" w:themeColor="text1"/>
          <w:spacing w:val="3"/>
          <w:sz w:val="24"/>
          <w:szCs w:val="24"/>
          <w:lang w:val="en-GB"/>
        </w:rPr>
        <w:t>, D. (2007). Dealing with Difference on the Shop Floor</w:t>
      </w:r>
      <w:r w:rsidRPr="00223BE6">
        <w:rPr>
          <w:rFonts w:ascii="Garamond" w:hAnsi="Garamond" w:cs="Times New Roman"/>
          <w:i/>
          <w:color w:val="000000" w:themeColor="text1"/>
          <w:spacing w:val="3"/>
          <w:sz w:val="24"/>
          <w:szCs w:val="24"/>
          <w:lang w:val="en-GB"/>
        </w:rPr>
        <w:t xml:space="preserve">. </w:t>
      </w:r>
      <w:r w:rsidRPr="00223BE6">
        <w:rPr>
          <w:rFonts w:ascii="Garamond" w:hAnsi="Garamond" w:cs="Times New Roman"/>
          <w:color w:val="000000" w:themeColor="text1"/>
          <w:spacing w:val="3"/>
          <w:sz w:val="24"/>
          <w:szCs w:val="24"/>
          <w:lang w:val="en-GB"/>
        </w:rPr>
        <w:t xml:space="preserve">In R. van der Veen &amp; J. W. Youngblood (Ed.), </w:t>
      </w:r>
      <w:r w:rsidRPr="00223BE6">
        <w:rPr>
          <w:rFonts w:ascii="Garamond" w:hAnsi="Garamond" w:cs="Times New Roman"/>
          <w:i/>
          <w:color w:val="000000" w:themeColor="text1"/>
          <w:spacing w:val="3"/>
          <w:sz w:val="24"/>
          <w:szCs w:val="24"/>
          <w:lang w:val="en-GB"/>
        </w:rPr>
        <w:t xml:space="preserve">Democratic Practices as Learning Opportunities </w:t>
      </w:r>
      <w:r w:rsidRPr="00223BE6">
        <w:rPr>
          <w:rFonts w:ascii="Garamond" w:hAnsi="Garamond" w:cs="Times New Roman"/>
          <w:color w:val="000000" w:themeColor="text1"/>
          <w:spacing w:val="3"/>
          <w:sz w:val="24"/>
          <w:szCs w:val="24"/>
          <w:lang w:val="en-GB"/>
        </w:rPr>
        <w:t xml:space="preserve">(170-174). Rotterdam: Sense Publisher. </w:t>
      </w:r>
    </w:p>
    <w:p w14:paraId="179BC7E8" w14:textId="5208068F" w:rsidR="00C73958" w:rsidRPr="00223BE6" w:rsidRDefault="008D3111" w:rsidP="001A13D4">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Schmitt, C</w:t>
      </w:r>
      <w:r w:rsidR="00C73958" w:rsidRPr="00223BE6">
        <w:rPr>
          <w:rFonts w:ascii="Garamond" w:hAnsi="Garamond" w:cs="Times New Roman"/>
          <w:color w:val="000000" w:themeColor="text1"/>
          <w:spacing w:val="3"/>
          <w:sz w:val="24"/>
          <w:szCs w:val="24"/>
          <w:lang w:val="en-GB"/>
        </w:rPr>
        <w:t xml:space="preserve">. </w:t>
      </w:r>
      <w:r w:rsidR="00AD5D2A" w:rsidRPr="00223BE6">
        <w:rPr>
          <w:rFonts w:ascii="Garamond" w:hAnsi="Garamond" w:cs="Times New Roman"/>
          <w:color w:val="000000" w:themeColor="text1"/>
          <w:spacing w:val="3"/>
          <w:sz w:val="24"/>
          <w:szCs w:val="24"/>
          <w:lang w:val="en-GB"/>
        </w:rPr>
        <w:t xml:space="preserve">(2007). </w:t>
      </w:r>
      <w:r w:rsidR="00AD5D2A" w:rsidRPr="00223BE6">
        <w:rPr>
          <w:rFonts w:ascii="Garamond" w:hAnsi="Garamond" w:cs="Times New Roman"/>
          <w:i/>
          <w:color w:val="000000" w:themeColor="text1"/>
          <w:spacing w:val="3"/>
          <w:sz w:val="24"/>
          <w:szCs w:val="24"/>
          <w:lang w:val="en-GB"/>
        </w:rPr>
        <w:t>The</w:t>
      </w:r>
      <w:r w:rsidR="0022335D" w:rsidRPr="00223BE6">
        <w:rPr>
          <w:rFonts w:ascii="Garamond" w:hAnsi="Garamond" w:cs="Times New Roman"/>
          <w:i/>
          <w:color w:val="000000" w:themeColor="text1"/>
          <w:spacing w:val="3"/>
          <w:sz w:val="24"/>
          <w:szCs w:val="24"/>
          <w:lang w:val="en-GB"/>
        </w:rPr>
        <w:t xml:space="preserve"> Concept of the Political</w:t>
      </w:r>
      <w:r w:rsidR="0022335D" w:rsidRPr="00223BE6">
        <w:rPr>
          <w:rFonts w:ascii="Garamond" w:hAnsi="Garamond" w:cs="Times New Roman"/>
          <w:color w:val="000000" w:themeColor="text1"/>
          <w:spacing w:val="3"/>
          <w:sz w:val="24"/>
          <w:szCs w:val="24"/>
          <w:lang w:val="en-GB"/>
        </w:rPr>
        <w:t xml:space="preserve">. Chicago: The University of Chicago Press. </w:t>
      </w:r>
    </w:p>
    <w:p w14:paraId="18F075A4" w14:textId="06461D37" w:rsidR="00D260FB" w:rsidRPr="00223BE6" w:rsidRDefault="00D260FB" w:rsidP="001A13D4">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Sennet</w:t>
      </w:r>
      <w:r w:rsidR="00270616" w:rsidRPr="00223BE6">
        <w:rPr>
          <w:rFonts w:ascii="Garamond" w:hAnsi="Garamond" w:cs="Times New Roman"/>
          <w:color w:val="000000" w:themeColor="text1"/>
          <w:spacing w:val="3"/>
          <w:sz w:val="24"/>
          <w:szCs w:val="24"/>
          <w:lang w:val="en-GB"/>
        </w:rPr>
        <w:t>t</w:t>
      </w:r>
      <w:r w:rsidRPr="00223BE6">
        <w:rPr>
          <w:rFonts w:ascii="Garamond" w:hAnsi="Garamond" w:cs="Times New Roman"/>
          <w:color w:val="000000" w:themeColor="text1"/>
          <w:spacing w:val="3"/>
          <w:sz w:val="24"/>
          <w:szCs w:val="24"/>
          <w:lang w:val="en-GB"/>
        </w:rPr>
        <w:t xml:space="preserve">, R. (1970). </w:t>
      </w:r>
      <w:r w:rsidRPr="00223BE6">
        <w:rPr>
          <w:rFonts w:ascii="Garamond" w:hAnsi="Garamond" w:cs="Times New Roman"/>
          <w:i/>
          <w:color w:val="000000" w:themeColor="text1"/>
          <w:spacing w:val="3"/>
          <w:sz w:val="24"/>
          <w:szCs w:val="24"/>
          <w:lang w:val="en-GB"/>
        </w:rPr>
        <w:t>The Use of Disorder. Personal Identity and City Life.</w:t>
      </w:r>
      <w:r w:rsidRPr="00223BE6">
        <w:rPr>
          <w:rFonts w:ascii="Garamond" w:hAnsi="Garamond" w:cs="Times New Roman"/>
          <w:color w:val="000000" w:themeColor="text1"/>
          <w:spacing w:val="3"/>
          <w:sz w:val="24"/>
          <w:szCs w:val="24"/>
          <w:lang w:val="en-GB"/>
        </w:rPr>
        <w:t xml:space="preserve"> </w:t>
      </w:r>
      <w:r w:rsidR="002C5085" w:rsidRPr="00223BE6">
        <w:rPr>
          <w:rFonts w:ascii="Garamond" w:hAnsi="Garamond" w:cs="Times New Roman"/>
          <w:color w:val="000000" w:themeColor="text1"/>
          <w:spacing w:val="3"/>
          <w:sz w:val="24"/>
          <w:szCs w:val="24"/>
          <w:lang w:val="en-GB"/>
        </w:rPr>
        <w:t xml:space="preserve">New York: Vintage Books. </w:t>
      </w:r>
    </w:p>
    <w:p w14:paraId="46E93160" w14:textId="51B27DB8" w:rsidR="00270616" w:rsidRPr="00223BE6" w:rsidRDefault="00270616" w:rsidP="001A13D4">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Sennett, R. (2018). </w:t>
      </w:r>
      <w:r w:rsidRPr="00223BE6">
        <w:rPr>
          <w:rFonts w:ascii="Garamond" w:hAnsi="Garamond" w:cs="Times New Roman"/>
          <w:i/>
          <w:color w:val="000000" w:themeColor="text1"/>
          <w:spacing w:val="3"/>
          <w:sz w:val="24"/>
          <w:szCs w:val="24"/>
          <w:lang w:val="en-GB"/>
        </w:rPr>
        <w:t xml:space="preserve">Building and Dwelling. Ethics for the City. </w:t>
      </w:r>
      <w:r w:rsidR="00565ABE" w:rsidRPr="00223BE6">
        <w:rPr>
          <w:rFonts w:ascii="Garamond" w:hAnsi="Garamond" w:cs="Times New Roman"/>
          <w:color w:val="000000" w:themeColor="text1"/>
          <w:spacing w:val="3"/>
          <w:sz w:val="24"/>
          <w:szCs w:val="24"/>
          <w:lang w:val="en-GB"/>
        </w:rPr>
        <w:t xml:space="preserve">New York: Farrar, Straus &amp; Giroux. </w:t>
      </w:r>
    </w:p>
    <w:p w14:paraId="344F9516" w14:textId="7D504C15" w:rsidR="004F02C8" w:rsidRPr="00223BE6" w:rsidRDefault="004F02C8" w:rsidP="004F02C8">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Simmel, G. (1903). The Metropolis and Mental Life. Retrieved on 6 April 2019, from </w:t>
      </w:r>
      <w:hyperlink r:id="rId18" w:history="1">
        <w:r w:rsidRPr="00223BE6">
          <w:rPr>
            <w:rStyle w:val="Hyperlink"/>
            <w:rFonts w:ascii="Garamond" w:hAnsi="Garamond" w:cs="Times New Roman"/>
            <w:spacing w:val="3"/>
            <w:sz w:val="24"/>
            <w:szCs w:val="24"/>
            <w:lang w:val="en-GB"/>
          </w:rPr>
          <w:t>https://www.blackwellpublishing.com/content/bpl_images/content_store/sample_chapter/0631225137/bridge.pdf</w:t>
        </w:r>
      </w:hyperlink>
      <w:r w:rsidRPr="00223BE6">
        <w:rPr>
          <w:rFonts w:ascii="Garamond" w:hAnsi="Garamond" w:cs="Times New Roman"/>
          <w:color w:val="000000" w:themeColor="text1"/>
          <w:spacing w:val="3"/>
          <w:sz w:val="24"/>
          <w:szCs w:val="24"/>
          <w:lang w:val="en-GB"/>
        </w:rPr>
        <w:t xml:space="preserve">.  </w:t>
      </w:r>
    </w:p>
    <w:p w14:paraId="7EB99444" w14:textId="251FA40C" w:rsidR="004F02C8" w:rsidRPr="00223BE6" w:rsidRDefault="004F02C8" w:rsidP="004F02C8">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Tonkiss</w:t>
      </w:r>
      <w:proofErr w:type="spellEnd"/>
      <w:r w:rsidRPr="00223BE6">
        <w:rPr>
          <w:rFonts w:ascii="Garamond" w:hAnsi="Garamond" w:cs="Times New Roman"/>
          <w:color w:val="000000" w:themeColor="text1"/>
          <w:spacing w:val="3"/>
          <w:sz w:val="24"/>
          <w:szCs w:val="24"/>
          <w:lang w:val="en-GB"/>
        </w:rPr>
        <w:t xml:space="preserve">, F. (2003). The Ethics of Indifference: Community and Solitude in the City. </w:t>
      </w:r>
      <w:r w:rsidRPr="00223BE6">
        <w:rPr>
          <w:rFonts w:ascii="Garamond" w:hAnsi="Garamond" w:cs="Times New Roman"/>
          <w:i/>
          <w:color w:val="000000" w:themeColor="text1"/>
          <w:spacing w:val="3"/>
          <w:sz w:val="24"/>
          <w:szCs w:val="24"/>
          <w:lang w:val="en-GB"/>
        </w:rPr>
        <w:t>International Journal of Cultural Studies</w:t>
      </w:r>
      <w:r w:rsidRPr="00223BE6">
        <w:rPr>
          <w:rFonts w:ascii="Garamond" w:hAnsi="Garamond" w:cs="Times New Roman"/>
          <w:color w:val="000000" w:themeColor="text1"/>
          <w:spacing w:val="3"/>
          <w:sz w:val="24"/>
          <w:szCs w:val="24"/>
          <w:lang w:val="en-GB"/>
        </w:rPr>
        <w:t xml:space="preserve"> 6(3), 297-311. </w:t>
      </w:r>
    </w:p>
    <w:p w14:paraId="49E53135" w14:textId="099A1EF6" w:rsidR="00240408" w:rsidRPr="00223BE6" w:rsidRDefault="00240408" w:rsidP="00240408">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Trappenburg</w:t>
      </w:r>
      <w:proofErr w:type="spellEnd"/>
      <w:r w:rsidRPr="00223BE6">
        <w:rPr>
          <w:rFonts w:ascii="Garamond" w:hAnsi="Garamond" w:cs="Times New Roman"/>
          <w:color w:val="000000" w:themeColor="text1"/>
          <w:spacing w:val="3"/>
          <w:sz w:val="24"/>
          <w:szCs w:val="24"/>
          <w:lang w:val="en-GB"/>
        </w:rPr>
        <w:t>, M. (2003). Against Segregation: Ethnic Mixing in Liberal States. The Journal of Political Philosophy, 11(3), 295-319.</w:t>
      </w:r>
    </w:p>
    <w:p w14:paraId="78A282AE" w14:textId="77C0E336" w:rsidR="00FC65FE" w:rsidRPr="00C71D25" w:rsidRDefault="00FC65FE" w:rsidP="00FC65FE">
      <w:pPr>
        <w:pStyle w:val="ListParagraph"/>
        <w:numPr>
          <w:ilvl w:val="0"/>
          <w:numId w:val="1"/>
        </w:numPr>
        <w:rPr>
          <w:rFonts w:ascii="Garamond" w:hAnsi="Garamond" w:cs="Times New Roman"/>
          <w:i/>
          <w:color w:val="000000" w:themeColor="text1"/>
          <w:spacing w:val="3"/>
          <w:sz w:val="24"/>
          <w:szCs w:val="24"/>
          <w:lang w:val="en-GB"/>
        </w:rPr>
      </w:pPr>
      <w:r w:rsidRPr="00C71D25">
        <w:rPr>
          <w:rFonts w:ascii="Garamond" w:hAnsi="Garamond" w:cs="Times New Roman"/>
          <w:color w:val="000000" w:themeColor="text1"/>
          <w:spacing w:val="3"/>
          <w:sz w:val="24"/>
          <w:szCs w:val="24"/>
        </w:rPr>
        <w:t xml:space="preserve">Van der Bas, P. (2017, September 17). </w:t>
      </w:r>
      <w:proofErr w:type="spellStart"/>
      <w:r w:rsidRPr="00C71D25">
        <w:rPr>
          <w:rFonts w:ascii="Garamond" w:hAnsi="Garamond" w:cs="Times New Roman"/>
          <w:color w:val="000000" w:themeColor="text1"/>
          <w:spacing w:val="3"/>
          <w:sz w:val="24"/>
          <w:szCs w:val="24"/>
        </w:rPr>
        <w:t>Pegida</w:t>
      </w:r>
      <w:proofErr w:type="spellEnd"/>
      <w:r w:rsidRPr="00C71D25">
        <w:rPr>
          <w:rFonts w:ascii="Garamond" w:hAnsi="Garamond" w:cs="Times New Roman"/>
          <w:color w:val="000000" w:themeColor="text1"/>
          <w:spacing w:val="3"/>
          <w:sz w:val="24"/>
          <w:szCs w:val="24"/>
        </w:rPr>
        <w:t xml:space="preserve"> en </w:t>
      </w:r>
      <w:proofErr w:type="spellStart"/>
      <w:r w:rsidRPr="00C71D25">
        <w:rPr>
          <w:rFonts w:ascii="Garamond" w:hAnsi="Garamond" w:cs="Times New Roman"/>
          <w:color w:val="000000" w:themeColor="text1"/>
          <w:spacing w:val="3"/>
          <w:sz w:val="24"/>
          <w:szCs w:val="24"/>
        </w:rPr>
        <w:t>Antifa</w:t>
      </w:r>
      <w:proofErr w:type="spellEnd"/>
      <w:r w:rsidRPr="00C71D25">
        <w:rPr>
          <w:rFonts w:ascii="Garamond" w:hAnsi="Garamond" w:cs="Times New Roman"/>
          <w:color w:val="000000" w:themeColor="text1"/>
          <w:spacing w:val="3"/>
          <w:sz w:val="24"/>
          <w:szCs w:val="24"/>
        </w:rPr>
        <w:t xml:space="preserve"> in Enschede: </w:t>
      </w:r>
      <w:proofErr w:type="spellStart"/>
      <w:r w:rsidRPr="00C71D25">
        <w:rPr>
          <w:rFonts w:ascii="Garamond" w:hAnsi="Garamond" w:cs="Times New Roman"/>
          <w:color w:val="000000" w:themeColor="text1"/>
          <w:spacing w:val="3"/>
          <w:sz w:val="24"/>
          <w:szCs w:val="24"/>
        </w:rPr>
        <w:t>Neo-nazi’s</w:t>
      </w:r>
      <w:proofErr w:type="spellEnd"/>
      <w:r w:rsidRPr="00C71D25">
        <w:rPr>
          <w:rFonts w:ascii="Garamond" w:hAnsi="Garamond" w:cs="Times New Roman"/>
          <w:color w:val="000000" w:themeColor="text1"/>
          <w:spacing w:val="3"/>
          <w:sz w:val="24"/>
          <w:szCs w:val="24"/>
        </w:rPr>
        <w:t xml:space="preserve"> versus Extreemlinks. </w:t>
      </w:r>
      <w:r w:rsidRPr="00C71D25">
        <w:rPr>
          <w:rFonts w:ascii="Garamond" w:hAnsi="Garamond" w:cs="Times New Roman"/>
          <w:i/>
          <w:color w:val="000000" w:themeColor="text1"/>
          <w:spacing w:val="3"/>
          <w:sz w:val="24"/>
          <w:szCs w:val="24"/>
        </w:rPr>
        <w:t xml:space="preserve">De </w:t>
      </w:r>
      <w:proofErr w:type="spellStart"/>
      <w:r w:rsidRPr="00C71D25">
        <w:rPr>
          <w:rFonts w:ascii="Garamond" w:hAnsi="Garamond" w:cs="Times New Roman"/>
          <w:i/>
          <w:color w:val="000000" w:themeColor="text1"/>
          <w:spacing w:val="3"/>
          <w:sz w:val="24"/>
          <w:szCs w:val="24"/>
        </w:rPr>
        <w:t>Dagelijke</w:t>
      </w:r>
      <w:proofErr w:type="spellEnd"/>
      <w:r w:rsidRPr="00C71D25">
        <w:rPr>
          <w:rFonts w:ascii="Garamond" w:hAnsi="Garamond" w:cs="Times New Roman"/>
          <w:i/>
          <w:color w:val="000000" w:themeColor="text1"/>
          <w:spacing w:val="3"/>
          <w:sz w:val="24"/>
          <w:szCs w:val="24"/>
        </w:rPr>
        <w:t xml:space="preserve"> Standaard. </w:t>
      </w:r>
      <w:r w:rsidRPr="00C71D25">
        <w:rPr>
          <w:rFonts w:ascii="Garamond" w:hAnsi="Garamond" w:cs="Times New Roman"/>
          <w:color w:val="000000" w:themeColor="text1"/>
          <w:spacing w:val="3"/>
          <w:sz w:val="24"/>
          <w:szCs w:val="24"/>
          <w:lang w:val="en-GB"/>
        </w:rPr>
        <w:t xml:space="preserve">Retrieved on 20 June 2019, from </w:t>
      </w:r>
      <w:hyperlink r:id="rId19" w:history="1">
        <w:r w:rsidRPr="00C71D25">
          <w:rPr>
            <w:rStyle w:val="Hyperlink"/>
            <w:rFonts w:ascii="Garamond" w:hAnsi="Garamond" w:cs="Times New Roman"/>
            <w:spacing w:val="3"/>
            <w:sz w:val="24"/>
            <w:szCs w:val="24"/>
            <w:lang w:val="en-GB"/>
          </w:rPr>
          <w:t>https://www.dagelijksestandaard.nl/2017/09/pegida-en-antifa-in-enschede-neo-nazis-versus-extreemlinks/</w:t>
        </w:r>
      </w:hyperlink>
      <w:r w:rsidRPr="00C71D25">
        <w:rPr>
          <w:rFonts w:ascii="Garamond" w:hAnsi="Garamond" w:cs="Times New Roman"/>
          <w:color w:val="000000" w:themeColor="text1"/>
          <w:spacing w:val="3"/>
          <w:sz w:val="24"/>
          <w:szCs w:val="24"/>
          <w:lang w:val="en-GB"/>
        </w:rPr>
        <w:t xml:space="preserve">. </w:t>
      </w:r>
    </w:p>
    <w:p w14:paraId="29581D4D" w14:textId="77DDCD34" w:rsidR="004F02C8" w:rsidRPr="00223BE6" w:rsidRDefault="004F02C8" w:rsidP="004F02C8">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Van </w:t>
      </w:r>
      <w:proofErr w:type="spellStart"/>
      <w:r w:rsidRPr="00223BE6">
        <w:rPr>
          <w:rFonts w:ascii="Garamond" w:hAnsi="Garamond" w:cs="Times New Roman"/>
          <w:color w:val="000000" w:themeColor="text1"/>
          <w:spacing w:val="3"/>
          <w:sz w:val="24"/>
          <w:szCs w:val="24"/>
          <w:lang w:val="en-GB"/>
        </w:rPr>
        <w:t>Leeuwen</w:t>
      </w:r>
      <w:proofErr w:type="spellEnd"/>
      <w:r w:rsidRPr="00223BE6">
        <w:rPr>
          <w:rFonts w:ascii="Garamond" w:hAnsi="Garamond" w:cs="Times New Roman"/>
          <w:color w:val="000000" w:themeColor="text1"/>
          <w:spacing w:val="3"/>
          <w:sz w:val="24"/>
          <w:szCs w:val="24"/>
          <w:lang w:val="en-GB"/>
        </w:rPr>
        <w:t>, B. (2010). Dealing with</w:t>
      </w:r>
      <w:r w:rsidR="00D260FB" w:rsidRPr="00223BE6">
        <w:rPr>
          <w:rFonts w:ascii="Garamond" w:hAnsi="Garamond" w:cs="Times New Roman"/>
          <w:color w:val="000000" w:themeColor="text1"/>
          <w:spacing w:val="3"/>
          <w:sz w:val="24"/>
          <w:szCs w:val="24"/>
          <w:lang w:val="en-GB"/>
        </w:rPr>
        <w:t xml:space="preserve"> Urban Diversity: Promises and Challenges of City Life for Intercultural C</w:t>
      </w:r>
      <w:r w:rsidRPr="00223BE6">
        <w:rPr>
          <w:rFonts w:ascii="Garamond" w:hAnsi="Garamond" w:cs="Times New Roman"/>
          <w:color w:val="000000" w:themeColor="text1"/>
          <w:spacing w:val="3"/>
          <w:sz w:val="24"/>
          <w:szCs w:val="24"/>
          <w:lang w:val="en-GB"/>
        </w:rPr>
        <w:t xml:space="preserve">itizenship. </w:t>
      </w:r>
      <w:r w:rsidRPr="00223BE6">
        <w:rPr>
          <w:rFonts w:ascii="Garamond" w:hAnsi="Garamond" w:cs="Times New Roman"/>
          <w:i/>
          <w:color w:val="000000" w:themeColor="text1"/>
          <w:spacing w:val="3"/>
          <w:sz w:val="24"/>
          <w:szCs w:val="24"/>
          <w:lang w:val="en-GB"/>
        </w:rPr>
        <w:t>Political Theory</w:t>
      </w:r>
      <w:r w:rsidRPr="00223BE6">
        <w:rPr>
          <w:rFonts w:ascii="Garamond" w:hAnsi="Garamond" w:cs="Times New Roman"/>
          <w:color w:val="000000" w:themeColor="text1"/>
          <w:spacing w:val="3"/>
          <w:sz w:val="24"/>
          <w:szCs w:val="24"/>
          <w:lang w:val="en-GB"/>
        </w:rPr>
        <w:t xml:space="preserve">, 38(5), 631-657. </w:t>
      </w:r>
    </w:p>
    <w:p w14:paraId="1E3D515A" w14:textId="549BEF3C" w:rsidR="001A13D4" w:rsidRPr="00223BE6" w:rsidRDefault="001A13D4" w:rsidP="001A13D4">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Van </w:t>
      </w:r>
      <w:proofErr w:type="spellStart"/>
      <w:r w:rsidRPr="00223BE6">
        <w:rPr>
          <w:rFonts w:ascii="Garamond" w:hAnsi="Garamond" w:cs="Times New Roman"/>
          <w:color w:val="000000" w:themeColor="text1"/>
          <w:spacing w:val="3"/>
          <w:sz w:val="24"/>
          <w:szCs w:val="24"/>
          <w:lang w:val="en-GB"/>
        </w:rPr>
        <w:t>Lee</w:t>
      </w:r>
      <w:r w:rsidR="00D260FB" w:rsidRPr="00223BE6">
        <w:rPr>
          <w:rFonts w:ascii="Garamond" w:hAnsi="Garamond" w:cs="Times New Roman"/>
          <w:color w:val="000000" w:themeColor="text1"/>
          <w:spacing w:val="3"/>
          <w:sz w:val="24"/>
          <w:szCs w:val="24"/>
          <w:lang w:val="en-GB"/>
        </w:rPr>
        <w:t>uwen</w:t>
      </w:r>
      <w:proofErr w:type="spellEnd"/>
      <w:r w:rsidR="00D260FB" w:rsidRPr="00223BE6">
        <w:rPr>
          <w:rFonts w:ascii="Garamond" w:hAnsi="Garamond" w:cs="Times New Roman"/>
          <w:color w:val="000000" w:themeColor="text1"/>
          <w:spacing w:val="3"/>
          <w:sz w:val="24"/>
          <w:szCs w:val="24"/>
          <w:lang w:val="en-GB"/>
        </w:rPr>
        <w:t xml:space="preserve">, B. (2015). Absorbing the Agony of </w:t>
      </w:r>
      <w:proofErr w:type="spellStart"/>
      <w:r w:rsidR="00D260FB" w:rsidRPr="00223BE6">
        <w:rPr>
          <w:rFonts w:ascii="Garamond" w:hAnsi="Garamond" w:cs="Times New Roman"/>
          <w:color w:val="000000" w:themeColor="text1"/>
          <w:spacing w:val="3"/>
          <w:sz w:val="24"/>
          <w:szCs w:val="24"/>
          <w:lang w:val="en-GB"/>
        </w:rPr>
        <w:t>A</w:t>
      </w:r>
      <w:r w:rsidRPr="00223BE6">
        <w:rPr>
          <w:rFonts w:ascii="Garamond" w:hAnsi="Garamond" w:cs="Times New Roman"/>
          <w:color w:val="000000" w:themeColor="text1"/>
          <w:spacing w:val="3"/>
          <w:sz w:val="24"/>
          <w:szCs w:val="24"/>
          <w:lang w:val="en-GB"/>
        </w:rPr>
        <w:t>gonism</w:t>
      </w:r>
      <w:proofErr w:type="spellEnd"/>
      <w:r w:rsidR="00D260FB" w:rsidRPr="00223BE6">
        <w:rPr>
          <w:rFonts w:ascii="Garamond" w:hAnsi="Garamond" w:cs="Times New Roman"/>
          <w:color w:val="000000" w:themeColor="text1"/>
          <w:spacing w:val="3"/>
          <w:sz w:val="24"/>
          <w:szCs w:val="24"/>
          <w:lang w:val="en-GB"/>
        </w:rPr>
        <w:t xml:space="preserve">? The limits of Cultural Questioning and Alternative Variations of intercultural </w:t>
      </w:r>
      <w:r w:rsidR="00C54ED1" w:rsidRPr="00223BE6">
        <w:rPr>
          <w:rFonts w:ascii="Garamond" w:hAnsi="Garamond" w:cs="Times New Roman"/>
          <w:color w:val="000000" w:themeColor="text1"/>
          <w:spacing w:val="3"/>
          <w:sz w:val="24"/>
          <w:szCs w:val="24"/>
          <w:lang w:val="en-GB"/>
        </w:rPr>
        <w:t>Civility</w:t>
      </w:r>
      <w:r w:rsidRPr="00223BE6">
        <w:rPr>
          <w:rFonts w:ascii="Garamond" w:hAnsi="Garamond" w:cs="Times New Roman"/>
          <w:color w:val="000000" w:themeColor="text1"/>
          <w:spacing w:val="3"/>
          <w:sz w:val="24"/>
          <w:szCs w:val="24"/>
          <w:lang w:val="en-GB"/>
        </w:rPr>
        <w:t xml:space="preserve">. </w:t>
      </w:r>
      <w:r w:rsidRPr="00223BE6">
        <w:rPr>
          <w:rFonts w:ascii="Garamond" w:hAnsi="Garamond" w:cs="Times New Roman"/>
          <w:i/>
          <w:color w:val="000000" w:themeColor="text1"/>
          <w:spacing w:val="3"/>
          <w:sz w:val="24"/>
          <w:szCs w:val="24"/>
          <w:lang w:val="en-GB"/>
        </w:rPr>
        <w:t>Urban Studies, 52(</w:t>
      </w:r>
      <w:r w:rsidRPr="00223BE6">
        <w:rPr>
          <w:rFonts w:ascii="Garamond" w:hAnsi="Garamond" w:cs="Times New Roman"/>
          <w:color w:val="000000" w:themeColor="text1"/>
          <w:spacing w:val="3"/>
          <w:sz w:val="24"/>
          <w:szCs w:val="24"/>
          <w:lang w:val="en-GB"/>
        </w:rPr>
        <w:t xml:space="preserve">4), 793-808. </w:t>
      </w:r>
    </w:p>
    <w:p w14:paraId="08F3D5BA" w14:textId="4C63A25D" w:rsidR="005908E5" w:rsidRPr="00223BE6" w:rsidRDefault="005908E5" w:rsidP="001A13D4">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Vernez</w:t>
      </w:r>
      <w:proofErr w:type="spellEnd"/>
      <w:r w:rsidRPr="00223BE6">
        <w:rPr>
          <w:rFonts w:ascii="Garamond" w:hAnsi="Garamond" w:cs="Times New Roman"/>
          <w:color w:val="000000" w:themeColor="text1"/>
          <w:spacing w:val="3"/>
          <w:sz w:val="24"/>
          <w:szCs w:val="24"/>
          <w:lang w:val="en-GB"/>
        </w:rPr>
        <w:t xml:space="preserve">, G. (1993), </w:t>
      </w:r>
      <w:r w:rsidRPr="00223BE6">
        <w:rPr>
          <w:rFonts w:ascii="Garamond" w:hAnsi="Garamond" w:cs="Times New Roman"/>
          <w:i/>
          <w:color w:val="000000" w:themeColor="text1"/>
          <w:spacing w:val="3"/>
          <w:sz w:val="24"/>
          <w:szCs w:val="24"/>
          <w:lang w:val="en-GB"/>
        </w:rPr>
        <w:t>Needed: A Federal Role in Helping Communities Cope with Immigration.</w:t>
      </w:r>
      <w:r w:rsidRPr="00223BE6">
        <w:rPr>
          <w:rFonts w:ascii="Garamond" w:hAnsi="Garamond" w:cs="Times New Roman"/>
          <w:color w:val="000000" w:themeColor="text1"/>
          <w:spacing w:val="3"/>
          <w:sz w:val="24"/>
          <w:szCs w:val="24"/>
          <w:lang w:val="en-GB"/>
        </w:rPr>
        <w:t xml:space="preserve"> Santa Monica: The RAND Corporation. </w:t>
      </w:r>
    </w:p>
    <w:p w14:paraId="7C044761" w14:textId="537DCE88" w:rsidR="005F5CAA" w:rsidRPr="00223BE6" w:rsidRDefault="005F5CAA" w:rsidP="005F5CAA">
      <w:pPr>
        <w:pStyle w:val="ListParagraph"/>
        <w:numPr>
          <w:ilvl w:val="0"/>
          <w:numId w:val="1"/>
        </w:numPr>
        <w:rPr>
          <w:rFonts w:ascii="Garamond" w:hAnsi="Garamond" w:cs="Times New Roman"/>
          <w:color w:val="000000" w:themeColor="text1"/>
          <w:spacing w:val="3"/>
          <w:sz w:val="24"/>
          <w:szCs w:val="24"/>
          <w:lang w:val="en-GB"/>
        </w:rPr>
      </w:pPr>
      <w:proofErr w:type="spellStart"/>
      <w:r w:rsidRPr="00223BE6">
        <w:rPr>
          <w:rFonts w:ascii="Garamond" w:hAnsi="Garamond" w:cs="Times New Roman"/>
          <w:color w:val="000000" w:themeColor="text1"/>
          <w:spacing w:val="3"/>
          <w:sz w:val="24"/>
          <w:szCs w:val="24"/>
          <w:lang w:val="en-GB"/>
        </w:rPr>
        <w:t>Walzer</w:t>
      </w:r>
      <w:proofErr w:type="spellEnd"/>
      <w:r w:rsidRPr="00223BE6">
        <w:rPr>
          <w:rFonts w:ascii="Garamond" w:hAnsi="Garamond" w:cs="Times New Roman"/>
          <w:color w:val="000000" w:themeColor="text1"/>
          <w:spacing w:val="3"/>
          <w:sz w:val="24"/>
          <w:szCs w:val="24"/>
          <w:lang w:val="en-GB"/>
        </w:rPr>
        <w:t xml:space="preserve">, M. (19830). Spheres of Justice: A Defence of Pluralism and Equality. New York: Basic Books.  </w:t>
      </w:r>
    </w:p>
    <w:p w14:paraId="4DFB0037" w14:textId="31C598A5" w:rsidR="005D6F4D" w:rsidRPr="00223BE6" w:rsidRDefault="005D6F4D" w:rsidP="005D6F4D">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Young, I. M. (1999). Residential Segregation and Differentiated Citizenship. </w:t>
      </w:r>
      <w:r w:rsidRPr="00223BE6">
        <w:rPr>
          <w:rFonts w:ascii="Garamond" w:hAnsi="Garamond" w:cs="Times New Roman"/>
          <w:i/>
          <w:color w:val="000000" w:themeColor="text1"/>
          <w:spacing w:val="3"/>
          <w:sz w:val="24"/>
          <w:szCs w:val="24"/>
          <w:lang w:val="en-GB"/>
        </w:rPr>
        <w:t>Citizenship Studies, 3</w:t>
      </w:r>
      <w:r w:rsidRPr="00223BE6">
        <w:rPr>
          <w:rFonts w:ascii="Garamond" w:hAnsi="Garamond" w:cs="Times New Roman"/>
          <w:color w:val="000000" w:themeColor="text1"/>
          <w:spacing w:val="3"/>
          <w:sz w:val="24"/>
          <w:szCs w:val="24"/>
          <w:lang w:val="en-GB"/>
        </w:rPr>
        <w:t xml:space="preserve">(2), 237-252.  </w:t>
      </w:r>
    </w:p>
    <w:p w14:paraId="7366B73A" w14:textId="5C3BB214" w:rsidR="00CB3034" w:rsidRPr="00223BE6" w:rsidRDefault="00CB3034" w:rsidP="00CB3034">
      <w:pPr>
        <w:pStyle w:val="ListParagraph"/>
        <w:numPr>
          <w:ilvl w:val="0"/>
          <w:numId w:val="1"/>
        </w:numPr>
        <w:rPr>
          <w:rFonts w:ascii="Garamond" w:hAnsi="Garamond" w:cs="Times New Roman"/>
          <w:color w:val="000000" w:themeColor="text1"/>
          <w:spacing w:val="3"/>
          <w:sz w:val="24"/>
          <w:szCs w:val="24"/>
          <w:lang w:val="en-GB"/>
        </w:rPr>
      </w:pPr>
      <w:r w:rsidRPr="00223BE6">
        <w:rPr>
          <w:rFonts w:ascii="Garamond" w:hAnsi="Garamond" w:cs="Times New Roman"/>
          <w:color w:val="000000" w:themeColor="text1"/>
          <w:spacing w:val="3"/>
          <w:sz w:val="24"/>
          <w:szCs w:val="24"/>
          <w:lang w:val="en-GB"/>
        </w:rPr>
        <w:t xml:space="preserve">Young, I. M. (2000). </w:t>
      </w:r>
      <w:r w:rsidRPr="00223BE6">
        <w:rPr>
          <w:rFonts w:ascii="Garamond" w:hAnsi="Garamond" w:cs="Times New Roman"/>
          <w:i/>
          <w:color w:val="000000" w:themeColor="text1"/>
          <w:spacing w:val="3"/>
          <w:sz w:val="24"/>
          <w:szCs w:val="24"/>
          <w:lang w:val="en-GB"/>
        </w:rPr>
        <w:t>Inclusion and Democracy.</w:t>
      </w:r>
      <w:r w:rsidRPr="00223BE6">
        <w:rPr>
          <w:rFonts w:ascii="Garamond" w:hAnsi="Garamond" w:cs="Times New Roman"/>
          <w:color w:val="000000" w:themeColor="text1"/>
          <w:spacing w:val="3"/>
          <w:sz w:val="24"/>
          <w:szCs w:val="24"/>
          <w:lang w:val="en-GB"/>
        </w:rPr>
        <w:t xml:space="preserve"> Oxford University Press: Oxford.</w:t>
      </w:r>
    </w:p>
    <w:p w14:paraId="4AC25027" w14:textId="46AFA3B4" w:rsidR="001B3353" w:rsidRPr="00223BE6" w:rsidRDefault="001B3353">
      <w:pPr>
        <w:rPr>
          <w:rFonts w:ascii="Times New Roman" w:hAnsi="Times New Roman" w:cs="Times New Roman"/>
          <w:color w:val="000000" w:themeColor="text1"/>
          <w:spacing w:val="3"/>
          <w:sz w:val="24"/>
          <w:szCs w:val="24"/>
          <w:lang w:val="en-GB"/>
        </w:rPr>
      </w:pPr>
    </w:p>
    <w:sectPr w:rsidR="001B3353" w:rsidRPr="00223BE6" w:rsidSect="001D45FD">
      <w:footerReference w:type="default" r:id="rId20"/>
      <w:pgSz w:w="11906" w:h="16838"/>
      <w:pgMar w:top="1417" w:right="1417" w:bottom="1417" w:left="1417" w:header="708" w:footer="708" w:gutter="0"/>
      <w:pgNumType w:start="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794B3C" w16cid:durableId="20C49E7C"/>
  <w16cid:commentId w16cid:paraId="72DB286D" w16cid:durableId="20C66EC5"/>
  <w16cid:commentId w16cid:paraId="7443D5D4" w16cid:durableId="20C66F1A"/>
  <w16cid:commentId w16cid:paraId="18421171" w16cid:durableId="20C6803F"/>
  <w16cid:commentId w16cid:paraId="335F1480" w16cid:durableId="20C6835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A058A" w14:textId="77777777" w:rsidR="00DF6D04" w:rsidRDefault="00DF6D04" w:rsidP="00406315">
      <w:pPr>
        <w:spacing w:after="0" w:line="240" w:lineRule="auto"/>
      </w:pPr>
      <w:r>
        <w:separator/>
      </w:r>
    </w:p>
  </w:endnote>
  <w:endnote w:type="continuationSeparator" w:id="0">
    <w:p w14:paraId="178CC119" w14:textId="77777777" w:rsidR="00DF6D04" w:rsidRDefault="00DF6D04" w:rsidP="004063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aurMT">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Garamond italic">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099482"/>
      <w:docPartObj>
        <w:docPartGallery w:val="Page Numbers (Bottom of Page)"/>
        <w:docPartUnique/>
      </w:docPartObj>
    </w:sdtPr>
    <w:sdtEndPr/>
    <w:sdtContent>
      <w:p w14:paraId="17767BB1" w14:textId="187785E1" w:rsidR="00DF6D04" w:rsidRDefault="00DF6D04">
        <w:pPr>
          <w:pStyle w:val="Footer"/>
          <w:jc w:val="center"/>
        </w:pPr>
        <w:r>
          <w:fldChar w:fldCharType="begin"/>
        </w:r>
        <w:r>
          <w:instrText>PAGE   \* MERGEFORMAT</w:instrText>
        </w:r>
        <w:r>
          <w:fldChar w:fldCharType="separate"/>
        </w:r>
        <w:r w:rsidR="00FD4ED5">
          <w:rPr>
            <w:noProof/>
          </w:rPr>
          <w:t>1</w:t>
        </w:r>
        <w:r>
          <w:fldChar w:fldCharType="end"/>
        </w:r>
      </w:p>
    </w:sdtContent>
  </w:sdt>
  <w:p w14:paraId="1B56CE3C" w14:textId="77777777" w:rsidR="00DF6D04" w:rsidRDefault="00DF6D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DA237C" w14:textId="77777777" w:rsidR="00DF6D04" w:rsidRDefault="00DF6D04" w:rsidP="00406315">
      <w:pPr>
        <w:spacing w:after="0" w:line="240" w:lineRule="auto"/>
      </w:pPr>
      <w:r>
        <w:separator/>
      </w:r>
    </w:p>
  </w:footnote>
  <w:footnote w:type="continuationSeparator" w:id="0">
    <w:p w14:paraId="552C179E" w14:textId="77777777" w:rsidR="00DF6D04" w:rsidRDefault="00DF6D04" w:rsidP="004063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3744C"/>
    <w:multiLevelType w:val="hybridMultilevel"/>
    <w:tmpl w:val="EEF4BD72"/>
    <w:lvl w:ilvl="0" w:tplc="5FA6DEBC">
      <w:start w:val="1995"/>
      <w:numFmt w:val="bullet"/>
      <w:lvlText w:val="-"/>
      <w:lvlJc w:val="left"/>
      <w:pPr>
        <w:ind w:left="720" w:hanging="360"/>
      </w:pPr>
      <w:rPr>
        <w:rFonts w:ascii="Calibri" w:eastAsiaTheme="minorHAnsi" w:hAnsi="Calibri" w:cs="Calibri" w:hint="default"/>
      </w:rPr>
    </w:lvl>
    <w:lvl w:ilvl="1" w:tplc="8B34EE4A" w:tentative="1">
      <w:start w:val="1"/>
      <w:numFmt w:val="bullet"/>
      <w:lvlText w:val="o"/>
      <w:lvlJc w:val="left"/>
      <w:pPr>
        <w:ind w:left="1440" w:hanging="360"/>
      </w:pPr>
      <w:rPr>
        <w:rFonts w:ascii="Courier New" w:hAnsi="Courier New" w:cs="Courier New" w:hint="default"/>
      </w:rPr>
    </w:lvl>
    <w:lvl w:ilvl="2" w:tplc="42DECBC0" w:tentative="1">
      <w:start w:val="1"/>
      <w:numFmt w:val="bullet"/>
      <w:lvlText w:val=""/>
      <w:lvlJc w:val="left"/>
      <w:pPr>
        <w:ind w:left="2160" w:hanging="360"/>
      </w:pPr>
      <w:rPr>
        <w:rFonts w:ascii="Wingdings" w:hAnsi="Wingdings" w:hint="default"/>
      </w:rPr>
    </w:lvl>
    <w:lvl w:ilvl="3" w:tplc="2B2818E0" w:tentative="1">
      <w:start w:val="1"/>
      <w:numFmt w:val="bullet"/>
      <w:lvlText w:val=""/>
      <w:lvlJc w:val="left"/>
      <w:pPr>
        <w:ind w:left="2880" w:hanging="360"/>
      </w:pPr>
      <w:rPr>
        <w:rFonts w:ascii="Symbol" w:hAnsi="Symbol" w:hint="default"/>
      </w:rPr>
    </w:lvl>
    <w:lvl w:ilvl="4" w:tplc="CBFE8392" w:tentative="1">
      <w:start w:val="1"/>
      <w:numFmt w:val="bullet"/>
      <w:lvlText w:val="o"/>
      <w:lvlJc w:val="left"/>
      <w:pPr>
        <w:ind w:left="3600" w:hanging="360"/>
      </w:pPr>
      <w:rPr>
        <w:rFonts w:ascii="Courier New" w:hAnsi="Courier New" w:cs="Courier New" w:hint="default"/>
      </w:rPr>
    </w:lvl>
    <w:lvl w:ilvl="5" w:tplc="0E1A5434" w:tentative="1">
      <w:start w:val="1"/>
      <w:numFmt w:val="bullet"/>
      <w:lvlText w:val=""/>
      <w:lvlJc w:val="left"/>
      <w:pPr>
        <w:ind w:left="4320" w:hanging="360"/>
      </w:pPr>
      <w:rPr>
        <w:rFonts w:ascii="Wingdings" w:hAnsi="Wingdings" w:hint="default"/>
      </w:rPr>
    </w:lvl>
    <w:lvl w:ilvl="6" w:tplc="D6225AE0" w:tentative="1">
      <w:start w:val="1"/>
      <w:numFmt w:val="bullet"/>
      <w:lvlText w:val=""/>
      <w:lvlJc w:val="left"/>
      <w:pPr>
        <w:ind w:left="5040" w:hanging="360"/>
      </w:pPr>
      <w:rPr>
        <w:rFonts w:ascii="Symbol" w:hAnsi="Symbol" w:hint="default"/>
      </w:rPr>
    </w:lvl>
    <w:lvl w:ilvl="7" w:tplc="C8F8910A" w:tentative="1">
      <w:start w:val="1"/>
      <w:numFmt w:val="bullet"/>
      <w:lvlText w:val="o"/>
      <w:lvlJc w:val="left"/>
      <w:pPr>
        <w:ind w:left="5760" w:hanging="360"/>
      </w:pPr>
      <w:rPr>
        <w:rFonts w:ascii="Courier New" w:hAnsi="Courier New" w:cs="Courier New" w:hint="default"/>
      </w:rPr>
    </w:lvl>
    <w:lvl w:ilvl="8" w:tplc="D844301E" w:tentative="1">
      <w:start w:val="1"/>
      <w:numFmt w:val="bullet"/>
      <w:lvlText w:val=""/>
      <w:lvlJc w:val="left"/>
      <w:pPr>
        <w:ind w:left="6480" w:hanging="360"/>
      </w:pPr>
      <w:rPr>
        <w:rFonts w:ascii="Wingdings" w:hAnsi="Wingdings" w:hint="default"/>
      </w:rPr>
    </w:lvl>
  </w:abstractNum>
  <w:abstractNum w:abstractNumId="1" w15:restartNumberingAfterBreak="0">
    <w:nsid w:val="1900531E"/>
    <w:multiLevelType w:val="hybridMultilevel"/>
    <w:tmpl w:val="F5F20132"/>
    <w:lvl w:ilvl="0" w:tplc="6CA221E6">
      <w:start w:val="34"/>
      <w:numFmt w:val="bullet"/>
      <w:lvlText w:val="-"/>
      <w:lvlJc w:val="left"/>
      <w:pPr>
        <w:ind w:left="720" w:hanging="360"/>
      </w:pPr>
      <w:rPr>
        <w:rFonts w:ascii="CentaurMT" w:eastAsiaTheme="minorHAnsi" w:hAnsi="CentaurMT" w:cs="CentaurM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55A0324F"/>
    <w:multiLevelType w:val="hybridMultilevel"/>
    <w:tmpl w:val="64E8B050"/>
    <w:lvl w:ilvl="0" w:tplc="6B96EFDC">
      <w:numFmt w:val="bullet"/>
      <w:lvlText w:val="-"/>
      <w:lvlJc w:val="left"/>
      <w:pPr>
        <w:ind w:left="720" w:hanging="360"/>
      </w:pPr>
      <w:rPr>
        <w:rFonts w:ascii="Garamond" w:eastAsiaTheme="minorHAnsi" w:hAnsi="Garamond"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6D87760"/>
    <w:multiLevelType w:val="hybridMultilevel"/>
    <w:tmpl w:val="7A7684BC"/>
    <w:lvl w:ilvl="0" w:tplc="327C1A4E">
      <w:numFmt w:val="bullet"/>
      <w:lvlText w:val="-"/>
      <w:lvlJc w:val="left"/>
      <w:pPr>
        <w:ind w:left="720" w:hanging="360"/>
      </w:pPr>
      <w:rPr>
        <w:rFonts w:ascii="Garamond" w:eastAsiaTheme="minorHAnsi" w:hAnsi="Garamond"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5AA23E99"/>
    <w:multiLevelType w:val="hybridMultilevel"/>
    <w:tmpl w:val="2FDC6A6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5C7D6861"/>
    <w:multiLevelType w:val="hybridMultilevel"/>
    <w:tmpl w:val="F3327658"/>
    <w:lvl w:ilvl="0" w:tplc="A482ADEC">
      <w:numFmt w:val="bullet"/>
      <w:lvlText w:val="-"/>
      <w:lvlJc w:val="left"/>
      <w:pPr>
        <w:ind w:left="720" w:hanging="360"/>
      </w:pPr>
      <w:rPr>
        <w:rFonts w:ascii="Garamond" w:eastAsiaTheme="minorHAnsi" w:hAnsi="Garamond" w:cstheme="minorBidi" w:hint="default"/>
        <w:lang w:val="nl-NL"/>
      </w:rPr>
    </w:lvl>
    <w:lvl w:ilvl="1" w:tplc="45681078" w:tentative="1">
      <w:start w:val="1"/>
      <w:numFmt w:val="bullet"/>
      <w:lvlText w:val="o"/>
      <w:lvlJc w:val="left"/>
      <w:pPr>
        <w:ind w:left="1440" w:hanging="360"/>
      </w:pPr>
      <w:rPr>
        <w:rFonts w:ascii="Courier New" w:hAnsi="Courier New" w:cs="Courier New" w:hint="default"/>
      </w:rPr>
    </w:lvl>
    <w:lvl w:ilvl="2" w:tplc="2466C9A0" w:tentative="1">
      <w:start w:val="1"/>
      <w:numFmt w:val="bullet"/>
      <w:lvlText w:val=""/>
      <w:lvlJc w:val="left"/>
      <w:pPr>
        <w:ind w:left="2160" w:hanging="360"/>
      </w:pPr>
      <w:rPr>
        <w:rFonts w:ascii="Wingdings" w:hAnsi="Wingdings" w:hint="default"/>
      </w:rPr>
    </w:lvl>
    <w:lvl w:ilvl="3" w:tplc="965E237C" w:tentative="1">
      <w:start w:val="1"/>
      <w:numFmt w:val="bullet"/>
      <w:lvlText w:val=""/>
      <w:lvlJc w:val="left"/>
      <w:pPr>
        <w:ind w:left="2880" w:hanging="360"/>
      </w:pPr>
      <w:rPr>
        <w:rFonts w:ascii="Symbol" w:hAnsi="Symbol" w:hint="default"/>
      </w:rPr>
    </w:lvl>
    <w:lvl w:ilvl="4" w:tplc="D4F8DB94" w:tentative="1">
      <w:start w:val="1"/>
      <w:numFmt w:val="bullet"/>
      <w:lvlText w:val="o"/>
      <w:lvlJc w:val="left"/>
      <w:pPr>
        <w:ind w:left="3600" w:hanging="360"/>
      </w:pPr>
      <w:rPr>
        <w:rFonts w:ascii="Courier New" w:hAnsi="Courier New" w:cs="Courier New" w:hint="default"/>
      </w:rPr>
    </w:lvl>
    <w:lvl w:ilvl="5" w:tplc="37FAF488" w:tentative="1">
      <w:start w:val="1"/>
      <w:numFmt w:val="bullet"/>
      <w:lvlText w:val=""/>
      <w:lvlJc w:val="left"/>
      <w:pPr>
        <w:ind w:left="4320" w:hanging="360"/>
      </w:pPr>
      <w:rPr>
        <w:rFonts w:ascii="Wingdings" w:hAnsi="Wingdings" w:hint="default"/>
      </w:rPr>
    </w:lvl>
    <w:lvl w:ilvl="6" w:tplc="C09EF0DA" w:tentative="1">
      <w:start w:val="1"/>
      <w:numFmt w:val="bullet"/>
      <w:lvlText w:val=""/>
      <w:lvlJc w:val="left"/>
      <w:pPr>
        <w:ind w:left="5040" w:hanging="360"/>
      </w:pPr>
      <w:rPr>
        <w:rFonts w:ascii="Symbol" w:hAnsi="Symbol" w:hint="default"/>
      </w:rPr>
    </w:lvl>
    <w:lvl w:ilvl="7" w:tplc="839C778C" w:tentative="1">
      <w:start w:val="1"/>
      <w:numFmt w:val="bullet"/>
      <w:lvlText w:val="o"/>
      <w:lvlJc w:val="left"/>
      <w:pPr>
        <w:ind w:left="5760" w:hanging="360"/>
      </w:pPr>
      <w:rPr>
        <w:rFonts w:ascii="Courier New" w:hAnsi="Courier New" w:cs="Courier New" w:hint="default"/>
      </w:rPr>
    </w:lvl>
    <w:lvl w:ilvl="8" w:tplc="AA82CA2A"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D91"/>
    <w:rsid w:val="000002D8"/>
    <w:rsid w:val="000009F7"/>
    <w:rsid w:val="0000316C"/>
    <w:rsid w:val="000035BA"/>
    <w:rsid w:val="00005914"/>
    <w:rsid w:val="00007DD3"/>
    <w:rsid w:val="0001178C"/>
    <w:rsid w:val="000138AB"/>
    <w:rsid w:val="000139AB"/>
    <w:rsid w:val="00014D03"/>
    <w:rsid w:val="000162BA"/>
    <w:rsid w:val="000257E1"/>
    <w:rsid w:val="000276FA"/>
    <w:rsid w:val="00027918"/>
    <w:rsid w:val="000335C2"/>
    <w:rsid w:val="0003620B"/>
    <w:rsid w:val="00036548"/>
    <w:rsid w:val="00043789"/>
    <w:rsid w:val="000440FC"/>
    <w:rsid w:val="00044EB7"/>
    <w:rsid w:val="00047141"/>
    <w:rsid w:val="00047357"/>
    <w:rsid w:val="00051CA6"/>
    <w:rsid w:val="00052BAA"/>
    <w:rsid w:val="00053114"/>
    <w:rsid w:val="00053AE8"/>
    <w:rsid w:val="00054577"/>
    <w:rsid w:val="000639A8"/>
    <w:rsid w:val="000667B8"/>
    <w:rsid w:val="000676C2"/>
    <w:rsid w:val="00072C9B"/>
    <w:rsid w:val="00073A13"/>
    <w:rsid w:val="00073C1A"/>
    <w:rsid w:val="000750CC"/>
    <w:rsid w:val="00075B45"/>
    <w:rsid w:val="00075BD4"/>
    <w:rsid w:val="0007621D"/>
    <w:rsid w:val="0007778D"/>
    <w:rsid w:val="00077FE0"/>
    <w:rsid w:val="00083D52"/>
    <w:rsid w:val="000843EF"/>
    <w:rsid w:val="00085BBE"/>
    <w:rsid w:val="00086818"/>
    <w:rsid w:val="000912B7"/>
    <w:rsid w:val="000916D2"/>
    <w:rsid w:val="000943F6"/>
    <w:rsid w:val="00094B59"/>
    <w:rsid w:val="00095846"/>
    <w:rsid w:val="000A01E8"/>
    <w:rsid w:val="000A2507"/>
    <w:rsid w:val="000A256C"/>
    <w:rsid w:val="000A3538"/>
    <w:rsid w:val="000A5F31"/>
    <w:rsid w:val="000B0800"/>
    <w:rsid w:val="000B14BE"/>
    <w:rsid w:val="000B4234"/>
    <w:rsid w:val="000B45E7"/>
    <w:rsid w:val="000C07EE"/>
    <w:rsid w:val="000C4AAB"/>
    <w:rsid w:val="000C7968"/>
    <w:rsid w:val="000D0353"/>
    <w:rsid w:val="000D0B8B"/>
    <w:rsid w:val="000D132A"/>
    <w:rsid w:val="000D37AF"/>
    <w:rsid w:val="000D6C3D"/>
    <w:rsid w:val="000E07EB"/>
    <w:rsid w:val="000E1B14"/>
    <w:rsid w:val="000E30E1"/>
    <w:rsid w:val="000E40F2"/>
    <w:rsid w:val="000E63E4"/>
    <w:rsid w:val="000E7FAC"/>
    <w:rsid w:val="000F21BF"/>
    <w:rsid w:val="000F4391"/>
    <w:rsid w:val="000F5005"/>
    <w:rsid w:val="000F79FB"/>
    <w:rsid w:val="0010075F"/>
    <w:rsid w:val="00104FBE"/>
    <w:rsid w:val="0010645C"/>
    <w:rsid w:val="00111F81"/>
    <w:rsid w:val="00115E87"/>
    <w:rsid w:val="00120B9E"/>
    <w:rsid w:val="0012561E"/>
    <w:rsid w:val="00125700"/>
    <w:rsid w:val="00125AC1"/>
    <w:rsid w:val="001264C5"/>
    <w:rsid w:val="0012677E"/>
    <w:rsid w:val="00130F93"/>
    <w:rsid w:val="0014052B"/>
    <w:rsid w:val="00145ABA"/>
    <w:rsid w:val="001462DE"/>
    <w:rsid w:val="0014748A"/>
    <w:rsid w:val="00154F48"/>
    <w:rsid w:val="001572D1"/>
    <w:rsid w:val="001577A2"/>
    <w:rsid w:val="00162C00"/>
    <w:rsid w:val="001636C2"/>
    <w:rsid w:val="001711DA"/>
    <w:rsid w:val="00172054"/>
    <w:rsid w:val="00174EC5"/>
    <w:rsid w:val="00177C62"/>
    <w:rsid w:val="00177CDC"/>
    <w:rsid w:val="00182AF1"/>
    <w:rsid w:val="00182B8C"/>
    <w:rsid w:val="00182C27"/>
    <w:rsid w:val="001834E8"/>
    <w:rsid w:val="00184FD5"/>
    <w:rsid w:val="00186EA7"/>
    <w:rsid w:val="00187412"/>
    <w:rsid w:val="00191C6A"/>
    <w:rsid w:val="00192067"/>
    <w:rsid w:val="001934E2"/>
    <w:rsid w:val="00194A2A"/>
    <w:rsid w:val="00195C11"/>
    <w:rsid w:val="001A0D61"/>
    <w:rsid w:val="001A13D4"/>
    <w:rsid w:val="001A306F"/>
    <w:rsid w:val="001A7599"/>
    <w:rsid w:val="001B03A8"/>
    <w:rsid w:val="001B1259"/>
    <w:rsid w:val="001B1FCA"/>
    <w:rsid w:val="001B3353"/>
    <w:rsid w:val="001B495C"/>
    <w:rsid w:val="001B4FF5"/>
    <w:rsid w:val="001B6301"/>
    <w:rsid w:val="001C150E"/>
    <w:rsid w:val="001C1773"/>
    <w:rsid w:val="001C2C2F"/>
    <w:rsid w:val="001C3802"/>
    <w:rsid w:val="001C3D4A"/>
    <w:rsid w:val="001C5913"/>
    <w:rsid w:val="001C67BF"/>
    <w:rsid w:val="001C6E93"/>
    <w:rsid w:val="001D45FD"/>
    <w:rsid w:val="001D53A9"/>
    <w:rsid w:val="001D7F5F"/>
    <w:rsid w:val="001E028F"/>
    <w:rsid w:val="001E1D81"/>
    <w:rsid w:val="001E35FF"/>
    <w:rsid w:val="001E4914"/>
    <w:rsid w:val="001E4BF6"/>
    <w:rsid w:val="001E5C47"/>
    <w:rsid w:val="001F0E37"/>
    <w:rsid w:val="001F1258"/>
    <w:rsid w:val="001F329F"/>
    <w:rsid w:val="001F37DC"/>
    <w:rsid w:val="001F6795"/>
    <w:rsid w:val="00200923"/>
    <w:rsid w:val="002014C0"/>
    <w:rsid w:val="00201E52"/>
    <w:rsid w:val="0020400C"/>
    <w:rsid w:val="0020411A"/>
    <w:rsid w:val="00205051"/>
    <w:rsid w:val="00212E29"/>
    <w:rsid w:val="00213410"/>
    <w:rsid w:val="0021450B"/>
    <w:rsid w:val="002147EC"/>
    <w:rsid w:val="00214F0D"/>
    <w:rsid w:val="002163D2"/>
    <w:rsid w:val="00217C43"/>
    <w:rsid w:val="0022335D"/>
    <w:rsid w:val="00223BE6"/>
    <w:rsid w:val="00224E4A"/>
    <w:rsid w:val="00225202"/>
    <w:rsid w:val="002252FE"/>
    <w:rsid w:val="0022590A"/>
    <w:rsid w:val="002268FD"/>
    <w:rsid w:val="00226AC5"/>
    <w:rsid w:val="00227B2E"/>
    <w:rsid w:val="00227E75"/>
    <w:rsid w:val="00230A21"/>
    <w:rsid w:val="00230DF8"/>
    <w:rsid w:val="0023166D"/>
    <w:rsid w:val="0023185D"/>
    <w:rsid w:val="00233DD5"/>
    <w:rsid w:val="00235186"/>
    <w:rsid w:val="002352B5"/>
    <w:rsid w:val="00236CAA"/>
    <w:rsid w:val="0023770D"/>
    <w:rsid w:val="00240408"/>
    <w:rsid w:val="00246B10"/>
    <w:rsid w:val="00246E68"/>
    <w:rsid w:val="00250A23"/>
    <w:rsid w:val="0025599B"/>
    <w:rsid w:val="002561DB"/>
    <w:rsid w:val="002569E8"/>
    <w:rsid w:val="00256ADA"/>
    <w:rsid w:val="00257CB0"/>
    <w:rsid w:val="002620A5"/>
    <w:rsid w:val="00262998"/>
    <w:rsid w:val="00263676"/>
    <w:rsid w:val="002659DC"/>
    <w:rsid w:val="00270616"/>
    <w:rsid w:val="00270E5B"/>
    <w:rsid w:val="002720A0"/>
    <w:rsid w:val="00272751"/>
    <w:rsid w:val="00272C82"/>
    <w:rsid w:val="002740D9"/>
    <w:rsid w:val="002753AB"/>
    <w:rsid w:val="00276AE3"/>
    <w:rsid w:val="00281E61"/>
    <w:rsid w:val="002840DF"/>
    <w:rsid w:val="00284907"/>
    <w:rsid w:val="002855B0"/>
    <w:rsid w:val="00287A98"/>
    <w:rsid w:val="00290A7E"/>
    <w:rsid w:val="00290D05"/>
    <w:rsid w:val="002911F1"/>
    <w:rsid w:val="00293370"/>
    <w:rsid w:val="00293490"/>
    <w:rsid w:val="002957B3"/>
    <w:rsid w:val="00295AA6"/>
    <w:rsid w:val="00296391"/>
    <w:rsid w:val="002A0C77"/>
    <w:rsid w:val="002A5D15"/>
    <w:rsid w:val="002A639E"/>
    <w:rsid w:val="002B1605"/>
    <w:rsid w:val="002B2657"/>
    <w:rsid w:val="002B3794"/>
    <w:rsid w:val="002C061D"/>
    <w:rsid w:val="002C0BD6"/>
    <w:rsid w:val="002C3E0C"/>
    <w:rsid w:val="002C49AB"/>
    <w:rsid w:val="002C5085"/>
    <w:rsid w:val="002C55C0"/>
    <w:rsid w:val="002C7327"/>
    <w:rsid w:val="002C7B06"/>
    <w:rsid w:val="002D3954"/>
    <w:rsid w:val="002D632E"/>
    <w:rsid w:val="002D6CD8"/>
    <w:rsid w:val="002D7579"/>
    <w:rsid w:val="002D783C"/>
    <w:rsid w:val="002E07B1"/>
    <w:rsid w:val="002E1840"/>
    <w:rsid w:val="002E459F"/>
    <w:rsid w:val="002E4901"/>
    <w:rsid w:val="002E6C1C"/>
    <w:rsid w:val="002F1A14"/>
    <w:rsid w:val="002F45E0"/>
    <w:rsid w:val="002F4AE5"/>
    <w:rsid w:val="00303644"/>
    <w:rsid w:val="0030500B"/>
    <w:rsid w:val="00306BE3"/>
    <w:rsid w:val="003116F8"/>
    <w:rsid w:val="0031268F"/>
    <w:rsid w:val="003145AC"/>
    <w:rsid w:val="0032134D"/>
    <w:rsid w:val="00321B6A"/>
    <w:rsid w:val="00321D2C"/>
    <w:rsid w:val="00321E17"/>
    <w:rsid w:val="0032239D"/>
    <w:rsid w:val="0032249C"/>
    <w:rsid w:val="00323C23"/>
    <w:rsid w:val="00330295"/>
    <w:rsid w:val="003308BB"/>
    <w:rsid w:val="00330991"/>
    <w:rsid w:val="003321CB"/>
    <w:rsid w:val="00333CC3"/>
    <w:rsid w:val="00336324"/>
    <w:rsid w:val="0033711E"/>
    <w:rsid w:val="0033719A"/>
    <w:rsid w:val="00340D67"/>
    <w:rsid w:val="003416EB"/>
    <w:rsid w:val="00351D7A"/>
    <w:rsid w:val="0035495E"/>
    <w:rsid w:val="00356A4C"/>
    <w:rsid w:val="00357326"/>
    <w:rsid w:val="00362508"/>
    <w:rsid w:val="00363DA6"/>
    <w:rsid w:val="003640AC"/>
    <w:rsid w:val="00365420"/>
    <w:rsid w:val="003671B8"/>
    <w:rsid w:val="00367D17"/>
    <w:rsid w:val="0037014B"/>
    <w:rsid w:val="003709A7"/>
    <w:rsid w:val="00370BA0"/>
    <w:rsid w:val="00372566"/>
    <w:rsid w:val="00377F0F"/>
    <w:rsid w:val="00380D32"/>
    <w:rsid w:val="00382337"/>
    <w:rsid w:val="00383747"/>
    <w:rsid w:val="0038401A"/>
    <w:rsid w:val="003849EF"/>
    <w:rsid w:val="003945A9"/>
    <w:rsid w:val="00395388"/>
    <w:rsid w:val="00395522"/>
    <w:rsid w:val="003A1ABC"/>
    <w:rsid w:val="003A2BE0"/>
    <w:rsid w:val="003A58F0"/>
    <w:rsid w:val="003A6120"/>
    <w:rsid w:val="003A683F"/>
    <w:rsid w:val="003B1648"/>
    <w:rsid w:val="003B167A"/>
    <w:rsid w:val="003B1E46"/>
    <w:rsid w:val="003B363E"/>
    <w:rsid w:val="003B6BF4"/>
    <w:rsid w:val="003C05E8"/>
    <w:rsid w:val="003C0FFB"/>
    <w:rsid w:val="003C27AD"/>
    <w:rsid w:val="003C4150"/>
    <w:rsid w:val="003C590E"/>
    <w:rsid w:val="003C6D3B"/>
    <w:rsid w:val="003D3144"/>
    <w:rsid w:val="003D368F"/>
    <w:rsid w:val="003D4B51"/>
    <w:rsid w:val="003D53B8"/>
    <w:rsid w:val="003D58B8"/>
    <w:rsid w:val="003E3BFD"/>
    <w:rsid w:val="003E3C1A"/>
    <w:rsid w:val="003E6E7D"/>
    <w:rsid w:val="003F058E"/>
    <w:rsid w:val="003F2057"/>
    <w:rsid w:val="003F2CCD"/>
    <w:rsid w:val="003F4255"/>
    <w:rsid w:val="003F4554"/>
    <w:rsid w:val="003F58B6"/>
    <w:rsid w:val="003F5A37"/>
    <w:rsid w:val="003F5F42"/>
    <w:rsid w:val="00402D26"/>
    <w:rsid w:val="00406294"/>
    <w:rsid w:val="00406315"/>
    <w:rsid w:val="0041208E"/>
    <w:rsid w:val="00412CCD"/>
    <w:rsid w:val="00414A37"/>
    <w:rsid w:val="00414BDF"/>
    <w:rsid w:val="00415A13"/>
    <w:rsid w:val="00415BC9"/>
    <w:rsid w:val="00415FF1"/>
    <w:rsid w:val="004204A3"/>
    <w:rsid w:val="004205C9"/>
    <w:rsid w:val="004310BB"/>
    <w:rsid w:val="00432374"/>
    <w:rsid w:val="00435CAB"/>
    <w:rsid w:val="00440C95"/>
    <w:rsid w:val="00440E7F"/>
    <w:rsid w:val="004448E5"/>
    <w:rsid w:val="004479BB"/>
    <w:rsid w:val="00450A5D"/>
    <w:rsid w:val="00450D48"/>
    <w:rsid w:val="00451C74"/>
    <w:rsid w:val="00453DEB"/>
    <w:rsid w:val="0045545F"/>
    <w:rsid w:val="00455BEF"/>
    <w:rsid w:val="00460B09"/>
    <w:rsid w:val="004621AC"/>
    <w:rsid w:val="004622A0"/>
    <w:rsid w:val="00463C7E"/>
    <w:rsid w:val="004664F4"/>
    <w:rsid w:val="00467738"/>
    <w:rsid w:val="0046788F"/>
    <w:rsid w:val="00471682"/>
    <w:rsid w:val="004757A6"/>
    <w:rsid w:val="00476413"/>
    <w:rsid w:val="00484055"/>
    <w:rsid w:val="00484E29"/>
    <w:rsid w:val="0048729B"/>
    <w:rsid w:val="00487CBD"/>
    <w:rsid w:val="0049031B"/>
    <w:rsid w:val="00491E7C"/>
    <w:rsid w:val="004948B3"/>
    <w:rsid w:val="00495786"/>
    <w:rsid w:val="00497356"/>
    <w:rsid w:val="004974FA"/>
    <w:rsid w:val="004A3E77"/>
    <w:rsid w:val="004A4B9A"/>
    <w:rsid w:val="004A6FE5"/>
    <w:rsid w:val="004A7702"/>
    <w:rsid w:val="004B139D"/>
    <w:rsid w:val="004B23A8"/>
    <w:rsid w:val="004B393D"/>
    <w:rsid w:val="004B6599"/>
    <w:rsid w:val="004C45E2"/>
    <w:rsid w:val="004D0370"/>
    <w:rsid w:val="004D0B2D"/>
    <w:rsid w:val="004E0C80"/>
    <w:rsid w:val="004E2B54"/>
    <w:rsid w:val="004E2C00"/>
    <w:rsid w:val="004E50FB"/>
    <w:rsid w:val="004E6658"/>
    <w:rsid w:val="004F02C8"/>
    <w:rsid w:val="004F1744"/>
    <w:rsid w:val="004F2E79"/>
    <w:rsid w:val="004F3571"/>
    <w:rsid w:val="004F4917"/>
    <w:rsid w:val="004F4A51"/>
    <w:rsid w:val="004F539F"/>
    <w:rsid w:val="004F5528"/>
    <w:rsid w:val="004F6CAC"/>
    <w:rsid w:val="00501B66"/>
    <w:rsid w:val="005036DF"/>
    <w:rsid w:val="005038D5"/>
    <w:rsid w:val="00506687"/>
    <w:rsid w:val="00506D63"/>
    <w:rsid w:val="005139D2"/>
    <w:rsid w:val="005150EB"/>
    <w:rsid w:val="00516A8A"/>
    <w:rsid w:val="00521540"/>
    <w:rsid w:val="00521C9B"/>
    <w:rsid w:val="005222C8"/>
    <w:rsid w:val="00523C69"/>
    <w:rsid w:val="00524036"/>
    <w:rsid w:val="005257E7"/>
    <w:rsid w:val="00532224"/>
    <w:rsid w:val="005327C2"/>
    <w:rsid w:val="00532F48"/>
    <w:rsid w:val="005349D2"/>
    <w:rsid w:val="00534B82"/>
    <w:rsid w:val="00535555"/>
    <w:rsid w:val="00536C51"/>
    <w:rsid w:val="00540003"/>
    <w:rsid w:val="005404F0"/>
    <w:rsid w:val="00542BB9"/>
    <w:rsid w:val="0054460D"/>
    <w:rsid w:val="00545C11"/>
    <w:rsid w:val="00547296"/>
    <w:rsid w:val="005541A7"/>
    <w:rsid w:val="005557DD"/>
    <w:rsid w:val="00555A8F"/>
    <w:rsid w:val="005576AC"/>
    <w:rsid w:val="005633D8"/>
    <w:rsid w:val="00565ABE"/>
    <w:rsid w:val="00572BC5"/>
    <w:rsid w:val="005739E9"/>
    <w:rsid w:val="00576195"/>
    <w:rsid w:val="00580295"/>
    <w:rsid w:val="005806C7"/>
    <w:rsid w:val="005810D1"/>
    <w:rsid w:val="005840DD"/>
    <w:rsid w:val="00584232"/>
    <w:rsid w:val="00584FEB"/>
    <w:rsid w:val="00587352"/>
    <w:rsid w:val="00590456"/>
    <w:rsid w:val="005908E5"/>
    <w:rsid w:val="00592736"/>
    <w:rsid w:val="005929EA"/>
    <w:rsid w:val="00595842"/>
    <w:rsid w:val="00595CC6"/>
    <w:rsid w:val="00596BCD"/>
    <w:rsid w:val="005978A4"/>
    <w:rsid w:val="005A1903"/>
    <w:rsid w:val="005A2F9D"/>
    <w:rsid w:val="005A323E"/>
    <w:rsid w:val="005A6AE4"/>
    <w:rsid w:val="005A7A3B"/>
    <w:rsid w:val="005B1DD2"/>
    <w:rsid w:val="005B3986"/>
    <w:rsid w:val="005B526A"/>
    <w:rsid w:val="005B7782"/>
    <w:rsid w:val="005C3550"/>
    <w:rsid w:val="005C49E4"/>
    <w:rsid w:val="005C5A22"/>
    <w:rsid w:val="005D11C3"/>
    <w:rsid w:val="005D4692"/>
    <w:rsid w:val="005D49BD"/>
    <w:rsid w:val="005D5B66"/>
    <w:rsid w:val="005D666A"/>
    <w:rsid w:val="005D6F4D"/>
    <w:rsid w:val="005E0710"/>
    <w:rsid w:val="005E1296"/>
    <w:rsid w:val="005E1D98"/>
    <w:rsid w:val="005E388D"/>
    <w:rsid w:val="005E53DB"/>
    <w:rsid w:val="005E56FC"/>
    <w:rsid w:val="005E6037"/>
    <w:rsid w:val="005E7502"/>
    <w:rsid w:val="005F24AD"/>
    <w:rsid w:val="005F37D7"/>
    <w:rsid w:val="005F3E0F"/>
    <w:rsid w:val="005F5CAA"/>
    <w:rsid w:val="005F754D"/>
    <w:rsid w:val="00600328"/>
    <w:rsid w:val="00600599"/>
    <w:rsid w:val="006010D7"/>
    <w:rsid w:val="00601EA6"/>
    <w:rsid w:val="00602A81"/>
    <w:rsid w:val="00602DBA"/>
    <w:rsid w:val="00603C08"/>
    <w:rsid w:val="00604EAC"/>
    <w:rsid w:val="00606893"/>
    <w:rsid w:val="006068AD"/>
    <w:rsid w:val="00610072"/>
    <w:rsid w:val="00611B8E"/>
    <w:rsid w:val="00612DC8"/>
    <w:rsid w:val="00612E80"/>
    <w:rsid w:val="00613D4F"/>
    <w:rsid w:val="0061444A"/>
    <w:rsid w:val="00615984"/>
    <w:rsid w:val="00621A09"/>
    <w:rsid w:val="00623B60"/>
    <w:rsid w:val="006267E0"/>
    <w:rsid w:val="0062746F"/>
    <w:rsid w:val="00632806"/>
    <w:rsid w:val="006351E7"/>
    <w:rsid w:val="006371AD"/>
    <w:rsid w:val="00641E3A"/>
    <w:rsid w:val="006423BD"/>
    <w:rsid w:val="006442DF"/>
    <w:rsid w:val="00646A2E"/>
    <w:rsid w:val="006477B2"/>
    <w:rsid w:val="00647CBA"/>
    <w:rsid w:val="00650AF1"/>
    <w:rsid w:val="00650DBE"/>
    <w:rsid w:val="00651386"/>
    <w:rsid w:val="00653455"/>
    <w:rsid w:val="006603D1"/>
    <w:rsid w:val="00661512"/>
    <w:rsid w:val="00661A08"/>
    <w:rsid w:val="00662256"/>
    <w:rsid w:val="00667DA7"/>
    <w:rsid w:val="00670B1C"/>
    <w:rsid w:val="00670D57"/>
    <w:rsid w:val="00671428"/>
    <w:rsid w:val="0067291C"/>
    <w:rsid w:val="00672CF2"/>
    <w:rsid w:val="006737BB"/>
    <w:rsid w:val="00673958"/>
    <w:rsid w:val="00674301"/>
    <w:rsid w:val="0067488C"/>
    <w:rsid w:val="006756BF"/>
    <w:rsid w:val="00682019"/>
    <w:rsid w:val="00682679"/>
    <w:rsid w:val="006834E2"/>
    <w:rsid w:val="006865E3"/>
    <w:rsid w:val="0068677A"/>
    <w:rsid w:val="00686F2E"/>
    <w:rsid w:val="0068761A"/>
    <w:rsid w:val="0069019F"/>
    <w:rsid w:val="00690FF9"/>
    <w:rsid w:val="00691EDF"/>
    <w:rsid w:val="00695055"/>
    <w:rsid w:val="00695ACF"/>
    <w:rsid w:val="00697902"/>
    <w:rsid w:val="006A05FD"/>
    <w:rsid w:val="006A0723"/>
    <w:rsid w:val="006A1678"/>
    <w:rsid w:val="006A17AE"/>
    <w:rsid w:val="006A1BE5"/>
    <w:rsid w:val="006A235C"/>
    <w:rsid w:val="006A2B5E"/>
    <w:rsid w:val="006A4E73"/>
    <w:rsid w:val="006A5546"/>
    <w:rsid w:val="006A5C62"/>
    <w:rsid w:val="006A7058"/>
    <w:rsid w:val="006A74F9"/>
    <w:rsid w:val="006A7DBC"/>
    <w:rsid w:val="006B058B"/>
    <w:rsid w:val="006B0CEF"/>
    <w:rsid w:val="006B3180"/>
    <w:rsid w:val="006B4259"/>
    <w:rsid w:val="006B467B"/>
    <w:rsid w:val="006B69E7"/>
    <w:rsid w:val="006B6CA8"/>
    <w:rsid w:val="006B7D45"/>
    <w:rsid w:val="006C128D"/>
    <w:rsid w:val="006C1471"/>
    <w:rsid w:val="006C1601"/>
    <w:rsid w:val="006C49AF"/>
    <w:rsid w:val="006C5144"/>
    <w:rsid w:val="006C59FA"/>
    <w:rsid w:val="006C74A0"/>
    <w:rsid w:val="006D042C"/>
    <w:rsid w:val="006D3B83"/>
    <w:rsid w:val="006D3C4B"/>
    <w:rsid w:val="006D5718"/>
    <w:rsid w:val="006D7EA4"/>
    <w:rsid w:val="006E2778"/>
    <w:rsid w:val="006E49DF"/>
    <w:rsid w:val="006E6936"/>
    <w:rsid w:val="006F2F50"/>
    <w:rsid w:val="006F3136"/>
    <w:rsid w:val="006F6672"/>
    <w:rsid w:val="0070052E"/>
    <w:rsid w:val="007014EA"/>
    <w:rsid w:val="00702E18"/>
    <w:rsid w:val="007031A8"/>
    <w:rsid w:val="007035DD"/>
    <w:rsid w:val="00703BC2"/>
    <w:rsid w:val="00704B46"/>
    <w:rsid w:val="007079F4"/>
    <w:rsid w:val="00710E83"/>
    <w:rsid w:val="007132A4"/>
    <w:rsid w:val="0071356E"/>
    <w:rsid w:val="00715EF2"/>
    <w:rsid w:val="007169E3"/>
    <w:rsid w:val="00726855"/>
    <w:rsid w:val="00727FEA"/>
    <w:rsid w:val="00730599"/>
    <w:rsid w:val="007312F9"/>
    <w:rsid w:val="00731A9D"/>
    <w:rsid w:val="00731E6D"/>
    <w:rsid w:val="007325A2"/>
    <w:rsid w:val="007333C0"/>
    <w:rsid w:val="0073540A"/>
    <w:rsid w:val="00736452"/>
    <w:rsid w:val="00741440"/>
    <w:rsid w:val="0074161A"/>
    <w:rsid w:val="00741CE1"/>
    <w:rsid w:val="007420DF"/>
    <w:rsid w:val="0074211C"/>
    <w:rsid w:val="00742929"/>
    <w:rsid w:val="00745E58"/>
    <w:rsid w:val="0074669C"/>
    <w:rsid w:val="00747D01"/>
    <w:rsid w:val="00750916"/>
    <w:rsid w:val="00750CC3"/>
    <w:rsid w:val="00750F32"/>
    <w:rsid w:val="007542CA"/>
    <w:rsid w:val="0076164F"/>
    <w:rsid w:val="00763CA2"/>
    <w:rsid w:val="00763D78"/>
    <w:rsid w:val="007675D1"/>
    <w:rsid w:val="007702EF"/>
    <w:rsid w:val="007710E8"/>
    <w:rsid w:val="007714BA"/>
    <w:rsid w:val="007718B1"/>
    <w:rsid w:val="00776174"/>
    <w:rsid w:val="0078264E"/>
    <w:rsid w:val="00782CF8"/>
    <w:rsid w:val="00784FD9"/>
    <w:rsid w:val="00790DEC"/>
    <w:rsid w:val="007920BF"/>
    <w:rsid w:val="00794CA1"/>
    <w:rsid w:val="0079534F"/>
    <w:rsid w:val="00797189"/>
    <w:rsid w:val="007A05B7"/>
    <w:rsid w:val="007A0C0B"/>
    <w:rsid w:val="007A6D6B"/>
    <w:rsid w:val="007B0D59"/>
    <w:rsid w:val="007B1B40"/>
    <w:rsid w:val="007B4802"/>
    <w:rsid w:val="007B7917"/>
    <w:rsid w:val="007C0A39"/>
    <w:rsid w:val="007C50BB"/>
    <w:rsid w:val="007C5B97"/>
    <w:rsid w:val="007C787E"/>
    <w:rsid w:val="007D074D"/>
    <w:rsid w:val="007D08A5"/>
    <w:rsid w:val="007D1647"/>
    <w:rsid w:val="007E1F7B"/>
    <w:rsid w:val="007E2795"/>
    <w:rsid w:val="007E2EA1"/>
    <w:rsid w:val="007E5E5B"/>
    <w:rsid w:val="007E64E5"/>
    <w:rsid w:val="007E6D7B"/>
    <w:rsid w:val="007F1C57"/>
    <w:rsid w:val="007F218C"/>
    <w:rsid w:val="007F2B01"/>
    <w:rsid w:val="007F4F96"/>
    <w:rsid w:val="007F6C85"/>
    <w:rsid w:val="00800ECE"/>
    <w:rsid w:val="00802A39"/>
    <w:rsid w:val="00803110"/>
    <w:rsid w:val="008038C8"/>
    <w:rsid w:val="00803A21"/>
    <w:rsid w:val="00804F88"/>
    <w:rsid w:val="008068B5"/>
    <w:rsid w:val="00806C3D"/>
    <w:rsid w:val="00807974"/>
    <w:rsid w:val="00811B99"/>
    <w:rsid w:val="00815855"/>
    <w:rsid w:val="008204C8"/>
    <w:rsid w:val="0082066B"/>
    <w:rsid w:val="00820EB0"/>
    <w:rsid w:val="0082142F"/>
    <w:rsid w:val="00822222"/>
    <w:rsid w:val="00823209"/>
    <w:rsid w:val="0082473E"/>
    <w:rsid w:val="00824A73"/>
    <w:rsid w:val="00832AF0"/>
    <w:rsid w:val="00834171"/>
    <w:rsid w:val="008355DE"/>
    <w:rsid w:val="00836BE8"/>
    <w:rsid w:val="00840493"/>
    <w:rsid w:val="0084177C"/>
    <w:rsid w:val="008458B5"/>
    <w:rsid w:val="00846EB7"/>
    <w:rsid w:val="00850265"/>
    <w:rsid w:val="008524E0"/>
    <w:rsid w:val="00852A4F"/>
    <w:rsid w:val="00855BE0"/>
    <w:rsid w:val="00856A33"/>
    <w:rsid w:val="00861AF5"/>
    <w:rsid w:val="00861F83"/>
    <w:rsid w:val="00865F43"/>
    <w:rsid w:val="00867D21"/>
    <w:rsid w:val="00871D64"/>
    <w:rsid w:val="0087277C"/>
    <w:rsid w:val="00876D4A"/>
    <w:rsid w:val="00876D88"/>
    <w:rsid w:val="008777EE"/>
    <w:rsid w:val="0088103B"/>
    <w:rsid w:val="00881C5E"/>
    <w:rsid w:val="008821FE"/>
    <w:rsid w:val="00885E7B"/>
    <w:rsid w:val="00886571"/>
    <w:rsid w:val="00891CA1"/>
    <w:rsid w:val="008949F2"/>
    <w:rsid w:val="00894B9D"/>
    <w:rsid w:val="00895300"/>
    <w:rsid w:val="008B036A"/>
    <w:rsid w:val="008B44BD"/>
    <w:rsid w:val="008B5282"/>
    <w:rsid w:val="008B5724"/>
    <w:rsid w:val="008B6AD3"/>
    <w:rsid w:val="008C1090"/>
    <w:rsid w:val="008C17CB"/>
    <w:rsid w:val="008C1AF7"/>
    <w:rsid w:val="008C27DD"/>
    <w:rsid w:val="008C468D"/>
    <w:rsid w:val="008C579E"/>
    <w:rsid w:val="008C5CFA"/>
    <w:rsid w:val="008D12CF"/>
    <w:rsid w:val="008D1C4C"/>
    <w:rsid w:val="008D21B6"/>
    <w:rsid w:val="008D2C8D"/>
    <w:rsid w:val="008D3111"/>
    <w:rsid w:val="008D475D"/>
    <w:rsid w:val="008E095C"/>
    <w:rsid w:val="008E0CE3"/>
    <w:rsid w:val="008E0F24"/>
    <w:rsid w:val="008E1BB1"/>
    <w:rsid w:val="008E25D0"/>
    <w:rsid w:val="008E2A42"/>
    <w:rsid w:val="008E4E33"/>
    <w:rsid w:val="008E58CD"/>
    <w:rsid w:val="008E5918"/>
    <w:rsid w:val="008E5B58"/>
    <w:rsid w:val="008E5CC1"/>
    <w:rsid w:val="008E6D22"/>
    <w:rsid w:val="008E7578"/>
    <w:rsid w:val="008F191A"/>
    <w:rsid w:val="008F1BB8"/>
    <w:rsid w:val="008F5EA7"/>
    <w:rsid w:val="008F757D"/>
    <w:rsid w:val="00902ECE"/>
    <w:rsid w:val="00904BA4"/>
    <w:rsid w:val="00911B8B"/>
    <w:rsid w:val="009123E9"/>
    <w:rsid w:val="00912BEA"/>
    <w:rsid w:val="0091315C"/>
    <w:rsid w:val="00915286"/>
    <w:rsid w:val="00915A22"/>
    <w:rsid w:val="009235B9"/>
    <w:rsid w:val="0092629D"/>
    <w:rsid w:val="0092691F"/>
    <w:rsid w:val="0093316D"/>
    <w:rsid w:val="00934380"/>
    <w:rsid w:val="00935014"/>
    <w:rsid w:val="009369E0"/>
    <w:rsid w:val="00936A05"/>
    <w:rsid w:val="00936ACC"/>
    <w:rsid w:val="00936CE8"/>
    <w:rsid w:val="00937962"/>
    <w:rsid w:val="00937E1F"/>
    <w:rsid w:val="00940EC7"/>
    <w:rsid w:val="00941C68"/>
    <w:rsid w:val="0094318C"/>
    <w:rsid w:val="009447C1"/>
    <w:rsid w:val="00945564"/>
    <w:rsid w:val="009463B3"/>
    <w:rsid w:val="009470C6"/>
    <w:rsid w:val="00956466"/>
    <w:rsid w:val="009615C6"/>
    <w:rsid w:val="00962085"/>
    <w:rsid w:val="00967DF5"/>
    <w:rsid w:val="00970716"/>
    <w:rsid w:val="009708B5"/>
    <w:rsid w:val="00970CDF"/>
    <w:rsid w:val="00972847"/>
    <w:rsid w:val="00975EDA"/>
    <w:rsid w:val="009779E7"/>
    <w:rsid w:val="009806C1"/>
    <w:rsid w:val="00982949"/>
    <w:rsid w:val="0098764F"/>
    <w:rsid w:val="00990FC7"/>
    <w:rsid w:val="00991FAB"/>
    <w:rsid w:val="009947EA"/>
    <w:rsid w:val="009959E8"/>
    <w:rsid w:val="00995C58"/>
    <w:rsid w:val="00997980"/>
    <w:rsid w:val="009A1633"/>
    <w:rsid w:val="009A2814"/>
    <w:rsid w:val="009A298E"/>
    <w:rsid w:val="009A29EE"/>
    <w:rsid w:val="009A4BDC"/>
    <w:rsid w:val="009A69F2"/>
    <w:rsid w:val="009A7A97"/>
    <w:rsid w:val="009B0258"/>
    <w:rsid w:val="009B1F56"/>
    <w:rsid w:val="009B360E"/>
    <w:rsid w:val="009B363A"/>
    <w:rsid w:val="009B4870"/>
    <w:rsid w:val="009B57CE"/>
    <w:rsid w:val="009B6DD1"/>
    <w:rsid w:val="009C0698"/>
    <w:rsid w:val="009C1655"/>
    <w:rsid w:val="009C1DB1"/>
    <w:rsid w:val="009C2052"/>
    <w:rsid w:val="009C392D"/>
    <w:rsid w:val="009C5F4D"/>
    <w:rsid w:val="009D3842"/>
    <w:rsid w:val="009D3C71"/>
    <w:rsid w:val="009D5713"/>
    <w:rsid w:val="009E1826"/>
    <w:rsid w:val="009E18E7"/>
    <w:rsid w:val="009E28D1"/>
    <w:rsid w:val="009E2964"/>
    <w:rsid w:val="009E59C0"/>
    <w:rsid w:val="009E71AE"/>
    <w:rsid w:val="009F3CF0"/>
    <w:rsid w:val="009F5EC3"/>
    <w:rsid w:val="009F74C2"/>
    <w:rsid w:val="00A015BA"/>
    <w:rsid w:val="00A061F1"/>
    <w:rsid w:val="00A06A3B"/>
    <w:rsid w:val="00A07623"/>
    <w:rsid w:val="00A07668"/>
    <w:rsid w:val="00A10D5F"/>
    <w:rsid w:val="00A10F0B"/>
    <w:rsid w:val="00A14244"/>
    <w:rsid w:val="00A16391"/>
    <w:rsid w:val="00A17580"/>
    <w:rsid w:val="00A204CF"/>
    <w:rsid w:val="00A2060B"/>
    <w:rsid w:val="00A22B54"/>
    <w:rsid w:val="00A24EA3"/>
    <w:rsid w:val="00A25199"/>
    <w:rsid w:val="00A336A6"/>
    <w:rsid w:val="00A34251"/>
    <w:rsid w:val="00A357D0"/>
    <w:rsid w:val="00A35B4C"/>
    <w:rsid w:val="00A35FF0"/>
    <w:rsid w:val="00A37DED"/>
    <w:rsid w:val="00A45821"/>
    <w:rsid w:val="00A45A1B"/>
    <w:rsid w:val="00A46339"/>
    <w:rsid w:val="00A4652C"/>
    <w:rsid w:val="00A468B5"/>
    <w:rsid w:val="00A46C4C"/>
    <w:rsid w:val="00A46F7F"/>
    <w:rsid w:val="00A50859"/>
    <w:rsid w:val="00A513E5"/>
    <w:rsid w:val="00A54142"/>
    <w:rsid w:val="00A54CF6"/>
    <w:rsid w:val="00A56483"/>
    <w:rsid w:val="00A573FA"/>
    <w:rsid w:val="00A618D2"/>
    <w:rsid w:val="00A6243B"/>
    <w:rsid w:val="00A650E8"/>
    <w:rsid w:val="00A65CD6"/>
    <w:rsid w:val="00A66B86"/>
    <w:rsid w:val="00A71D1D"/>
    <w:rsid w:val="00A7207F"/>
    <w:rsid w:val="00A7259D"/>
    <w:rsid w:val="00A76D27"/>
    <w:rsid w:val="00A76D6D"/>
    <w:rsid w:val="00A83231"/>
    <w:rsid w:val="00A8365A"/>
    <w:rsid w:val="00A83751"/>
    <w:rsid w:val="00A85365"/>
    <w:rsid w:val="00A90D40"/>
    <w:rsid w:val="00A9111A"/>
    <w:rsid w:val="00A91EF5"/>
    <w:rsid w:val="00A97429"/>
    <w:rsid w:val="00AA7393"/>
    <w:rsid w:val="00AA75E5"/>
    <w:rsid w:val="00AB0FEE"/>
    <w:rsid w:val="00AB1CD2"/>
    <w:rsid w:val="00AB4085"/>
    <w:rsid w:val="00AB43B0"/>
    <w:rsid w:val="00AB50E0"/>
    <w:rsid w:val="00AB5554"/>
    <w:rsid w:val="00AB5862"/>
    <w:rsid w:val="00AB6E14"/>
    <w:rsid w:val="00AC2247"/>
    <w:rsid w:val="00AD3D67"/>
    <w:rsid w:val="00AD409C"/>
    <w:rsid w:val="00AD4387"/>
    <w:rsid w:val="00AD5D2A"/>
    <w:rsid w:val="00AD75BA"/>
    <w:rsid w:val="00AD7DC0"/>
    <w:rsid w:val="00AE317A"/>
    <w:rsid w:val="00AE3623"/>
    <w:rsid w:val="00AE434A"/>
    <w:rsid w:val="00AE5EFF"/>
    <w:rsid w:val="00AF2C44"/>
    <w:rsid w:val="00AF2E72"/>
    <w:rsid w:val="00AF409B"/>
    <w:rsid w:val="00AF5194"/>
    <w:rsid w:val="00AF5798"/>
    <w:rsid w:val="00AF7B9E"/>
    <w:rsid w:val="00B035DB"/>
    <w:rsid w:val="00B0406B"/>
    <w:rsid w:val="00B04E0C"/>
    <w:rsid w:val="00B154D3"/>
    <w:rsid w:val="00B15791"/>
    <w:rsid w:val="00B16831"/>
    <w:rsid w:val="00B210BF"/>
    <w:rsid w:val="00B22393"/>
    <w:rsid w:val="00B238B1"/>
    <w:rsid w:val="00B27420"/>
    <w:rsid w:val="00B30FFD"/>
    <w:rsid w:val="00B318DE"/>
    <w:rsid w:val="00B34D31"/>
    <w:rsid w:val="00B36320"/>
    <w:rsid w:val="00B36427"/>
    <w:rsid w:val="00B367EA"/>
    <w:rsid w:val="00B41921"/>
    <w:rsid w:val="00B4225F"/>
    <w:rsid w:val="00B42D2C"/>
    <w:rsid w:val="00B45A1D"/>
    <w:rsid w:val="00B47764"/>
    <w:rsid w:val="00B47C94"/>
    <w:rsid w:val="00B51670"/>
    <w:rsid w:val="00B516B3"/>
    <w:rsid w:val="00B530A0"/>
    <w:rsid w:val="00B54D2D"/>
    <w:rsid w:val="00B55D35"/>
    <w:rsid w:val="00B573A5"/>
    <w:rsid w:val="00B57E89"/>
    <w:rsid w:val="00B60FA6"/>
    <w:rsid w:val="00B62979"/>
    <w:rsid w:val="00B64913"/>
    <w:rsid w:val="00B64BCE"/>
    <w:rsid w:val="00B64E61"/>
    <w:rsid w:val="00B654A8"/>
    <w:rsid w:val="00B70D64"/>
    <w:rsid w:val="00B737CF"/>
    <w:rsid w:val="00B7472F"/>
    <w:rsid w:val="00B76174"/>
    <w:rsid w:val="00B76C79"/>
    <w:rsid w:val="00B81EE8"/>
    <w:rsid w:val="00B82185"/>
    <w:rsid w:val="00B82C15"/>
    <w:rsid w:val="00B86596"/>
    <w:rsid w:val="00B86826"/>
    <w:rsid w:val="00B90DE7"/>
    <w:rsid w:val="00B90E3E"/>
    <w:rsid w:val="00B912C5"/>
    <w:rsid w:val="00B9411F"/>
    <w:rsid w:val="00B961F4"/>
    <w:rsid w:val="00BA0160"/>
    <w:rsid w:val="00BA0567"/>
    <w:rsid w:val="00BA05C9"/>
    <w:rsid w:val="00BA0766"/>
    <w:rsid w:val="00BA2EFD"/>
    <w:rsid w:val="00BA489C"/>
    <w:rsid w:val="00BB0137"/>
    <w:rsid w:val="00BB064E"/>
    <w:rsid w:val="00BB25E8"/>
    <w:rsid w:val="00BB2B20"/>
    <w:rsid w:val="00BB364E"/>
    <w:rsid w:val="00BB42CA"/>
    <w:rsid w:val="00BB4563"/>
    <w:rsid w:val="00BB4B8A"/>
    <w:rsid w:val="00BC1CA7"/>
    <w:rsid w:val="00BC4EC1"/>
    <w:rsid w:val="00BC53CD"/>
    <w:rsid w:val="00BC57CB"/>
    <w:rsid w:val="00BD062E"/>
    <w:rsid w:val="00BD0D01"/>
    <w:rsid w:val="00BD135D"/>
    <w:rsid w:val="00BD30C9"/>
    <w:rsid w:val="00BE0C05"/>
    <w:rsid w:val="00BE20DD"/>
    <w:rsid w:val="00BE32FA"/>
    <w:rsid w:val="00BE4478"/>
    <w:rsid w:val="00BE4D7B"/>
    <w:rsid w:val="00BE62D0"/>
    <w:rsid w:val="00BE7771"/>
    <w:rsid w:val="00BE791C"/>
    <w:rsid w:val="00BF187A"/>
    <w:rsid w:val="00BF3329"/>
    <w:rsid w:val="00BF6DE5"/>
    <w:rsid w:val="00BF7223"/>
    <w:rsid w:val="00C025D7"/>
    <w:rsid w:val="00C02C44"/>
    <w:rsid w:val="00C0450C"/>
    <w:rsid w:val="00C055AF"/>
    <w:rsid w:val="00C0577E"/>
    <w:rsid w:val="00C06465"/>
    <w:rsid w:val="00C1092B"/>
    <w:rsid w:val="00C119F4"/>
    <w:rsid w:val="00C140B1"/>
    <w:rsid w:val="00C14704"/>
    <w:rsid w:val="00C15744"/>
    <w:rsid w:val="00C16F7F"/>
    <w:rsid w:val="00C17033"/>
    <w:rsid w:val="00C211EB"/>
    <w:rsid w:val="00C24641"/>
    <w:rsid w:val="00C24749"/>
    <w:rsid w:val="00C249C8"/>
    <w:rsid w:val="00C3076A"/>
    <w:rsid w:val="00C31E96"/>
    <w:rsid w:val="00C348C7"/>
    <w:rsid w:val="00C36DBF"/>
    <w:rsid w:val="00C40E6F"/>
    <w:rsid w:val="00C41469"/>
    <w:rsid w:val="00C41F9B"/>
    <w:rsid w:val="00C43572"/>
    <w:rsid w:val="00C46AC1"/>
    <w:rsid w:val="00C51155"/>
    <w:rsid w:val="00C51535"/>
    <w:rsid w:val="00C52434"/>
    <w:rsid w:val="00C52878"/>
    <w:rsid w:val="00C53DDD"/>
    <w:rsid w:val="00C54ED1"/>
    <w:rsid w:val="00C56350"/>
    <w:rsid w:val="00C5718A"/>
    <w:rsid w:val="00C57BCC"/>
    <w:rsid w:val="00C57C06"/>
    <w:rsid w:val="00C605EC"/>
    <w:rsid w:val="00C6406D"/>
    <w:rsid w:val="00C65F3E"/>
    <w:rsid w:val="00C66688"/>
    <w:rsid w:val="00C667A7"/>
    <w:rsid w:val="00C6687F"/>
    <w:rsid w:val="00C70D9F"/>
    <w:rsid w:val="00C71A26"/>
    <w:rsid w:val="00C71D25"/>
    <w:rsid w:val="00C73958"/>
    <w:rsid w:val="00C76182"/>
    <w:rsid w:val="00C779DA"/>
    <w:rsid w:val="00C77BFE"/>
    <w:rsid w:val="00C8236A"/>
    <w:rsid w:val="00C82469"/>
    <w:rsid w:val="00C82AE6"/>
    <w:rsid w:val="00C82CB6"/>
    <w:rsid w:val="00C86B9E"/>
    <w:rsid w:val="00C90CEF"/>
    <w:rsid w:val="00C91BC8"/>
    <w:rsid w:val="00C933FB"/>
    <w:rsid w:val="00C94D43"/>
    <w:rsid w:val="00CA08F2"/>
    <w:rsid w:val="00CA2104"/>
    <w:rsid w:val="00CA5BAA"/>
    <w:rsid w:val="00CA75C0"/>
    <w:rsid w:val="00CB0C40"/>
    <w:rsid w:val="00CB25AD"/>
    <w:rsid w:val="00CB2628"/>
    <w:rsid w:val="00CB3034"/>
    <w:rsid w:val="00CB5B96"/>
    <w:rsid w:val="00CC256A"/>
    <w:rsid w:val="00CC7B9F"/>
    <w:rsid w:val="00CC7D16"/>
    <w:rsid w:val="00CD2942"/>
    <w:rsid w:val="00CD38B2"/>
    <w:rsid w:val="00CD7D99"/>
    <w:rsid w:val="00CE2689"/>
    <w:rsid w:val="00CE2F14"/>
    <w:rsid w:val="00CE3636"/>
    <w:rsid w:val="00CE4F64"/>
    <w:rsid w:val="00CE55BB"/>
    <w:rsid w:val="00CE6272"/>
    <w:rsid w:val="00CF075A"/>
    <w:rsid w:val="00CF0EAD"/>
    <w:rsid w:val="00CF44D5"/>
    <w:rsid w:val="00CF6AD9"/>
    <w:rsid w:val="00CF7385"/>
    <w:rsid w:val="00CF7CE3"/>
    <w:rsid w:val="00D00A65"/>
    <w:rsid w:val="00D067C0"/>
    <w:rsid w:val="00D1356C"/>
    <w:rsid w:val="00D14A4D"/>
    <w:rsid w:val="00D14E18"/>
    <w:rsid w:val="00D15D5B"/>
    <w:rsid w:val="00D1610A"/>
    <w:rsid w:val="00D20938"/>
    <w:rsid w:val="00D2124F"/>
    <w:rsid w:val="00D216B8"/>
    <w:rsid w:val="00D22A33"/>
    <w:rsid w:val="00D23036"/>
    <w:rsid w:val="00D23E57"/>
    <w:rsid w:val="00D24519"/>
    <w:rsid w:val="00D259A2"/>
    <w:rsid w:val="00D260FB"/>
    <w:rsid w:val="00D27367"/>
    <w:rsid w:val="00D27EEF"/>
    <w:rsid w:val="00D32A6C"/>
    <w:rsid w:val="00D33113"/>
    <w:rsid w:val="00D33394"/>
    <w:rsid w:val="00D345D0"/>
    <w:rsid w:val="00D34FCD"/>
    <w:rsid w:val="00D35FA0"/>
    <w:rsid w:val="00D36594"/>
    <w:rsid w:val="00D41452"/>
    <w:rsid w:val="00D419D0"/>
    <w:rsid w:val="00D46B7A"/>
    <w:rsid w:val="00D46FE4"/>
    <w:rsid w:val="00D47253"/>
    <w:rsid w:val="00D5047C"/>
    <w:rsid w:val="00D50790"/>
    <w:rsid w:val="00D511F3"/>
    <w:rsid w:val="00D52214"/>
    <w:rsid w:val="00D54474"/>
    <w:rsid w:val="00D5497F"/>
    <w:rsid w:val="00D607AC"/>
    <w:rsid w:val="00D60AB8"/>
    <w:rsid w:val="00D614CE"/>
    <w:rsid w:val="00D617FC"/>
    <w:rsid w:val="00D62A16"/>
    <w:rsid w:val="00D63764"/>
    <w:rsid w:val="00D6661D"/>
    <w:rsid w:val="00D67E2D"/>
    <w:rsid w:val="00D7024F"/>
    <w:rsid w:val="00D719A8"/>
    <w:rsid w:val="00D7297E"/>
    <w:rsid w:val="00D73FEB"/>
    <w:rsid w:val="00D75693"/>
    <w:rsid w:val="00D75B63"/>
    <w:rsid w:val="00D76221"/>
    <w:rsid w:val="00D8075D"/>
    <w:rsid w:val="00D850F4"/>
    <w:rsid w:val="00D87153"/>
    <w:rsid w:val="00D877E2"/>
    <w:rsid w:val="00D94FB2"/>
    <w:rsid w:val="00DA0196"/>
    <w:rsid w:val="00DA0676"/>
    <w:rsid w:val="00DA1E6B"/>
    <w:rsid w:val="00DA31CA"/>
    <w:rsid w:val="00DA3AEE"/>
    <w:rsid w:val="00DA5434"/>
    <w:rsid w:val="00DA5DB2"/>
    <w:rsid w:val="00DA6F25"/>
    <w:rsid w:val="00DB0C22"/>
    <w:rsid w:val="00DB3D21"/>
    <w:rsid w:val="00DB4E54"/>
    <w:rsid w:val="00DB6093"/>
    <w:rsid w:val="00DB7215"/>
    <w:rsid w:val="00DC2903"/>
    <w:rsid w:val="00DC3497"/>
    <w:rsid w:val="00DC38C5"/>
    <w:rsid w:val="00DC6383"/>
    <w:rsid w:val="00DD28D9"/>
    <w:rsid w:val="00DD5D0C"/>
    <w:rsid w:val="00DD5EB5"/>
    <w:rsid w:val="00DD7BC6"/>
    <w:rsid w:val="00DE08FD"/>
    <w:rsid w:val="00DE19F9"/>
    <w:rsid w:val="00DE1DE1"/>
    <w:rsid w:val="00DE21C3"/>
    <w:rsid w:val="00DE545D"/>
    <w:rsid w:val="00DF4C75"/>
    <w:rsid w:val="00DF5086"/>
    <w:rsid w:val="00DF6D04"/>
    <w:rsid w:val="00E021D5"/>
    <w:rsid w:val="00E035FC"/>
    <w:rsid w:val="00E05974"/>
    <w:rsid w:val="00E10A6A"/>
    <w:rsid w:val="00E13003"/>
    <w:rsid w:val="00E1313A"/>
    <w:rsid w:val="00E13986"/>
    <w:rsid w:val="00E13F82"/>
    <w:rsid w:val="00E15F11"/>
    <w:rsid w:val="00E1664B"/>
    <w:rsid w:val="00E17458"/>
    <w:rsid w:val="00E245EE"/>
    <w:rsid w:val="00E30203"/>
    <w:rsid w:val="00E30571"/>
    <w:rsid w:val="00E35807"/>
    <w:rsid w:val="00E41517"/>
    <w:rsid w:val="00E41CF9"/>
    <w:rsid w:val="00E42116"/>
    <w:rsid w:val="00E43772"/>
    <w:rsid w:val="00E43A1C"/>
    <w:rsid w:val="00E45435"/>
    <w:rsid w:val="00E46A44"/>
    <w:rsid w:val="00E46C02"/>
    <w:rsid w:val="00E46DBC"/>
    <w:rsid w:val="00E51909"/>
    <w:rsid w:val="00E5383F"/>
    <w:rsid w:val="00E53E9E"/>
    <w:rsid w:val="00E5430B"/>
    <w:rsid w:val="00E60587"/>
    <w:rsid w:val="00E61836"/>
    <w:rsid w:val="00E638E5"/>
    <w:rsid w:val="00E643E6"/>
    <w:rsid w:val="00E654B2"/>
    <w:rsid w:val="00E66BFE"/>
    <w:rsid w:val="00E67AE0"/>
    <w:rsid w:val="00E70F32"/>
    <w:rsid w:val="00E7133C"/>
    <w:rsid w:val="00E736FB"/>
    <w:rsid w:val="00E778D4"/>
    <w:rsid w:val="00E80605"/>
    <w:rsid w:val="00E81979"/>
    <w:rsid w:val="00E837EF"/>
    <w:rsid w:val="00E84963"/>
    <w:rsid w:val="00E87DC9"/>
    <w:rsid w:val="00E90975"/>
    <w:rsid w:val="00E90B72"/>
    <w:rsid w:val="00E92CA5"/>
    <w:rsid w:val="00E9497F"/>
    <w:rsid w:val="00E949C8"/>
    <w:rsid w:val="00E955E1"/>
    <w:rsid w:val="00EA0D35"/>
    <w:rsid w:val="00EA33F0"/>
    <w:rsid w:val="00EA3802"/>
    <w:rsid w:val="00EA4C9A"/>
    <w:rsid w:val="00EA7AD3"/>
    <w:rsid w:val="00EB18D9"/>
    <w:rsid w:val="00EB2532"/>
    <w:rsid w:val="00EB48DD"/>
    <w:rsid w:val="00EB508A"/>
    <w:rsid w:val="00EB5184"/>
    <w:rsid w:val="00EB5393"/>
    <w:rsid w:val="00EB57AA"/>
    <w:rsid w:val="00EB6D0A"/>
    <w:rsid w:val="00EC03F1"/>
    <w:rsid w:val="00EC0862"/>
    <w:rsid w:val="00EC1443"/>
    <w:rsid w:val="00EC2AEA"/>
    <w:rsid w:val="00EC3E50"/>
    <w:rsid w:val="00EC3EB3"/>
    <w:rsid w:val="00EC4741"/>
    <w:rsid w:val="00EC53A6"/>
    <w:rsid w:val="00EC5694"/>
    <w:rsid w:val="00EC7AE5"/>
    <w:rsid w:val="00EC7E71"/>
    <w:rsid w:val="00ED3678"/>
    <w:rsid w:val="00ED4C1D"/>
    <w:rsid w:val="00ED52FE"/>
    <w:rsid w:val="00ED6624"/>
    <w:rsid w:val="00ED716A"/>
    <w:rsid w:val="00ED7178"/>
    <w:rsid w:val="00EE6379"/>
    <w:rsid w:val="00EE6975"/>
    <w:rsid w:val="00EF4954"/>
    <w:rsid w:val="00EF5AA8"/>
    <w:rsid w:val="00F01219"/>
    <w:rsid w:val="00F03556"/>
    <w:rsid w:val="00F12BA1"/>
    <w:rsid w:val="00F12FE0"/>
    <w:rsid w:val="00F165E8"/>
    <w:rsid w:val="00F16B86"/>
    <w:rsid w:val="00F21B1F"/>
    <w:rsid w:val="00F21FFF"/>
    <w:rsid w:val="00F32755"/>
    <w:rsid w:val="00F3303C"/>
    <w:rsid w:val="00F3388E"/>
    <w:rsid w:val="00F34909"/>
    <w:rsid w:val="00F3543F"/>
    <w:rsid w:val="00F3586B"/>
    <w:rsid w:val="00F35F85"/>
    <w:rsid w:val="00F36554"/>
    <w:rsid w:val="00F37F43"/>
    <w:rsid w:val="00F41D9F"/>
    <w:rsid w:val="00F42A5F"/>
    <w:rsid w:val="00F447E2"/>
    <w:rsid w:val="00F46932"/>
    <w:rsid w:val="00F47D49"/>
    <w:rsid w:val="00F50D6F"/>
    <w:rsid w:val="00F51152"/>
    <w:rsid w:val="00F52C8E"/>
    <w:rsid w:val="00F53846"/>
    <w:rsid w:val="00F54722"/>
    <w:rsid w:val="00F57E25"/>
    <w:rsid w:val="00F627C8"/>
    <w:rsid w:val="00F63166"/>
    <w:rsid w:val="00F63654"/>
    <w:rsid w:val="00F6541A"/>
    <w:rsid w:val="00F66B97"/>
    <w:rsid w:val="00F70209"/>
    <w:rsid w:val="00F70622"/>
    <w:rsid w:val="00F710E4"/>
    <w:rsid w:val="00F7393D"/>
    <w:rsid w:val="00F739A5"/>
    <w:rsid w:val="00F81A40"/>
    <w:rsid w:val="00F8239C"/>
    <w:rsid w:val="00F82808"/>
    <w:rsid w:val="00F83BBE"/>
    <w:rsid w:val="00F84154"/>
    <w:rsid w:val="00F94CBC"/>
    <w:rsid w:val="00F95606"/>
    <w:rsid w:val="00F96750"/>
    <w:rsid w:val="00F97441"/>
    <w:rsid w:val="00FA4A11"/>
    <w:rsid w:val="00FA4F6C"/>
    <w:rsid w:val="00FA555A"/>
    <w:rsid w:val="00FA70F7"/>
    <w:rsid w:val="00FA7B66"/>
    <w:rsid w:val="00FB1064"/>
    <w:rsid w:val="00FB1F7C"/>
    <w:rsid w:val="00FB3168"/>
    <w:rsid w:val="00FB44E6"/>
    <w:rsid w:val="00FB4A28"/>
    <w:rsid w:val="00FB7901"/>
    <w:rsid w:val="00FC03F6"/>
    <w:rsid w:val="00FC0537"/>
    <w:rsid w:val="00FC18EC"/>
    <w:rsid w:val="00FC5E36"/>
    <w:rsid w:val="00FC65FE"/>
    <w:rsid w:val="00FC7283"/>
    <w:rsid w:val="00FD08D6"/>
    <w:rsid w:val="00FD1837"/>
    <w:rsid w:val="00FD3EAA"/>
    <w:rsid w:val="00FD4ED5"/>
    <w:rsid w:val="00FD73D9"/>
    <w:rsid w:val="00FE2514"/>
    <w:rsid w:val="00FE2D02"/>
    <w:rsid w:val="00FE342B"/>
    <w:rsid w:val="00FE403C"/>
    <w:rsid w:val="00FE68D5"/>
    <w:rsid w:val="00FF243C"/>
    <w:rsid w:val="00FF4D91"/>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87B654C"/>
  <w15:chartTrackingRefBased/>
  <w15:docId w15:val="{DB6785BC-1061-4206-99AC-0248F8822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534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524E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F4D91"/>
    <w:rPr>
      <w:sz w:val="16"/>
      <w:szCs w:val="16"/>
    </w:rPr>
  </w:style>
  <w:style w:type="paragraph" w:styleId="CommentText">
    <w:name w:val="annotation text"/>
    <w:basedOn w:val="Normal"/>
    <w:link w:val="CommentTextChar"/>
    <w:uiPriority w:val="99"/>
    <w:unhideWhenUsed/>
    <w:rsid w:val="00FF4D91"/>
    <w:pPr>
      <w:spacing w:line="240" w:lineRule="auto"/>
    </w:pPr>
    <w:rPr>
      <w:sz w:val="20"/>
      <w:szCs w:val="20"/>
    </w:rPr>
  </w:style>
  <w:style w:type="character" w:customStyle="1" w:styleId="CommentTextChar">
    <w:name w:val="Comment Text Char"/>
    <w:basedOn w:val="DefaultParagraphFont"/>
    <w:link w:val="CommentText"/>
    <w:uiPriority w:val="99"/>
    <w:rsid w:val="00FF4D91"/>
    <w:rPr>
      <w:sz w:val="20"/>
      <w:szCs w:val="20"/>
    </w:rPr>
  </w:style>
  <w:style w:type="paragraph" w:styleId="CommentSubject">
    <w:name w:val="annotation subject"/>
    <w:basedOn w:val="CommentText"/>
    <w:next w:val="CommentText"/>
    <w:link w:val="CommentSubjectChar"/>
    <w:uiPriority w:val="99"/>
    <w:semiHidden/>
    <w:unhideWhenUsed/>
    <w:rsid w:val="00FF4D91"/>
    <w:rPr>
      <w:b/>
      <w:bCs/>
    </w:rPr>
  </w:style>
  <w:style w:type="character" w:customStyle="1" w:styleId="CommentSubjectChar">
    <w:name w:val="Comment Subject Char"/>
    <w:basedOn w:val="CommentTextChar"/>
    <w:link w:val="CommentSubject"/>
    <w:uiPriority w:val="99"/>
    <w:semiHidden/>
    <w:rsid w:val="00FF4D91"/>
    <w:rPr>
      <w:b/>
      <w:bCs/>
      <w:sz w:val="20"/>
      <w:szCs w:val="20"/>
    </w:rPr>
  </w:style>
  <w:style w:type="paragraph" w:styleId="BalloonText">
    <w:name w:val="Balloon Text"/>
    <w:basedOn w:val="Normal"/>
    <w:link w:val="BalloonTextChar"/>
    <w:uiPriority w:val="99"/>
    <w:semiHidden/>
    <w:unhideWhenUsed/>
    <w:rsid w:val="00FF4D9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4D91"/>
    <w:rPr>
      <w:rFonts w:ascii="Segoe UI" w:hAnsi="Segoe UI" w:cs="Segoe UI"/>
      <w:sz w:val="18"/>
      <w:szCs w:val="18"/>
    </w:rPr>
  </w:style>
  <w:style w:type="paragraph" w:styleId="ListParagraph">
    <w:name w:val="List Paragraph"/>
    <w:basedOn w:val="Normal"/>
    <w:uiPriority w:val="34"/>
    <w:qFormat/>
    <w:rsid w:val="0054460D"/>
    <w:pPr>
      <w:ind w:left="720"/>
      <w:contextualSpacing/>
    </w:pPr>
  </w:style>
  <w:style w:type="character" w:styleId="Hyperlink">
    <w:name w:val="Hyperlink"/>
    <w:basedOn w:val="DefaultParagraphFont"/>
    <w:uiPriority w:val="99"/>
    <w:unhideWhenUsed/>
    <w:rsid w:val="000C7968"/>
    <w:rPr>
      <w:color w:val="0563C1" w:themeColor="hyperlink"/>
      <w:u w:val="single"/>
    </w:rPr>
  </w:style>
  <w:style w:type="paragraph" w:styleId="Header">
    <w:name w:val="header"/>
    <w:basedOn w:val="Normal"/>
    <w:link w:val="HeaderChar"/>
    <w:uiPriority w:val="99"/>
    <w:unhideWhenUsed/>
    <w:rsid w:val="00406315"/>
    <w:pPr>
      <w:tabs>
        <w:tab w:val="center" w:pos="4536"/>
        <w:tab w:val="right" w:pos="9072"/>
      </w:tabs>
      <w:spacing w:after="0" w:line="240" w:lineRule="auto"/>
    </w:pPr>
  </w:style>
  <w:style w:type="character" w:customStyle="1" w:styleId="HeaderChar">
    <w:name w:val="Header Char"/>
    <w:basedOn w:val="DefaultParagraphFont"/>
    <w:link w:val="Header"/>
    <w:uiPriority w:val="99"/>
    <w:rsid w:val="00406315"/>
  </w:style>
  <w:style w:type="paragraph" w:styleId="Footer">
    <w:name w:val="footer"/>
    <w:basedOn w:val="Normal"/>
    <w:link w:val="FooterChar"/>
    <w:uiPriority w:val="99"/>
    <w:unhideWhenUsed/>
    <w:rsid w:val="00406315"/>
    <w:pPr>
      <w:tabs>
        <w:tab w:val="center" w:pos="4536"/>
        <w:tab w:val="right" w:pos="9072"/>
      </w:tabs>
      <w:spacing w:after="0" w:line="240" w:lineRule="auto"/>
    </w:pPr>
  </w:style>
  <w:style w:type="character" w:customStyle="1" w:styleId="FooterChar">
    <w:name w:val="Footer Char"/>
    <w:basedOn w:val="DefaultParagraphFont"/>
    <w:link w:val="Footer"/>
    <w:uiPriority w:val="99"/>
    <w:rsid w:val="00406315"/>
  </w:style>
  <w:style w:type="character" w:styleId="FollowedHyperlink">
    <w:name w:val="FollowedHyperlink"/>
    <w:basedOn w:val="DefaultParagraphFont"/>
    <w:uiPriority w:val="99"/>
    <w:semiHidden/>
    <w:unhideWhenUsed/>
    <w:rsid w:val="001B495C"/>
    <w:rPr>
      <w:color w:val="954F72" w:themeColor="followedHyperlink"/>
      <w:u w:val="single"/>
    </w:rPr>
  </w:style>
  <w:style w:type="character" w:customStyle="1" w:styleId="Heading1Char">
    <w:name w:val="Heading 1 Char"/>
    <w:basedOn w:val="DefaultParagraphFont"/>
    <w:link w:val="Heading1"/>
    <w:uiPriority w:val="9"/>
    <w:rsid w:val="00653455"/>
    <w:rPr>
      <w:rFonts w:asciiTheme="majorHAnsi" w:eastAsiaTheme="majorEastAsia" w:hAnsiTheme="majorHAnsi" w:cstheme="majorBidi"/>
      <w:color w:val="2E74B5" w:themeColor="accent1" w:themeShade="BF"/>
      <w:sz w:val="32"/>
      <w:szCs w:val="32"/>
    </w:rPr>
  </w:style>
  <w:style w:type="paragraph" w:styleId="NoSpacing">
    <w:name w:val="No Spacing"/>
    <w:link w:val="NoSpacingChar"/>
    <w:uiPriority w:val="1"/>
    <w:qFormat/>
    <w:rsid w:val="001D45F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D45FD"/>
    <w:rPr>
      <w:rFonts w:eastAsiaTheme="minorEastAsia"/>
      <w:lang w:val="en-US"/>
    </w:rPr>
  </w:style>
  <w:style w:type="paragraph" w:styleId="Title">
    <w:name w:val="Title"/>
    <w:basedOn w:val="Normal"/>
    <w:next w:val="Normal"/>
    <w:link w:val="TitleChar"/>
    <w:uiPriority w:val="10"/>
    <w:qFormat/>
    <w:rsid w:val="00602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DBA"/>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8524E0"/>
    <w:pPr>
      <w:outlineLvl w:val="9"/>
    </w:pPr>
    <w:rPr>
      <w:lang w:val="en-US"/>
    </w:rPr>
  </w:style>
  <w:style w:type="character" w:customStyle="1" w:styleId="Heading2Char">
    <w:name w:val="Heading 2 Char"/>
    <w:basedOn w:val="DefaultParagraphFont"/>
    <w:link w:val="Heading2"/>
    <w:uiPriority w:val="9"/>
    <w:rsid w:val="008524E0"/>
    <w:rPr>
      <w:rFonts w:asciiTheme="majorHAnsi" w:eastAsiaTheme="majorEastAsia" w:hAnsiTheme="majorHAnsi" w:cstheme="majorBidi"/>
      <w:color w:val="2E74B5" w:themeColor="accent1" w:themeShade="BF"/>
      <w:sz w:val="26"/>
      <w:szCs w:val="26"/>
    </w:rPr>
  </w:style>
  <w:style w:type="paragraph" w:styleId="TOC1">
    <w:name w:val="toc 1"/>
    <w:basedOn w:val="Normal"/>
    <w:next w:val="Normal"/>
    <w:autoRedefine/>
    <w:uiPriority w:val="39"/>
    <w:unhideWhenUsed/>
    <w:rsid w:val="00ED7178"/>
    <w:pPr>
      <w:spacing w:after="100"/>
    </w:pPr>
  </w:style>
  <w:style w:type="paragraph" w:styleId="TOC2">
    <w:name w:val="toc 2"/>
    <w:basedOn w:val="Normal"/>
    <w:next w:val="Normal"/>
    <w:autoRedefine/>
    <w:uiPriority w:val="39"/>
    <w:unhideWhenUsed/>
    <w:rsid w:val="00C54ED1"/>
    <w:pPr>
      <w:spacing w:after="100"/>
      <w:ind w:left="220"/>
    </w:pPr>
  </w:style>
  <w:style w:type="paragraph" w:styleId="Revision">
    <w:name w:val="Revision"/>
    <w:hidden/>
    <w:uiPriority w:val="99"/>
    <w:semiHidden/>
    <w:rsid w:val="005557D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743522">
      <w:bodyDiv w:val="1"/>
      <w:marLeft w:val="0"/>
      <w:marRight w:val="0"/>
      <w:marTop w:val="0"/>
      <w:marBottom w:val="0"/>
      <w:divBdr>
        <w:top w:val="none" w:sz="0" w:space="0" w:color="auto"/>
        <w:left w:val="none" w:sz="0" w:space="0" w:color="auto"/>
        <w:bottom w:val="none" w:sz="0" w:space="0" w:color="auto"/>
        <w:right w:val="none" w:sz="0" w:space="0" w:color="auto"/>
      </w:divBdr>
    </w:div>
    <w:div w:id="382287849">
      <w:bodyDiv w:val="1"/>
      <w:marLeft w:val="0"/>
      <w:marRight w:val="0"/>
      <w:marTop w:val="0"/>
      <w:marBottom w:val="0"/>
      <w:divBdr>
        <w:top w:val="none" w:sz="0" w:space="0" w:color="auto"/>
        <w:left w:val="none" w:sz="0" w:space="0" w:color="auto"/>
        <w:bottom w:val="none" w:sz="0" w:space="0" w:color="auto"/>
        <w:right w:val="none" w:sz="0" w:space="0" w:color="auto"/>
      </w:divBdr>
    </w:div>
    <w:div w:id="581572714">
      <w:bodyDiv w:val="1"/>
      <w:marLeft w:val="0"/>
      <w:marRight w:val="0"/>
      <w:marTop w:val="0"/>
      <w:marBottom w:val="0"/>
      <w:divBdr>
        <w:top w:val="none" w:sz="0" w:space="0" w:color="auto"/>
        <w:left w:val="none" w:sz="0" w:space="0" w:color="auto"/>
        <w:bottom w:val="none" w:sz="0" w:space="0" w:color="auto"/>
        <w:right w:val="none" w:sz="0" w:space="0" w:color="auto"/>
      </w:divBdr>
    </w:div>
    <w:div w:id="940843906">
      <w:bodyDiv w:val="1"/>
      <w:marLeft w:val="0"/>
      <w:marRight w:val="0"/>
      <w:marTop w:val="0"/>
      <w:marBottom w:val="0"/>
      <w:divBdr>
        <w:top w:val="none" w:sz="0" w:space="0" w:color="auto"/>
        <w:left w:val="none" w:sz="0" w:space="0" w:color="auto"/>
        <w:bottom w:val="none" w:sz="0" w:space="0" w:color="auto"/>
        <w:right w:val="none" w:sz="0" w:space="0" w:color="auto"/>
      </w:divBdr>
    </w:div>
    <w:div w:id="1226644595">
      <w:bodyDiv w:val="1"/>
      <w:marLeft w:val="0"/>
      <w:marRight w:val="0"/>
      <w:marTop w:val="0"/>
      <w:marBottom w:val="0"/>
      <w:divBdr>
        <w:top w:val="none" w:sz="0" w:space="0" w:color="auto"/>
        <w:left w:val="none" w:sz="0" w:space="0" w:color="auto"/>
        <w:bottom w:val="none" w:sz="0" w:space="0" w:color="auto"/>
        <w:right w:val="none" w:sz="0" w:space="0" w:color="auto"/>
      </w:divBdr>
    </w:div>
    <w:div w:id="1305038909">
      <w:bodyDiv w:val="1"/>
      <w:marLeft w:val="0"/>
      <w:marRight w:val="0"/>
      <w:marTop w:val="0"/>
      <w:marBottom w:val="0"/>
      <w:divBdr>
        <w:top w:val="none" w:sz="0" w:space="0" w:color="auto"/>
        <w:left w:val="none" w:sz="0" w:space="0" w:color="auto"/>
        <w:bottom w:val="none" w:sz="0" w:space="0" w:color="auto"/>
        <w:right w:val="none" w:sz="0" w:space="0" w:color="auto"/>
      </w:divBdr>
    </w:div>
    <w:div w:id="1800345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nos.nl/artikel/2287610-pegida-houdt-met-handjevol-activisten-de-gemoederen-flink-bezig.html" TargetMode="External"/><Relationship Id="rId18" Type="http://schemas.openxmlformats.org/officeDocument/2006/relationships/hyperlink" Target="https://www.blackwellpublishing.com/content/bpl_images/content_store/sample_chapter/0631225137/bridge.pdf"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migrationpolicy.org/article/debate-over-multiculturalism-philosophy-politics-and-policy" TargetMode="External"/><Relationship Id="rId17" Type="http://schemas.openxmlformats.org/officeDocument/2006/relationships/hyperlink" Target="https://www.telegraph.co.uk/women/life/burka-bans-the-countries-where-muslim-women-cant-wear-veils/" TargetMode="Externa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www.nrc.nl/nieuws/2019/06/15/pegida-voorman-aangevallen-bij-flyeractie-in-eindhoven-a396385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s://www.nu.nl/dvn/4143009/pegida-korte-uitleg-van-protestbeweging.html" TargetMode="External"/><Relationship Id="rId23" Type="http://schemas.openxmlformats.org/officeDocument/2006/relationships/theme" Target="theme/theme1.xml"/><Relationship Id="rId10" Type="http://schemas.microsoft.com/office/2007/relationships/hdphoto" Target="media/hdphoto1.wdp"/><Relationship Id="rId19" Type="http://schemas.openxmlformats.org/officeDocument/2006/relationships/hyperlink" Target="https://www.dagelijksestandaard.nl/2017/09/pegida-en-antifa-in-enschede-neo-nazis-versus-extreemlink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u.nl/politiek/5370869/minister-blok-ik-ken-geen-multiculturele-samenleving-vreedzaam-is.html"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E8243BC80A2440E84AAADBCD3AEE990"/>
        <w:category>
          <w:name w:val="General"/>
          <w:gallery w:val="placeholder"/>
        </w:category>
        <w:types>
          <w:type w:val="bbPlcHdr"/>
        </w:types>
        <w:behaviors>
          <w:behavior w:val="content"/>
        </w:behaviors>
        <w:guid w:val="{BC6D42CB-5EF9-4FE7-A4B0-4F34D7BF1754}"/>
      </w:docPartPr>
      <w:docPartBody>
        <w:p w:rsidR="00160102" w:rsidRDefault="008B7961" w:rsidP="008B7961">
          <w:pPr>
            <w:pStyle w:val="FE8243BC80A2440E84AAADBCD3AEE990"/>
          </w:pPr>
          <w:r>
            <w:rPr>
              <w:rFonts w:asciiTheme="majorHAnsi" w:eastAsiaTheme="majorEastAsia" w:hAnsiTheme="majorHAnsi" w:cstheme="majorBidi"/>
              <w:caps/>
              <w:color w:val="5B9BD5" w:themeColor="accent1"/>
              <w:sz w:val="80"/>
              <w:szCs w:val="80"/>
            </w:rPr>
            <w:t>[Document title]</w:t>
          </w:r>
        </w:p>
      </w:docPartBody>
    </w:docPart>
    <w:docPart>
      <w:docPartPr>
        <w:name w:val="2FDFD43A95204DC0856A919877A25F36"/>
        <w:category>
          <w:name w:val="General"/>
          <w:gallery w:val="placeholder"/>
        </w:category>
        <w:types>
          <w:type w:val="bbPlcHdr"/>
        </w:types>
        <w:behaviors>
          <w:behavior w:val="content"/>
        </w:behaviors>
        <w:guid w:val="{0C70C354-F2FE-4BF5-B370-B95ADB5BBAC9}"/>
      </w:docPartPr>
      <w:docPartBody>
        <w:p w:rsidR="00160102" w:rsidRDefault="008B7961" w:rsidP="008B7961">
          <w:pPr>
            <w:pStyle w:val="2FDFD43A95204DC0856A919877A25F36"/>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aurMT">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Garamond italic">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961"/>
    <w:rsid w:val="000F7B0C"/>
    <w:rsid w:val="00160102"/>
    <w:rsid w:val="002212D4"/>
    <w:rsid w:val="002862AA"/>
    <w:rsid w:val="008B7961"/>
    <w:rsid w:val="00F23FEA"/>
    <w:rsid w:val="00F5786B"/>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34937B6B31B439A98E77AA15C056444">
    <w:name w:val="034937B6B31B439A98E77AA15C056444"/>
    <w:rsid w:val="008B7961"/>
  </w:style>
  <w:style w:type="paragraph" w:customStyle="1" w:styleId="F1CFE24FD8424AE78434C0AE8CB80C0C">
    <w:name w:val="F1CFE24FD8424AE78434C0AE8CB80C0C"/>
    <w:rsid w:val="008B7961"/>
  </w:style>
  <w:style w:type="paragraph" w:customStyle="1" w:styleId="930355EAD17A4236B6636AD57A35DCBA">
    <w:name w:val="930355EAD17A4236B6636AD57A35DCBA"/>
    <w:rsid w:val="008B7961"/>
  </w:style>
  <w:style w:type="paragraph" w:customStyle="1" w:styleId="1B5959E7D61B430B910DFE60BEEEEFC4">
    <w:name w:val="1B5959E7D61B430B910DFE60BEEEEFC4"/>
    <w:rsid w:val="008B7961"/>
  </w:style>
  <w:style w:type="paragraph" w:customStyle="1" w:styleId="FE8243BC80A2440E84AAADBCD3AEE990">
    <w:name w:val="FE8243BC80A2440E84AAADBCD3AEE990"/>
    <w:rsid w:val="008B7961"/>
  </w:style>
  <w:style w:type="paragraph" w:customStyle="1" w:styleId="2FDFD43A95204DC0856A919877A25F36">
    <w:name w:val="2FDFD43A95204DC0856A919877A25F36"/>
    <w:rsid w:val="008B796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2019-06-24T00:00:00</PublishDate>
  <Abstract/>
  <CompanyAddress>Thom Oudshoorn (s4414128)</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1A81A0-287F-4CCC-A8CE-99BA0BCBD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17294</Words>
  <Characters>95118</Characters>
  <Application>Microsoft Office Word</Application>
  <DocSecurity>0</DocSecurity>
  <Lines>792</Lines>
  <Paragraphs>224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How to Live With Difference</vt:lpstr>
      <vt:lpstr>How to Live With Difference</vt:lpstr>
    </vt:vector>
  </TitlesOfParts>
  <Company>Radboud Universiteit Nijmegen</Company>
  <LinksUpToDate>false</LinksUpToDate>
  <CharactersWithSpaces>112188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How to Live With Difference</dc:title>
  <dc:subject>Through an Examination of Urban Agonism and Side-by-side Citizenship.</dc:subject>
  <dc:creator>Oudshoorn, T. (Thom)</dc:creator>
  <cp:lastModifiedBy>Oudshoorn, T. (Thom)</cp:lastModifiedBy>
  <cp:revision>10</cp:revision>
  <dcterms:created xsi:type="dcterms:W3CDTF">2019-07-03T11:05:00Z</dcterms:created>
  <dcterms:modified xsi:type="dcterms:W3CDTF">2019-07-03T13:47:00Z</dcterms:modified>
</cp:coreProperties>
</file>