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24A9FD" w14:textId="449AF34E" w:rsidR="00B60492" w:rsidRPr="00B0319E" w:rsidRDefault="00A90441" w:rsidP="00A90441">
      <w:pPr>
        <w:suppressLineNumbers/>
        <w:tabs>
          <w:tab w:val="left" w:pos="5414"/>
        </w:tabs>
        <w:rPr>
          <w:rFonts w:ascii="Open Sans" w:hAnsi="Open Sans" w:cs="Open Sans"/>
          <w:color w:val="FFFFFF" w:themeColor="background1"/>
          <w:sz w:val="80"/>
          <w:szCs w:val="80"/>
        </w:rPr>
      </w:pPr>
      <w:bookmarkStart w:id="0" w:name="_Hlk174178056"/>
      <w:bookmarkEnd w:id="0"/>
      <w:r w:rsidRPr="00CD3858">
        <w:rPr>
          <w:noProof/>
        </w:rPr>
        <w:drawing>
          <wp:anchor distT="0" distB="0" distL="114300" distR="114300" simplePos="0" relativeHeight="251658239" behindDoc="1" locked="0" layoutInCell="1" allowOverlap="1" wp14:anchorId="1756E420" wp14:editId="00D1E264">
            <wp:simplePos x="0" y="0"/>
            <wp:positionH relativeFrom="column">
              <wp:posOffset>-1151890</wp:posOffset>
            </wp:positionH>
            <wp:positionV relativeFrom="page">
              <wp:posOffset>-382270</wp:posOffset>
            </wp:positionV>
            <wp:extent cx="8431200" cy="10580400"/>
            <wp:effectExtent l="0" t="0" r="8255" b="0"/>
            <wp:wrapNone/>
            <wp:docPr id="12" name="Background" descr="A red and black flag&#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ackground" descr="A red and black flag&#10;&#10;Description automatically generated with low confidence"/>
                    <pic:cNvPicPr/>
                  </pic:nvPicPr>
                  <pic:blipFill rotWithShape="1">
                    <a:blip r:embed="rId11"/>
                    <a:srcRect l="18498" t="31330" r="59472" b="29972"/>
                    <a:stretch/>
                  </pic:blipFill>
                  <pic:spPr bwMode="auto">
                    <a:xfrm>
                      <a:off x="0" y="0"/>
                      <a:ext cx="8431200" cy="10580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774BEE5" w14:textId="77777777" w:rsidR="00A90441" w:rsidRPr="00B0319E" w:rsidRDefault="00A90441" w:rsidP="00A90441">
      <w:pPr>
        <w:suppressLineNumbers/>
        <w:tabs>
          <w:tab w:val="left" w:pos="5414"/>
        </w:tabs>
        <w:rPr>
          <w:rFonts w:ascii="Open Sans" w:hAnsi="Open Sans" w:cs="Open Sans"/>
          <w:color w:val="FFFFFF" w:themeColor="background1"/>
          <w:sz w:val="80"/>
          <w:szCs w:val="80"/>
        </w:rPr>
      </w:pPr>
    </w:p>
    <w:p w14:paraId="5B9A1AE3" w14:textId="09AD3F24" w:rsidR="00B60492" w:rsidRPr="00B0319E" w:rsidRDefault="00B60492" w:rsidP="00B60492">
      <w:pPr>
        <w:suppressLineNumbers/>
        <w:spacing w:line="240" w:lineRule="auto"/>
        <w:ind w:firstLine="0"/>
        <w:jc w:val="left"/>
        <w:rPr>
          <w:rFonts w:ascii="Open Sans" w:hAnsi="Open Sans" w:cs="Open Sans"/>
          <w:b/>
          <w:color w:val="FFFFFF" w:themeColor="background1"/>
          <w:sz w:val="28"/>
          <w:szCs w:val="36"/>
          <w:lang w:eastAsia="en-GB"/>
        </w:rPr>
      </w:pPr>
      <w:r w:rsidRPr="00B0319E">
        <w:rPr>
          <w:rFonts w:ascii="Open Sans" w:hAnsi="Open Sans" w:cs="Open Sans"/>
          <w:b/>
          <w:color w:val="FFFFFF" w:themeColor="background1"/>
          <w:sz w:val="28"/>
          <w:szCs w:val="36"/>
          <w:lang w:eastAsia="en-GB"/>
        </w:rPr>
        <w:t>Nijmegen School of Management</w:t>
      </w:r>
      <w:r w:rsidRPr="00B0319E">
        <w:rPr>
          <w:rFonts w:ascii="Open Sans" w:hAnsi="Open Sans" w:cs="Open Sans"/>
          <w:b/>
          <w:color w:val="FFFFFF" w:themeColor="background1"/>
          <w:sz w:val="28"/>
          <w:szCs w:val="36"/>
          <w:lang w:eastAsia="en-GB"/>
        </w:rPr>
        <w:br/>
        <w:t>Department of Economics and Business Economics</w:t>
      </w:r>
      <w:r w:rsidRPr="00B0319E">
        <w:rPr>
          <w:rFonts w:ascii="Open Sans" w:hAnsi="Open Sans" w:cs="Open Sans"/>
          <w:b/>
          <w:color w:val="FFFFFF" w:themeColor="background1"/>
          <w:sz w:val="28"/>
          <w:szCs w:val="36"/>
          <w:lang w:eastAsia="en-GB"/>
        </w:rPr>
        <w:br/>
        <w:t>Master</w:t>
      </w:r>
      <w:r w:rsidR="00E234B0" w:rsidRPr="00B0319E">
        <w:rPr>
          <w:rFonts w:ascii="Open Sans" w:hAnsi="Open Sans" w:cs="Open Sans"/>
          <w:b/>
          <w:color w:val="FFFFFF" w:themeColor="background1"/>
          <w:sz w:val="28"/>
          <w:szCs w:val="36"/>
          <w:lang w:eastAsia="en-GB"/>
        </w:rPr>
        <w:t>’s</w:t>
      </w:r>
      <w:r w:rsidRPr="00B0319E">
        <w:rPr>
          <w:rFonts w:ascii="Open Sans" w:hAnsi="Open Sans" w:cs="Open Sans"/>
          <w:b/>
          <w:color w:val="FFFFFF" w:themeColor="background1"/>
          <w:sz w:val="28"/>
          <w:szCs w:val="36"/>
          <w:lang w:eastAsia="en-GB"/>
        </w:rPr>
        <w:t xml:space="preserve"> Thesis</w:t>
      </w:r>
      <w:r w:rsidR="00E234B0" w:rsidRPr="00B0319E">
        <w:rPr>
          <w:rFonts w:ascii="Open Sans" w:hAnsi="Open Sans" w:cs="Open Sans"/>
          <w:b/>
          <w:color w:val="FFFFFF" w:themeColor="background1"/>
          <w:sz w:val="28"/>
          <w:szCs w:val="36"/>
          <w:lang w:eastAsia="en-GB"/>
        </w:rPr>
        <w:t xml:space="preserve"> Economics (MAN-MTHEC)</w:t>
      </w:r>
    </w:p>
    <w:p w14:paraId="145A9065" w14:textId="77777777" w:rsidR="00B60492" w:rsidRPr="00B0319E" w:rsidRDefault="00B60492" w:rsidP="00B60492">
      <w:pPr>
        <w:suppressLineNumbers/>
        <w:spacing w:line="240" w:lineRule="auto"/>
        <w:ind w:firstLine="0"/>
        <w:jc w:val="left"/>
        <w:rPr>
          <w:rFonts w:ascii="Open Sans" w:hAnsi="Open Sans" w:cs="Open Sans"/>
          <w:b/>
          <w:color w:val="FFFFFF" w:themeColor="background1"/>
          <w:sz w:val="28"/>
          <w:szCs w:val="36"/>
          <w:lang w:eastAsia="en-GB"/>
        </w:rPr>
      </w:pPr>
    </w:p>
    <w:p w14:paraId="42065759" w14:textId="4F23E359" w:rsidR="00B60492" w:rsidRPr="00B0319E" w:rsidRDefault="00254958" w:rsidP="00B60492">
      <w:pPr>
        <w:suppressLineNumbers/>
        <w:ind w:firstLine="0"/>
        <w:jc w:val="left"/>
        <w:rPr>
          <w:rFonts w:ascii="Open Sans" w:hAnsi="Open Sans" w:cs="Open Sans"/>
          <w:b/>
          <w:color w:val="FFFFFF" w:themeColor="background1"/>
          <w:szCs w:val="36"/>
        </w:rPr>
      </w:pPr>
      <w:r w:rsidRPr="00B0319E">
        <w:rPr>
          <w:rFonts w:ascii="Open Sans" w:hAnsi="Open Sans" w:cs="Open Sans"/>
          <w:b/>
          <w:color w:val="FFFFFF" w:themeColor="background1"/>
          <w:sz w:val="56"/>
          <w:szCs w:val="80"/>
          <w:lang w:eastAsia="en-GB"/>
        </w:rPr>
        <w:t xml:space="preserve">From Satisfaction to Success: </w:t>
      </w:r>
      <w:r w:rsidRPr="00B0319E">
        <w:rPr>
          <w:rFonts w:ascii="Open Sans" w:hAnsi="Open Sans" w:cs="Open Sans"/>
          <w:b/>
          <w:color w:val="FFFFFF" w:themeColor="background1"/>
          <w:sz w:val="48"/>
          <w:szCs w:val="56"/>
          <w:lang w:eastAsia="en-GB"/>
        </w:rPr>
        <w:t>Employee Impact on Performance</w:t>
      </w:r>
    </w:p>
    <w:p w14:paraId="0851C5DB" w14:textId="34316261" w:rsidR="00B60492" w:rsidRPr="00B0319E" w:rsidRDefault="00B60492" w:rsidP="00B60492">
      <w:pPr>
        <w:suppressLineNumbers/>
        <w:spacing w:after="120" w:line="240" w:lineRule="auto"/>
        <w:ind w:firstLine="0"/>
        <w:jc w:val="left"/>
        <w:rPr>
          <w:rFonts w:ascii="Open Sans" w:hAnsi="Open Sans" w:cs="Open Sans"/>
          <w:color w:val="FFFFFF" w:themeColor="background1"/>
        </w:rPr>
      </w:pPr>
      <w:r w:rsidRPr="00B0319E">
        <w:rPr>
          <w:rFonts w:ascii="Open Sans" w:hAnsi="Open Sans" w:cs="Open Sans"/>
          <w:color w:val="FFFFFF" w:themeColor="background1"/>
        </w:rPr>
        <w:t xml:space="preserve">By </w:t>
      </w:r>
      <w:r w:rsidR="00254958" w:rsidRPr="00B0319E">
        <w:rPr>
          <w:rFonts w:ascii="Open Sans" w:hAnsi="Open Sans" w:cs="Open Sans"/>
          <w:color w:val="FFFFFF" w:themeColor="background1"/>
        </w:rPr>
        <w:t>Lisa Dietz</w:t>
      </w:r>
      <w:r w:rsidRPr="00B0319E">
        <w:rPr>
          <w:rFonts w:ascii="Open Sans" w:hAnsi="Open Sans" w:cs="Open Sans"/>
          <w:color w:val="FFFFFF" w:themeColor="background1"/>
        </w:rPr>
        <w:t xml:space="preserve"> (</w:t>
      </w:r>
      <w:r w:rsidR="00254958" w:rsidRPr="00B0319E">
        <w:rPr>
          <w:rFonts w:ascii="Open Sans" w:hAnsi="Open Sans" w:cs="Open Sans"/>
          <w:color w:val="FFFFFF" w:themeColor="background1"/>
        </w:rPr>
        <w:t>s4692675</w:t>
      </w:r>
      <w:r w:rsidRPr="00B0319E">
        <w:rPr>
          <w:rFonts w:ascii="Open Sans" w:hAnsi="Open Sans" w:cs="Open Sans"/>
          <w:color w:val="FFFFFF" w:themeColor="background1"/>
        </w:rPr>
        <w:t>)</w:t>
      </w:r>
    </w:p>
    <w:p w14:paraId="09D8AFEC" w14:textId="624742EB" w:rsidR="00131C2B" w:rsidRPr="00B0319E" w:rsidRDefault="00131C2B" w:rsidP="00131C2B">
      <w:pPr>
        <w:suppressLineNumbers/>
        <w:spacing w:after="120" w:line="240" w:lineRule="auto"/>
        <w:ind w:firstLine="0"/>
        <w:jc w:val="left"/>
        <w:rPr>
          <w:rFonts w:ascii="Open Sans" w:hAnsi="Open Sans" w:cs="Open Sans"/>
          <w:color w:val="FFFFFF" w:themeColor="background1"/>
        </w:rPr>
      </w:pPr>
      <w:r w:rsidRPr="00B0319E">
        <w:rPr>
          <w:rFonts w:ascii="Open Sans" w:hAnsi="Open Sans" w:cs="Open Sans"/>
          <w:color w:val="FFFFFF" w:themeColor="background1"/>
        </w:rPr>
        <w:t>Nijmegen,</w:t>
      </w:r>
      <w:r w:rsidR="00862227">
        <w:rPr>
          <w:rFonts w:ascii="Open Sans" w:hAnsi="Open Sans" w:cs="Open Sans"/>
          <w:color w:val="FFFFFF" w:themeColor="background1"/>
        </w:rPr>
        <w:t xml:space="preserve"> 10 August 2024</w:t>
      </w:r>
    </w:p>
    <w:p w14:paraId="1D593030" w14:textId="77777777" w:rsidR="00B60492" w:rsidRPr="00B0319E" w:rsidRDefault="00B60492" w:rsidP="00B60492">
      <w:pPr>
        <w:suppressLineNumbers/>
        <w:ind w:firstLine="0"/>
        <w:jc w:val="left"/>
        <w:rPr>
          <w:rFonts w:ascii="Open Sans" w:hAnsi="Open Sans" w:cs="Open Sans"/>
          <w:color w:val="FFFFFF" w:themeColor="background1"/>
        </w:rPr>
      </w:pPr>
    </w:p>
    <w:p w14:paraId="019A5511" w14:textId="77777777" w:rsidR="00B60492" w:rsidRPr="00B0319E" w:rsidRDefault="00B60492" w:rsidP="00B60492">
      <w:pPr>
        <w:suppressLineNumbers/>
        <w:ind w:firstLine="0"/>
        <w:jc w:val="left"/>
        <w:rPr>
          <w:rFonts w:ascii="Open Sans" w:hAnsi="Open Sans" w:cs="Open Sans"/>
          <w:color w:val="FFFFFF" w:themeColor="background1"/>
        </w:rPr>
      </w:pPr>
    </w:p>
    <w:p w14:paraId="00A7FDBC" w14:textId="77777777" w:rsidR="00B60492" w:rsidRPr="00B0319E" w:rsidRDefault="00B60492" w:rsidP="00B60492">
      <w:pPr>
        <w:suppressLineNumbers/>
        <w:ind w:firstLine="0"/>
        <w:jc w:val="left"/>
        <w:rPr>
          <w:rFonts w:ascii="Open Sans" w:hAnsi="Open Sans" w:cs="Open Sans"/>
          <w:color w:val="FFFFFF" w:themeColor="background1"/>
        </w:rPr>
      </w:pPr>
    </w:p>
    <w:p w14:paraId="47BDD596" w14:textId="77777777" w:rsidR="00B60492" w:rsidRPr="00B0319E" w:rsidRDefault="00B60492" w:rsidP="00B60492">
      <w:pPr>
        <w:suppressLineNumbers/>
        <w:ind w:firstLine="0"/>
        <w:jc w:val="left"/>
        <w:rPr>
          <w:rFonts w:ascii="Open Sans" w:hAnsi="Open Sans" w:cs="Open Sans"/>
          <w:color w:val="FFFFFF" w:themeColor="background1"/>
        </w:rPr>
      </w:pPr>
    </w:p>
    <w:p w14:paraId="58B7AF7D" w14:textId="77777777" w:rsidR="00B60492" w:rsidRPr="00B0319E" w:rsidRDefault="00B60492" w:rsidP="00B60492">
      <w:pPr>
        <w:suppressLineNumbers/>
        <w:spacing w:after="120" w:line="240" w:lineRule="auto"/>
        <w:ind w:firstLine="0"/>
        <w:jc w:val="left"/>
        <w:rPr>
          <w:rFonts w:ascii="Open Sans" w:hAnsi="Open Sans" w:cs="Open Sans"/>
          <w:color w:val="FFFFFF" w:themeColor="background1"/>
        </w:rPr>
      </w:pPr>
      <w:r w:rsidRPr="00B0319E">
        <w:rPr>
          <w:rFonts w:ascii="Open Sans" w:hAnsi="Open Sans" w:cs="Open Sans"/>
          <w:color w:val="FFFFFF" w:themeColor="background1"/>
        </w:rPr>
        <w:br/>
      </w:r>
    </w:p>
    <w:p w14:paraId="6F5207B7" w14:textId="0C8C788C" w:rsidR="00B60492" w:rsidRPr="00B0319E" w:rsidRDefault="00B60492" w:rsidP="00B60492">
      <w:pPr>
        <w:suppressLineNumbers/>
        <w:spacing w:after="120" w:line="240" w:lineRule="auto"/>
        <w:ind w:firstLine="0"/>
        <w:jc w:val="left"/>
        <w:rPr>
          <w:rFonts w:ascii="Open Sans" w:hAnsi="Open Sans" w:cs="Open Sans"/>
          <w:color w:val="FFFFFF" w:themeColor="background1"/>
        </w:rPr>
      </w:pPr>
      <w:r w:rsidRPr="00B0319E">
        <w:rPr>
          <w:rFonts w:ascii="Open Sans" w:hAnsi="Open Sans" w:cs="Open Sans"/>
          <w:color w:val="FFFFFF" w:themeColor="background1"/>
        </w:rPr>
        <w:t>Program: Master’s Program in Economics</w:t>
      </w:r>
      <w:r w:rsidRPr="00B0319E">
        <w:rPr>
          <w:rFonts w:ascii="Open Sans" w:hAnsi="Open Sans" w:cs="Open Sans"/>
          <w:color w:val="FFFFFF" w:themeColor="background1"/>
        </w:rPr>
        <w:br/>
        <w:t>Speciali</w:t>
      </w:r>
      <w:r w:rsidR="00BC2E42" w:rsidRPr="00B0319E">
        <w:rPr>
          <w:rFonts w:ascii="Open Sans" w:hAnsi="Open Sans" w:cs="Open Sans"/>
          <w:color w:val="FFFFFF" w:themeColor="background1"/>
        </w:rPr>
        <w:t>s</w:t>
      </w:r>
      <w:r w:rsidRPr="00B0319E">
        <w:rPr>
          <w:rFonts w:ascii="Open Sans" w:hAnsi="Open Sans" w:cs="Open Sans"/>
          <w:color w:val="FFFFFF" w:themeColor="background1"/>
        </w:rPr>
        <w:t xml:space="preserve">ation: </w:t>
      </w:r>
      <w:r w:rsidR="00254958" w:rsidRPr="00B0319E">
        <w:rPr>
          <w:rFonts w:ascii="Open Sans" w:hAnsi="Open Sans" w:cs="Open Sans"/>
          <w:color w:val="FFFFFF" w:themeColor="background1"/>
        </w:rPr>
        <w:t>Corporate Finance &amp; Control</w:t>
      </w:r>
      <w:r w:rsidR="00131C2B" w:rsidRPr="00B0319E">
        <w:rPr>
          <w:rFonts w:ascii="Open Sans" w:hAnsi="Open Sans" w:cs="Open Sans"/>
          <w:color w:val="FFFFFF" w:themeColor="background1"/>
        </w:rPr>
        <w:br/>
        <w:t xml:space="preserve">Supervisor: </w:t>
      </w:r>
      <w:r w:rsidR="00254958" w:rsidRPr="00B0319E">
        <w:rPr>
          <w:rFonts w:ascii="Open Sans" w:hAnsi="Open Sans" w:cs="Open Sans"/>
          <w:color w:val="FFFFFF" w:themeColor="background1"/>
        </w:rPr>
        <w:t>Sascha Füllbrunn</w:t>
      </w:r>
      <w:r w:rsidR="00131C2B" w:rsidRPr="00B0319E">
        <w:rPr>
          <w:rFonts w:ascii="Open Sans" w:hAnsi="Open Sans" w:cs="Open Sans"/>
          <w:color w:val="FFFFFF" w:themeColor="background1"/>
        </w:rPr>
        <w:br/>
      </w:r>
      <w:r w:rsidRPr="00B0319E">
        <w:rPr>
          <w:rFonts w:ascii="Open Sans" w:hAnsi="Open Sans" w:cs="Open Sans"/>
          <w:color w:val="FFFFFF" w:themeColor="background1"/>
        </w:rPr>
        <w:br/>
      </w:r>
    </w:p>
    <w:p w14:paraId="38FEDC69" w14:textId="77777777" w:rsidR="00B60492" w:rsidRPr="00B0319E" w:rsidRDefault="00B60492" w:rsidP="00B60492">
      <w:pPr>
        <w:suppressLineNumbers/>
        <w:rPr>
          <w:rFonts w:ascii="Open Sans" w:hAnsi="Open Sans" w:cs="Open Sans"/>
          <w:color w:val="FFFFFF" w:themeColor="background1"/>
        </w:rPr>
      </w:pPr>
      <w:r w:rsidRPr="00CD3858">
        <w:rPr>
          <w:rFonts w:ascii="Open Sans" w:hAnsi="Open Sans" w:cs="Open Sans"/>
          <w:noProof/>
          <w:color w:val="FFFFFF" w:themeColor="background1"/>
          <w:lang w:eastAsia="en-GB"/>
        </w:rPr>
        <w:drawing>
          <wp:anchor distT="0" distB="0" distL="114300" distR="114300" simplePos="0" relativeHeight="251659264" behindDoc="0" locked="0" layoutInCell="1" allowOverlap="1" wp14:anchorId="245A7566" wp14:editId="759BCA31">
            <wp:simplePos x="0" y="0"/>
            <wp:positionH relativeFrom="margin">
              <wp:align>right</wp:align>
            </wp:positionH>
            <wp:positionV relativeFrom="margin">
              <wp:align>bottom</wp:align>
            </wp:positionV>
            <wp:extent cx="2378922" cy="504000"/>
            <wp:effectExtent l="0" t="0" r="2540" b="0"/>
            <wp:wrapSquare wrapText="bothSides"/>
            <wp:docPr id="4" nam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378922" cy="504000"/>
                    </a:xfrm>
                    <a:prstGeom prst="rect">
                      <a:avLst/>
                    </a:prstGeom>
                  </pic:spPr>
                </pic:pic>
              </a:graphicData>
            </a:graphic>
            <wp14:sizeRelH relativeFrom="margin">
              <wp14:pctWidth>0</wp14:pctWidth>
            </wp14:sizeRelH>
            <wp14:sizeRelV relativeFrom="margin">
              <wp14:pctHeight>0</wp14:pctHeight>
            </wp14:sizeRelV>
          </wp:anchor>
        </w:drawing>
      </w:r>
      <w:r w:rsidRPr="00B0319E">
        <w:rPr>
          <w:lang w:eastAsia="en-GB"/>
        </w:rPr>
        <w:t xml:space="preserve"> </w:t>
      </w:r>
    </w:p>
    <w:p w14:paraId="549A71B1" w14:textId="6A5403C8" w:rsidR="005A3A16" w:rsidRPr="00B0319E" w:rsidRDefault="005A3A16" w:rsidP="00EC6FE8">
      <w:pPr>
        <w:pStyle w:val="NormalNoIndent"/>
        <w:jc w:val="center"/>
        <w:sectPr w:rsidR="005A3A16" w:rsidRPr="00B0319E" w:rsidSect="00B60492">
          <w:headerReference w:type="default" r:id="rId13"/>
          <w:footerReference w:type="default" r:id="rId14"/>
          <w:headerReference w:type="first" r:id="rId15"/>
          <w:footerReference w:type="first" r:id="rId16"/>
          <w:pgSz w:w="12240" w:h="15840"/>
          <w:pgMar w:top="1417" w:right="1417" w:bottom="1417" w:left="1417" w:header="720" w:footer="720" w:gutter="0"/>
          <w:lnNumType w:countBy="1" w:distance="680" w:restart="newSection"/>
          <w:cols w:space="360"/>
          <w:titlePg/>
          <w:docGrid w:linePitch="326"/>
        </w:sectPr>
      </w:pPr>
    </w:p>
    <w:p w14:paraId="4B98F6E2" w14:textId="5623ED5B" w:rsidR="00D875D6" w:rsidRPr="00B0319E" w:rsidRDefault="00D875D6" w:rsidP="00A74E43">
      <w:pPr>
        <w:rPr>
          <w:b/>
          <w:bCs/>
          <w:sz w:val="32"/>
          <w:szCs w:val="32"/>
        </w:rPr>
      </w:pPr>
      <w:r w:rsidRPr="00B0319E">
        <w:rPr>
          <w:b/>
          <w:bCs/>
          <w:sz w:val="32"/>
          <w:szCs w:val="32"/>
        </w:rPr>
        <w:lastRenderedPageBreak/>
        <w:t>Table of Contents</w:t>
      </w:r>
    </w:p>
    <w:p w14:paraId="47746084" w14:textId="6297FA23" w:rsidR="004E3182" w:rsidRDefault="00D875D6">
      <w:pPr>
        <w:pStyle w:val="Inhopg1"/>
        <w:tabs>
          <w:tab w:val="left" w:pos="720"/>
          <w:tab w:val="right" w:leader="dot" w:pos="9396"/>
        </w:tabs>
        <w:rPr>
          <w:rFonts w:eastAsiaTheme="minorEastAsia" w:cstheme="minorBidi"/>
          <w:noProof/>
          <w:kern w:val="2"/>
          <w:lang w:eastAsia="ja-JP"/>
          <w14:ligatures w14:val="standardContextual"/>
        </w:rPr>
      </w:pPr>
      <w:r w:rsidRPr="00B0319E">
        <w:fldChar w:fldCharType="begin"/>
      </w:r>
      <w:r w:rsidRPr="00B0319E">
        <w:instrText xml:space="preserve"> TOC \o "1-3" \h \z \u </w:instrText>
      </w:r>
      <w:r w:rsidRPr="00B0319E">
        <w:fldChar w:fldCharType="separate"/>
      </w:r>
      <w:hyperlink w:anchor="_Toc174210207" w:history="1">
        <w:r w:rsidR="004E3182" w:rsidRPr="008A0492">
          <w:rPr>
            <w:rStyle w:val="Hyperlink"/>
            <w:noProof/>
          </w:rPr>
          <w:t>1</w:t>
        </w:r>
        <w:r w:rsidR="004E3182">
          <w:rPr>
            <w:rFonts w:eastAsiaTheme="minorEastAsia" w:cstheme="minorBidi"/>
            <w:noProof/>
            <w:kern w:val="2"/>
            <w:lang w:eastAsia="ja-JP"/>
            <w14:ligatures w14:val="standardContextual"/>
          </w:rPr>
          <w:tab/>
        </w:r>
        <w:r w:rsidR="004E3182" w:rsidRPr="008A0492">
          <w:rPr>
            <w:rStyle w:val="Hyperlink"/>
            <w:noProof/>
          </w:rPr>
          <w:t>Introduction</w:t>
        </w:r>
        <w:r w:rsidR="004E3182">
          <w:rPr>
            <w:noProof/>
            <w:webHidden/>
          </w:rPr>
          <w:tab/>
        </w:r>
        <w:r w:rsidR="004E3182">
          <w:rPr>
            <w:noProof/>
            <w:webHidden/>
          </w:rPr>
          <w:fldChar w:fldCharType="begin"/>
        </w:r>
        <w:r w:rsidR="004E3182">
          <w:rPr>
            <w:noProof/>
            <w:webHidden/>
          </w:rPr>
          <w:instrText xml:space="preserve"> PAGEREF _Toc174210207 \h </w:instrText>
        </w:r>
        <w:r w:rsidR="004E3182">
          <w:rPr>
            <w:noProof/>
            <w:webHidden/>
          </w:rPr>
        </w:r>
        <w:r w:rsidR="004E3182">
          <w:rPr>
            <w:noProof/>
            <w:webHidden/>
          </w:rPr>
          <w:fldChar w:fldCharType="separate"/>
        </w:r>
        <w:r w:rsidR="004A2A48">
          <w:rPr>
            <w:noProof/>
            <w:webHidden/>
          </w:rPr>
          <w:t>2</w:t>
        </w:r>
        <w:r w:rsidR="004E3182">
          <w:rPr>
            <w:noProof/>
            <w:webHidden/>
          </w:rPr>
          <w:fldChar w:fldCharType="end"/>
        </w:r>
      </w:hyperlink>
    </w:p>
    <w:p w14:paraId="56A7714F" w14:textId="05559ECB" w:rsidR="004E3182" w:rsidRDefault="005C3832">
      <w:pPr>
        <w:pStyle w:val="Inhopg1"/>
        <w:tabs>
          <w:tab w:val="left" w:pos="720"/>
          <w:tab w:val="right" w:leader="dot" w:pos="9396"/>
        </w:tabs>
        <w:rPr>
          <w:rFonts w:eastAsiaTheme="minorEastAsia" w:cstheme="minorBidi"/>
          <w:noProof/>
          <w:kern w:val="2"/>
          <w:lang w:eastAsia="ja-JP"/>
          <w14:ligatures w14:val="standardContextual"/>
        </w:rPr>
      </w:pPr>
      <w:hyperlink w:anchor="_Toc174210208" w:history="1">
        <w:r w:rsidR="004E3182" w:rsidRPr="008A0492">
          <w:rPr>
            <w:rStyle w:val="Hyperlink"/>
            <w:noProof/>
          </w:rPr>
          <w:t>2</w:t>
        </w:r>
        <w:r w:rsidR="004E3182">
          <w:rPr>
            <w:rFonts w:eastAsiaTheme="minorEastAsia" w:cstheme="minorBidi"/>
            <w:noProof/>
            <w:kern w:val="2"/>
            <w:lang w:eastAsia="ja-JP"/>
            <w14:ligatures w14:val="standardContextual"/>
          </w:rPr>
          <w:tab/>
        </w:r>
        <w:r w:rsidR="004E3182" w:rsidRPr="008A0492">
          <w:rPr>
            <w:rStyle w:val="Hyperlink"/>
            <w:noProof/>
          </w:rPr>
          <w:t>Literature Review</w:t>
        </w:r>
        <w:r w:rsidR="004E3182">
          <w:rPr>
            <w:noProof/>
            <w:webHidden/>
          </w:rPr>
          <w:tab/>
        </w:r>
        <w:r w:rsidR="004E3182">
          <w:rPr>
            <w:noProof/>
            <w:webHidden/>
          </w:rPr>
          <w:fldChar w:fldCharType="begin"/>
        </w:r>
        <w:r w:rsidR="004E3182">
          <w:rPr>
            <w:noProof/>
            <w:webHidden/>
          </w:rPr>
          <w:instrText xml:space="preserve"> PAGEREF _Toc174210208 \h </w:instrText>
        </w:r>
        <w:r w:rsidR="004E3182">
          <w:rPr>
            <w:noProof/>
            <w:webHidden/>
          </w:rPr>
        </w:r>
        <w:r w:rsidR="004E3182">
          <w:rPr>
            <w:noProof/>
            <w:webHidden/>
          </w:rPr>
          <w:fldChar w:fldCharType="separate"/>
        </w:r>
        <w:r w:rsidR="004A2A48">
          <w:rPr>
            <w:noProof/>
            <w:webHidden/>
          </w:rPr>
          <w:t>4</w:t>
        </w:r>
        <w:r w:rsidR="004E3182">
          <w:rPr>
            <w:noProof/>
            <w:webHidden/>
          </w:rPr>
          <w:fldChar w:fldCharType="end"/>
        </w:r>
      </w:hyperlink>
    </w:p>
    <w:p w14:paraId="70B2B6DE" w14:textId="2A12F80B" w:rsidR="004E3182" w:rsidRDefault="005C3832">
      <w:pPr>
        <w:pStyle w:val="Inhopg2"/>
        <w:tabs>
          <w:tab w:val="left" w:pos="1200"/>
          <w:tab w:val="right" w:leader="dot" w:pos="9396"/>
        </w:tabs>
        <w:rPr>
          <w:rFonts w:eastAsiaTheme="minorEastAsia" w:cstheme="minorBidi"/>
          <w:noProof/>
          <w:kern w:val="2"/>
          <w:lang w:eastAsia="ja-JP"/>
          <w14:ligatures w14:val="standardContextual"/>
        </w:rPr>
      </w:pPr>
      <w:hyperlink w:anchor="_Toc174210209" w:history="1">
        <w:r w:rsidR="004E3182" w:rsidRPr="008A0492">
          <w:rPr>
            <w:rStyle w:val="Hyperlink"/>
            <w:noProof/>
          </w:rPr>
          <w:t>2.1</w:t>
        </w:r>
        <w:r w:rsidR="004E3182">
          <w:rPr>
            <w:rFonts w:eastAsiaTheme="minorEastAsia" w:cstheme="minorBidi"/>
            <w:noProof/>
            <w:kern w:val="2"/>
            <w:lang w:eastAsia="ja-JP"/>
            <w14:ligatures w14:val="standardContextual"/>
          </w:rPr>
          <w:tab/>
        </w:r>
        <w:r w:rsidR="004E3182" w:rsidRPr="008A0492">
          <w:rPr>
            <w:rStyle w:val="Hyperlink"/>
            <w:noProof/>
          </w:rPr>
          <w:t>Real Estate and ESG</w:t>
        </w:r>
        <w:r w:rsidR="004E3182">
          <w:rPr>
            <w:noProof/>
            <w:webHidden/>
          </w:rPr>
          <w:tab/>
        </w:r>
        <w:r w:rsidR="004E3182">
          <w:rPr>
            <w:noProof/>
            <w:webHidden/>
          </w:rPr>
          <w:fldChar w:fldCharType="begin"/>
        </w:r>
        <w:r w:rsidR="004E3182">
          <w:rPr>
            <w:noProof/>
            <w:webHidden/>
          </w:rPr>
          <w:instrText xml:space="preserve"> PAGEREF _Toc174210209 \h </w:instrText>
        </w:r>
        <w:r w:rsidR="004E3182">
          <w:rPr>
            <w:noProof/>
            <w:webHidden/>
          </w:rPr>
        </w:r>
        <w:r w:rsidR="004E3182">
          <w:rPr>
            <w:noProof/>
            <w:webHidden/>
          </w:rPr>
          <w:fldChar w:fldCharType="separate"/>
        </w:r>
        <w:r w:rsidR="004A2A48">
          <w:rPr>
            <w:noProof/>
            <w:webHidden/>
          </w:rPr>
          <w:t>4</w:t>
        </w:r>
        <w:r w:rsidR="004E3182">
          <w:rPr>
            <w:noProof/>
            <w:webHidden/>
          </w:rPr>
          <w:fldChar w:fldCharType="end"/>
        </w:r>
      </w:hyperlink>
    </w:p>
    <w:p w14:paraId="131E5451" w14:textId="240C0F2C" w:rsidR="004E3182" w:rsidRDefault="005C3832">
      <w:pPr>
        <w:pStyle w:val="Inhopg2"/>
        <w:tabs>
          <w:tab w:val="left" w:pos="1200"/>
          <w:tab w:val="right" w:leader="dot" w:pos="9396"/>
        </w:tabs>
        <w:rPr>
          <w:rFonts w:eastAsiaTheme="minorEastAsia" w:cstheme="minorBidi"/>
          <w:noProof/>
          <w:kern w:val="2"/>
          <w:lang w:eastAsia="ja-JP"/>
          <w14:ligatures w14:val="standardContextual"/>
        </w:rPr>
      </w:pPr>
      <w:hyperlink w:anchor="_Toc174210210" w:history="1">
        <w:r w:rsidR="004E3182" w:rsidRPr="008A0492">
          <w:rPr>
            <w:rStyle w:val="Hyperlink"/>
            <w:noProof/>
          </w:rPr>
          <w:t>2.2</w:t>
        </w:r>
        <w:r w:rsidR="004E3182">
          <w:rPr>
            <w:rFonts w:eastAsiaTheme="minorEastAsia" w:cstheme="minorBidi"/>
            <w:noProof/>
            <w:kern w:val="2"/>
            <w:lang w:eastAsia="ja-JP"/>
            <w14:ligatures w14:val="standardContextual"/>
          </w:rPr>
          <w:tab/>
        </w:r>
        <w:r w:rsidR="004E3182" w:rsidRPr="008A0492">
          <w:rPr>
            <w:rStyle w:val="Hyperlink"/>
            <w:noProof/>
          </w:rPr>
          <w:t>Employee satisfaction</w:t>
        </w:r>
        <w:r w:rsidR="004E3182">
          <w:rPr>
            <w:noProof/>
            <w:webHidden/>
          </w:rPr>
          <w:tab/>
        </w:r>
        <w:r w:rsidR="004E3182">
          <w:rPr>
            <w:noProof/>
            <w:webHidden/>
          </w:rPr>
          <w:fldChar w:fldCharType="begin"/>
        </w:r>
        <w:r w:rsidR="004E3182">
          <w:rPr>
            <w:noProof/>
            <w:webHidden/>
          </w:rPr>
          <w:instrText xml:space="preserve"> PAGEREF _Toc174210210 \h </w:instrText>
        </w:r>
        <w:r w:rsidR="004E3182">
          <w:rPr>
            <w:noProof/>
            <w:webHidden/>
          </w:rPr>
        </w:r>
        <w:r w:rsidR="004E3182">
          <w:rPr>
            <w:noProof/>
            <w:webHidden/>
          </w:rPr>
          <w:fldChar w:fldCharType="separate"/>
        </w:r>
        <w:r w:rsidR="004A2A48">
          <w:rPr>
            <w:noProof/>
            <w:webHidden/>
          </w:rPr>
          <w:t>7</w:t>
        </w:r>
        <w:r w:rsidR="004E3182">
          <w:rPr>
            <w:noProof/>
            <w:webHidden/>
          </w:rPr>
          <w:fldChar w:fldCharType="end"/>
        </w:r>
      </w:hyperlink>
    </w:p>
    <w:p w14:paraId="0D957009" w14:textId="36994656" w:rsidR="004E3182" w:rsidRDefault="005C3832">
      <w:pPr>
        <w:pStyle w:val="Inhopg2"/>
        <w:tabs>
          <w:tab w:val="left" w:pos="1200"/>
          <w:tab w:val="right" w:leader="dot" w:pos="9396"/>
        </w:tabs>
        <w:rPr>
          <w:rFonts w:eastAsiaTheme="minorEastAsia" w:cstheme="minorBidi"/>
          <w:noProof/>
          <w:kern w:val="2"/>
          <w:lang w:eastAsia="ja-JP"/>
          <w14:ligatures w14:val="standardContextual"/>
        </w:rPr>
      </w:pPr>
      <w:hyperlink w:anchor="_Toc174210211" w:history="1">
        <w:r w:rsidR="004E3182" w:rsidRPr="008A0492">
          <w:rPr>
            <w:rStyle w:val="Hyperlink"/>
            <w:noProof/>
          </w:rPr>
          <w:t>2.3</w:t>
        </w:r>
        <w:r w:rsidR="004E3182">
          <w:rPr>
            <w:rFonts w:eastAsiaTheme="minorEastAsia" w:cstheme="minorBidi"/>
            <w:noProof/>
            <w:kern w:val="2"/>
            <w:lang w:eastAsia="ja-JP"/>
            <w14:ligatures w14:val="standardContextual"/>
          </w:rPr>
          <w:tab/>
        </w:r>
        <w:r w:rsidR="004E3182" w:rsidRPr="008A0492">
          <w:rPr>
            <w:rStyle w:val="Hyperlink"/>
            <w:noProof/>
          </w:rPr>
          <w:t>Proposition</w:t>
        </w:r>
        <w:r w:rsidR="004E3182">
          <w:rPr>
            <w:noProof/>
            <w:webHidden/>
          </w:rPr>
          <w:tab/>
        </w:r>
        <w:r w:rsidR="004E3182">
          <w:rPr>
            <w:noProof/>
            <w:webHidden/>
          </w:rPr>
          <w:fldChar w:fldCharType="begin"/>
        </w:r>
        <w:r w:rsidR="004E3182">
          <w:rPr>
            <w:noProof/>
            <w:webHidden/>
          </w:rPr>
          <w:instrText xml:space="preserve"> PAGEREF _Toc174210211 \h </w:instrText>
        </w:r>
        <w:r w:rsidR="004E3182">
          <w:rPr>
            <w:noProof/>
            <w:webHidden/>
          </w:rPr>
        </w:r>
        <w:r w:rsidR="004E3182">
          <w:rPr>
            <w:noProof/>
            <w:webHidden/>
          </w:rPr>
          <w:fldChar w:fldCharType="separate"/>
        </w:r>
        <w:r w:rsidR="004A2A48">
          <w:rPr>
            <w:noProof/>
            <w:webHidden/>
          </w:rPr>
          <w:t>13</w:t>
        </w:r>
        <w:r w:rsidR="004E3182">
          <w:rPr>
            <w:noProof/>
            <w:webHidden/>
          </w:rPr>
          <w:fldChar w:fldCharType="end"/>
        </w:r>
      </w:hyperlink>
    </w:p>
    <w:p w14:paraId="38F7BD1F" w14:textId="07E20645" w:rsidR="004E3182" w:rsidRDefault="005C3832">
      <w:pPr>
        <w:pStyle w:val="Inhopg1"/>
        <w:tabs>
          <w:tab w:val="left" w:pos="720"/>
          <w:tab w:val="right" w:leader="dot" w:pos="9396"/>
        </w:tabs>
        <w:rPr>
          <w:rFonts w:eastAsiaTheme="minorEastAsia" w:cstheme="minorBidi"/>
          <w:noProof/>
          <w:kern w:val="2"/>
          <w:lang w:eastAsia="ja-JP"/>
          <w14:ligatures w14:val="standardContextual"/>
        </w:rPr>
      </w:pPr>
      <w:hyperlink w:anchor="_Toc174210212" w:history="1">
        <w:r w:rsidR="004E3182" w:rsidRPr="008A0492">
          <w:rPr>
            <w:rStyle w:val="Hyperlink"/>
            <w:noProof/>
          </w:rPr>
          <w:t>3</w:t>
        </w:r>
        <w:r w:rsidR="004E3182">
          <w:rPr>
            <w:rFonts w:eastAsiaTheme="minorEastAsia" w:cstheme="minorBidi"/>
            <w:noProof/>
            <w:kern w:val="2"/>
            <w:lang w:eastAsia="ja-JP"/>
            <w14:ligatures w14:val="standardContextual"/>
          </w:rPr>
          <w:tab/>
        </w:r>
        <w:r w:rsidR="004E3182" w:rsidRPr="008A0492">
          <w:rPr>
            <w:rStyle w:val="Hyperlink"/>
            <w:noProof/>
          </w:rPr>
          <w:t>Methodology</w:t>
        </w:r>
        <w:r w:rsidR="004E3182">
          <w:rPr>
            <w:noProof/>
            <w:webHidden/>
          </w:rPr>
          <w:tab/>
        </w:r>
        <w:r w:rsidR="004E3182">
          <w:rPr>
            <w:noProof/>
            <w:webHidden/>
          </w:rPr>
          <w:fldChar w:fldCharType="begin"/>
        </w:r>
        <w:r w:rsidR="004E3182">
          <w:rPr>
            <w:noProof/>
            <w:webHidden/>
          </w:rPr>
          <w:instrText xml:space="preserve"> PAGEREF _Toc174210212 \h </w:instrText>
        </w:r>
        <w:r w:rsidR="004E3182">
          <w:rPr>
            <w:noProof/>
            <w:webHidden/>
          </w:rPr>
        </w:r>
        <w:r w:rsidR="004E3182">
          <w:rPr>
            <w:noProof/>
            <w:webHidden/>
          </w:rPr>
          <w:fldChar w:fldCharType="separate"/>
        </w:r>
        <w:r w:rsidR="004A2A48">
          <w:rPr>
            <w:noProof/>
            <w:webHidden/>
          </w:rPr>
          <w:t>16</w:t>
        </w:r>
        <w:r w:rsidR="004E3182">
          <w:rPr>
            <w:noProof/>
            <w:webHidden/>
          </w:rPr>
          <w:fldChar w:fldCharType="end"/>
        </w:r>
      </w:hyperlink>
    </w:p>
    <w:p w14:paraId="131F1C6A" w14:textId="64F85427" w:rsidR="004E3182" w:rsidRDefault="005C3832">
      <w:pPr>
        <w:pStyle w:val="Inhopg1"/>
        <w:tabs>
          <w:tab w:val="left" w:pos="720"/>
          <w:tab w:val="right" w:leader="dot" w:pos="9396"/>
        </w:tabs>
        <w:rPr>
          <w:rFonts w:eastAsiaTheme="minorEastAsia" w:cstheme="minorBidi"/>
          <w:noProof/>
          <w:kern w:val="2"/>
          <w:lang w:eastAsia="ja-JP"/>
          <w14:ligatures w14:val="standardContextual"/>
        </w:rPr>
      </w:pPr>
      <w:hyperlink w:anchor="_Toc174210213" w:history="1">
        <w:r w:rsidR="004E3182" w:rsidRPr="008A0492">
          <w:rPr>
            <w:rStyle w:val="Hyperlink"/>
            <w:noProof/>
          </w:rPr>
          <w:t>4</w:t>
        </w:r>
        <w:r w:rsidR="004E3182">
          <w:rPr>
            <w:rFonts w:eastAsiaTheme="minorEastAsia" w:cstheme="minorBidi"/>
            <w:noProof/>
            <w:kern w:val="2"/>
            <w:lang w:eastAsia="ja-JP"/>
            <w14:ligatures w14:val="standardContextual"/>
          </w:rPr>
          <w:tab/>
        </w:r>
        <w:r w:rsidR="004E3182" w:rsidRPr="008A0492">
          <w:rPr>
            <w:rStyle w:val="Hyperlink"/>
            <w:noProof/>
          </w:rPr>
          <w:t>Results</w:t>
        </w:r>
        <w:r w:rsidR="004E3182">
          <w:rPr>
            <w:noProof/>
            <w:webHidden/>
          </w:rPr>
          <w:tab/>
        </w:r>
        <w:r w:rsidR="004E3182">
          <w:rPr>
            <w:noProof/>
            <w:webHidden/>
          </w:rPr>
          <w:fldChar w:fldCharType="begin"/>
        </w:r>
        <w:r w:rsidR="004E3182">
          <w:rPr>
            <w:noProof/>
            <w:webHidden/>
          </w:rPr>
          <w:instrText xml:space="preserve"> PAGEREF _Toc174210213 \h </w:instrText>
        </w:r>
        <w:r w:rsidR="004E3182">
          <w:rPr>
            <w:noProof/>
            <w:webHidden/>
          </w:rPr>
        </w:r>
        <w:r w:rsidR="004E3182">
          <w:rPr>
            <w:noProof/>
            <w:webHidden/>
          </w:rPr>
          <w:fldChar w:fldCharType="separate"/>
        </w:r>
        <w:r w:rsidR="004A2A48">
          <w:rPr>
            <w:noProof/>
            <w:webHidden/>
          </w:rPr>
          <w:t>23</w:t>
        </w:r>
        <w:r w:rsidR="004E3182">
          <w:rPr>
            <w:noProof/>
            <w:webHidden/>
          </w:rPr>
          <w:fldChar w:fldCharType="end"/>
        </w:r>
      </w:hyperlink>
    </w:p>
    <w:p w14:paraId="2B91D34B" w14:textId="01B1ABD9" w:rsidR="004E3182" w:rsidRDefault="005C3832">
      <w:pPr>
        <w:pStyle w:val="Inhopg1"/>
        <w:tabs>
          <w:tab w:val="left" w:pos="720"/>
          <w:tab w:val="right" w:leader="dot" w:pos="9396"/>
        </w:tabs>
        <w:rPr>
          <w:rFonts w:eastAsiaTheme="minorEastAsia" w:cstheme="minorBidi"/>
          <w:noProof/>
          <w:kern w:val="2"/>
          <w:lang w:eastAsia="ja-JP"/>
          <w14:ligatures w14:val="standardContextual"/>
        </w:rPr>
      </w:pPr>
      <w:hyperlink w:anchor="_Toc174210214" w:history="1">
        <w:r w:rsidR="004E3182" w:rsidRPr="008A0492">
          <w:rPr>
            <w:rStyle w:val="Hyperlink"/>
            <w:noProof/>
          </w:rPr>
          <w:t>5</w:t>
        </w:r>
        <w:r w:rsidR="004E3182">
          <w:rPr>
            <w:rFonts w:eastAsiaTheme="minorEastAsia" w:cstheme="minorBidi"/>
            <w:noProof/>
            <w:kern w:val="2"/>
            <w:lang w:eastAsia="ja-JP"/>
            <w14:ligatures w14:val="standardContextual"/>
          </w:rPr>
          <w:tab/>
        </w:r>
        <w:r w:rsidR="004E3182" w:rsidRPr="008A0492">
          <w:rPr>
            <w:rStyle w:val="Hyperlink"/>
            <w:noProof/>
          </w:rPr>
          <w:t>Discussion and Limitations</w:t>
        </w:r>
        <w:r w:rsidR="004E3182">
          <w:rPr>
            <w:noProof/>
            <w:webHidden/>
          </w:rPr>
          <w:tab/>
        </w:r>
        <w:r w:rsidR="004E3182">
          <w:rPr>
            <w:noProof/>
            <w:webHidden/>
          </w:rPr>
          <w:fldChar w:fldCharType="begin"/>
        </w:r>
        <w:r w:rsidR="004E3182">
          <w:rPr>
            <w:noProof/>
            <w:webHidden/>
          </w:rPr>
          <w:instrText xml:space="preserve"> PAGEREF _Toc174210214 \h </w:instrText>
        </w:r>
        <w:r w:rsidR="004E3182">
          <w:rPr>
            <w:noProof/>
            <w:webHidden/>
          </w:rPr>
        </w:r>
        <w:r w:rsidR="004E3182">
          <w:rPr>
            <w:noProof/>
            <w:webHidden/>
          </w:rPr>
          <w:fldChar w:fldCharType="separate"/>
        </w:r>
        <w:r w:rsidR="004A2A48">
          <w:rPr>
            <w:noProof/>
            <w:webHidden/>
          </w:rPr>
          <w:t>31</w:t>
        </w:r>
        <w:r w:rsidR="004E3182">
          <w:rPr>
            <w:noProof/>
            <w:webHidden/>
          </w:rPr>
          <w:fldChar w:fldCharType="end"/>
        </w:r>
      </w:hyperlink>
    </w:p>
    <w:p w14:paraId="1463B459" w14:textId="46F2F398" w:rsidR="004E3182" w:rsidRDefault="005C3832">
      <w:pPr>
        <w:pStyle w:val="Inhopg1"/>
        <w:tabs>
          <w:tab w:val="left" w:pos="720"/>
          <w:tab w:val="right" w:leader="dot" w:pos="9396"/>
        </w:tabs>
        <w:rPr>
          <w:rFonts w:eastAsiaTheme="minorEastAsia" w:cstheme="minorBidi"/>
          <w:noProof/>
          <w:kern w:val="2"/>
          <w:lang w:eastAsia="ja-JP"/>
          <w14:ligatures w14:val="standardContextual"/>
        </w:rPr>
      </w:pPr>
      <w:hyperlink w:anchor="_Toc174210215" w:history="1">
        <w:r w:rsidR="004E3182" w:rsidRPr="008A0492">
          <w:rPr>
            <w:rStyle w:val="Hyperlink"/>
            <w:noProof/>
          </w:rPr>
          <w:t>6</w:t>
        </w:r>
        <w:r w:rsidR="004E3182">
          <w:rPr>
            <w:rFonts w:eastAsiaTheme="minorEastAsia" w:cstheme="minorBidi"/>
            <w:noProof/>
            <w:kern w:val="2"/>
            <w:lang w:eastAsia="ja-JP"/>
            <w14:ligatures w14:val="standardContextual"/>
          </w:rPr>
          <w:tab/>
        </w:r>
        <w:r w:rsidR="004E3182" w:rsidRPr="008A0492">
          <w:rPr>
            <w:rStyle w:val="Hyperlink"/>
            <w:noProof/>
          </w:rPr>
          <w:t>Conclusion</w:t>
        </w:r>
        <w:r w:rsidR="004E3182">
          <w:rPr>
            <w:noProof/>
            <w:webHidden/>
          </w:rPr>
          <w:tab/>
        </w:r>
        <w:r w:rsidR="004E3182">
          <w:rPr>
            <w:noProof/>
            <w:webHidden/>
          </w:rPr>
          <w:fldChar w:fldCharType="begin"/>
        </w:r>
        <w:r w:rsidR="004E3182">
          <w:rPr>
            <w:noProof/>
            <w:webHidden/>
          </w:rPr>
          <w:instrText xml:space="preserve"> PAGEREF _Toc174210215 \h </w:instrText>
        </w:r>
        <w:r w:rsidR="004E3182">
          <w:rPr>
            <w:noProof/>
            <w:webHidden/>
          </w:rPr>
        </w:r>
        <w:r w:rsidR="004E3182">
          <w:rPr>
            <w:noProof/>
            <w:webHidden/>
          </w:rPr>
          <w:fldChar w:fldCharType="separate"/>
        </w:r>
        <w:r w:rsidR="004A2A48">
          <w:rPr>
            <w:noProof/>
            <w:webHidden/>
          </w:rPr>
          <w:t>33</w:t>
        </w:r>
        <w:r w:rsidR="004E3182">
          <w:rPr>
            <w:noProof/>
            <w:webHidden/>
          </w:rPr>
          <w:fldChar w:fldCharType="end"/>
        </w:r>
      </w:hyperlink>
    </w:p>
    <w:p w14:paraId="500A747A" w14:textId="22D4592E" w:rsidR="004E3182" w:rsidRDefault="005C3832">
      <w:pPr>
        <w:pStyle w:val="Inhopg1"/>
        <w:tabs>
          <w:tab w:val="right" w:leader="dot" w:pos="9396"/>
        </w:tabs>
        <w:rPr>
          <w:rFonts w:eastAsiaTheme="minorEastAsia" w:cstheme="minorBidi"/>
          <w:noProof/>
          <w:kern w:val="2"/>
          <w:lang w:eastAsia="ja-JP"/>
          <w14:ligatures w14:val="standardContextual"/>
        </w:rPr>
      </w:pPr>
      <w:hyperlink w:anchor="_Toc174210216" w:history="1">
        <w:r w:rsidR="004E3182" w:rsidRPr="008A0492">
          <w:rPr>
            <w:rStyle w:val="Hyperlink"/>
            <w:noProof/>
          </w:rPr>
          <w:t>References</w:t>
        </w:r>
        <w:r w:rsidR="004E3182">
          <w:rPr>
            <w:noProof/>
            <w:webHidden/>
          </w:rPr>
          <w:tab/>
        </w:r>
        <w:r w:rsidR="004E3182">
          <w:rPr>
            <w:noProof/>
            <w:webHidden/>
          </w:rPr>
          <w:fldChar w:fldCharType="begin"/>
        </w:r>
        <w:r w:rsidR="004E3182">
          <w:rPr>
            <w:noProof/>
            <w:webHidden/>
          </w:rPr>
          <w:instrText xml:space="preserve"> PAGEREF _Toc174210216 \h </w:instrText>
        </w:r>
        <w:r w:rsidR="004E3182">
          <w:rPr>
            <w:noProof/>
            <w:webHidden/>
          </w:rPr>
        </w:r>
        <w:r w:rsidR="004E3182">
          <w:rPr>
            <w:noProof/>
            <w:webHidden/>
          </w:rPr>
          <w:fldChar w:fldCharType="separate"/>
        </w:r>
        <w:r w:rsidR="004A2A48">
          <w:rPr>
            <w:noProof/>
            <w:webHidden/>
          </w:rPr>
          <w:t>34</w:t>
        </w:r>
        <w:r w:rsidR="004E3182">
          <w:rPr>
            <w:noProof/>
            <w:webHidden/>
          </w:rPr>
          <w:fldChar w:fldCharType="end"/>
        </w:r>
      </w:hyperlink>
    </w:p>
    <w:p w14:paraId="3C23445D" w14:textId="61D1BDD8" w:rsidR="004E3182" w:rsidRDefault="005C3832">
      <w:pPr>
        <w:pStyle w:val="Inhopg1"/>
        <w:tabs>
          <w:tab w:val="right" w:leader="dot" w:pos="9396"/>
        </w:tabs>
        <w:rPr>
          <w:rFonts w:eastAsiaTheme="minorEastAsia" w:cstheme="minorBidi"/>
          <w:noProof/>
          <w:kern w:val="2"/>
          <w:lang w:eastAsia="ja-JP"/>
          <w14:ligatures w14:val="standardContextual"/>
        </w:rPr>
      </w:pPr>
      <w:hyperlink w:anchor="_Toc174210217" w:history="1">
        <w:r w:rsidR="004E3182" w:rsidRPr="008A0492">
          <w:rPr>
            <w:rStyle w:val="Hyperlink"/>
            <w:noProof/>
          </w:rPr>
          <w:t>Appendices</w:t>
        </w:r>
        <w:r w:rsidR="004E3182">
          <w:rPr>
            <w:noProof/>
            <w:webHidden/>
          </w:rPr>
          <w:tab/>
        </w:r>
        <w:r w:rsidR="004E3182">
          <w:rPr>
            <w:noProof/>
            <w:webHidden/>
          </w:rPr>
          <w:fldChar w:fldCharType="begin"/>
        </w:r>
        <w:r w:rsidR="004E3182">
          <w:rPr>
            <w:noProof/>
            <w:webHidden/>
          </w:rPr>
          <w:instrText xml:space="preserve"> PAGEREF _Toc174210217 \h </w:instrText>
        </w:r>
        <w:r w:rsidR="004E3182">
          <w:rPr>
            <w:noProof/>
            <w:webHidden/>
          </w:rPr>
        </w:r>
        <w:r w:rsidR="004E3182">
          <w:rPr>
            <w:noProof/>
            <w:webHidden/>
          </w:rPr>
          <w:fldChar w:fldCharType="separate"/>
        </w:r>
        <w:r w:rsidR="004A2A48">
          <w:rPr>
            <w:noProof/>
            <w:webHidden/>
          </w:rPr>
          <w:t>39</w:t>
        </w:r>
        <w:r w:rsidR="004E3182">
          <w:rPr>
            <w:noProof/>
            <w:webHidden/>
          </w:rPr>
          <w:fldChar w:fldCharType="end"/>
        </w:r>
      </w:hyperlink>
    </w:p>
    <w:p w14:paraId="300267AC" w14:textId="5EF1ACFC" w:rsidR="004E3182" w:rsidRDefault="005C3832">
      <w:pPr>
        <w:pStyle w:val="Inhopg2"/>
        <w:tabs>
          <w:tab w:val="right" w:leader="dot" w:pos="9396"/>
        </w:tabs>
        <w:rPr>
          <w:rFonts w:eastAsiaTheme="minorEastAsia" w:cstheme="minorBidi"/>
          <w:noProof/>
          <w:kern w:val="2"/>
          <w:lang w:eastAsia="ja-JP"/>
          <w14:ligatures w14:val="standardContextual"/>
        </w:rPr>
      </w:pPr>
      <w:hyperlink w:anchor="_Toc174210218" w:history="1">
        <w:r w:rsidR="004E3182" w:rsidRPr="008A0492">
          <w:rPr>
            <w:rStyle w:val="Hyperlink"/>
            <w:noProof/>
          </w:rPr>
          <w:t>ESG Variables</w:t>
        </w:r>
        <w:r w:rsidR="004E3182">
          <w:rPr>
            <w:noProof/>
            <w:webHidden/>
          </w:rPr>
          <w:tab/>
        </w:r>
        <w:r w:rsidR="004E3182">
          <w:rPr>
            <w:noProof/>
            <w:webHidden/>
          </w:rPr>
          <w:fldChar w:fldCharType="begin"/>
        </w:r>
        <w:r w:rsidR="004E3182">
          <w:rPr>
            <w:noProof/>
            <w:webHidden/>
          </w:rPr>
          <w:instrText xml:space="preserve"> PAGEREF _Toc174210218 \h </w:instrText>
        </w:r>
        <w:r w:rsidR="004E3182">
          <w:rPr>
            <w:noProof/>
            <w:webHidden/>
          </w:rPr>
        </w:r>
        <w:r w:rsidR="004E3182">
          <w:rPr>
            <w:noProof/>
            <w:webHidden/>
          </w:rPr>
          <w:fldChar w:fldCharType="separate"/>
        </w:r>
        <w:r w:rsidR="004A2A48">
          <w:rPr>
            <w:noProof/>
            <w:webHidden/>
          </w:rPr>
          <w:t>39</w:t>
        </w:r>
        <w:r w:rsidR="004E3182">
          <w:rPr>
            <w:noProof/>
            <w:webHidden/>
          </w:rPr>
          <w:fldChar w:fldCharType="end"/>
        </w:r>
      </w:hyperlink>
    </w:p>
    <w:p w14:paraId="1ABA4352" w14:textId="3EAE8329" w:rsidR="00BC2E42" w:rsidRPr="00B0319E" w:rsidRDefault="00D875D6" w:rsidP="00D875D6">
      <w:pPr>
        <w:pStyle w:val="Kop1"/>
        <w:numPr>
          <w:ilvl w:val="0"/>
          <w:numId w:val="0"/>
        </w:numPr>
        <w:ind w:left="360"/>
        <w:rPr>
          <w:lang w:val="en-GB"/>
        </w:rPr>
      </w:pPr>
      <w:r w:rsidRPr="00B0319E">
        <w:rPr>
          <w:lang w:val="en-GB"/>
        </w:rPr>
        <w:fldChar w:fldCharType="end"/>
      </w:r>
    </w:p>
    <w:p w14:paraId="33042650" w14:textId="77777777" w:rsidR="00BC2E42" w:rsidRPr="00B0319E" w:rsidRDefault="00BC2E42">
      <w:pPr>
        <w:spacing w:line="240" w:lineRule="auto"/>
        <w:ind w:firstLine="0"/>
        <w:jc w:val="left"/>
        <w:rPr>
          <w:rFonts w:eastAsia="Times New Roman"/>
          <w:b/>
          <w:bCs/>
          <w:color w:val="000000"/>
          <w:sz w:val="28"/>
          <w:szCs w:val="32"/>
        </w:rPr>
      </w:pPr>
      <w:r w:rsidRPr="00B0319E">
        <w:br w:type="page"/>
      </w:r>
    </w:p>
    <w:p w14:paraId="33F5822E" w14:textId="695F3F2C" w:rsidR="00F9003F" w:rsidRPr="004A2A48" w:rsidRDefault="00E0250F" w:rsidP="00474572">
      <w:pPr>
        <w:pStyle w:val="Kop1"/>
        <w:rPr>
          <w:lang w:val="en-GB"/>
        </w:rPr>
      </w:pPr>
      <w:bookmarkStart w:id="1" w:name="_Toc174210207"/>
      <w:r w:rsidRPr="00B0319E">
        <w:rPr>
          <w:lang w:val="en-GB"/>
        </w:rPr>
        <w:lastRenderedPageBreak/>
        <w:t>Introduction</w:t>
      </w:r>
      <w:bookmarkEnd w:id="1"/>
    </w:p>
    <w:p w14:paraId="089922A9" w14:textId="55C90073" w:rsidR="00952030" w:rsidRPr="004A2A48" w:rsidRDefault="00B32849" w:rsidP="00952030">
      <w:pPr>
        <w:rPr>
          <w:lang w:val="nl-NL"/>
        </w:rPr>
      </w:pPr>
      <w:r w:rsidRPr="00B0319E">
        <w:t xml:space="preserve">Work is not only a necessity but can also be a rewarding experience for both employees and employers. </w:t>
      </w:r>
      <w:r w:rsidR="00FE2932" w:rsidRPr="00B0319E">
        <w:t xml:space="preserve">Research indicates that employers can significantly enhance employee satisfaction through various strategies such as training opportunities, growth prospects, a supportive work environment, and recognition </w:t>
      </w:r>
      <w:r w:rsidR="00C11FCE" w:rsidRPr="00B0319E">
        <w:fldChar w:fldCharType="begin" w:fldLock="1"/>
      </w:r>
      <w:r w:rsidR="00F570B8" w:rsidRPr="00B0319E">
        <w:instrText>ADDIN CSL_CITATION {"citationItems":[{"id":"ITEM-1","itemData":{"DOI":"10.1002/pfi.21499","abstract":"The purpose of this article is to provide a review of background information regarding perceived level of personal control over the physical features of the work environment and its impact on individual satisfaction and outcomes. In today’s business with the fast growth of technology, e-market development, and innovative methods of communication, the workplace will continue to change rapidly. To control and accommodate these fast changes while sustaining or enhancing outcomes, organizations have increasingly turned to a model of work teams; therefore, employees’ skills in working within team environments has been emphasized. To guarantee that the work environment itself supports these new approaches of working, flexible workplaces are often suggested. Open-plan offices offer more flexibility when compared to completely closed and private ones and they are considered to have more capabilities and are, therefore, highly valued in today’s industry. Apart from its advantages, open-plan office design does create some problems due to lack of personal control over the work environment, which can negatively affect employees’ satisfaction and performance. It is, therefore, important to emphasize the significance of personal control over the physical work environment and the impact of that on employees’ satisfaction and outcome.","author":[{"dropping-particle":"","family":"Samani","given":"Sanaz Ahmadpoor","non-dropping-particle":"","parse-names":false,"suffix":""},{"dropping-particle":"","family":"Rasid","given":"Siti Zaleha Abdul","non-dropping-particle":"","parse-names":false,"suffix":""},{"dropping-particle":"","family":"Sofian","given":"Saudah bt","non-dropping-particle":"","parse-names":false,"suffix":""}],"container-title":"Performance Improvement","id":"ITEM-1","issue":"9","issued":{"date-parts":[["2015"]]},"page":"28-35","title":"Perceived Level of Personal Control Over the Work Environment and Employee Satisfaction and Work Performance","type":"article-journal","volume":"54"},"uris":["http://www.mendeley.com/documents/?uuid=fad0a418-ba41-4801-b863-1717c5aa2685"]},{"id":"ITEM-2","itemData":{"DOI":"10.3846/ijspm.2019.6372","ISSN":"16489179","abstract":"Employee satisfaction is pivotal for companies as it enhances perceived productivity and organizational performance. Office concepts and their workspaces can affect employee satisfaction. However, these effects are still ambiguous, particularly regarding the activity-based concept. Therefore, in this study employee satisfaction with the work environment is investigated from a holistic approach. The effects of both personal characteristics and workspaces used by the employee on work environment satisfaction are described and measured, including mediating effects of the perceived importance of employee needs. Data was collected using an online questionnaire among 327 employees of 13 knowledge-based organizations. Path analysis was used to determine the direct and indirect effects of personal variables, environmental variables and perceived importance of needs on satisfaction. It demonstrated that both personal and environmental variables affect satisfaction, and that a considerable number of these effects are indirect through the perceived importance of needs. In particular, the effects of used workspaces were extensive.","author":[{"dropping-particle":"","family":"Budie","given":"Bart","non-dropping-particle":"","parse-names":false,"suffix":""},{"dropping-particle":"","family":"Appel-Meulenbroek","given":"Rianne","non-dropping-particle":"","parse-names":false,"suffix":""},{"dropping-particle":"","family":"Kemperman","given":"Astrid","non-dropping-particle":"","parse-names":false,"suffix":""},{"dropping-particle":"","family":"Weijs-Perree","given":"Minou","non-dropping-particle":"","parse-names":false,"suffix":""}],"container-title":"International Journal of Strategic Property Management","id":"ITEM-2","issue":"1","issued":{"date-parts":[["2019"]]},"page":"36-49","title":"Employee satisfaction with the physical work environment: The importance of a need based approach","type":"article-journal","volume":"23"},"uris":["http://www.mendeley.com/documents/?uuid=feede444-4770-4396-915e-11a1cd4c309b"]}],"mendeley":{"formattedCitation":"(Budie et al., 2019; Samani et al., 2015)","plainTextFormattedCitation":"(Budie et al., 2019; Samani et al., 2015)","previouslyFormattedCitation":"(Budie et al., 2019; Samani et al., 2015)"},"properties":{"noteIndex":0},"schema":"https://github.com/citation-style-language/schema/raw/master/csl-citation.json"}</w:instrText>
      </w:r>
      <w:r w:rsidR="00C11FCE" w:rsidRPr="00B0319E">
        <w:fldChar w:fldCharType="separate"/>
      </w:r>
      <w:r w:rsidR="005A5EC1" w:rsidRPr="00A55043">
        <w:rPr>
          <w:noProof/>
        </w:rPr>
        <w:t>(Budie et al., 2019; Samani et al., 2015)</w:t>
      </w:r>
      <w:r w:rsidR="00C11FCE" w:rsidRPr="00B0319E">
        <w:fldChar w:fldCharType="end"/>
      </w:r>
      <w:r w:rsidR="000F6225" w:rsidRPr="00B0319E">
        <w:t>.</w:t>
      </w:r>
      <w:r w:rsidR="00F55655" w:rsidRPr="00B0319E">
        <w:t xml:space="preserve"> </w:t>
      </w:r>
      <w:r w:rsidR="001548AA" w:rsidRPr="00B0319E">
        <w:t xml:space="preserve">By implementing these strategies, employers can significantly influence employee satisfaction, potentially leading to reduced employee turnover and enhanced company performance </w:t>
      </w:r>
      <w:r w:rsidR="008C499D" w:rsidRPr="00B0319E">
        <w:fldChar w:fldCharType="begin" w:fldLock="1"/>
      </w:r>
      <w:r w:rsidR="004D0887" w:rsidRPr="00B0319E">
        <w:instrText>ADDIN CSL_CITATION {"citationItems":[{"id":"ITEM-1","itemData":{"DOI":"10.1108/MD-05-2016-0308","ISSN":"00251747","abstract":"Purpose: The purpose of this paper is to examine the association between corporate social responsibility (CSR) and employee satisfaction. The study proposes and empirically tests two hypotheses: that CSR is positively associated with employee satisfaction, and that organizational image mediates the relationship between CSR and employee satisfaction. Design/methodology/approach: The hypotheses were tested through regression analyses, using data from 85,167 questionnaires completed by employees at 381 Brazilian companies, as well as data pertaining to the “breadth” of CSR engagement of those same companies. Findings: The results of this study provide evidence that CSR-oriented actions undertaken by companies will lead to a better organizational image, and this, in turn, will lead to greater employee satisfaction. Practical implications: Because employee behaviour influences organizational outcomes and higher job satisfaction may lead to greater employee commitment to organizational goals and values, understanding the impact of CSR on employee satisfaction is relevant to corporate performance. Originality/value: The study contributes to the body of empirical research on CSR by investigating the underlying mechanisms linking CSR with employee behaviour. Scholars in the area of CSR regularly explore the outcomes and impacts of CSR actions on internal and external stakeholders. However, the impacts of CSR for a critical group of stakeholders – namely, employees – and its underlying mechanisms are understudied in the CSR literature.","author":[{"dropping-particle":"","family":"Barakat","given":"Simone R.","non-dropping-particle":"","parse-names":false,"suffix":""},{"dropping-particle":"","family":"Isabella","given":"Giuliana","non-dropping-particle":"","parse-names":false,"suffix":""},{"dropping-particle":"","family":"Boaventura","given":"João Maurício Gama","non-dropping-particle":"","parse-names":false,"suffix":""},{"dropping-particle":"","family":"Mazzon","given":"José Afonso","non-dropping-particle":"","parse-names":false,"suffix":""}],"container-title":"Management Decision","id":"ITEM-1","issue":"9","issued":{"date-parts":[["2016"]]},"page":"2325-2339","title":"The influence of corporate social responsibility on employee satisfaction","type":"article-journal","volume":"54"},"uris":["http://www.mendeley.com/documents/?uuid=be4cd7d1-8fa2-482c-a285-b7d1fefd6a68"]},{"id":"ITEM-2","itemData":{"DOI":"10.1108/IJM-08-2018-0281","ISSN":"01437720","abstract":"Purpose: In the face of a changing and turbulent environment, an organizational learning culture (OLC) is crucial for the long-term operation of an organization. A learning culture provides the capacity to effectively integrate employees, and it also provides structure so that an organization can move forward via continuous learning and change. Few empirical results are available from Chinese companies enduring an organizational change. To bridge this research gap, this study investigated the relationships among an OLC, job satisfaction, turnover intentions and job performance during organizational change. Design/methodology/approach: A quantitative approach with structural equation modeling (SEM) and bootstrapping estimation was used to test hypotheses developed from a sample of 434 employees in a restructured telecommunications company in Taiwan. Findings: Employees who experienced a higher learning culture had lower levels of turnover intentions and exhibited better job performance. Job satisfaction had a negative impact on employee turnover intentions but a positive impact on job performance. Moreover, job satisfaction fully mediated the relationships between an OLC and employee turnover intentions and job performance. When encountering organizational planned changes, a vibrant learning culture gave employees a higher level of satisfaction in their jobs and workplace. Although unexpected challenges often appeared during the organizational changes, employees with a higher level of job satisfaction tended to fulfill their own job duties and showed fewer turnover intentions. Originality/value: In investigating issues related to organizational change, this study provides managerial insights and addresses strategies for facilitating the adoption of an OLC into the design and implementation of a better workplace environment.","author":[{"dropping-particle":"","family":"Lin","given":"Chun Yu","non-dropping-particle":"","parse-names":false,"suffix":""},{"dropping-particle":"","family":"Huang","given":"Chung Kai","non-dropping-particle":"","parse-names":false,"suffix":""}],"container-title":"International Journal of Manpower","id":"ITEM-2","issue":"3","issued":{"date-parts":[["2021"]]},"page":"409-423","title":"Employee turnover intentions and job performance from a planned change: the effects of an organizational learning culture and job satisfaction","type":"article-journal","volume":"42"},"uris":["http://www.mendeley.com/documents/?uuid=c88f4e6b-99f6-4313-8d75-a353cce176dc"]},{"id":"ITEM-3","itemData":{"DOI":"https://doi.org/10.1108/978-1-78973-483-620201006","author":[{"dropping-particle":"","family":"Lim","given":"Paul","non-dropping-particle":"","parse-names":false,"suffix":""},{"dropping-particle":"","family":"Parker","given":"Andrew","non-dropping-particle":"","parse-names":false,"suffix":""}],"container-title":"Mentoring Millennials in an Asian Context","id":"ITEM-3","issued":{"date-parts":[["2020"]]},"page":"35-43","title":"Employee Turnover","type":"article-journal"},"uris":["http://www.mendeley.com/documents/?uuid=e2ce82bb-8e4a-4db9-98bc-0f1452ce3ae2"]},{"id":"ITEM-4","itemData":{"DOI":"10.1002/pfi.21499","abstract":"The purpose of this article is to provide a review of background information regarding perceived level of personal control over the physical features of the work environment and its impact on individual satisfaction and outcomes. In today’s business with the fast growth of technology, e-market development, and innovative methods of communication, the workplace will continue to change rapidly. To control and accommodate these fast changes while sustaining or enhancing outcomes, organizations have increasingly turned to a model of work teams; therefore, employees’ skills in working within team environments has been emphasized. To guarantee that the work environment itself supports these new approaches of working, flexible workplaces are often suggested. Open-plan offices offer more flexibility when compared to completely closed and private ones and they are considered to have more capabilities and are, therefore, highly valued in today’s industry. Apart from its advantages, open-plan office design does create some problems due to lack of personal control</w:instrText>
      </w:r>
      <w:r w:rsidR="004D0887" w:rsidRPr="004A2A48">
        <w:rPr>
          <w:lang w:val="nl-NL"/>
        </w:rPr>
        <w:instrText xml:space="preserve"> over the work environment, which can negatively affect employees’ satisfaction and performance. It is, therefore, important to emphasize the significance of personal control over the physical work environment and the impact of that on employees’ satisfaction and outcome.","author":[{"dropping-particle":"","family":"Samani","given":"Sanaz Ahmadpoor","non-dropping-particle":"","parse-names":false,"suffix":""},{"dropping-particle":"","family":"Rasid","given":"Siti Zaleha Abdul","non-dropping-particle":"","parse-names":false,"suffix":""},{"dropping-particle":"","family":"Sofian","given":"Saudah bt","non-dropping-particle":"","parse-names":false,"suffix":""}],"container-title":"Performance Improvement","id":"ITEM-4","issue":"9","issued":{"date-parts":[["2015"]]},"page":"28-35","title":"Perceived Level of Personal Control Over the Work Environment and Employee Satisfaction and Work Performance","type":"article-journal","volume":"54"},"uris":["http://www.mendeley.com/documents/?uuid=fad0a418-ba41-4801-b863-1717c5aa2685"]}],"mendeley":{"formattedCitation":"(Barakat et al., 2016; Lim &amp; Parker, 2020; Lin &amp; Huang, 2021; Samani et al., 2015)","plainTextFormattedCitation":"(Barakat et al., 2016; Lim &amp; Parker, 2020; Lin &amp; Huang, 2021; Samani et al., 2015)","previouslyFormattedCitation":"(Barakat et al., 2016; Lim &amp; Parker, 2020; Lin &amp; Huang, 2021; Samani et al., 2015)"},"properties":{"noteIndex":0},"schema":"https://github.com/citation-style-language/schema/raw/master/csl-citation.json"}</w:instrText>
      </w:r>
      <w:r w:rsidR="008C499D" w:rsidRPr="00B0319E">
        <w:fldChar w:fldCharType="separate"/>
      </w:r>
      <w:r w:rsidR="005061E6" w:rsidRPr="00CD3858">
        <w:rPr>
          <w:noProof/>
          <w:lang w:val="nl-NL"/>
        </w:rPr>
        <w:t>(Barakat et al., 2016; Lim &amp; Parker, 2020; Lin &amp; Huang, 2021; Samani et al., 2015)</w:t>
      </w:r>
      <w:r w:rsidR="008C499D" w:rsidRPr="00B0319E">
        <w:fldChar w:fldCharType="end"/>
      </w:r>
      <w:r w:rsidR="00737D75" w:rsidRPr="00CD3858">
        <w:rPr>
          <w:lang w:val="nl-NL"/>
        </w:rPr>
        <w:t>.</w:t>
      </w:r>
      <w:r w:rsidR="008B2E31" w:rsidRPr="00CD3858">
        <w:rPr>
          <w:lang w:val="nl-NL"/>
        </w:rPr>
        <w:t xml:space="preserve"> </w:t>
      </w:r>
    </w:p>
    <w:p w14:paraId="791F6703" w14:textId="317FB38F" w:rsidR="00A76051" w:rsidRPr="00B0319E" w:rsidRDefault="00B57045" w:rsidP="00952030">
      <w:r w:rsidRPr="00B0319E">
        <w:t xml:space="preserve">This paper aims to explore the impact of employee satisfaction on a company’s performance, particularly within the real estate industry. </w:t>
      </w:r>
      <w:r w:rsidR="007B2459" w:rsidRPr="00B0319E">
        <w:t xml:space="preserve">Despite the sophisticated ESG reporting in the real estate sector, there is a notable research gap concerning employee satisfaction </w:t>
      </w:r>
      <w:r w:rsidR="005909BE" w:rsidRPr="00B0319E">
        <w:fldChar w:fldCharType="begin" w:fldLock="1"/>
      </w:r>
      <w:r w:rsidR="007E42A3" w:rsidRPr="00B0319E">
        <w:instrText>ADDIN CSL_CITATION {"citationItems":[{"id":"ITEM-1","itemData":{"DOI":"10.1108/JPIF-10-2021-0084","ISSN":"1463578X","abstract":"Purpose: Environment, social, governance (ESG) has taken on increased importance in real estate investment in recent years, with benchmarking ESG being critically important for more informed real estate investment decision-making. Using 60 stakeholder interviews with senior real estate executives, this paper examines the strategic issues regarding benchmarking ESG in real estate investment; specifically, identifying areas going forward where ESG benchmarks need to be improved. This includes the issues of granularity, climate resilience and climate risk, as well as an increased focus on outcomes and performance, and using best practice procedures in delivering ESG in real estate investment. Design/methodology/approach: In total, 60 stakeholder interviews were conducted with key real estate players globally to assess the use of ESG benchmarking in real estate investment at various levels (asset/fund-level, listed real estate, delivery, reporting and internal benchmarking), across regions and across different types of real estate investment players (real estate fund manager, real estate investment trust (REIT), institutional investor and real estate advisor). This enabled key strategic insights to be identified for improved ESG benchmarking practices in real estate investment going forward. Findings: There was clear evidence of the need for improved benchmarks for ESG in real estate investment. More focus was needed on performance, outcomes and impacts, with a stronger focus on granularity around the issues of climate resilience and climate risk. Improvements in Global Real Estate Sustainability Benchmark (GRESB), as well as increased attention to Task Force for Climate-Related Financial Disclosures (TCFD) were seen as important initiatives. Clear differences were also seen in the use of these ESG benchmarks on a regional basis; with Australia and Europe seen as the world leaders. These strategic stakeholder insights regarding ESG saw the development of best practice guidelines for the more effective delivery of ESG benchmarks for more informed real estate investment decision-making, as well as a series of recommendations for improving ESG benchmarking in real estate investment. Practical implications: ESG benchmarking is a critical area of real estate investment decision-making today. By utilising stakeholder interviews, the strategic insights from key players in the real estate investment space are identified. In particular, this paper identifies how the…","author":[{"dropping-particle":"","family":"Newell","given":"Graeme","non-dropping-particle":"","parse-names":false,"suffix":""},{"dropping-particle":"","family":"Nanda","given":"Anupam","non-dropping-particle":"","parse-names":false,"suffix":""},{"dropping-particle":"","family":"Moss","given":"Alex","non-dropping-particle":"","parse-names":false,"suffix":""}],"container-title":"Journal of Property Investment and Finance","id":"ITEM-1","issue":"4","issued":{"date-parts":[["2023"]]},"page":"380-405","title":"Improving the benchmarking of ESG in real estate investment","type":"article-journal","volume":"41"},"uris":["http://www.mendeley.com/documents/?uuid=f4f117b6-8c2a-4e00-b1f2-95c8626823d3"]},{"id":"ITEM-2","itemData":{"DOI":"10.1108/JPIF-01-2023-0003","ISBN":"0120230003","ISSN":"1463578X","abstract":"Purpose: Environment, social and governance (ESG) has taken on increased importance in recent years. This paper assesses the increasing importance of the social (“S”) dimension of ESG in the real estate space and the strategies being used by the leading real estate players to deliver this important aspect of ESG. This includes gender equality, cultural diversity, staff wellness, supply chain management and community engagement. It also indicates the need for an increased level of metrics in the S space for the effective delivery and external validation of the S dimension into real estate investment decision-making. Design/methodology/approach: This research is based on a thorough understanding of the ESG environment in the real estate industry by the author. Best practice examples regarding the S dimension are given from the ESG/sustainability reports from real estate players in Australia who are leaders in the ESG space. Findings: Excellent examples of the delivery of the S dimension are reported from the ESG/sustainability reports from the real estate industry. Whilst there is an increasing range of S information being reported in the real estate industry, there is a need for more metrics to effectively report this S information to indicate its key role in seeing the S dimension being delivered for the fuller integration of ESG at all levels of the real estate industry. The external validation of this S information will also take on increased importance going forward. Practical implications: With ESG becoming a critical issue in the real estate sector, issues involved in the S space will take on increased significance. This is critical, as the elements of the S dimension such as gender equality, cultural diversity, staff wellness, community engagement and supply chain management are important aspects for an effectively functioning real estate industry. More metrics in the S space will be an important development to further expand the delivery and external validation of the S space of ESG. Originality/value: This paper is the first paper to specifically address the need for more focus on delivering the S dimension of ESG in the real estate industry, highlighted by best practice examples from the real estate industry in Australia. This is a key issue for the real estate industry going forward at all levels to facilitate more effective real estate investment decision-making.","author":[{"dropping-particle":"","family":"Newell","given":"Graeme","non-dropping-particle":"","parse-names":false,"suffix":""}],"container-title":"Journal of Property Investment and Finance","id":"ITEM-2","issue":"4","issued":{"date-parts":[["2023"]]},"page":"453-459","title":"Real Estate Insights The increasing importance of the “S” dimension in ESG","type":"article-journal","volume":"41"},"uris":["http://www.mendeley.com/documents/?uuid=0bb179e4-70fc-4056-9edd-32ff2a9686a6"]}],"mendeley":{"formattedCitation":"(Newell, 2023; Newell et al., 2023)","plainTextFormattedCitation":"(Newell, 2023; Newell et al., 2023)","previouslyFormattedCitation":"(Newell, 2023; Newell et al., 2023)"},"properties":{"noteIndex":0},"schema":"https://github.com/citation-style-language/schema/raw/master/csl-citation.json"}</w:instrText>
      </w:r>
      <w:r w:rsidR="005909BE" w:rsidRPr="00B0319E">
        <w:fldChar w:fldCharType="separate"/>
      </w:r>
      <w:r w:rsidR="005909BE" w:rsidRPr="00A55043">
        <w:rPr>
          <w:noProof/>
        </w:rPr>
        <w:t>(Newell, 2023; Newell et al., 2023)</w:t>
      </w:r>
      <w:r w:rsidR="005909BE" w:rsidRPr="00B0319E">
        <w:fldChar w:fldCharType="end"/>
      </w:r>
      <w:r w:rsidR="00CA2B61" w:rsidRPr="00B0319E">
        <w:t>.</w:t>
      </w:r>
      <w:r w:rsidR="005D55FC" w:rsidRPr="00B0319E">
        <w:t xml:space="preserve"> </w:t>
      </w:r>
      <w:r w:rsidR="00363D9E" w:rsidRPr="00B0319E">
        <w:t xml:space="preserve">Traditionally, the focus has been on customers and investors due to their significant influence on a company’s reputation </w:t>
      </w:r>
      <w:r w:rsidR="007E42A3" w:rsidRPr="00B0319E">
        <w:fldChar w:fldCharType="begin" w:fldLock="1"/>
      </w:r>
      <w:r w:rsidR="00C4664C" w:rsidRPr="00B0319E">
        <w:instrText>ADDIN CSL_CITATION {"citationItems":[{"id":"ITEM-1","itemData":{"DOI":"10.3390/buildings2020126","ISSN":"2075-5309","abstract":"This paper presents a conceptual framework aimed at implementing sustainability principles in the building industry. The proposed framework based on the sustainable triple bottom line principle, includes resource conservation, cost efficiency and design for human adaptation. Following a thorough literature review, each principle involving strategies and methods to be applied during the life cycle of building projects is explained and a few case studies are presented for clarity on the methods. The framework will allow design teams to have an appropriate balance between economic, social and environmental issues, changing the way construction practitioners think about the information they use when assessing building projects, thereby facilitating the sustainability of building industry.","author":[{"dropping-particle":"","family":"Akadiri","given":"Peter O.","non-dropping-particle":"","parse-names":false,"suffix":""},{"dropping-particle":"","family":"Chinyio","given":"Ezekiel A.","non-dropping-particle":"","parse-names":false,"suffix":""},{"dropping-particle":"","family":"Olomolaiye","given":"Paul O.","non-dropping-particle":"","parse-names":false,"suffix":""}],"container-title":"Buildings","id":"ITEM-1","issue":"2","issued":{"date-parts":[["2012"]]},"page":"126-152","title":"Design of A Sustainable Building: A Conceptual Framework for Implementing Sustainability in the Building Sector","type":"article-journal"},"uris":["http://www.mendeley.com/documents/?uuid=10b91ef2-a3ad-46c5-b5e8-661472cda24a"]},{"id":"ITEM-2","itemData":{"DOI":"10.1108/MF-12-2021-0593","ISSN":"17587743","abstract":"Purpose: The purpose of the paper is to examine the relationship between the Environmental, Social and Governance (ESG) performance of Real Estate Investment Trusts (REITs) and their operational efficiency and performance. Design/methodology/approach: The authors use S&amp;P Global (formerly SNL Real Estate) for the study analyses and examine all publicly traded REITs based in the United States over the 2019–2020 sample period. The authors regress the measures of REIT operational efficiency and operational performance on REIT ESG scores while controlling for REIT characteristics and use an ordinary least squares (OLS) estimation model with heteroscedasticity-robust standard errors. The authors also run additional regressions to examine the implications of operational efficiency on the relationship between ESG and operational performance. Findings: The authors find that REITs that perform well on the ESG scale have higher operational efficiency. In addition, the authors find that REITs with better ESG scores are associated with better operational performance. Finally, the authors find that the positive association between ESG scores and operational performance is stronger in REITs with higher operational efficiency. Practical implications: First, the adoption of ESG adds value to the REIT in terms of increased operational performance and efficiency. Second, the value addition of ESG to an REIT is driven by the better operational efficiency of some REITs over the others. Therefore, the authors’ findings suggest that REITs that currently score poorly on ESG performance would first need to focus on all the possible avenues to improve economies of scale and hence operational efficiency. This approach would help ensure that when those REITs adopt ESG initiatives, they get the most bang for their buck. Originality/value: To the best of the authors’ knowledge, this is the first study that relates operational efficiency and operational performance of REITs to their ESG scores.","author":[{"dropping-particle":"","family":"Aroul","given":"Ramya Rajajagadeesan","non-dropping-particle":"","parse-names":false,"suffix":""},{"dropping-particle":"","family":"Sabherwal","given":"Sanjiv","non-dropping-particle":"","parse-names":false,"suffix":""},{"dropping-particle":"V.","family":"Villupuram","given":"Sriram","non-dropping-particle":"","parse-names":false,"suffix":""}],"container-title":"Managerial Finance","id":"ITEM-2","issue":"8","issued":{"date-parts":[["2022"]]},"page":"1206-1220","title":"ESG, operational efficiency and operational performance: evidence from Real Estate Investment Trusts","type":"article-journal","volume":"48"},"uris":["http://www.mendeley.com/documents/?uuid=98716b0f-2577-42ff-b94a-289990d3076b"]},{"id":"ITEM-3","itemData":{"DOI":"https://dx.doi.org/10.1787/5jzbcx0czc0x-en","abstract":"Housing is a core element of people’s material living standards. It is essential to meet basic needs, such as for shelter from weather conditions, and to offer a sense of personal security, privacy and personal space. Good housing conditions are also essential for people’s health and affect childhood development. Further, housing costs make up a large share of the household budget and constitute the main component of household wealth. Residential satisfaction is a broad concept, and is associated with multidimensional aspects including physical, social, and neighbourhood factors, as well as psychological and sociodemographic characteristics of the residents. By taking advantage of two household surveys (the EU-SILC ad hoc module on housing for European countries; and the Gallup World Poll for OECD countries and other major economies), this paper uses ordered probit analysis to explore the link between households’ residential satisfaction and a number of variables related to individuals, the households to which they belong, and the characteristics of the dwelling and neighbourhood where they live. The major findings of this analysis show a complex relationship between residential satisfaction and housing characteristics including neighbourhood’s features. Individual and household socio-demographic characteristics (e.g. age, gender, education) play a secondary role once dwelling and neighbourhood features are controlled for. Understanding the factors that lead to satisfaction with housing and residential environment is key for planning successful and effective housing policies.","author":[{"dropping-particle":"","family":"Balestra","given":"Carlotta","non-dropping-particle":"","parse-names":false,"suffix":""},{"dropping-particle":"","family":"Sultan","given":"Joyce","non-dropping-particle":"","parse-names":false,"suffix":""}],"container-title":"OECD Statistics Working Papers","id":"ITEM-3","issued":{"date-parts":[["2013"]]},"number":"54","title":"Home Sweet Home: The Determinants of Residential Satisfaction and its Relation with Well- being","type":"report"},"uris":["http://www.mendeley.com/documents/?uuid=55bd4cba-9fb7-4151-82e7-e0853e536b7f"]}],"mendeley":{"formattedCitation":"(Akadiri et al., 2012; Aroul et al., 2022; Balestra &amp; Sultan, 2013)","plainTextFormattedCitation":"(Akadiri et al., 2012; Aroul et al., 2022; Balestra &amp; Sultan, 2013)","previouslyFormattedCitation":"(Akadiri et al., 2012; Aroul et al., 2022; Balestra &amp; Sultan, 2013)"},"properties":{"noteIndex":0},"schema":"https://github.com/citation-style-language/schema/raw/master/csl-citation.json"}</w:instrText>
      </w:r>
      <w:r w:rsidR="007E42A3" w:rsidRPr="00B0319E">
        <w:fldChar w:fldCharType="separate"/>
      </w:r>
      <w:r w:rsidR="007E42A3" w:rsidRPr="00A55043">
        <w:rPr>
          <w:noProof/>
        </w:rPr>
        <w:t>(Akadiri et al., 2012; Aroul et al., 2022; Balestra &amp; Sultan, 2013)</w:t>
      </w:r>
      <w:r w:rsidR="007E42A3" w:rsidRPr="00B0319E">
        <w:fldChar w:fldCharType="end"/>
      </w:r>
      <w:r w:rsidR="005D55FC" w:rsidRPr="00B0319E">
        <w:t>.</w:t>
      </w:r>
      <w:r w:rsidR="00AB2A0D" w:rsidRPr="00B0319E">
        <w:t xml:space="preserve"> </w:t>
      </w:r>
      <w:r w:rsidR="00363D9E" w:rsidRPr="00B0319E">
        <w:t>However, this paper argues that employee satisfaction is equally crucial for a company’s success</w:t>
      </w:r>
      <w:r w:rsidR="008E3A80" w:rsidRPr="00B0319E">
        <w:t>.</w:t>
      </w:r>
    </w:p>
    <w:p w14:paraId="5F7734A4" w14:textId="3D365EA0" w:rsidR="005B77B7" w:rsidRPr="00CD3858" w:rsidRDefault="005B77B7" w:rsidP="00952030">
      <w:pPr>
        <w:rPr>
          <w:color w:val="FF0000"/>
        </w:rPr>
      </w:pPr>
      <w:r w:rsidRPr="004A2A48">
        <w:t>Understanding the relationship between employee satisfaction and company performance is not only beneficial for individual companies but also has broader implications for the industry as a whole. Enhanced employee satisfaction can lead to a more motivated and productive workforce, which in turn can drive innovation, improve customer satisfaction, and ultimately contribute to the overall growth and sustainability of the real estate sector</w:t>
      </w:r>
      <w:r w:rsidR="00A55043">
        <w:t xml:space="preserve"> </w:t>
      </w:r>
      <w:r w:rsidR="00A55043">
        <w:fldChar w:fldCharType="begin" w:fldLock="1"/>
      </w:r>
      <w:r w:rsidR="00A55043">
        <w:instrText>ADDIN CSL_CITATION {"citationItems":[{"id":"ITEM-1","itemData":{"ISSN":"2045-7057","abstract":"– Employee satisfaction is considered weighty when it comes to define organizational success. Employee's satisfaction is central concern particularly in the service industry. Need to enhance employee satisfaction is critical because it is a key to business success of any organization. In the present milieu, employee satisfaction has come under limelight due to stiff competition where organizations are trying to carve competitive advantage through the human factor. The purpose of this study is to observe the relationship between employee satisfaction and customer satisfaction and to examine the impact of both on organizational success. This study scrutinizes the effects of different factors of organization which affects the employee satisfaction. This is a cohort study in which qualitative research methodology was used. The data was collected through self-administrated questionnaire which contains multiple choice questions and open-ended questions. Results of the principal component analysis (PCA) based on correlation matrix revealed a great deal of employees (hotel workers) satisfaction among surveyed cohorts where customers also had expressed satisfaction with existing services. Mainly environmental cleanliness, quality food and room services has played vital role in creating contentment and subsequent satisfaction among customers. From employee's perspective, conducive working atmosphere coupled with incentives like salary and frequent trainings focused the employees to work with dedication to uplift the organization (hotels) which is reflected clearly by the satisfaction level of customers. Our study confirms indirect relation between organizational success and employee satisfaction which was mediated by customers. In conclusion, it seems reasonable to believe that understanding of employee role is extremely important as it appears key factor in the success of modern organization.","author":[{"dropping-particle":"","family":"Naseem","given":"Afshan","non-dropping-particle":"","parse-names":false,"suffix":""},{"dropping-particle":"","family":"Ejaz Sheikh","given":"Sadia","non-dropping-particle":"","parse-names":false,"suffix":""},{"dropping-particle":"","family":"Malik GPHR","given":"Khusro P","non-dropping-particle":"","parse-names":false,"suffix":""}],"container-title":"International Journal of Multidisciplinary Sciences and Engineering","id":"ITEM-1","issue":"5","issued":{"date-parts":[["2011"]]},"page":"41-46","title":"Impact of Employee Satisfaction on Success of Organization: Relation between Customer Experience and Employee Satisfaction","type":"article-journal","volume":"2"},"uris":["http://www.mendeley.com/documents/?uuid=f3319b29-c9ae-4fba-95e2-5cec28c341d8"]},{"id":"ITEM-2","itemData":{"DOI":"10.1002/pfi.21499","abstract":"The purpose of this article is to provide a review of background information regarding perceived level of personal control over the physical features of the work environment and its impact on individual satisfaction and outcomes. In today’s business with the fast growth of technology, e-market development, and innovative methods of communication, the workplace will continue to change rapidly. To control and accommodate these fast changes while sustaining or enhancing outcomes, organizations have increasingly turned to a model of work teams; therefore, employees’ skills in working within team environments has been emphasized. To guarantee that the work environment itself supports these new approaches of working, flexible workplaces are often suggested. Open-plan offices offer more flexibility when compared to completely closed and private ones and they are considered to have more capabilities and are, therefore, highly valued in today’s industry. Apart from its advantages, open-plan office design does create some problems due to lack of personal control over the work environment, which can negatively affect employees’ satisfaction and performance. It is, therefore, important to emphasize the significance of personal control over the physical work environment and the impact of that on employees’ satisfaction and outcome.","author":[{"dropping-particle":"","family":"Samani","given":"Sanaz Ahmadpoor","non-dropping-particle":"","parse-names":false,"suffix":""},{"dropping-particle":"","family":"Rasid","given":"Siti Zaleha Abdul","non-dropping-particle":"","parse-names":false,"suffix":""},{"dropping-particle":"","family":"Sofian","given":"Saudah bt","non-dropping-particle":"","parse-names":false,"suffix":""}],"container-title":"Performance Improvement","id":"ITEM-2","issue":"9","issued":{"date-parts":[["2015"]]},"page":"28-35","title":"Perceived Level of Personal Control Over the Work Environment and Employee Satisfaction and Work Performance","type":"article-journal","volume":"54"},"uris":["http://www.mendeley.com/documents/?uuid=fad0a418-ba41-4801-b863-1717c5aa2685"]},{"id":"ITEM-3","itemData":{"ISBN":"9781783215171","author":[{"dropping-particle":"","family":"Scherrenberg","given":"J.","non-dropping-particle":"","parse-names":false,"suffix":""},{"dropping-particle":"","family":"Wessels","given":"P.","non-dropping-particle":"","parse-names":false,"suffix":""},{"dropping-particle":"","family":"Nelisse","given":"P.","non-dropping-particle":"","parse-names":false,"suffix":""}],"editor":[{"dropping-particle":"","family":"Birch","given":"Sam","non-dropping-particle":"","parse-names":false,"suffix":""}],"id":"ITEM-3","issue":"January","issued":{"date-parts":[["2024"]]},"title":"The future of real estate valuations: the impact of ESG","type":"report"},"uris":["http://www.mendeley.com/documents/?uuid=2be7aa8f-c14b-4336-be1a-f6c029a1da42"]},{"id":"ITEM-4","itemData":{"DOI":"10.1108/IJM-08-2018-0281","ISSN":"01437720","abstract":"Purpose: In the face of a changing and turbulent environment, an organizational learning culture (OLC) is crucial for the long-term operation of an organization. A learning culture provides the capacity to effectively integrate employees, and it also provides structure so that an organization can move forward via continuous learning and change. Few empirical results are available from Chinese companies enduring an organizational change. To bridge this research gap, this study investigated the relationships among an OLC, job satisfaction, turnover intentions and job performance during organizational change. Design/methodology/approach: A quantitative approach with structural equation modeling (SEM) and bootstrapping estimation was used to test hypotheses developed from a sample of 434 employees in a restructured telecommunications company in Taiwan. Findings: Employees who experienced a higher learning culture had lower levels of turnover intentions and exhibited better job performance. Job satisfaction had a negative impact on employee turnover intentions but a positive impact on job performance. Moreover, job satisfaction fully mediated the relationships between an OLC and employee turnover intentions and job performance. When encountering organizational planned changes, a vibrant learning culture gave employees a higher level of satisfaction in their jobs and workplace. Although unexpected challenges often appeared during the organizational changes, employees with a higher level of job satisfaction tended to fulfill their own job duties and showed fewer turnover intentions. Originality/value: In investigating issues related to organizational change, this study provides managerial insights and addresses strategies for facilitating the adoption of an OLC into the design and implementation of a better workplace environment.","author":[{"dropping-particle":"","family":"Lin","given":"Chun Yu","non-dropping-particle":"","parse-names":false,"suffix":""},{"dropping-particle":"","family":"Huang","given":"Chung Kai","non-dropping-particle":"","parse-names":false,"suffix":""}],"container-title":"International Journal of Manpower","id":"ITEM-4","issue":"3","issued":{"date-parts":[["2021"]]},"page":"409-423","title":"Employee turnover intentions and job performance from a planned change: the effects of an organizational learning culture and job satisfaction","type":"article-journal","volume":"42"},"uris":["http://www.mendeley.com/documents/?uuid=c88f4e6b-99f6-4313-8d75-a353cce176dc"]},{"id":"ITEM-5","itemData":{"DOI":"10.5296/ijld.v4i2.6094","abstract":"Job satisfaction -or lack of it -hinges on a productive, accomplishing relationship between staff and management; indeed, the success of any organization depends on staff members who enjoy their jobs and feel rewarded by their efforts. Ultimately, of all the people in the marketplace may suffer the most when this vital success factor is lacking. In earlier ages, many researchers have been directed on job satisfaction but this still remains an issue for many organizations. The ambition of this research paper is to examine the satisfaction level of the employees and helps organizations to know about the elements that influence job satisfaction. Precisely, we acquired employee empowerment and workplace environment as the antecedents to understand their effect on job satisfaction, and further the impact of job satisfaction on job loyalty, job performance and turnover intention. A self-administered questionnaire was used for data collection from several organizations. Convenient sampling technique was used and 200 questionnaires were circulated out of which 150 were nominated for further analysis. SPSS is used for data analysis statistically. The results showed significant positive association of employee empowerment, workplace environment, job loyalty and job www.macrothink.org/ijld 121 performance with job satisfaction. Furthermore, there is a significant negat</w:instrText>
      </w:r>
      <w:r w:rsidR="00A55043" w:rsidRPr="004A2A48">
        <w:rPr>
          <w:lang w:val="nl-NL"/>
        </w:rPr>
        <w:instrText>ive relationship between job satisfaction and turnover intention. The findings also demonstrate that there is no significant relation of turnover intention with employee empowerment and job performance.","author":[{"dropping-particle":"","family":"Javed","given":"Masooma","non-dropping-particle":"","parse-names":false,"suffix":""},{"dropping-particle":"","family":"Balouch","given":"Rifat","non-dropping-particle":"","parse-names":false,"suffix":""},{"dropping-particle":"","family":"Hassan","given":"Fatima","non-dropping-particle":"","parse-names":false,"suffix":""}],"container-title":"International Journal of Learning and Development","id":"ITEM-5","issue":"2","issued":{"date-parts":[["2014"]]},"page":"120-140","title":"Determinants of Job Satisfaction and its Impact on Employee Performance and Turnover Intentions","type":"article-journal","volume":"4"},"uris":["http://www.mendeley.com/documents/?uuid=5b9b37af-4aa7-453e-ab80-0ef1ea833c3e"]}],"mendeley":{"formattedCitation":"(Javed et al., 2014; Lin &amp; Huang, 2021; Naseem et al., 2011; Samani et al., 2015; Scherrenberg et al., 2024)","plainTextFormattedCitation":"(Javed et al., 2014; Lin &amp; Huang, 2021; Naseem et al., 2011; Samani et al., 2015; Scherrenberg et al., 2024)","previouslyFormattedCitation":"(Javed et al., 2014; Lin &amp; Huang, 2021; Naseem et al., 2011; Samani et al., 2015; Scherrenberg et al., 2024)"},"properties":{"noteIndex":0},"schema":"https://github.com/citation-style-language/schema/raw/master/csl-citation.json"}</w:instrText>
      </w:r>
      <w:r w:rsidR="00A55043">
        <w:fldChar w:fldCharType="separate"/>
      </w:r>
      <w:r w:rsidR="00A55043" w:rsidRPr="00A55043">
        <w:rPr>
          <w:noProof/>
          <w:lang w:val="nl-NL"/>
        </w:rPr>
        <w:t>(Javed et al., 2014; Lin &amp; Huang, 2021; Naseem et al., 2011; Samani et al., 2015; Scherrenberg et al., 2024)</w:t>
      </w:r>
      <w:r w:rsidR="00A55043">
        <w:fldChar w:fldCharType="end"/>
      </w:r>
      <w:r w:rsidR="00A55043" w:rsidRPr="004A2A48">
        <w:rPr>
          <w:lang w:val="nl-NL"/>
        </w:rPr>
        <w:t>.</w:t>
      </w:r>
      <w:r w:rsidR="00CD3858">
        <w:rPr>
          <w:lang w:val="nl-NL"/>
        </w:rPr>
        <w:t xml:space="preserve"> </w:t>
      </w:r>
      <w:r w:rsidR="00CD3858" w:rsidRPr="004A2A48">
        <w:t>If the determinants of enhanced employee satisfaction are identified, targeted interventions can be implemented to elevate overall employee satisfaction within an organization.</w:t>
      </w:r>
      <w:r w:rsidR="00CD3858">
        <w:t xml:space="preserve"> </w:t>
      </w:r>
      <w:r w:rsidR="00CD3858" w:rsidRPr="00CD3858">
        <w:t>Enhancing employee satisfaction can result in better performance metrics.</w:t>
      </w:r>
      <w:r w:rsidR="00CD3858">
        <w:t xml:space="preserve"> </w:t>
      </w:r>
      <w:r w:rsidR="00CD3858" w:rsidRPr="00CD3858">
        <w:t>By enhancing performance metrics such as Return on Assets, Return on Equity, and Dividends, a company can ultimately increase its overall value.</w:t>
      </w:r>
    </w:p>
    <w:p w14:paraId="7CF8269A" w14:textId="43DE80CC" w:rsidR="00372127" w:rsidRPr="00B0319E" w:rsidRDefault="00E322F0" w:rsidP="00730CAA">
      <w:r w:rsidRPr="00B0319E">
        <w:t xml:space="preserve">Data from ESG reporting can be utilized to gauge employee satisfaction. </w:t>
      </w:r>
      <w:r w:rsidR="00372127" w:rsidRPr="00B0319E">
        <w:t>Using quantitative data</w:t>
      </w:r>
      <w:r w:rsidR="00730CAA">
        <w:t xml:space="preserve"> </w:t>
      </w:r>
      <w:r w:rsidR="00372127" w:rsidRPr="00B0319E">
        <w:t xml:space="preserve">from LSEG Workspace, a multivariate regression analysis was conducted on 97 observations after outlier correction. The analysis examined the influence of employee satisfaction on performance </w:t>
      </w:r>
      <w:r w:rsidR="00372127" w:rsidRPr="00B0319E">
        <w:lastRenderedPageBreak/>
        <w:t xml:space="preserve">measures such as return on assets, return on equity, and dividends. The results suggest that other factors might be at play in the real estate industry, as performance did not appear to be directly influenced by employee satisfaction. </w:t>
      </w:r>
      <w:r w:rsidR="00572C67" w:rsidRPr="00B0319E">
        <w:t xml:space="preserve">The regression results were predominantly not significant, thereby precluding the confirmation of the hypotheses. </w:t>
      </w:r>
      <w:r w:rsidR="00372127" w:rsidRPr="00B0319E">
        <w:t>Similarly, the relationship between employee satisfaction and employee turnover was not clearly established</w:t>
      </w:r>
      <w:r w:rsidR="00572C67" w:rsidRPr="00B0319E">
        <w:t xml:space="preserve"> and lacked robustness</w:t>
      </w:r>
      <w:r w:rsidR="00372127" w:rsidRPr="00B0319E">
        <w:t>.</w:t>
      </w:r>
    </w:p>
    <w:p w14:paraId="019153B2" w14:textId="49FFE727" w:rsidR="00875788" w:rsidRPr="00B0319E" w:rsidRDefault="00875788" w:rsidP="00A76051">
      <w:r w:rsidRPr="00B0319E">
        <w:t xml:space="preserve">Further research is needed to fully understand the dynamics of this relationship and to establish a clearer connection between employee satisfaction and performance measures in the real estate </w:t>
      </w:r>
      <w:r w:rsidR="00730CAA">
        <w:t>industry</w:t>
      </w:r>
      <w:r w:rsidRPr="00B0319E">
        <w:t>. This paper contributes to the literature by emphasizing the importance of employee satisfaction and encouraging additional research on this critical topic.</w:t>
      </w:r>
    </w:p>
    <w:p w14:paraId="49925A7B" w14:textId="7D88357E" w:rsidR="00DD1F3C" w:rsidRPr="00B0319E" w:rsidRDefault="00DD1F3C" w:rsidP="00A76051">
      <w:r w:rsidRPr="00B0319E">
        <w:t>The remainder of the paper is structured as follows</w:t>
      </w:r>
      <w:r w:rsidR="009B3877" w:rsidRPr="00B0319E">
        <w:t xml:space="preserve">: Chapter </w:t>
      </w:r>
      <w:r w:rsidR="00C0743C" w:rsidRPr="00B0319E">
        <w:t>2</w:t>
      </w:r>
      <w:r w:rsidR="009B3877" w:rsidRPr="00B0319E">
        <w:t xml:space="preserve"> reviews the literature and provides a detailed explanation of the data source and the importance of examining employee satisfaction in the real estate sector. Chapter 3 introduces the methodology, followed by Chapter 4, which presents the </w:t>
      </w:r>
      <w:r w:rsidR="00730CAA">
        <w:t xml:space="preserve">regression </w:t>
      </w:r>
      <w:r w:rsidR="009B3877" w:rsidRPr="00B0319E">
        <w:t xml:space="preserve">results. Chapter 5 discusses the topic and the study’s limitations, and Chapter 6 provides a summary </w:t>
      </w:r>
      <w:r w:rsidR="00575B51" w:rsidRPr="00B0319E">
        <w:t>and conclusion</w:t>
      </w:r>
      <w:r w:rsidR="009B3877" w:rsidRPr="00B0319E">
        <w:t>.</w:t>
      </w:r>
    </w:p>
    <w:p w14:paraId="08C67115" w14:textId="77777777" w:rsidR="00423509" w:rsidRPr="004A2A48" w:rsidRDefault="00423509">
      <w:pPr>
        <w:spacing w:line="240" w:lineRule="auto"/>
        <w:ind w:firstLine="0"/>
        <w:jc w:val="left"/>
        <w:rPr>
          <w:rFonts w:eastAsia="Times New Roman"/>
          <w:b/>
          <w:bCs/>
          <w:color w:val="000000"/>
          <w:sz w:val="28"/>
          <w:szCs w:val="32"/>
        </w:rPr>
      </w:pPr>
      <w:r w:rsidRPr="00B0319E">
        <w:br w:type="page"/>
      </w:r>
    </w:p>
    <w:p w14:paraId="6BB6F030" w14:textId="585D27A3" w:rsidR="00520C49" w:rsidRPr="004A2A48" w:rsidRDefault="00A90225" w:rsidP="00E0250F">
      <w:pPr>
        <w:pStyle w:val="Kop1"/>
        <w:rPr>
          <w:lang w:val="en-GB"/>
        </w:rPr>
      </w:pPr>
      <w:bookmarkStart w:id="2" w:name="_Toc174210208"/>
      <w:r w:rsidRPr="004A2A48">
        <w:rPr>
          <w:lang w:val="en-GB"/>
        </w:rPr>
        <w:lastRenderedPageBreak/>
        <w:t>Literature Review</w:t>
      </w:r>
      <w:bookmarkEnd w:id="2"/>
    </w:p>
    <w:p w14:paraId="2C4C4D10" w14:textId="1121F4DC" w:rsidR="00A90225" w:rsidRPr="004A2A48" w:rsidRDefault="00A90225" w:rsidP="00A90225">
      <w:pPr>
        <w:pStyle w:val="Kop2"/>
        <w:rPr>
          <w:lang w:val="en-GB"/>
        </w:rPr>
      </w:pPr>
      <w:bookmarkStart w:id="3" w:name="_Toc174210209"/>
      <w:r w:rsidRPr="004A2A48">
        <w:rPr>
          <w:lang w:val="en-GB"/>
        </w:rPr>
        <w:t>Real Estate</w:t>
      </w:r>
      <w:r w:rsidR="003A09FB" w:rsidRPr="004A2A48">
        <w:rPr>
          <w:lang w:val="en-GB"/>
        </w:rPr>
        <w:t xml:space="preserve"> and ESG</w:t>
      </w:r>
      <w:bookmarkEnd w:id="3"/>
    </w:p>
    <w:p w14:paraId="76AA5428" w14:textId="28CE38CF" w:rsidR="006F227D" w:rsidRPr="00B0319E" w:rsidRDefault="00785E43" w:rsidP="00EE519E">
      <w:pPr>
        <w:ind w:firstLine="204"/>
      </w:pPr>
      <w:r w:rsidRPr="00B0319E">
        <w:t xml:space="preserve">The real estate sector </w:t>
      </w:r>
      <w:r w:rsidR="0061352B" w:rsidRPr="00B0319E">
        <w:t>is distinct</w:t>
      </w:r>
      <w:r w:rsidRPr="00B0319E">
        <w:t xml:space="preserve"> from other </w:t>
      </w:r>
      <w:r w:rsidR="00882498" w:rsidRPr="00B0319E">
        <w:t>industries</w:t>
      </w:r>
      <w:r w:rsidRPr="00B0319E">
        <w:t xml:space="preserve"> </w:t>
      </w:r>
      <w:r w:rsidR="0061352B" w:rsidRPr="00B0319E">
        <w:t>as</w:t>
      </w:r>
      <w:r w:rsidR="005E5932" w:rsidRPr="00B0319E">
        <w:t xml:space="preserve"> i</w:t>
      </w:r>
      <w:r w:rsidR="007C2C6E" w:rsidRPr="00B0319E">
        <w:t>t</w:t>
      </w:r>
      <w:r w:rsidR="005E5932" w:rsidRPr="00B0319E">
        <w:t xml:space="preserve"> </w:t>
      </w:r>
      <w:r w:rsidR="0061352B" w:rsidRPr="00B0319E">
        <w:t>provides goods essential for life, rather than mere consumer products</w:t>
      </w:r>
      <w:r w:rsidRPr="00B0319E">
        <w:t>.</w:t>
      </w:r>
      <w:r w:rsidR="00CB3C3F" w:rsidRPr="00B0319E">
        <w:t xml:space="preserve"> </w:t>
      </w:r>
      <w:r w:rsidR="0061352B" w:rsidRPr="00B0319E">
        <w:t>While items like</w:t>
      </w:r>
      <w:r w:rsidR="00CB3C3F" w:rsidRPr="00B0319E">
        <w:t xml:space="preserve"> car</w:t>
      </w:r>
      <w:r w:rsidR="0061352B" w:rsidRPr="00B0319E">
        <w:t>s</w:t>
      </w:r>
      <w:r w:rsidR="00CB3C3F" w:rsidRPr="00B0319E">
        <w:t>, the latest smartphone</w:t>
      </w:r>
      <w:r w:rsidR="007C2C6E" w:rsidRPr="00B0319E">
        <w:t>,</w:t>
      </w:r>
      <w:r w:rsidR="00CB3C3F" w:rsidRPr="00B0319E">
        <w:t xml:space="preserve"> or a designer bag </w:t>
      </w:r>
      <w:r w:rsidR="0061352B" w:rsidRPr="00B0319E">
        <w:t>cater to personal satisfaction, a</w:t>
      </w:r>
      <w:r w:rsidR="00CB3C3F" w:rsidRPr="00B0319E">
        <w:t xml:space="preserve">n apartment or house, </w:t>
      </w:r>
      <w:r w:rsidR="0061352B" w:rsidRPr="00B0319E">
        <w:t xml:space="preserve">fulfils the fundamental need for </w:t>
      </w:r>
      <w:r w:rsidR="00CB3C3F" w:rsidRPr="00B0319E">
        <w:t>accommodation</w:t>
      </w:r>
      <w:r w:rsidR="00687FFE" w:rsidRPr="00B0319E">
        <w:t xml:space="preserve"> and</w:t>
      </w:r>
      <w:r w:rsidR="002B1151" w:rsidRPr="00B0319E">
        <w:t xml:space="preserve"> </w:t>
      </w:r>
      <w:r w:rsidR="00C71FE6" w:rsidRPr="00B0319E">
        <w:t>offer</w:t>
      </w:r>
      <w:r w:rsidR="007C2C6E" w:rsidRPr="00B0319E">
        <w:t>ing</w:t>
      </w:r>
      <w:r w:rsidR="00C71FE6" w:rsidRPr="00B0319E">
        <w:t xml:space="preserve"> a personal liv</w:t>
      </w:r>
      <w:r w:rsidR="0061352B" w:rsidRPr="00B0319E">
        <w:t>ing space</w:t>
      </w:r>
      <w:r w:rsidR="00C71FE6" w:rsidRPr="00B0319E">
        <w:t>.</w:t>
      </w:r>
      <w:r w:rsidR="000B2B57" w:rsidRPr="00B0319E">
        <w:t xml:space="preserve"> </w:t>
      </w:r>
      <w:r w:rsidR="001B44E3" w:rsidRPr="00B0319E">
        <w:t xml:space="preserve">Given that </w:t>
      </w:r>
      <w:r w:rsidR="0061352B" w:rsidRPr="00B0319E">
        <w:t xml:space="preserve">essential nature of </w:t>
      </w:r>
      <w:r w:rsidR="001B44E3" w:rsidRPr="00B0319E">
        <w:t xml:space="preserve">real estate </w:t>
      </w:r>
      <w:r w:rsidR="0061352B" w:rsidRPr="00B0319E">
        <w:t xml:space="preserve">in </w:t>
      </w:r>
      <w:r w:rsidR="001B44E3" w:rsidRPr="00B0319E">
        <w:t>provid</w:t>
      </w:r>
      <w:r w:rsidR="0061352B" w:rsidRPr="00B0319E">
        <w:t>ing</w:t>
      </w:r>
      <w:r w:rsidR="001B44E3" w:rsidRPr="00B0319E">
        <w:t xml:space="preserve"> </w:t>
      </w:r>
      <w:r w:rsidR="0061352B" w:rsidRPr="00B0319E">
        <w:t>housing</w:t>
      </w:r>
      <w:r w:rsidR="001B44E3" w:rsidRPr="00B0319E">
        <w:t xml:space="preserve">, the sector </w:t>
      </w:r>
      <w:r w:rsidR="0061352B" w:rsidRPr="00B0319E">
        <w:t xml:space="preserve">inherently </w:t>
      </w:r>
      <w:r w:rsidR="001B44E3" w:rsidRPr="00B0319E">
        <w:t>carries significant social responsibility. Consequently, it</w:t>
      </w:r>
      <w:r w:rsidR="00321BF2" w:rsidRPr="00B0319E">
        <w:t xml:space="preserve"> is</w:t>
      </w:r>
      <w:r w:rsidR="001B44E3" w:rsidRPr="00B0319E">
        <w:t xml:space="preserve"> </w:t>
      </w:r>
      <w:r w:rsidR="0061352B" w:rsidRPr="00B0319E">
        <w:t>un</w:t>
      </w:r>
      <w:r w:rsidR="001B44E3" w:rsidRPr="00B0319E">
        <w:t>surpris</w:t>
      </w:r>
      <w:r w:rsidR="0061352B" w:rsidRPr="00B0319E">
        <w:t>ing</w:t>
      </w:r>
      <w:r w:rsidR="001B44E3" w:rsidRPr="00B0319E">
        <w:t xml:space="preserve"> that Environmental, Social, and Governance (ESG) considerations play a crucial role in the real estate industry.</w:t>
      </w:r>
    </w:p>
    <w:p w14:paraId="037936FB" w14:textId="73034136" w:rsidR="00E0250F" w:rsidRPr="00B0319E" w:rsidRDefault="007506BB" w:rsidP="00DB4D5B">
      <w:pPr>
        <w:ind w:firstLine="204"/>
      </w:pPr>
      <w:r w:rsidRPr="00B0319E">
        <w:t xml:space="preserve">ESG </w:t>
      </w:r>
      <w:r w:rsidR="00E0250F" w:rsidRPr="00B0319E">
        <w:t xml:space="preserve">is a topic of global significance, attracting the attention of both companies and investors </w:t>
      </w:r>
      <w:r w:rsidR="00E5780D" w:rsidRPr="00B0319E">
        <w:fldChar w:fldCharType="begin" w:fldLock="1"/>
      </w:r>
      <w:r w:rsidR="0024738F" w:rsidRPr="00B0319E">
        <w:instrText>ADDIN CSL_CITATION {"citationItems":[{"id":"ITEM-1","itemData":{"ISBN":"9781783215171","author":[{"dropping-particle":"","family":"Scherrenberg","given":"J.","non-dropping-particle":"","parse-names":false,"suffix":""},{"dropping-particle":"","family":"Wessels","given":"P.","non-dropping-particle":"","parse-names":false,"suffix":""},{"dropping-particle":"","family":"Nelisse","given":"P.","non-dropping-particle":"","parse-names":false,"suffix":""}],"editor":[{"dropping-particle":"","family":"Birch","given":"Sam","non-dropping-particle":"","parse-names":false,"suffix":""}],"id":"ITEM-1","issue":"January","issued":{"date-parts":[["2024"]]},"title":"The future of real estate valuations: the impact of ESG","type":"report"},"uris":["http://www.mendeley.com/documents/?uuid=2be7aa8f-c14b-4336-be1a-f6c029a1da42"]},{"id":"ITEM-2","itemData":{"DOI":"10.1108/JPIF-10-2021-0084","ISSN":"1463578X","abstract":"Purpose: Environment, social, governance (ESG) has taken on increased importance in real estate investment in recent years, with benchmarking ESG being critically important for more informed real estate investment decision-making. Using 60 stakeholder interviews with senior real estate executives, this paper examines the strategic issues regarding benchmarking ESG in real estate investment; specifically, identifying areas going forward where ESG benchmarks need to be improved. This includes the issues of granularity, climate resilience and climate risk, as well as an increased focus on outcomes and performance, and using best practice procedures in delivering ESG in real estate investment. Design/methodology/approach: In total, 60 stakeholder interviews were conducted with key real estate players globally to assess the use of ESG benchmarking in real estate investment at various levels (asset/fund-level, listed real estate, delivery, reporting and internal benchmarking), across regions and across different types of real estate investment players (real estate fund manager, real estate investment trust (REIT), institutional investor and real estate advisor). This enabled key strategic insights to be identified for improved ESG benchmarking practices in real estate investment going forward. Findings: There was clear evidence of the need for improved benchmarks for ESG in real estate investment. More focus was needed on performance, outcomes and impacts, with a stronger focus on granularity around the issues of climate resilience and climate risk. Improvements in Global Real Estate Sustainability Benchmark (GRESB), as well as increased attention to Task Force for Climate-Related Financial Disclosures (TCFD) were seen as important initiatives. Clear differences were also seen in the use of these ESG benchmarks on a regional basis; with Australia and Europe seen as the world leaders. These strategic stakeholder insights regarding ESG saw the development of best practice guidelines for the more effective delivery of ESG benchmarks for more informed real estate investment decision-making, as well as a series of recommendations for improving ESG benchmarking in real estate investment. Practical implications: ESG benchmarking is a critical area of real estate investment decision-making today. By utilising stakeholder interviews, the strategic insights from key players in the real estate investment space are identified. In particular, this paper identifies how the…","author":[{"dropping-particle":"","family":"Newell","given":"Graeme","non-dropping-particle":"","parse-names":false,"suffix":""},{"dropping-particle":"","family":"Nanda","given":"Anupam","non-dropping-particle":"","parse-names":false,"suffix":""},{"dropping-particle":"","family":"Moss","given":"Alex","non-dropping-particle":"","parse-names":false,"suffix":""}],"container-title":"Journal of Property Investment and Finance","id":"ITEM-2","issue":"4","issued":{"date-parts":[["2023"]]},"page":"380-405","title":"Improving the benchmarking of ESG in real estate investment","type":"article-journal","volume":"41"},"uris":["http://www.mendeley.com/documents/?uuid=f4f117b6-8c2a-4e00-b1f2-95c8626823d3"]},{"id":"ITEM-3","itemData":{"DOI":"10.1111/joes.12599","ISSN":"14676419","abstract":"This study examines the recent literature on the expectations, beliefs and perceptions of investors who incorporate Environmental, Social, Governance (ESG) considerations in investment decisions with the aim to generate superior performance or make a societal impact. Through the lens of equilibrium models of agents with heterogeneous tastes for ESG investments, green assets are expected to generate lower returns in the long run compared to their non-ESG counterparts. However, in the short run, ESG investments can outperform non-ESG investments through various channels. Empirically, results for the relative performance to ESG investment are mixed. We find strong empirical evidence in the literature that investors have a preference for ESG and that their actions can generate positive social impact through engagement. The shift towards more sustainable policies in firms is motivated by the increased market values and the lower cost of capital of green firms driven by investors’ choices.","author":[{"dropping-particle":"","family":"Kräussl","given":"Roman","non-dropping-particle":"","parse-names":false,"suffix":""},{"dropping-particle":"","family":"Oladiran","given":"Tobi","non-dropping-particle":"","parse-names":false,"suffix":""},{"dropping-particle":"","family":"Stefanova","given":"Denitsa","non-dropping-particle":"","parse-names":false,"suffix":""}],"container-title":"Journal of Economic Surveys","id":"ITEM-3","issued":{"date-parts":[["2024"]]},"page":"476-502","title":"A review on ESG investing: Investors’ expectations, beliefs and perceptions","type":"article-journal","volume":"38"},"uris":["http://www.mendeley.com/documents/?uuid=00566512-ddfd-46f3-b716-29ee8c120807"]}],"mendeley":{"formattedCitation":"(Kräussl et al., 2024; Newell et al., 2023; Scherrenberg et al., 2024)","plainTextFormattedCitation":"(Kräussl et al., 2024; Newell et al., 2023; Scherrenberg et al., 2024)","previouslyFormattedCitation":"(Kräussl et al., 2024; Newell et al., 2023; Scherrenberg et al., 2024)"},"properties":{"noteIndex":0},"schema":"https://github.com/citation-style-language/schema/raw/master/csl-citation.json"}</w:instrText>
      </w:r>
      <w:r w:rsidR="00E5780D" w:rsidRPr="00B0319E">
        <w:fldChar w:fldCharType="separate"/>
      </w:r>
      <w:r w:rsidR="008407BC" w:rsidRPr="00A55043">
        <w:rPr>
          <w:noProof/>
        </w:rPr>
        <w:t>(Kräussl et al., 2024; Newell et al., 2023; Scherrenberg et al., 2024)</w:t>
      </w:r>
      <w:r w:rsidR="00E5780D" w:rsidRPr="00B0319E">
        <w:fldChar w:fldCharType="end"/>
      </w:r>
      <w:r w:rsidR="00E0250F" w:rsidRPr="00B0319E">
        <w:t>. ESG encompasses three key areas: Environmental, Social and Governance</w:t>
      </w:r>
      <w:r w:rsidRPr="00B0319E">
        <w:t xml:space="preserve"> </w:t>
      </w:r>
      <w:r w:rsidR="00961F70" w:rsidRPr="00B0319E">
        <w:t xml:space="preserve">which </w:t>
      </w:r>
      <w:r w:rsidR="007C2C6E" w:rsidRPr="00B0319E">
        <w:t xml:space="preserve">are </w:t>
      </w:r>
      <w:r w:rsidR="00961F70" w:rsidRPr="00B0319E">
        <w:t>also</w:t>
      </w:r>
      <w:r w:rsidRPr="00B0319E">
        <w:t xml:space="preserve"> the</w:t>
      </w:r>
      <w:r w:rsidR="00E0250F" w:rsidRPr="00B0319E">
        <w:t xml:space="preserve"> main pillars on which the score is based </w:t>
      </w:r>
      <w:r w:rsidR="00BB08BF" w:rsidRPr="00B0319E">
        <w:fldChar w:fldCharType="begin" w:fldLock="1"/>
      </w:r>
      <w:r w:rsidR="00E5780D" w:rsidRPr="00B0319E">
        <w:instrText>ADDIN CSL_CITATION {"citationItems":[{"id":"ITEM-1","itemData":{"ISBN":"9781783215171","author":[{"dropping-particle":"","family":"Scherrenberg","given":"J.","non-dropping-particle":"","parse-names":false,"suffix":""},{"dropping-particle":"","family":"Wessels","given":"P.","non-dropping-particle":"","parse-names":false,"suffix":""},{"dropping-particle":"","family":"Nelisse","given":"P.","non-dropping-particle":"","parse-names":false,"suffix":""}],"editor":[{"dropping-particle":"","family":"Birch","given":"Sam","non-dropping-particle":"","parse-names":false,"suffix":""}],"id":"ITEM-1","issue":"January","issued":{"date-parts":[["2024"]]},"title":"The future of real estate valuations: the impact of ESG","type":"report"},"uris":["http://www.mendeley.com/documents/?uuid=2be7aa8f-c14b-4336-be1a-f6c029a1da42"]}],"mendeley":{"formattedCitation":"(Scherrenberg et al., 2024)","plainTextFormattedCitation":"(Scherrenberg et al., 2024)","previouslyFormattedCitation":"(Scherrenberg et al., 2024)"},"properties":{"noteIndex":0},"schema":"https://github.com/citation-style-language/schema/raw/master/csl-citation.json"}</w:instrText>
      </w:r>
      <w:r w:rsidR="00BB08BF" w:rsidRPr="00B0319E">
        <w:fldChar w:fldCharType="separate"/>
      </w:r>
      <w:r w:rsidR="00BB08BF" w:rsidRPr="00A55043">
        <w:rPr>
          <w:noProof/>
        </w:rPr>
        <w:t>(Scherrenberg et al., 2024)</w:t>
      </w:r>
      <w:r w:rsidR="00BB08BF" w:rsidRPr="00B0319E">
        <w:fldChar w:fldCharType="end"/>
      </w:r>
      <w:r w:rsidR="00E0250F" w:rsidRPr="00B0319E">
        <w:t>. The environmental pillar evaluates the company’s impact on the environment and nature</w:t>
      </w:r>
      <w:r w:rsidR="002C450B" w:rsidRPr="00B0319E">
        <w:t>.</w:t>
      </w:r>
      <w:r w:rsidR="00E16309" w:rsidRPr="00B0319E">
        <w:t xml:space="preserve"> </w:t>
      </w:r>
      <w:r w:rsidR="002C450B" w:rsidRPr="00B0319E">
        <w:t>I</w:t>
      </w:r>
      <w:r w:rsidR="00E0250F" w:rsidRPr="00B0319E">
        <w:t xml:space="preserve">mportant components </w:t>
      </w:r>
      <w:r w:rsidR="007C2C6E" w:rsidRPr="00B0319E">
        <w:t>include</w:t>
      </w:r>
      <w:r w:rsidR="00E0250F" w:rsidRPr="00B0319E">
        <w:t xml:space="preserve"> energy use, waste management, pollution, and the utilization of resources</w:t>
      </w:r>
      <w:r w:rsidR="007C2C6E" w:rsidRPr="00B0319E">
        <w:t>.</w:t>
      </w:r>
      <w:r w:rsidR="00E0250F" w:rsidRPr="00B0319E">
        <w:t xml:space="preserve"> </w:t>
      </w:r>
      <w:r w:rsidR="007C2C6E" w:rsidRPr="00B0319E">
        <w:t>T</w:t>
      </w:r>
      <w:r w:rsidR="006F227D" w:rsidRPr="00B0319E">
        <w:t xml:space="preserve">he </w:t>
      </w:r>
      <w:r w:rsidR="00E0250F" w:rsidRPr="00B0319E">
        <w:t xml:space="preserve">company's initiatives to mitigate environmental risks and impacts such as climate change and pollution are also considered </w:t>
      </w:r>
      <w:r w:rsidR="00FC7D50" w:rsidRPr="00B0319E">
        <w:fldChar w:fldCharType="begin" w:fldLock="1"/>
      </w:r>
      <w:r w:rsidR="004163D1" w:rsidRPr="00B0319E">
        <w:instrText>ADDIN CSL_CITATION {"citationItems":[{"id":"ITEM-1","itemData":{"ISBN":"9781783215171","author":[{"dropping-particle":"","family":"Scherrenberg","given":"J.","non-dropping-particle":"","parse-names":false,"suffix":""},{"dropping-particle":"","family":"Wessels","given":"P.","non-dropping-particle":"","parse-names":false,"suffix":""},{"dropping-particle":"","family":"Nelisse","given":"P.","non-dropping-particle":"","parse-names":false,"suffix":""}],"editor":[{"dropping-particle":"","family":"Birch","given":"Sam","non-dropping-particle":"","parse-names":false,"suffix":""}],"id":"ITEM-1","issue":"January","issued":{"date-parts":[["2024"]]},"title":"The future of real estate valuations: the impact of ESG","type":"report"},"uris":["http://www.mendeley.com/documents/?uuid=2be7aa8f-c14b-4336-be1a-f6c029a1da42"]}],"mendeley":{"formattedCitation":"(Scherrenberg et al., 2024)","plainTextFormattedCitation":"(Scherrenberg et al., 2024)","previouslyFormattedCitation":"(Scherrenberg et al., 2024)"},"properties":{"noteIndex":0},"schema":"https://github.com/citation-style-language/schema/raw/master/csl-citation.json"}</w:instrText>
      </w:r>
      <w:r w:rsidR="00FC7D50" w:rsidRPr="00B0319E">
        <w:fldChar w:fldCharType="separate"/>
      </w:r>
      <w:r w:rsidR="00FC7D50" w:rsidRPr="00A55043">
        <w:rPr>
          <w:noProof/>
        </w:rPr>
        <w:t>(Scherrenberg et al., 2024)</w:t>
      </w:r>
      <w:r w:rsidR="00FC7D50" w:rsidRPr="00B0319E">
        <w:fldChar w:fldCharType="end"/>
      </w:r>
      <w:r w:rsidR="00E0250F" w:rsidRPr="00B0319E">
        <w:t xml:space="preserve">. The social pillar describes how a company manages its relationships with employees, customers, suppliers, and the community in which </w:t>
      </w:r>
      <w:r w:rsidR="007C2C6E" w:rsidRPr="00B0319E">
        <w:t xml:space="preserve">it </w:t>
      </w:r>
      <w:r w:rsidR="00E0250F" w:rsidRPr="00B0319E">
        <w:t xml:space="preserve">operates </w:t>
      </w:r>
      <w:r w:rsidR="00FC7D50" w:rsidRPr="00B0319E">
        <w:fldChar w:fldCharType="begin" w:fldLock="1"/>
      </w:r>
      <w:r w:rsidR="0085188C" w:rsidRPr="00B0319E">
        <w:instrText>ADDIN CSL_CITATION {"citationItems":[{"id":"ITEM-1","itemData":{"ISBN":"9781783215171","author":[{"dropping-particle":"","family":"Scherrenberg","given":"J.","non-dropping-particle":"","parse-names":false,"suffix":""},{"dropping-particle":"","family":"Wessels","given":"P.","non-dropping-particle":"","parse-names":false,"suffix":""},{"dropping-particle":"","family":"Nelisse","given":"P.","non-dropping-particle":"","parse-names":false,"suffix":""}],"editor":[{"dropping-particle":"","family":"Birch","given":"Sam","non-dropping-particle":"","parse-names":false,"suffix":""}],"id":"ITEM-1","issue":"January","issued":{"date-parts":[["2024"]]},"title":"The future of real estate valuations: the impact of ESG","type":"report"},"uris":["http://www.mendeley.com/documents/?uuid=2be7aa8f-c14b-4336-be1a-f6c029a1da42"]},{"id":"ITEM-2","itemData":{"DOI":"10.1108/JPIF-01-2023-0003","ISBN":"0120230003","ISSN":"1463578X","abstract":"Purpose: Environment, social and governance (ESG) has taken on increased importance in recent years. This paper assesses the increasing importance of the social (“S”) dimension of ESG in the real estate space and the strategies being used by the leading real estate players to deliver this important aspect of ESG. This includes gender equality, cultural diversity, staff wellness, supply chain management and community engagement. It also indicates the need for an increased level of metrics in the S space for the effective delivery and external validation of the S dimension into real estate investment decision-making. Design/methodology/approach: This research is based on a thorough understanding of the ESG environment in the real estate industry by the author. Best practice examples regarding the S dimension are given from the ESG/sustainability reports from real estate players in Australia who are leaders in the ESG space. Findings: Excellent examples of the delivery of the S dimension are reported from the ESG/sustainability reports from the real estate industry. Whilst there is an increasing range of S information being reported in the real estate industry, there is a need for more metrics to effectively report this S information to indicate its key role in seeing the S dimension being delivered for the fuller integration of ESG at all levels of the real estate industry. The external validation of this S information will also take on increased importance going forward. Practical implications: With ESG becoming a critical issue in the real estate sector, issues involved in the S space will take on increased significance. This is critical, as the elements of the S dimension such as gender equality, cultural diversity, staff wellness, community engagement and supply chain management are important aspects for an effectively functioning real estate industry. More metrics in the S space will be an important development to further expand the delivery and external validation of the S space of ESG. Originality/value: This paper is the first paper to specifically address the need for more focus on delivering the S dimension of ESG in the real estate industry, highlighted by best practice examples from the real estate industry in Australia. This is a key issue for the real estate industry going forward at all levels to facilitate more effective real estate investment decision-making.","author":[{"dropping-particle":"","family":"Newell","given":"Graeme","non-dropping-particle":"","parse-names":false,"suffix":""}],"container-title":"Journal of Property Investment and Finance","id":"ITEM-2","issue":"4","issued":{"date-parts":[["2023"]]},"page":"453-459","title":"Real Estate Insights The increasing importance of the “S” dimension in ESG","type":"article-journal","volume":"41"},"uris":["http://www.mendeley.com/documents/?uuid=0bb179e4-70fc-4056-9edd-32ff2a9686a6"]}],"mendeley":{"formattedCitation":"(Newell, 2023; Scherrenberg et al., 2024)","plainTextFormattedCitation":"(Newell, 2023; Scherrenberg et al., 2024)","previouslyFormattedCitation":"(Newell, 2023; Scherrenberg et al., 2024)"},"properties":{"noteIndex":0},"schema":"https://github.com/citation-style-language/schema/raw/master/csl-citation.json"}</w:instrText>
      </w:r>
      <w:r w:rsidR="00FC7D50" w:rsidRPr="00B0319E">
        <w:fldChar w:fldCharType="separate"/>
      </w:r>
      <w:r w:rsidR="00B761B5" w:rsidRPr="00A55043">
        <w:rPr>
          <w:noProof/>
        </w:rPr>
        <w:t>(Newell, 2023; Scherrenberg et al., 2024)</w:t>
      </w:r>
      <w:r w:rsidR="00FC7D50" w:rsidRPr="00B0319E">
        <w:fldChar w:fldCharType="end"/>
      </w:r>
      <w:r w:rsidR="00E0250F" w:rsidRPr="00B0319E">
        <w:t xml:space="preserve">. Social criteria cover a range of topics, such as working conditions, health and safety, employee relations, diversity and inclusion, social engagement, and development opportunities for employees </w:t>
      </w:r>
      <w:r w:rsidR="004163D1" w:rsidRPr="00B0319E">
        <w:fldChar w:fldCharType="begin" w:fldLock="1"/>
      </w:r>
      <w:r w:rsidR="00ED6EBA" w:rsidRPr="00B0319E">
        <w:instrText>ADDIN CSL_CITATION {"citationItems":[{"id":"ITEM-1","itemData":{"ISBN":"9781783215171","author":[{"dropping-particle":"","family":"Scherrenberg","given":"J.","non-dropping-particle":"","parse-names":false,"suffix":""},{"dropping-particle":"","family":"Wessels","given":"P.","non-dropping-particle":"","parse-names":false,"suffix":""},{"dropping-particle":"","family":"Nelisse","given":"P.","non-dropping-particle":"","parse-names":false,"suffix":""}],"editor":[{"dropping-particle":"","family":"Birch","given":"Sam","non-dropping-particle":"","parse-names":false,"suffix":""}],"id":"ITEM-1","issue":"January","issued":{"date-parts":[["2024"]]},"title":"The future of real estate valuations: the impact of ESG","type":"report"},"uris":["http://www.mendeley.com/documents/?uuid=2be7aa8f-c14b-4336-be1a-f6c029a1da42"]},{"id":"ITEM-2","itemData":{"DOI":"10.1108/JPIF-01-2023-0003","ISBN":"0120230003","ISSN":"1463578X","abstract":"Purpose: Environment, social and governance (ESG) has taken on increased importance in recent years. This paper assesses the increasing importance of the social (“S”) dimension of ESG in the real estate space and the strategies being used by the leading real estate players to deliver this important aspect of ESG. This includes gender equality, cultural diversity, staff wellness, supply chain management and community engagement. It also indicates the need for an increased level of metrics in the S space for the effective delivery and external validation of the S dimension into real estate investment decision-making. Design/methodology/approach: This research is based on a thorough understanding of the ESG environment in the real estate industry by the author. Best practice examples regarding the S dimension are given from the ESG/sustainability reports from real estate players in Australia who are leaders in the ESG space. Findings: Excellent examples of the delivery of the S dimension are reported from the ESG/sustainability reports from the real estate industry. Whilst there is an increasing range of S information being reported in the real estate industry, there is a need for more metrics to effectively report this S information to indicate its key role in seeing the S dimension being delivered for the fuller integration of ESG at all levels of the real estate industry. The external validation of this S information will also take on increased importance going forward. Practical implications: With ESG becoming a critical issue in the real estate sector, issues involved in the S space will take on increased significance. This is critical, as the elements of the S dimension such as gender equality, cultural diversity, staff wellness, community engagement and supply chain management are important aspects for an effectively functioning real estate industry. More metrics in the S space will be an important development to further expand the delivery and external validation of the S space of ESG. Originality/value: This paper is the first paper to specifically address the need for more focus on delivering the S dimension of ESG in the real estate industry, highlighted by best practice examples from the real estate industry in Australia. This is a key issue for the real estate industry going forward at all levels to facilitate more effective real estate investment decision-making.","author":[{"dropping-particle":"","family":"Newell","given":"Graeme","non-dropping-particle":"","parse-names":false,"suffix":""}],"container-title":"Journal of Property Investment and Finance","id":"ITEM-2","issue":"4","issued":{"date-parts":[["2023"]]},"page":"453-459","title":"Real Estate Insights The increasing importance of the “S” dimension in ESG","type":"article-journal","volume":"41"},"uris":["http://www.mendeley.com/documents/?uuid=0bb179e4-70fc-4056-9edd-32ff2a9686a6"]}],"mendeley":{"formattedCitation":"(Newell, 2023; Scherrenberg et al., 2024)","plainTextFormattedCitation":"(Newell, 2023; Scherrenberg et al., 2024)","previouslyFormattedCitation":"(Newell, 2023; Scherrenberg et al., 2024)"},"properties":{"noteIndex":0},"schema":"https://github.com/citation-style-language/schema/raw/master/csl-citation.json"}</w:instrText>
      </w:r>
      <w:r w:rsidR="004163D1" w:rsidRPr="00B0319E">
        <w:fldChar w:fldCharType="separate"/>
      </w:r>
      <w:r w:rsidR="0085188C" w:rsidRPr="00A55043">
        <w:rPr>
          <w:noProof/>
        </w:rPr>
        <w:t>(Newell, 2023; Scherrenberg et al., 2024)</w:t>
      </w:r>
      <w:r w:rsidR="004163D1" w:rsidRPr="00B0319E">
        <w:fldChar w:fldCharType="end"/>
      </w:r>
      <w:r w:rsidR="00E0250F" w:rsidRPr="00B0319E">
        <w:t xml:space="preserve">. The governance </w:t>
      </w:r>
      <w:r w:rsidR="007C2C6E" w:rsidRPr="00B0319E">
        <w:t xml:space="preserve">pillar </w:t>
      </w:r>
      <w:r w:rsidR="00E0250F" w:rsidRPr="00B0319E">
        <w:t xml:space="preserve">focuses on leadership style, executive pay, internal control, and shareholder rights </w:t>
      </w:r>
      <w:r w:rsidR="00A910CF" w:rsidRPr="00B0319E">
        <w:fldChar w:fldCharType="begin" w:fldLock="1"/>
      </w:r>
      <w:r w:rsidR="00D233C9" w:rsidRPr="00B0319E">
        <w:instrText>ADDIN CSL_CITATION {"citationItems":[{"id":"ITEM-1","itemData":{"ISBN":"9781783215171","author":[{"dropping-particle":"","family":"Scherrenberg","given":"J.","non-dropping-particle":"","parse-names":false,"suffix":""},{"dropping-particle":"","family":"Wessels","given":"P.","non-dropping-particle":"","parse-names":false,"suffix":""},{"dropping-particle":"","family":"Nelisse","given":"P.","non-dropping-particle":"","parse-names":false,"suffix":""}],"editor":[{"dropping-particle":"","family":"Birch","given":"Sam","non-dropping-particle":"","parse-names":false,"suffix":""}],"id":"ITEM-1","issue":"January","issued":{"date-parts":[["2024"]]},"title":"The future of real estate valuations: the impact of ESG","type":"report"},"uris":["http://www.mendeley.com/documents/?uuid=2be7aa8f-c14b-4336-be1a-f6c029a1da42"]},{"id":"ITEM-2","itemData":{"DOI":"10.1108/JPIF-01-2023-0003","ISBN":"0120230003","ISSN":"1463578X","abstract":"Purpose: Environment, social and governance (ESG) has taken on increased importance in recent years. This paper assesses the increasing importance of the social (“S”) dimension of ESG in the real estate space and the strategies being used by the leading real estate players to deliver this important aspect of ESG. This includes gender equality, cultural diversity, staff wellness, supply chain management and community engagement. It also indicates the need for an increased level of metrics in the S space for the effective delivery and external validation of the S dimension into real estate investment decision-making. Design/methodology/approach: This research is based on a thorough understanding of the ESG environment in the real estate industry by the author. Best practice examples regarding the S dimension are given from the ESG/sustainability reports from real estate players in Australia who are leaders in the ESG space. Findings: Excellent examples of the delivery of the S dimension are reported from the ESG/sustainability reports from the real estate industry. Whilst there is an increasing range of S information being reported in the real estate industry, there is a need for more metrics to effectively report this S information to indicate its key role in seeing the S dimension being delivered for the fuller integration of ESG at all levels of the real estate industry. The external validation of this S information will also take on increased importance going forward. Practical implications: With ESG becoming a critical issue in the real estate sector, issues involved in the S space will take on increased significance. This is critical, as the elements of the S dimension such as gender equality, cultural diversity, staff wellness, community engagement and supply chain management are important aspects for an effectively functioning real estate industry. More metrics in the S space will be an important development to further expand the delivery and external validation of the S space of ESG. Originality/value: This paper is the first paper to specifically address the need for more focus on delivering the S dimension of ESG in the real estate industry, highlighted by best practice examples from the real estate industry in Australia. This is a key issue for the real estate industry going forward at all levels to facilitate more effective real estate investment decision-making.","author":[{"dropping-particle":"","family":"Newell","given":"Graeme","non-dropping-particle":"","parse-names":false,"suffix":""}],"container-title":"Journal of Property Investment and Finance","id":"ITEM-2","issue":"4","issued":{"date-parts":[["2023"]]},"page":"453-459","title":"Real Estate Insights The increasing importance of the “S” dimension in ESG","type":"article-journal","volume":"41"},"uris":["http://www.mendeley.com/documents/?uuid=0bb179e4-70fc-4056-9edd-32ff2a9686a6"]}],"mendeley":{"formattedCitation":"(Newell, 2023; Scherrenberg et al., 2024)","plainTextFormattedCitation":"(Newell, 2023; Scherrenberg et al., 2024)","previouslyFormattedCitation":"(Newell, 2023; Scherrenberg et al., 2024)"},"properties":{"noteIndex":0},"schema":"https://github.com/citation-style-language/schema/raw/master/csl-citation.json"}</w:instrText>
      </w:r>
      <w:r w:rsidR="00A910CF" w:rsidRPr="00B0319E">
        <w:fldChar w:fldCharType="separate"/>
      </w:r>
      <w:r w:rsidR="00ED6EBA" w:rsidRPr="00A55043">
        <w:rPr>
          <w:noProof/>
        </w:rPr>
        <w:t>(Newell, 2023; Scherrenberg et al., 2024)</w:t>
      </w:r>
      <w:r w:rsidR="00A910CF" w:rsidRPr="00B0319E">
        <w:fldChar w:fldCharType="end"/>
      </w:r>
      <w:r w:rsidR="00E0250F" w:rsidRPr="00B0319E">
        <w:t xml:space="preserve">. </w:t>
      </w:r>
    </w:p>
    <w:p w14:paraId="025B87F8" w14:textId="20D2D6F2" w:rsidR="00A06ABA" w:rsidRPr="00B0319E" w:rsidRDefault="00E0250F" w:rsidP="002D2CC2">
      <w:r w:rsidRPr="00B0319E">
        <w:t>Many companies provide ESG scores to demonstrate their commitment to sustainable and ethical practices</w:t>
      </w:r>
      <w:r w:rsidR="008A4334" w:rsidRPr="00B0319E">
        <w:t xml:space="preserve">. </w:t>
      </w:r>
      <w:r w:rsidR="00E35314" w:rsidRPr="00B0319E">
        <w:t>The</w:t>
      </w:r>
      <w:r w:rsidR="00E16B4E" w:rsidRPr="00B0319E">
        <w:t>se</w:t>
      </w:r>
      <w:r w:rsidR="00E35314" w:rsidRPr="00B0319E">
        <w:t xml:space="preserve"> score</w:t>
      </w:r>
      <w:r w:rsidR="00E16B4E" w:rsidRPr="00B0319E">
        <w:t>s</w:t>
      </w:r>
      <w:r w:rsidR="00E35314" w:rsidRPr="00B0319E">
        <w:t xml:space="preserve"> </w:t>
      </w:r>
      <w:r w:rsidR="003F0E75" w:rsidRPr="00B0319E">
        <w:t xml:space="preserve">make non-financial data measurable </w:t>
      </w:r>
      <w:r w:rsidRPr="00B0319E">
        <w:t xml:space="preserve">and help to make a company's progress visible in the various ESG domains </w:t>
      </w:r>
      <w:r w:rsidR="00A97EA7" w:rsidRPr="00B0319E">
        <w:fldChar w:fldCharType="begin" w:fldLock="1"/>
      </w:r>
      <w:r w:rsidR="007F00B9" w:rsidRPr="00B0319E">
        <w:instrText>ADDIN CSL_CITATION {"citationItems":[{"id":"ITEM-1","itemData":{"DOI":"10.1108/JPIF-10-2021-0084","ISSN":"1463578X","abstract":"Purpose: Environment, social, governance (ESG) has taken on increased importance in real estate investment in recent years, with benchmarking ESG being critically important for more informed real estate investment decision-making. Using 60 stakeholder interviews with senior real estate executives, this paper examines the strategic issues regarding benchmarking ESG in real estate investment; specifically, identifying areas going forward where ESG benchmarks need to be improved. This includes the issues of granularity, climate resilience and climate risk, as well as an increased focus on outcomes and performance, and using best practice procedures in delivering ESG in real estate investment. Design/methodology/approach: In total, 60 stakeholder interviews were conducted with key real estate players globally to assess the use of ESG benchmarking in real estate investment at various levels (asset/fund-level, listed real estate, delivery, reporting and internal benchmarking), across regions and across different types of real estate investment players (real estate fund manager, real estate investment trust (REIT), institutional investor and real estate advisor). This enabled key strategic insights to be identified for improved ESG benchmarking practices in real estate investment going forward. Findings: There was clear evidence of the need for improved benchmarks for ESG in real estate investment. More focus was needed on performance, outcomes and impacts, with a stronger focus on granularity around the issues of climate resilience and climate risk. Improvements in Global Real Estate Sustainability Benchmark (GRESB), as well as increased attention to Task Force for Climate-Related Financial Disclosures (TCFD) were seen as important initiatives. Clear differences were also seen in the use of these ESG benchmarks on a regional basis; with Australia and Europe seen as the world leaders. These strategic stakeholder insights regarding ESG saw the development of best practice guidelines for the more effective delivery of ESG benchmarks for more informed real estate investment decision-making, as well as a series of recommendations for improving ESG benchmarking in real estate investment. Practical implications: ESG benchmarking is a critical area of real estate investment decision-making today. By utilising stakeholder interviews, the strategic insights from key players in the real estate investment space are identified. In particular, this paper identifies how the…","author":[{"dropping-particle":"","family":"Newell","given":"Graeme","non-dropping-particle":"","parse-names":false,"suffix":""},{"dropping-particle":"","family":"Nanda","given":"Anupam","non-dropping-particle":"","parse-names":false,"suffix":""},{"dropping-particle":"","family":"Moss","given":"Alex","non-dropping-particle":"","parse-names":false,"suffix":""}],"container-title":"Journal of Property Investment and Finance","id":"ITEM-1","issue":"4","issued":{"date-parts":[["2023"]]},"page":"380-405","title":"Improving the benchmarking of ESG in real estate investment","type":"article-journal","volume":"41"},"uris":["http://www.mendeley.com/documents/?uuid=f4f117b6-8c2a-4e00-b1f2-95c8626823d3"]}],"mendeley":{"formattedCitation":"(Newell et al., 2023)","plainTextFormattedCitation":"(Newell et al., 2023)","previouslyFormattedCitation":"(Newell et al., 2023)"},"properties":{"noteIndex":0},"schema":"https://github.com/citation-style-language/schema/raw/master/csl-citation.json"}</w:instrText>
      </w:r>
      <w:r w:rsidR="00A97EA7" w:rsidRPr="00B0319E">
        <w:fldChar w:fldCharType="separate"/>
      </w:r>
      <w:r w:rsidR="00A97EA7" w:rsidRPr="00A55043">
        <w:rPr>
          <w:noProof/>
        </w:rPr>
        <w:t>(Newell et al., 2023)</w:t>
      </w:r>
      <w:r w:rsidR="00A97EA7" w:rsidRPr="00B0319E">
        <w:fldChar w:fldCharType="end"/>
      </w:r>
      <w:r w:rsidRPr="00B0319E">
        <w:t xml:space="preserve">. </w:t>
      </w:r>
      <w:r w:rsidR="00F624FC">
        <w:t>I</w:t>
      </w:r>
      <w:r w:rsidRPr="00B0319E">
        <w:t xml:space="preserve">nvestors and stakeholders </w:t>
      </w:r>
      <w:r w:rsidR="00F624FC">
        <w:t>can</w:t>
      </w:r>
      <w:r w:rsidRPr="00B0319E">
        <w:t xml:space="preserve"> monitor the company's performance and ensure that commitments made are kept. Furthermore, </w:t>
      </w:r>
      <w:r w:rsidR="007C2C6E" w:rsidRPr="00B0319E">
        <w:lastRenderedPageBreak/>
        <w:t>i</w:t>
      </w:r>
      <w:r w:rsidRPr="00B0319E">
        <w:t>t a</w:t>
      </w:r>
      <w:r w:rsidR="00E16B4E" w:rsidRPr="00B0319E">
        <w:t>llows for</w:t>
      </w:r>
      <w:r w:rsidRPr="00B0319E">
        <w:t xml:space="preserve"> the comparison of different companies based on the</w:t>
      </w:r>
      <w:r w:rsidR="00E16B4E" w:rsidRPr="00B0319E">
        <w:t>ir</w:t>
      </w:r>
      <w:r w:rsidRPr="00B0319E">
        <w:t xml:space="preserve"> ESG scores</w:t>
      </w:r>
      <w:r w:rsidR="00E16B4E" w:rsidRPr="00B0319E">
        <w:t>,</w:t>
      </w:r>
      <w:r w:rsidRPr="00B0319E">
        <w:t xml:space="preserve"> </w:t>
      </w:r>
      <w:r w:rsidR="00E16B4E" w:rsidRPr="00B0319E">
        <w:t>enabling</w:t>
      </w:r>
      <w:r w:rsidRPr="00B0319E">
        <w:t xml:space="preserve"> a holistic view of companies by leveraging data not generally available in financial reports</w:t>
      </w:r>
      <w:r w:rsidR="007F00B9" w:rsidRPr="00B0319E">
        <w:t xml:space="preserve"> </w:t>
      </w:r>
      <w:r w:rsidR="007F00B9" w:rsidRPr="00B0319E">
        <w:fldChar w:fldCharType="begin" w:fldLock="1"/>
      </w:r>
      <w:r w:rsidR="00265DA8" w:rsidRPr="00B0319E">
        <w:instrText>ADDIN CSL_CITATION {"citationItems":[{"id":"ITEM-1","itemData":{"DOI":"10.1108/JPIF-01-2023-0003","ISBN":"0120230003","ISSN":"1463578X","abstract":"Purpose: Environment, social and governance (ESG) has taken on increased importance in recent years. This paper assesses the increasing importance of the social (“S”) dimension of ESG in the real estate space and the strategies being used by the leading real estate players to deliver this important aspect of ESG. This includes gender equality, cultural diversity, staff wellness, supply chain management and community engagement. It also indicates the need for an increased level of metrics in the S space for the effective delivery and external validation of the S dimension into real estate investment decision-making. Design/methodology/approach: This research is based on a thorough understanding of the ESG environment in the real estate industry by the author. Best practice examples regarding the S dimension are given from the ESG/sustainability reports from real estate players in Australia who are leaders in the ESG space. Findings: Excellent examples of the delivery of the S dimension are reported from the ESG/sustainability reports from the real estate industry. Whilst there is an increasing range of S information being reported in the real estate industry, there is a need for more metrics to effectively report this S information to indicate its key role in seeing the S dimension being delivered for the fuller integration of ESG at all levels of the real estate industry. The external validation of this S information will also take on increased importance going forward. Practical implications: With ESG becoming a critical issue in the real estate sector, issues involved in the S space will take on increased significance. This is critical, as the elements of the S dimension such as gender equality, cultural diversity, staff wellness, community engagement and supply chain management are important aspects for an effectively functioning real estate industry. More metrics in the S space will be an important development to further expand the delivery and external validation of the S space of ESG. Originality/value: This paper is the first paper to specifically address the need for more focus on delivering the S dimension of ESG in the real estate industry, highlighted by best practice examples from the real estate industry in Australia. This is a key issue for the real estate industry going forward at all levels to facilitate more effective real estate investment decision-making.","author":[{"dropping-particle":"","family":"Newell","given":"Graeme","non-dropping-particle":"","parse-names":false,"suffix":""}],"container-title":"Journal of Property Investment and Finance","id":"ITEM-1","issue":"4","issued":{"date-parts":[["2023"]]},"page":"453-459","title":"Real Estate Insights The increasing importance of the “S” dimension in ESG","type":"article-journal","volume":"41"},"uris":["http://www.mendeley.com/documents/?uuid=0bb179e4-70fc-4056-9edd-32ff2a9686a6"]}],"mendeley":{"formattedCitation":"(Newell, 2023)","plainTextFormattedCitation":"(Newell, 2023)","previouslyFormattedCitation":"(Newell, 2023)"},"properties":{"noteIndex":0},"schema":"https://github.com/citation-style-language/schema/raw/master/csl-citation.json"}</w:instrText>
      </w:r>
      <w:r w:rsidR="007F00B9" w:rsidRPr="00B0319E">
        <w:fldChar w:fldCharType="separate"/>
      </w:r>
      <w:r w:rsidR="007F00B9" w:rsidRPr="00A55043">
        <w:rPr>
          <w:noProof/>
        </w:rPr>
        <w:t>(Newell, 2023)</w:t>
      </w:r>
      <w:r w:rsidR="007F00B9" w:rsidRPr="00B0319E">
        <w:fldChar w:fldCharType="end"/>
      </w:r>
      <w:r w:rsidRPr="00B0319E">
        <w:t>.</w:t>
      </w:r>
    </w:p>
    <w:p w14:paraId="302C9595" w14:textId="19ECC2E0" w:rsidR="00AE3B9C" w:rsidRPr="00B0319E" w:rsidRDefault="00E0250F" w:rsidP="00AE3B9C">
      <w:r w:rsidRPr="00B0319E">
        <w:t xml:space="preserve">Real estate companies derive advantages from issuing ESG scores. Primarily, a favourable ESG score enables these companies to secure financing at reduced costs, as lenders often provide better terms to companies that demonstrate strong ESG performance </w:t>
      </w:r>
      <w:r w:rsidR="00646175" w:rsidRPr="00B0319E">
        <w:fldChar w:fldCharType="begin" w:fldLock="1"/>
      </w:r>
      <w:r w:rsidR="00C63C9D" w:rsidRPr="00B0319E">
        <w:instrText>ADDIN CSL_CITATION {"citationItems":[{"id":"ITEM-1","itemData":{"DOI":"10.1002/csr.2134","ISSN":"15353966","abstract":"In recent years, greater attention has been paid to sustainability issues. Companies have received increasing pressure from stakeholders to adopt sustainable behavior and provide an adequate representation of sustainability practices. Nonfinancial disclosure has thus taken on a crucial role. In the academic field, several researchers have analyzed the effects of nonfinancial disclosure. However, limited attention has been paid to the impact of nonfinancial information on the cost of debt. This study aims at bridging this gap by analyzing the effect of ESG disclosure on the cost of debt. The fixed effects analysis conducted on a sample of 8264 observations (an unbalanced panel data of 919 firms for the period 2010–2019), shows a negative effect of the ESG disclosure on the cost of debt financing. The results demonstrate that companies with greater levels of transparency in the dissemination of ESG information benefit from accessing third party financial resources at better conditions.","author":[{"dropping-particle":"","family":"Raimo","given":"Nicola","non-dropping-particle":"","parse-names":false,"suffix":""},{"dropping-particle":"","family":"Caragnano","given":"Alessandra","non-dropping-particle":"","parse-names":false,"suffix":""},{"dropping-particle":"","family":"Zito","given":"Marianna","non-dropping-particle":"","parse-names":false,"suffix":""},{"dropping-particle":"","family":"Vitolla","given":"Filippo","non-dropping-particle":"","parse-names":false,"suffix":""},{"dropping-particle":"","family":"Mariani","given":"Massimo","non-dropping-particle":"","parse-names":false,"suffix":""}],"container-title":"Corporate Social Responsibility and Environmental Management","id":"ITEM-1","issued":{"date-parts":[["2021"]]},"page":"1412-1421","title":"Extending the benefits of ESG disclosure: The effect on the cost of debt financing","type":"article-journal","volume":"28"},"uris":["http://www.mendeley.com/documents/?uuid=38a64d8e-421f-4dc6-a437-25d6e072aec8"]},{"id":"ITEM-2","itemData":{"ISBN":"9781783215171","author":[{"dropping-particle":"","family":"Scherrenberg","given":"J.","non-dropping-particle":"","parse-names":false,"suffix":""},{"dropping-particle":"","family":"Wessels","given":"P.","non-dropping-particle":"","parse-names":false,"suffix":""},{"dropping-particle":"","family":"Nelisse","given":"P.","non-dropping-particle":"","parse-names":false,"suffix":""}],"editor":[{"dropping-particle":"","family":"Birch","given":"Sam","non-dropping-particle":"","parse-names":false,"suffix":""}],"id":"ITEM-2","issue":"January","issued":{"date-parts":[["2024"]]},"title":"The future of real estate valuations: the impact of ESG","type":"report"},"uris":["http://www.mendeley.com/documents/?uuid=2be7aa8f-c14b-4336-be1a-f6c029a1da42"]},{"id":"ITEM-3","itemData":{"DOI":"10.1111/joes.12599","ISSN":"14676419","abstract":"This study examines the recent literature on the expectations, beliefs and perceptions of investors who incorporate Environmental, Social, Governance (ESG) considerations in investment decisions with the aim to generate superior performance or make a societal impact. Through the lens of equilibrium models of agents with heterogeneous tastes for ESG investments, green assets are expected to generate lower returns in the long run compared to their non-ESG counterparts. However, in the short run, ESG investments can outperform non-ESG investments through various channels. Empirically, results for the relative performance to ESG investment are mixed. We find strong empirical evidence in the literature that investors have a preference for ESG and that their actions can generate positive social impact through engagement. The shift towards more sustainable policies in firms is motivated by the increased market values and the lower cost of capital of green firms driven by investors’ choices.","author":[{"dropping-particle":"","family":"Kräussl","given":"Roman","non-dropping-particle":"","parse-names":false,"suffix":""},{"dropping-particle":"","family":"Oladiran","given":"Tobi","non-dropping-particle":"","parse-names":false,"suffix":""},{"dropping-particle":"","family":"Stefanova","given":"Denitsa","non-dropping-particle":"","parse-names":false,"suffix":""}],"container-title":"Journal of Economic Surveys","id":"ITEM-3","issued":{"date-parts":[["2024"]]},"page":"476-502","title":"A review on ESG investing: Investors’ expectations, beliefs and perceptions","type":"article-journal","volume":"38"},"uris":["http://www.mendeley.com/documents/?uuid=00566512-ddfd-46f3-b716-29ee8c120807"]}],"mendeley":{"formattedCitation":"(Kräussl et al., 2024; Raimo et al., 2021; Scherrenberg et al., 2024)","plainTextFormattedCitation":"(Kräussl et al., 2024; Raimo et al., 2021; Scherrenberg et al., 2024)","previouslyFormattedCitation":"(Kräussl et al., 2024; Raimo et al., 2021; Scherrenberg et al., 2024)"},"properties":{"noteIndex":0},"schema":"https://github.com/citation-style-language/schema/raw/master/csl-citation.json"}</w:instrText>
      </w:r>
      <w:r w:rsidR="00646175" w:rsidRPr="00B0319E">
        <w:fldChar w:fldCharType="separate"/>
      </w:r>
      <w:r w:rsidR="0024738F" w:rsidRPr="00A55043">
        <w:rPr>
          <w:noProof/>
        </w:rPr>
        <w:t>(Kräussl et al., 2024; Raimo et al., 2021; Scherrenberg et al., 2024)</w:t>
      </w:r>
      <w:r w:rsidR="00646175" w:rsidRPr="00B0319E">
        <w:fldChar w:fldCharType="end"/>
      </w:r>
      <w:r w:rsidRPr="00B0319E">
        <w:t>. Moreover, investors</w:t>
      </w:r>
      <w:r w:rsidR="007156A4" w:rsidRPr="00B0319E">
        <w:t xml:space="preserve"> and stakeholders</w:t>
      </w:r>
      <w:r w:rsidRPr="00B0319E">
        <w:t xml:space="preserve"> appreciate the issuance of ESG scores, recognizing them as indicators of sustainable and responsible business practices </w:t>
      </w:r>
      <w:r w:rsidR="00FE2173" w:rsidRPr="00B0319E">
        <w:fldChar w:fldCharType="begin" w:fldLock="1"/>
      </w:r>
      <w:r w:rsidR="00E118AC" w:rsidRPr="00B0319E">
        <w:instrText>ADDIN CSL_CITATION {"citationItems":[{"id":"ITEM-1","itemData":{"DOI":"10.59117/20.500.11822/45095","ISBN":"9789280741315","abstract":"The Global Status Report for Buildings and Construction (Buildings-GSR), a report published by the UN Environment Programme (UNEP) and the Global Alliance for Buildings and Construction (GlobalABC), provides an annual snapshot of the progress of the buildings and construction sector on a global scale. The Buildings-GSR reviews the status of policies, finance, technologies, and solutions to monitor whether the sector is aligned with the Paris Agreement goals. It also provides stakeholders with evidence to persuade policymakers and the overall buildings and construction community to take action. As outlined in this edition, the buildings and construction sector contributes significantly to global climate change, accounting for about 21 per cent of global greenhouse gas emissions. In 2022, buildings were responsible for 34 per cent global energy demand and 37 per cent of energy and process-related carbon dioxide (CO2) emissions. The 2022 update of the Global Buildings Climate Tracker (GBCT) paints a concerning picture: the gap between the current state and the desired decarbonisation path is significant. To align with the 2030 milestone, an annual increase of ten decarbonisation points is now required, a substantial jump from the six points anticipated per year starting in 2015. This year, the deep dive chapters are the following: Adaptation and resilient construction methods; Innovations in business cases as well as Nature-based solutions and biophilic design.","author":[{"dropping-particle":"","family":"United Nations Environment Programme","given":"","non-dropping-particle":"","parse-names":false,"suffix":""}],"container-title":"Global Status Report for Buildings and Construction: Beyond foundations: Mainstreaming sustainable solutions to cut emissions from the buildings sector.","id":"ITEM-1","issued":{"date-parts":[["2024"]]},"page":"Nairobi","title":"Global Status Report for Buildings and Construction: Beyond foundations: Mainstreaming sustainable solutions to cut emissions from the buildings sector.","type":"article-journal"},"locator":"43-46","uris":["http://www.mendeley.com/documents/?uuid=6ab5ffb4-307b-424c-9f75-434cdb109636"]},{"id":"ITEM-2","itemData":{"DOI":"10.1007/s10551-020-04642-x","ISBN":"0123456789","ISSN":"15730697","abstract":"Corporate reputation is decisive for stakeholders’ supporting or repelling behavior and, therefore, one of firms’ most valuable intangible resources. Drawing on signaling theory, this paper focuses on the usefulness of voluntarily provided corporate reputation disclosures (CRDs) and examines their impact on stakeholders’ attitudinal and behavioral outcomes. Our experimental vignette studies reveal that CRDs reduce stakeholders’ information asymmetries, which positively affects perceived organizational performance and corporate reputation as well as stakeholders’ purchase, investment, and employment intentions. The relationships between CRDs and stakeholders’ behavioral intentions are sequentially mediated by changes in the perceived organizational performance and corporate reputation. This implies that stakeholders use the signals transmitted by CRDs to adjust their perceptions of a firm’s organizational performance and corporate reputation, which ultimately induces their behavioral outcomes. Overall, our empirical results show the usefulness of CRDs for firms in effectively developing stakeholder relationships and, thereby, contributing to assure their going concern. For stakeholders, CRDs improve efficiency in evaluating a firm’s future development.","author":[{"dropping-particle":"","family":"Baumgartner","given":"Kim T.","non-dropping-particle":"","parse-names":false,"suffix":""},{"dropping-particle":"","family":"Ernst","given":"Carolin A.","non-dropping-particle":"","parse-names":false,"suffix":""},{"dropping-particle":"","family":"Fischer","given":"Thomas M.","non-dropping-particle":"","parse-names":false,"suffix":""}],"container-title":"Journal of Business Ethics","id":"ITEM-2","issue":"2","issued":{"date-parts":[["2022"]]},"page":"361-389","publisher":"Springer Netherlands","title":"How Corporate Reputation Disclosures Affect Stakeholders’ Behavioral Intentions: Mediating Mechanisms of Perceived Organizational Performance and Corporate Reputation","type":"article-journal","volume":"175"},"uris":["http://www.mendeley.com/documents/?uuid=5cf12d33-a6c8-415b-a7e4-c323fe9d9c47"]},{"id":"ITEM-3","itemData":{"DOI":"10.1111/joes.12599","ISSN":"14676419","abstract":"This study examines the recent literature on the expectations, beliefs and perceptions of investors who incorporate Environmental, Social, Governance (ESG) considerations in investment decisions with the aim to generate superior performance or make a societal impact. Through the lens of equilibrium models of agents with heterogeneous tastes for ESG investments, green assets are expected to generate lower returns in the long run compared to their non-ESG counterparts. However, in the short run, ESG investments can outperform non-ESG investments through various channels. Empirically, results for the relative performance to ESG investment are mixed. We find strong empirical evidence in the literature that investors have a preference for ESG and that their actions can generate positive social impact through engagement. The shift towards more sustainable policies in firms is motivated by the increased market values and the lower cost of capital of green firms driven by investors’ choices.","author":[{"dropping-particle":"","family":"Kräussl","given":"Roman","non-dropping-particle":"","parse-names":false,"suffix":""},{"dropping-particle":"","family":"Oladiran","given":"Tobi","non-dropping-particle":"","parse-names":false,"suffix":""},{"dropping-particle":"","family":"Stefanova","given":"Denitsa","non-dropping-particle":"","parse-names":false,"suffix":""}],"container-title":"Journal of Economic Surveys","id":"ITEM-3","issued":{"date-parts":[["2024"]]},"page":"476-502","title":"A review on ESG investing: Investors’ expectations, beliefs and perceptions","type":"article-journal","volume":"38"},"uris":["http://www.mendeley.com/documents/?uuid=00566512-ddfd-46f3-b716-29ee8c120807"]},{"id":"ITEM-4","itemData":{"ISBN":"9781783215171","author":[{"dropping-particle":"","family":"Scherrenberg","given":"J.","non-dropping-particle":"","parse-names":false,"suffix":""},{"dropping-particle":"","family":"Wessels","given":"P.","non-dropping-particle":"","parse-names":false,"suffix":""},{"dropping-particle":"","family":"Nelisse","given":"P.","non-dropping-particle":"","parse-names":false,"suffix":""}],"editor":[{"dropping-particle":"","family":"Birch","given":"Sam","non-dropping-particle":"","parse-names":false,"suffix":""}],"id":"ITEM-4","issue":"January","issued":{"date-parts":[["2024"]]},"title":"The future of real estate valuations: the impact of ESG","type":"report"},"uris":["http://www.mendeley.com/documents/?uuid=2be7aa8f-c14b-4336-be1a-f6c029a1da42"]},{"id":"ITEM-5","itemData":{"DOI":"10.1108/MD-05-2016-0308","ISSN":"00251747","abstract":"Purpose: The purpose of this paper is to examine the association between corporate social responsibility (CSR) and employee satisfaction. The study proposes and empirically tests two hypotheses: that CSR is positively associated with employee satisfaction, and that organizational image mediates the relationship between CSR and employee satisfaction. Design/methodology/approach: The hypotheses were tested through regression analyses, using data from 85,167 questionnaires completed by employees at 381 Brazilian companies, as well as data pertaining to the “breadth” of CSR engagement of those same companies. Findings: The results of this study provide evidence that CSR-oriented actions undertaken by companies will lead to a better organizational image, and this, in turn, will lead to greater employee satisfaction. Practical implications: Because employee behaviour influences organizational outcomes and higher job satisfaction may lead to greater employee commitment to organizational goals and values, understanding the impact of CSR on employee satisfaction is relevant to corporate performance. Originality/value: The study contributes to the body of empirical research on CSR by investigating the underlying mechanisms linking CSR with employee behaviour. Scholars in the area of CSR regularly explore the outcomes and impacts of CSR actions on internal and external stakeholders. However, the impacts of CSR for a critical group of stakeholders – namely, employees – and its underlying mechanisms are understudied in the CSR literature.","author":[{"dropping-particle":"","family":"Barakat","given":"Simone R.","non-dropping-particle":"","parse-names":false,"suffix":""},{"dropping-particle":"","family":"Isabella","given":"Giuliana","non-dropping-particle":"","parse-names":false,"suffix":""},{"dropping-particle":"","family":"Boaventura","given":"João Maurício Gama","non-dropping-particle":"","parse-names":false,"suffix":""},{"dropping-particle":"","family":"Mazzon","given":"José Afonso","non-dropping-particle":"","parse-names":false,"suffix":""}],"container-title":"Management Decision","id":"ITEM-5","issue":"9","issued":{"date-parts":[["2016"]]},"page":"2325-2339","title":"The influence of corporate social responsibility on employee satisfaction","type":"article-journal","volume":"54"},"locator":"2326","uris":["http://www.mendeley.com/documents/?uuid=be4cd7d1-8fa2-482c-a285-b7d1fefd6a68"]}],"mendeley":{"formattedCitation":"(Barakat et al., 2016, p. 2326; Baumgartner et al., 2022; Kräussl et al., 2024; Scherrenberg et al., 2024; United Nations Environment Programme, 2024, pp. 43–46)","plainTextFormattedCitation":"(Barakat et al., 2016, p. 2326; Baumgartner et al., 2022; Kräussl et al., 2024; Scherrenberg et al., 2024; United Nations Environment Programme, 2024, pp. 43–46)","previouslyFormattedCitation":"(Barakat et al., 2016, p. 2326; Baumgartner et al., 2022; Kräussl et al., 2024; Scherrenberg et al., 2024; United Nations Environment Programme, 2024, pp. 43–46)"},"properties":{"noteIndex":0},"schema":"https://github.com/citation-style-language/schema/raw/master/csl-citation.json"}</w:instrText>
      </w:r>
      <w:r w:rsidR="00FE2173" w:rsidRPr="00B0319E">
        <w:fldChar w:fldCharType="separate"/>
      </w:r>
      <w:r w:rsidR="00576DC8" w:rsidRPr="00A55043">
        <w:rPr>
          <w:noProof/>
        </w:rPr>
        <w:t>(Barakat et al., 2016, p. 2326; Baumgartner et al., 2022; Kräussl et al., 2024; Scherrenberg et al., 2024; United Nations Environment Programme, 2024, pp. 43–46)</w:t>
      </w:r>
      <w:r w:rsidR="00FE2173" w:rsidRPr="00B0319E">
        <w:fldChar w:fldCharType="end"/>
      </w:r>
      <w:r w:rsidRPr="00B0319E">
        <w:t xml:space="preserve">. </w:t>
      </w:r>
      <w:r w:rsidR="00E16B4E" w:rsidRPr="00B0319E">
        <w:t>E</w:t>
      </w:r>
      <w:r w:rsidRPr="00B0319E">
        <w:t>vidence suggest</w:t>
      </w:r>
      <w:r w:rsidR="004302E1" w:rsidRPr="00B0319E">
        <w:t>s</w:t>
      </w:r>
      <w:r w:rsidRPr="00B0319E">
        <w:t xml:space="preserve"> that real estate companies adher</w:t>
      </w:r>
      <w:r w:rsidR="006C763B" w:rsidRPr="00B0319E">
        <w:t>ing</w:t>
      </w:r>
      <w:r w:rsidRPr="00B0319E">
        <w:t xml:space="preserve"> to ESG are better equipped for future challenges </w:t>
      </w:r>
      <w:r w:rsidR="00E231DC" w:rsidRPr="00B0319E">
        <w:fldChar w:fldCharType="begin" w:fldLock="1"/>
      </w:r>
      <w:r w:rsidR="004116AF" w:rsidRPr="00B0319E">
        <w:instrText>ADDIN CSL_CITATION {"citationItems":[{"id":"ITEM-1","itemData":{"DOI":"10.1108/JPIF-10-2021-0084","ISSN":"1463578X","abstract":"Purpose: Environment, social, governance (ESG) has taken on increased importance in real estate investment in recent years, with benchmarking ESG being critically important for more informed real estate investment decision-making. Using 60 stakeholder interviews with senior real estate executives, this paper examines the strategic issues regarding benchmarking ESG in real estate investment; specifically, identifying areas going forward where ESG benchmarks need to be improved. This includes the issues of granularity, climate resilience and climate risk, as well as an increased focus on outcomes and performance, and using best practice procedures in delivering ESG in real estate investment. Design/methodology/approach: In total, 60 stakeholder interviews were conducted with key real estate players globally to assess the use of ESG benchmarking in real estate investment at various levels (asset/fund-level, listed real estate, delivery, reporting and internal benchmarking), across regions and across different types of real estate investment players (real estate fund manager, real estate investment trust (REIT), institutional investor and real estate advisor). This enabled key strategic insights to be identified for improved ESG benchmarking practices in real estate investment going forward. Findings: There was clear evidence of the need for improved benchmarks for ESG in real estate investment. More focus was needed on performance, outcomes and impacts, with a stronger focus on granularity around the issues of climate resilience and climate risk. Improvements in Global Real Estate Sustainability Benchmark (GRESB), as well as increased attention to Task Force for Climate-Related Financial Disclosures (TCFD) were seen as important initiatives. Clear differences were also seen in the use of these ESG benchmarks on a regional basis; with Australia and Europe seen as the world leaders. These strategic stakeholder insights regarding ESG saw the development of best practice guidelines for the more effective delivery of ESG benchmarks for more informed real estate investment decision-making, as well as a series of recommendations for improving ESG benchmarking in real estate investment. Practical implications: ESG benchmarking is a critical area of real estate investment decision-making today. By utilising stakeholder interviews, the strategic insights from key players in the real estate investment space are identified. In particular, this paper identifies how the…","author":[{"dropping-particle":"","family":"Newell","given":"Graeme","non-dropping-particle":"","parse-names":false,"suffix":""},{"dropping-particle":"","family":"Nanda","given":"Anupam","non-dropping-particle":"","parse-names":false,"suffix":""},{"dropping-particle":"","family":"Moss","given":"Alex","non-dropping-particle":"","parse-names":false,"suffix":""}],"container-title":"Journal of Property Investment and Finance","id":"ITEM-1","issue":"4","issued":{"date-parts":[["2023"]]},"page":"380-405","title":"Improving the benchmarking of ESG in real estate investment","type":"article-journal","volume":"41"},"uris":["http://www.mendeley.com/documents/?uuid=f4f117b6-8c2a-4e00-b1f2-95c8626823d3"]},{"id":"ITEM-2","itemData":{"DOI":"10.59117/20.500.11822/45095","ISBN":"9789280741315","abstract":"The Global Status Report for Buildings and Construction (Buildings-GSR), a report published by the UN Environment Programme (UNEP) and the Global Alliance for Buildings and Construction (GlobalABC), provides an annual snapshot of the progress of the buildings and construction sector on a global scale. The Buildings-GSR reviews the status of policies, finance, technologies, and solutions to monitor whether the sector is aligned with the Paris Agreement goals. It also provides stakeholders with evidence to persuade policymakers and the overall buildings and construction community to take action. As outlined in this edition, the buildings and construction sector contributes significantly to global climate change, accounting for about 21 per cent of global greenhouse gas emissions. In 2022, buildings were responsible for 34 per cent global energy demand and 37 per cent of energy and process-related carbon dioxide (CO2) emissions. The 2022 update of the Global Buildings Climate Tracker (GBCT) paints a concerning picture: the gap between the current state and the desired decarbonisation path is significant. To align with the 2030 milestone, an annual increase of ten decarbonisation points is now required, a substantial jump from the six points anticipated per year starting in 2015. This year, the deep dive chapters are the following: Adaptation and resilient construction methods; Innovations in business cases as well as Nature-based solutions and biophilic design.","author":[{"dropping-particle":"","family":"United Nations Environment Programme","given":"","non-dropping-particle":"","parse-names":false,"suffix":""}],"container-title":"Global Status Report for Buildings and Construction: Beyond foundations: Mainstreaming sustainable solutions to cut emissions from the buildings sector.","id":"ITEM-2","issued":{"date-parts":[["2024"]]},"page":"Nairobi","title":"Global Status Report for Buildings and Construction: Beyond foundations: Mainstreaming sustainable solutions to cut emissions from the buildings sector.","type":"article-journal"},"locator":"61-62","uris":["http://www.mendeley.com/documents/?uuid=6ab5ffb4-307b-424c-9f75-434cdb109636"]},{"id":"ITEM-3","itemData":{"ISBN":"9781783215171","author":[{"dropping-particle":"","family":"Scherrenberg","given":"J.","non-dropping-particle":"","parse-names":false,"suffix":""},{"dropping-particle":"","family":"Wessels","given":"P.","non-dropping-particle":"","parse-names":false,"suffix":""},{"dropping-particle":"","family":"Nelisse","given":"P.","non-dropping-particle":"","parse-names":false,"suffix":""}],"editor":[{"dropping-particle":"","family":"Birch","given":"Sam","non-dropping-particle":"","parse-names":false,"suffix":""}],"id":"ITEM-3","issue":"January","issued":{"date-parts":[["2024"]]},"title":"The future of real estate valuations: the impact of ESG","type":"report"},"uris":["http://www.mendeley.com/documents/?uuid=2be7aa8f-c14b-4336-be1a-f6c029a1da42"]}],"mendeley":{"formattedCitation":"(Newell et al., 2023; Scherrenberg et al., 2024; United Nations Environment Programme, 2024, pp. 61–62)","plainTextFormattedCitation":"(Newell et al., 2023; Scherrenberg et al., 2024; United Nations Environment Programme, 2024, pp. 61–62)","previouslyFormattedCitation":"(Newell et al., 2023; Scherrenberg et al., 2024; United Nations Environment Programme, 2024, pp. 61–62)"},"properties":{"noteIndex":0},"schema":"https://github.com/citation-style-language/schema/raw/master/csl-citation.json"}</w:instrText>
      </w:r>
      <w:r w:rsidR="00E231DC" w:rsidRPr="00B0319E">
        <w:fldChar w:fldCharType="separate"/>
      </w:r>
      <w:r w:rsidR="004116AF" w:rsidRPr="00A55043">
        <w:rPr>
          <w:noProof/>
        </w:rPr>
        <w:t>(Newell et al., 2023; Scherrenberg et al., 2024; United Nations Environment Programme, 2024, pp. 61–62)</w:t>
      </w:r>
      <w:r w:rsidR="00E231DC" w:rsidRPr="00B0319E">
        <w:fldChar w:fldCharType="end"/>
      </w:r>
      <w:r w:rsidRPr="00B0319E">
        <w:t xml:space="preserve">. </w:t>
      </w:r>
    </w:p>
    <w:p w14:paraId="123F96D6" w14:textId="53A4302E" w:rsidR="00C729E8" w:rsidRPr="00B0319E" w:rsidRDefault="00990705" w:rsidP="00AE3B9C">
      <w:r w:rsidRPr="00B0319E">
        <w:t xml:space="preserve">The environmental impact of the real estate sector, encompassing </w:t>
      </w:r>
      <w:r w:rsidR="004302E1" w:rsidRPr="00B0319E">
        <w:t xml:space="preserve">the </w:t>
      </w:r>
      <w:r w:rsidRPr="00B0319E">
        <w:t>construction and</w:t>
      </w:r>
      <w:r w:rsidR="00AE3B9C" w:rsidRPr="00B0319E">
        <w:t xml:space="preserve"> </w:t>
      </w:r>
      <w:r w:rsidRPr="00B0319E">
        <w:t xml:space="preserve">management of buildings, is well-recognized. </w:t>
      </w:r>
      <w:r w:rsidR="000156FC" w:rsidRPr="00B0319E">
        <w:t xml:space="preserve">Companies are </w:t>
      </w:r>
      <w:r w:rsidRPr="00B0319E">
        <w:t xml:space="preserve">therefore </w:t>
      </w:r>
      <w:r w:rsidR="000156FC" w:rsidRPr="00B0319E">
        <w:t>adapting their construction methods and resource usage to environmental and social conditions, enhancing resilience</w:t>
      </w:r>
      <w:r w:rsidR="003056EC" w:rsidRPr="00B0319E">
        <w:t xml:space="preserve">, </w:t>
      </w:r>
      <w:r w:rsidR="000156FC" w:rsidRPr="00B0319E">
        <w:t xml:space="preserve">long-term profitability </w:t>
      </w:r>
      <w:r w:rsidR="003056EC" w:rsidRPr="00B0319E">
        <w:t xml:space="preserve">and avoiding penalties </w:t>
      </w:r>
      <w:r w:rsidR="000156FC" w:rsidRPr="00B0319E">
        <w:fldChar w:fldCharType="begin" w:fldLock="1"/>
      </w:r>
      <w:r w:rsidR="00AE2BB2" w:rsidRPr="00B0319E">
        <w:instrText>ADDIN CSL_CITATION {"citationItems":[{"id":"ITEM-1","itemData":{"DOI":"10.59117/20.500.11822/45095","ISBN":"9789280741315","abstract":"The Global Status Report for Buildings and Construction (Buildings-GSR), a report published by the UN Environment Programme (UNEP) and the Global Alliance for Buildings and Construction (GlobalABC), provides an annual snapshot of the progress of the buildings and construction sector on a global scale. The Buildings-GSR reviews the status of policies, finance, technologies, and solutions to monitor whether the sector is aligned with the Paris Agreement goals. It also provides stakeholders with evidence to persuade policymakers and the overall buildings and construction community to take action. As outlined in this edition, the buildings and construction sector contributes significantly to global climate change, accounting for about 21 per cent of global greenhouse gas emissions. In 2022, buildings were responsible for 34 per cent global energy demand and 37 per cent of energy and process-related carbon dioxide (CO2) emissions. The 2022 update of the Global Buildings Climate Tracker (GBCT) paints a concerning picture: the gap between the current state and the desired decarbonisation path is significant. To align with the 2030 milestone, an annual increase of ten decarbonisation points is now required, a substantial jump from the six points anticipated per year starting in 2015. This year, the deep dive chapters are the following: Adaptation and resilient construction methods; Innovations in business cases as well as Nature-based solutions and biophilic design.","author":[{"dropping-particle":"","family":"United Nations Environment Programme","given":"","non-dropping-particle":"","parse-names":false,"suffix":""}],"container-title":"Global Status Report for Buildings and Construction: Beyond foundations: Mainstreaming sustainable solutions to cut emissions from the buildings sector.","id":"ITEM-1","issued":{"date-parts":[["2024"]]},"page":"Nairobi","title":"Global Status Report for Buildings and Construction: Beyond foundations: Mainstreaming sustainable solutions to cut emissions from the buildings sector.","type":"article-journal"},"locator":"43","uris":["http://www.mendeley.com/documents/?uuid=6ab5ffb4-307b-424c-9f75-434cdb109636"]},{"id":"ITEM-2","itemData":{"DOI":"10.3390/buildings2020126","ISSN":"2075-5309","abstract":"This paper presents a conceptual framework aimed at implementing sustainability principles in the building industry. The proposed framework based on the sustainable triple bottom line principle, includes resource conservation, cost efficiency and design for human adaptation. Following a thorough literature review, each principle involving strategies and methods to be applied during the life cycle of building projects is explained and a few case studies are presented for clarity on the methods. The framework will allow design teams to have an appropriate balance between economic, social and environmental issues, changing the way construction practitioners think about the information they use when assessing building projects, thereby facilitating the sustainability of building industry.","author":[{"dropping-particle":"","family":"Akadiri","given":"Peter O.","non-dropping-particle":"","parse-names":false,"suffix":""},{"dropping-particle":"","family":"Chinyio","given":"Ezekiel A.","non-dropping-particle":"","parse-names":false,"suffix":""},{"dropping-particle":"","family":"Olomolaiye","given":"Paul O.","non-dropping-particle":"","parse-names":false,"suffix":""}],"container-title":"Buildings","id":"ITEM-2","issue":"2","issued":{"date-parts":[["2012"]]},"page":"126-152","title":"Design of A Sustainable Building: A Conceptual Framework for Implementing Sustainability in the Building Sector","type":"article-journal"},"locator":"141","uris":["http://www.mendeley.com/documents/?uuid=10b91ef2-a3ad-46c5-b5e8-661472cda24a"]},{"id":"ITEM-3","itemData":{"DOI":"10.1016/j.rser.2012.03.045","ISSN":"13640321","abstract":"Energy saving is a high-priority in developed countries. For this reason, energy-efficient measures are being increasingly implemented in all sectors. The residential sector is responsible for an important part of the energy consumption in the world. Most of this energy is used in heating, cooling, and artificial ventilation systems.With a view to developing energy-efficient structures, this article provides an overview of building design criteria that can reduce the energy demand for the heating and cooling of residential buildings. These criteria are based on the adoption of suitable parameters for building orientation, shape, envelope system, passive heating and cooling mechanisms, shading, and glazing. An analysis was made of previous studies that evaluated the influence of these parameters on the total energy demand and suggested the best design options. This study is useful for professionals who are responsible for decision-making during the design phase of energy-efficient residential buildings. © 2012 Elsevier Ltd. All right reserved.","author":[{"dropping-particle":"","family":"Pacheco","given":"R.","non-dropping-particle":"","parse-names":false,"suffix":""},{"dropping-particle":"","family":"Ordóñez","given":"J.","non-dropping-particle":"","parse-names":false,"suffix":""},{"dropping-particle":"","family":"Martínez","given":"G.","non-dropping-particle":"","parse-names":false,"suffix":""}],"container-title":"Renewable and Sustainable Energy Reviews","id":"ITEM-3","issued":{"date-parts":[["2012"]]},"page":"3559-3573","title":"Energy efficient design of building: A review","type":"article-journal","volume":"16"},"uris":["http://www.mendeley.com/documents/?uuid=b861f585-b853-44ab-bc39-905a6f2f2ba8"]},{"id":"ITEM-4","itemData":{"DOI":"10.1108/PM-04-2020-0029","ISBN":"0420200029","ISSN":"02637472","abstract":"Purpose: The purpose of this paper is to increase awareness of the value that can be derived from embracing customer service and ensuring tenant satisfaction. Design/methodology/approach: This literature review synthesizes the results of research conducted around the world to examine the value proposition of customer-focused property management. The literature was identified through a search of academic journal articles and industry publications, together with the authors' experience of working with industry practitioners. Drawing on these sources, the authors identify five emerging trends that are likely to make customer service an even more critical part of property managers' jobs and propose best practices to help property managers actualize the benefits. Findings: Three themes emerge from the literature. First, property managers can add significant value to real estate portfolios by delivering high-quality customer service to tenants. Second, emerging trends in the real estate industry are creating new opportunities for property managers to participate in the value creation process. Third, there are a number of steps property managers can take to leverage customer service to benefit the real estate investors they represent. Practical implications: Real estate investors, and the property managers working on their behalf, can realize the advantages of customer-focused property management by adopting a series of straightforward best practices, which are discussed in the paper. Social implications: The trends identified and practical steps proposed are likely to be all the more relevant in the aftermath of the Covid-19 pandemic. Originality/value: This research should increase awareness of customer-focused property management and the mechanisms through which it can affect real estate returns. The ten best practices proposed should help property managers deliver effective service to tenants and achieve the associated financial benefits for investors.","author":[{"dropping-particle":"","family":"Sanderson","given":"Danielle Claire","non-dropping-particle":"","parse-names":false,"suffix":""},{"dropping-particle":"","family":"Read","given":"Dustin C.","non-dropping-particle":"","parse-names":false,"suffix":""}],"container-title":"Property Management","id":"ITEM-4","issue":"5","issued":{"date-parts":[["2020"]]},"page":"749-764","title":"Recognizing and realizing the value of customer-focused property management","type":"article-journal","volume":"38"},"uris":["http://www.mendeley.com/documents/?uuid=38e13c27-3b18-4b77-b34d-f56471df86e1"]},{"id":"ITEM-5","itemData":{"ISBN":"9781783215171","author":[{"dropping-particle":"","family":"Scherrenberg","given":"J.","non-dropping-particle":"","parse-names":false,"suffix":""},{"dropping-particle":"","family":"Wessels","given":"P.","non-dropping-particle":"","parse-names":false,"suffix":""},{"dropping-particle":"","family":"Nelisse","given":"P.","non-dropping-particle":"","parse-names":false,"suffix":""}],"editor":[{"dropping-particle":"","family":"Birch","given":"Sam","non-dropping-particle":"","parse-names":false,"suffix":""}],"id":"ITEM-5","issue":"January","issued":{"date-parts":[["2024"]]},"title":"The future of real estate valuations: the impact of ESG","type":"report"},"uris":["http://www.mendeley.com/documents/?uuid=2be7aa8f-c14b-4336-be1a-f6c029a1da42"]},{"id":"ITEM-6","itemData":{"DOI":"10.1108/JPIF-10-2021-0084","ISSN":"1463578X","abstract":"Purpose: Environment, social, governance (ESG) has taken on increased importance in real estate investment in recent years, with benchmarking ESG being critically important for more informed real estate investment decision-making. Using 60 stakeholder interviews with senior real estate executives, this paper examines the strategic issues regarding benchmarking ESG in real estate investment; specifically, identifying areas going forward where ESG benchmarks need to be improved. This includes the issues of granularity, climate resilience and climate risk, as well as an increased focus on outcomes and performance, and using best practice procedures in delivering ESG in real estate investment. Design/methodology/approach: In total, 60 stakeholder interviews were conducted with key real estate players globally to assess the use of ESG benchmarking in real estate investment at various levels (asset/fund-level, listed real estate, delivery, reporting and internal benchmarking), across regions and across different types of real estate investment players (real estate fund manager, real estate investment trust (REIT), institutional investor and real estate advisor). This enabled key strategic insights to be identified for improved ESG benchmarking practices in real estate investment going forward. Findings: There was clear evidence of the need for improved benchmarks for ESG in real estate investment. More focus was needed on performance, outcomes and impacts, with a stronger focus on granularity around the issues of climate resilience and climate risk. Improvements in Global Real Estate Sustainability Benchmark (GRESB), as well as increased attention to Task Force for Climate-Related Financial Disclosures (TCFD) were seen as important initiatives. Clear differences were also seen in the use of these ESG benchmarks on a regional basis; with Australia and Europe seen as the world leaders. These strategic stakeholder insights regarding ESG saw the development of best practice guidelines for the more effective delivery of ESG benchmarks for more informed real estate investment decision-making, as well as a series of recommendations for improving ESG benchmarking in real estate investment. Practical implications: ESG benchmarking is a critical area of real estate investment decision-making today. By utilising stakeholder interviews, the strategic insights from key players in the real estate investment space are identified. In particular, this paper identifies how the…","author":[{"dropping-particle":"","family":"Newell","given":"Graeme","non-dropping-particle":"","parse-names":false,"suffix":""},{"dropping-particle":"","family":"Nanda","given":"Anupam","non-dropping-particle":"","parse-names":false,"suffix":""},{"dropping-particle":"","family":"Moss","given":"Alex","non-dropping-particle":"","parse-names":false,"suffix":""}],"container-title":"Journal of Property Investment and Finance","id":"ITEM-6","issue":"4","issued":{"date-parts":[["2023"]]},"page":"380-405","title":"Improving the benchmarking of ESG in real estate investment","type":"article-journal","volume":"41"},"uris":["http://www.mendeley.com/documents/?uuid=f4f117b6-8c2a-4e00-b1f2-95c8626823d3"]}],"mendeley":{"formattedCitation":"(Akadiri et al., 2012, p. 141; Newell et al., 2023; Pacheco et al., 2012; Sanderson &amp; Read, 2020; Scherrenberg et al., 2024; United Nations Environment Programme, 2024, p. 43)","plainTextFormattedCitation":"(Akadiri et al., 2012, p. 141; Newell et al., 2023; Pacheco et al., 2012; Sanderson &amp; Read, 2020; Scherrenberg et al., 2024; United Nations Environment Programme, 2024, p. 43)","previouslyFormattedCitation":"(Akadiri et al., 2012, p. 141; Newell et al., 2023; Pacheco et al., 2012; Sanderson &amp; Read, 2020; Scherrenberg et al., 2024; United Nations Environment Programme, 2024, p. 43)"},"properties":{"noteIndex":0},"schema":"https://github.com/citation-style-language/schema/raw/master/csl-citation.json"}</w:instrText>
      </w:r>
      <w:r w:rsidR="000156FC" w:rsidRPr="00B0319E">
        <w:fldChar w:fldCharType="separate"/>
      </w:r>
      <w:r w:rsidR="00AE3B9C" w:rsidRPr="00A55043">
        <w:rPr>
          <w:noProof/>
        </w:rPr>
        <w:t>(Akadiri et al., 2012, p. 141; Newell et al., 2023; Pacheco et al., 2012; Sanderson &amp; Read, 2020; Scherrenberg et al., 2024; United Nations Environment Programme, 2024, p. 43)</w:t>
      </w:r>
      <w:r w:rsidR="000156FC" w:rsidRPr="00B0319E">
        <w:fldChar w:fldCharType="end"/>
      </w:r>
      <w:r w:rsidR="000156FC" w:rsidRPr="00B0319E">
        <w:t>.</w:t>
      </w:r>
      <w:r w:rsidR="00AE3B9C" w:rsidRPr="00B0319E">
        <w:t xml:space="preserve"> </w:t>
      </w:r>
      <w:r w:rsidR="00C126EF" w:rsidRPr="00B0319E">
        <w:t>Hence, environmental considerations are firmly embedded in real estate research.</w:t>
      </w:r>
    </w:p>
    <w:p w14:paraId="4A928D7C" w14:textId="01EE824F" w:rsidR="00B32751" w:rsidRPr="00B0319E" w:rsidRDefault="00E13720" w:rsidP="005D5987">
      <w:r w:rsidRPr="00B0319E">
        <w:t>While the environmental and governance aspects of ESG have been extensively studied, the social dimension, which encompasses a company’s interaction with customers, community engagement, and employee relations, has received less attention</w:t>
      </w:r>
      <w:r w:rsidR="000F780E" w:rsidRPr="00B0319E">
        <w:t xml:space="preserve"> </w:t>
      </w:r>
      <w:r w:rsidR="00CE400C" w:rsidRPr="00B0319E">
        <w:fldChar w:fldCharType="begin" w:fldLock="1"/>
      </w:r>
      <w:r w:rsidR="00CE400C" w:rsidRPr="00B0319E">
        <w:instrText>ADDIN CSL_CITATION {"citationItems":[{"id":"ITEM-1","itemData":{"DOI":"10.1108/JPIF-10-2021-0084","ISSN":"1463578X","abstract":"Purpose: Environment, social, governance (ESG) has taken on increased importance in real estate investment in recent years, with benchmarking ESG being critically important for more informed real estate investment decision-making. Using 60 stakeholder interviews with senior real estate executives, this paper examines the strategic issues regarding benchmarking ESG in real estate investment; specifically, identifying areas going forward where ESG benchmarks need to be improved. This includes the issues of granularity, climate resilience and climate risk, as well as an increased focus on outcomes and performance, and using best practice procedures in delivering ESG in real estate investment. Design/methodology/approach: In total, 60 stakeholder interviews were conducted with key real estate players globally to assess the use of ESG benchmarking in real estate investment at various levels (asset/fund-level, listed real estate, delivery, reporting and internal benchmarking), across regions and across different types of real estate investment players (real estate fund manager, real estate investment trust (REIT), institutional investor and real estate advisor). This enabled key strategic insights to be identified for improved ESG benchmarking practices in real estate investment going forward. Findings: There was clear evidence of the need for improved benchmarks for ESG in real estate investment. More focus was needed on performance, outcomes and impacts, with a stronger focus on granularity around the issues of climate resilience and climate risk. Improvements in Global Real Estate Sustainability Benchmark (GRESB), as well as increased attention to Task Force for Climate-Related Financial Disclosures (TCFD) were seen as important initiatives. Clear differences were also seen in the use of these ESG benchmarks on a regional basis; with Australia and Europe seen as the world leaders. These strategic stakeholder insights regarding ESG saw the development of best practice guidelines for the more effective delivery of ESG benchmarks for more informed real estate investment decision-making, as well as a series of recommendations for improving ESG benchmarking in real estate investment. Practical implications: ESG benchmarking is a critical area of real estate investment decision-making today. By utilising stakeholder interviews, the strategic insights from key players in the real estate investment space are identified. In particular, this paper identifies how the…","author":[{"dropping-particle":"","family":"Newell","given":"Graeme","non-dropping-particle":"","parse-names":false,"suffix":""},{"dropping-particle":"","family":"Nanda","given":"Anupam","non-dropping-particle":"","parse-names":false,"suffix":""},{"dropping-particle":"","family":"Moss","given":"Alex","non-dropping-particle":"","parse-names":false,"suffix":""}],"container-title":"Journal of Property Investment and Finance","id":"ITEM-1","issue":"4","issued":{"date-parts":[["2023"]]},"page":"380-405","title":"Improving the benchmarking of ESG in real estate investment","type":"article-journal","volume":"41"},"uris":["http://www.mendeley.com/documents/?uuid=f4f117b6-8c2a-4e00-b1f2-95c8626823d3"]}],"mendeley":{"formattedCitation":"(Newell et al., 2023)","plainTextFormattedCitation":"(Newell et al., 2023)","previouslyFormattedCitation":"(Newell et al., 2023)"},"properties":{"noteIndex":0},"schema":"https://github.com/citation-style-language/schema/raw/master/csl-citation.json"}</w:instrText>
      </w:r>
      <w:r w:rsidR="00CE400C" w:rsidRPr="00B0319E">
        <w:fldChar w:fldCharType="separate"/>
      </w:r>
      <w:r w:rsidR="00CE400C" w:rsidRPr="00A55043">
        <w:rPr>
          <w:noProof/>
        </w:rPr>
        <w:t>(Newell et al., 2023)</w:t>
      </w:r>
      <w:r w:rsidR="00CE400C" w:rsidRPr="00B0319E">
        <w:fldChar w:fldCharType="end"/>
      </w:r>
      <w:r w:rsidRPr="00B0319E">
        <w:t>. The customer relationship aspect has been explored to some extent, particularly in the real estate sector where companies often face backlash over decisions deemed unacceptable by customers and stakeholders, such as significant rent increases or perceived self-serving actions</w:t>
      </w:r>
      <w:r w:rsidR="00CE400C" w:rsidRPr="00B0319E">
        <w:t xml:space="preserve"> </w:t>
      </w:r>
      <w:r w:rsidR="00CE400C" w:rsidRPr="00B0319E">
        <w:fldChar w:fldCharType="begin" w:fldLock="1"/>
      </w:r>
      <w:r w:rsidR="00CE400C" w:rsidRPr="00B0319E">
        <w:instrText>ADDIN CSL_CITATION {"citationItems":[{"id":"ITEM-1","itemData":{"DOI":"10.1080/10835547.2021.1967689","ISSN":"1083-5547","abstract":"… news on REIT market returns. While findings in the general stock market show a greater market reaction to negative news, we find that the REIT market reacts predominantly to positive …","author":[{"dropping-particle":"","family":"Birz","given":"Gene","non-dropping-particle":"","parse-names":false,"suffix":""},{"dropping-particle":"","family":"Devos","given":"Erik","non-dropping-particle":"","parse-names":false,"suffix":""},{"dropping-particle":"","family":"Dutta","given":"Sandip","non-dropping-particle":"","parse-names":false,"suffix":""},{"dropping-particle":"","family":"Tsang","given":"Desmond","non-dropping-particle":"","parse-names":false,"suffix":""}],"container-title":"Journal of Real Estate Portfolio Management","id":"ITEM-1","issue":"1","issued":{"date-parts":[["2021"]]},"page":"43-62","title":"Is Good News Good and Bad News Bad in the REIT Market?","type":"article-journal","volume":"27"},"uris":["http://www.mendeley.com/documents/?uuid=eb70ee02-d485-4302-8901-7e10fe0cb3f3"]},{"id":"ITEM-2","itemData":{"DOI":"10.1080/09599916.2023.2199764","ISSN":"14664453","abstract":"Each week, thousands of newspaper articles on real estate topics are read by market participants. While the market is comparatively intransparent, readers hope to find valuable information. This raises the question of whether this investment of time pays off and whether different types of newspapers are an equivalent source of information. This paper examines the relationship between news-based coverage of real estate topics respectively news-based market sentiment and total returns of the asset classes of residential, office and retail. Using methods of natural language processing, including word embedding, topic modelling and sentiment analysis, three sentiment indicators for each asset class can be derived from 137,000 articles of two trade and two daily newspapers. Our results suggest that trade newspapers outperform daily newspapers in the prediction of future total returns and that the generated sentiment indicators Granger-cause total returns. Moreover, the results indicate that daily newspapers report more negatively on rising returns in the residential market than the trade press. To the best knowledge of the authors, this is the first study to quantify news coverage and sentiment for the main real estate asset classes through means of textual analysis, and to assess different sentiments in trade and daily press.","author":[{"dropping-particle":"","family":"Plößl","given":"Franziska","non-dropping-particle":"","parse-names":false,"suffix":""},{"dropping-particle":"","family":"Martin Paulus","given":"Nino","non-dropping-particle":"","parse-names":false,"suffix":""},{"dropping-particle":"","family":"Just","given":"Tobias","non-dropping-particle":"","parse-names":false,"suffix":""}],"container-title":"Journal of Property Research","id":"ITEM-2","issue":"4","issued":{"date-parts":[["2023"]]},"page":"333-364","publisher":"Routledge","title":"Trade vs. daily press: the role of news coverage and sentiment in real estate market analysis","type":"article-journal","volume":"40"},"uris":["http://www.mendeley.com/documents/?uuid=b2205536-50a0-46cc-8a0e-4702610e8a28"]}],"mendeley":{"formattedCitation":"(Birz et al., 2021; Plößl et al., 2023)","plainTextFormattedCitation":"(Birz et al., 2021; Plößl et al., 2023)","previouslyFormattedCitation":"(Birz et al., 2021; Plößl et al., 2023)"},"properties":{"noteIndex":0},"schema":"https://github.com/citation-style-language/schema/raw/master/csl-citation.json"}</w:instrText>
      </w:r>
      <w:r w:rsidR="00CE400C" w:rsidRPr="00B0319E">
        <w:fldChar w:fldCharType="separate"/>
      </w:r>
      <w:r w:rsidR="00CE400C" w:rsidRPr="00A55043">
        <w:rPr>
          <w:noProof/>
        </w:rPr>
        <w:t>(Birz et al., 2021; Plößl et al., 2023)</w:t>
      </w:r>
      <w:r w:rsidR="00CE400C" w:rsidRPr="00B0319E">
        <w:fldChar w:fldCharType="end"/>
      </w:r>
      <w:r w:rsidRPr="00B0319E">
        <w:t>. These issues have prompted regulatory interventions, setting guidelines for rent increases, for instance</w:t>
      </w:r>
      <w:r w:rsidR="000F780E" w:rsidRPr="00B0319E">
        <w:t xml:space="preserve"> </w:t>
      </w:r>
      <w:r w:rsidR="00CE400C" w:rsidRPr="00B0319E">
        <w:fldChar w:fldCharType="begin" w:fldLock="1"/>
      </w:r>
      <w:r w:rsidR="00EB4671" w:rsidRPr="00B0319E">
        <w:instrText>ADDIN CSL_CITATION {"citationItems":[{"id":"ITEM-1","itemData":{"DOI":"10.1080/10835547.2021.1967689","ISSN":"1083-5547","abstract":"… news on REIT market returns. While findings in the general stock market show a greater market reaction to negative news, we find that the REIT market reacts predominantly to positive …","author":[{"dropping-particle":"","family":"Birz","given":"Gene","non-dropping-particle":"","parse-names":false,"suffix":""},{"dropping-particle":"","family":"Devos","given":"Erik","non-dropping-particle":"","parse-names":false,"suffix":""},{"dropping-particle":"","family":"Dutta","given":"Sandip","non-dropping-particle":"","parse-names":false,"suffix":""},{"dropping-particle":"","family":"Tsang","given":"Desmond","non-dropping-particle":"","parse-names":false,"suffix":""}],"container-title":"Journal of Real Estate Portfolio Management","id":"ITEM-1","issue":"1","issued":{"date-parts":[["2021"]]},"page":"43-62","title":"Is Good News Good and Bad News Bad in the REIT Market?","type":"article-journal","volume":"27"},"uris":["http://www.mendeley.com/documents/?uuid=eb70ee02-d485-4302-8901-7e10fe0cb3f3"]},{"id":"ITEM-2","itemData":{"DOI":"10.1080/09599916.2023.2199764","ISSN":"14664453","abstract":"Each week, thousands of newspaper articles on real estate topics are read by market participants. While the market is comparatively intransparent, readers hope to find valuable information. This raises the question of whether this investment of time pays off and whether different types of newspapers are an equivalent source of information. This paper examines the relationship between news-based coverage of real estate topics respectively news-based market sentiment and total returns of the asset classes of residential, office and retail. Using methods of natural language processing, including word embedding, topic modelling and sentiment analysis, three sentiment indicators for each asset class can be derived from 137,000 articles of two trade and two daily newspapers. Our results suggest that trade newspapers outperform daily newspapers in the prediction of future total returns and that the generated sentiment indicators Granger-cause total returns. Moreover, the results indicate that daily newspapers report more negatively on rising returns in the residential market than the trade press. To the best knowledge of the authors, this is the first study to quantify news coverage and sentiment for the main real estate asset classes through means of textual analysis, and to assess different sentiments in trade and daily press.","author":[{"dropping-particle":"","family":"Plößl","given":"Franziska","non-dropping-particle":"","parse-names":false,"suffix":""},{"dropping-particle":"","family":"Martin Paulus","given":"Nino","non-dropping-particle":"","parse-names":false,"suffix":""},{"dropping-particle":"","family":"Just","given":"Tobias","non-dropping-particle":"","parse-names":false,"suffix":""}],"container-title":"Journal of Property Research","id":"ITEM-2","issue":"4","issued":{"date-parts":[["2023"]]},"page":"333-364","publisher":"Routledge","title":"Trade vs. daily press: the role of news coverage and sentiment in real estate market analysis","type":"article-journal","volume":"40"},"uris":["http://www.mendeley.com/documents/?uuid=b2205536-50a0-46cc-8a0e-4702610e8a28"]},{"id":"ITEM-3","itemData":{"DOI":"10.1016/j.jhe.2024.101983","ISSN":"10960791","abstract":"Rent control is a highly debated social policy that has been omnipresent since World War I. Since the 2010s, it is experiencing a true renaissance, for many cities and countries facing chronic housing shortages are desperately looking for solutions, directing their attention to controling housing rents and other restrictive policies. Is rent control useful or does it create more damage than utility? To answer this question, we need to identify the effects of rent control. This study reviews a large empirical literature investigating the impact of rent controls on various socioeconomic and demographic aspects. Rent controls appear to be quite effective in terms of slowing the growth of rents paid for dwellings subject to control. However, this policy also leads to a wide range of adverse effects affecting the whole society.","author":[{"dropping-particle":"","family":"Kholodilin","given":"Konstantin A.","non-dropping-particle":"","parse-names":false,"suffix":""}],"container-title":"Journal of Housing Economics","id":"ITEM-3","issued":{"date-parts":[["2024"]]},"page":"101983","publisher":"Elsevier Inc.","title":"Rent control effects through the lens of empirical research: An almost complete review of the literature","type":"article-journal","volume":"63"},"uris":["http://www.mendeley.com/documents/?uuid=c710fa40-eb8f-426d-b439-8c7e3a3d0bda"]}],"mendeley":{"formattedCitation":"(Birz et al., 2021; Kholodilin, 2024; Plößl et al., 2023)","plainTextFormattedCitation":"(Birz et al., 2021; Kholodilin, 2024; Plößl et al., 2023)","previouslyFormattedCitation":"(Birz et al., 2021; Kholodilin, 2024; Plößl et al., 2023)"},"properties":{"noteIndex":0},"schema":"https://github.com/citation-style-language/schema/raw/master/csl-citation.json"}</w:instrText>
      </w:r>
      <w:r w:rsidR="00CE400C" w:rsidRPr="00B0319E">
        <w:fldChar w:fldCharType="separate"/>
      </w:r>
      <w:r w:rsidR="00AE2BB2" w:rsidRPr="00A55043">
        <w:rPr>
          <w:noProof/>
        </w:rPr>
        <w:t>(Birz et al., 2021; Kholodilin, 2024; Plößl et al., 2023)</w:t>
      </w:r>
      <w:r w:rsidR="00CE400C" w:rsidRPr="00B0319E">
        <w:fldChar w:fldCharType="end"/>
      </w:r>
      <w:r w:rsidRPr="00B0319E">
        <w:t xml:space="preserve">. </w:t>
      </w:r>
    </w:p>
    <w:p w14:paraId="756089E7" w14:textId="2AFCCDB0" w:rsidR="00C95BAE" w:rsidRPr="00B0319E" w:rsidRDefault="00DC15C1" w:rsidP="00A95038">
      <w:r w:rsidRPr="00B0319E">
        <w:t xml:space="preserve">The social dimension of ESG also encompasses the relationship with the community, given that construction projects, whether they result in residential buildings, hotels, or office spaces, </w:t>
      </w:r>
      <w:r w:rsidRPr="00B0319E">
        <w:lastRenderedPageBreak/>
        <w:t>significantly impact the community and are closely monitored for their progress and potential issues</w:t>
      </w:r>
      <w:r w:rsidR="00ED235F" w:rsidRPr="00B0319E">
        <w:t xml:space="preserve"> </w:t>
      </w:r>
      <w:r w:rsidR="00ED235F" w:rsidRPr="00B0319E">
        <w:fldChar w:fldCharType="begin" w:fldLock="1"/>
      </w:r>
      <w:r w:rsidR="00ED235F" w:rsidRPr="00B0319E">
        <w:instrText>ADDIN CSL_CITATION {"citationItems":[{"id":"ITEM-1","itemData":{"DOI":"10.3390/buildings2020126","ISSN":"2075-5309","abstract":"This paper presents a conceptual framework aimed at implementing sustainability principles in the building industry. The proposed framework based on the sustainable triple bottom line principle, includes resource conservation, cost efficiency and design for human adaptation. Following a thorough literature review, each principle involving strategies and methods to be applied during the life cycle of building projects is explained and a few case studies are presented for clarity on the methods. The framework will allow design teams to have an appropriate balance between economic, social and environmental issues, changing the way construction practitioners think about the information they use when assessing building projects, thereby facilitating the sustainability of building industry.","author":[{"dropping-particle":"","family":"Akadiri","given":"Peter O.","non-dropping-particle":"","parse-names":false,"suffix":""},{"dropping-particle":"","family":"Chinyio","given":"Ezekiel A.","non-dropping-particle":"","parse-names":false,"suffix":""},{"dropping-particle":"","family":"Olomolaiye","given":"Paul O.","non-dropping-particle":"","parse-names":false,"suffix":""}],"container-title":"Buildings","id":"ITEM-1","issue":"2","issued":{"date-parts":[["2012"]]},"page":"126-152","title":"Design of A Sustainable Building: A Conceptual Framework for Implementing Sustainability in the Building Sector","type":"article-journal"},"uris":["http://www.mendeley.com/documents/?uuid=10b91ef2-a3ad-46c5-b5e8-661472cda24a"]},{"id":"ITEM-2","itemData":{"DOI":"10.1108/MF-12-2021-0593","ISSN":"17587743","abstract":"Purpose: The purpose of the paper is to examine the relationship between the Environmental, Social and Governance (ESG) performance of Real Estate Investment Trusts (REITs) and their operational efficiency and performance. Design/methodology/approach: The authors use S&amp;P Global (formerly SNL Real Estate) for the study analyses and examine all publicly traded REITs based in the United States over the 2019–2020 sample period. The authors regress the measures of REIT operational efficiency and operational performance on REIT ESG scores while controlling for REIT characteristics and use an ordinary least squares (OLS) estimation model with heteroscedasticity-robust standard errors. The authors also run additional regressions to examine the implications of operational efficiency on the relationship between ESG and operational performance. Findings: The authors find that REITs that perform well on the ESG scale have higher operational efficiency. In addition, the authors find that REITs with better ESG scores are associated with better operational performance. Finally, the authors find that the positive association between ESG scores and operational performance is stronger in REITs with higher operational efficiency. Practical implications: First, the adoption of ESG adds value to the REIT in terms of increased operational performance and efficiency. Second, the value addition of ESG to an REIT is driven by the better operational efficiency of some REITs over the others. Therefore, the authors’ findings suggest that REITs that currently score poorly on ESG performance would first need to focus on all the possible avenues to improve economies of scale and hence operational efficiency. This approach would help ensure that when those REITs adopt ESG initiatives, they get the most bang for their buck. Originality/value: To the best of the authors’ knowledge, this is the first study that relates operational efficiency and operational performance of REITs to their ESG scores.","author":[{"dropping-particle":"","family":"Aroul","given":"Ramya Rajajagadeesan","non-dropping-particle":"","parse-names":false,"suffix":""},{"dropping-particle":"","family":"Sabherwal","given":"Sanjiv","non-dropping-particle":"","parse-names":false,"suffix":""},{"dropping-particle":"V.","family":"Villupuram","given":"Sriram","non-dropping-particle":"","parse-names":false,"suffix":""}],"container-title":"Managerial Finance","id":"ITEM-2","issue":"8","issued":{"date-parts":[["2022"]]},"page":"1206-1220","title":"ESG, operational efficiency and operational performance: evidence from Real Estate Investment Trusts","type":"article-journal","volume":"48"},"uris":["http://www.mendeley.com/documents/?uuid=98716b0f-2577-42ff-b94a-289990d3076b"]},{"id":"ITEM-3","itemData":{"DOI":"https://dx.doi.org/10.1787/5jzbcx0czc0x-en","abstract":"Housing is a core element of people’s material living standards. It is essential to meet basic needs, such as for shelter from weather conditions, and to offer a sense of personal security, privacy and personal space. Good housing conditions are also essential for people’s health and affect childhood development. Further, housing costs make up a large share of the household budget and constitute the main component of household wealth. Residential satisfaction is a broad concept, and is associated with multidimensional aspects including physical, social, and neighbourhood factors, as well as psychological and sociodemographic characteristics of the residents. By taking advantage of two household surveys (the EU-SILC ad hoc module on housing for European countries; and the Gallup World Poll for OECD countries and other major economies), this paper uses ordered probit analysis to explore the link between households’ residential satisfaction and a number of variables related to individuals, the households to which they belong, and the characteristics of the dwelling and neighbourhood where they live. The major findings of this analysis show a complex relationship between residential satisfaction and housing characteristics including neighbourhood’s features. Individual and household socio-demographic characteristics (e.g. age, gender, education) play a secondary role once dwelling and neighbourhood features are controlled for. Understanding the factors that lead to satisfaction with housing and residential environment is key for planning successful and effective housing policies.","author":[{"dropping-particle":"","family":"Balestra","given":"Carlotta","non-dropping-particle":"","parse-names":false,"suffix":""},{"dropping-particle":"","family":"Sultan","given":"Joyce","non-dropping-particle":"","parse-names":false,"suffix":""}],"container-title":"OECD Statistics Working Papers","id":"ITEM-3","issued":{"date-parts":[["2013"]]},"number":"54","title":"Home Sweet Home: The Determinants of Residential Satisfaction and its Relation with Well- being","type":"report"},"uris":["http://www.mendeley.com/documents/?uuid=55bd4cba-9fb7-4151-82e7-e0853e536b7f"]}],"mendeley":{"formattedCitation":"(Akadiri et al., 2012; Aroul et al., 2022; Balestra &amp; Sultan, 2013)","plainTextFormattedCitation":"(Akadiri et al., 2012; Aroul et al., 2022; Balestra &amp; Sultan, 2013)","previouslyFormattedCitation":"(Akadiri et al., 2012; Aroul et al., 2022; Balestra &amp; Sultan, 2013)"},"properties":{"noteIndex":0},"schema":"https://github.com/citation-style-language/schema/raw/master/csl-citation.json"}</w:instrText>
      </w:r>
      <w:r w:rsidR="00ED235F" w:rsidRPr="00B0319E">
        <w:fldChar w:fldCharType="separate"/>
      </w:r>
      <w:r w:rsidR="00ED235F" w:rsidRPr="00A55043">
        <w:rPr>
          <w:noProof/>
        </w:rPr>
        <w:t>(Akadiri et al., 2012; Aroul et al., 2022; Balestra &amp; Sultan, 2013)</w:t>
      </w:r>
      <w:r w:rsidR="00ED235F" w:rsidRPr="00B0319E">
        <w:fldChar w:fldCharType="end"/>
      </w:r>
      <w:r w:rsidR="00ED235F" w:rsidRPr="00B0319E">
        <w:t>.</w:t>
      </w:r>
      <w:r w:rsidR="00141921" w:rsidRPr="00B0319E">
        <w:t xml:space="preserve"> </w:t>
      </w:r>
      <w:r w:rsidR="00240A5C" w:rsidRPr="00B0319E">
        <w:t>T</w:t>
      </w:r>
      <w:r w:rsidR="00612AEA" w:rsidRPr="00B0319E">
        <w:t xml:space="preserve">he mentioned </w:t>
      </w:r>
      <w:r w:rsidR="00245926" w:rsidRPr="00B0319E">
        <w:t xml:space="preserve">areas have received considerable attention due to the potential </w:t>
      </w:r>
      <w:r w:rsidR="00AC40B2" w:rsidRPr="00B0319E">
        <w:t>impacts</w:t>
      </w:r>
      <w:r w:rsidR="00245926" w:rsidRPr="00B0319E">
        <w:t xml:space="preserve"> of tenant and stakeholder dissatisfaction. Negative publicity and a tarnished reputation can escalate financing costs, underscoring the financial implications of social considerations in ESG</w:t>
      </w:r>
      <w:r w:rsidR="00C1709D" w:rsidRPr="00B0319E">
        <w:t xml:space="preserve"> </w:t>
      </w:r>
      <w:r w:rsidR="00EB4671" w:rsidRPr="00B0319E">
        <w:fldChar w:fldCharType="begin" w:fldLock="1"/>
      </w:r>
      <w:r w:rsidR="00E101B1" w:rsidRPr="00B0319E">
        <w:instrText>ADDIN CSL_CITATION {"citationItems":[{"id":"ITEM-1","itemData":{"DOI":"10.1111/joes.12599","ISSN":"14676419","abstract":"This study examines the recent literature on the expectations, beliefs and perceptions of investors who incorporate Environmental, Social, Governance (ESG) considerations in investment decisions with the aim to generate superior performance or make a societal impact. Through the lens of equilibrium models of agents with heterogeneous tastes for ESG investments, green assets are expected to generate lower returns in the long run compared to their non-ESG counterparts. However, in the short run, ESG investments can outperform non-ESG investments through various channels. Empirically, results for the relative performance to ESG investment are mixed. We find strong empirical evidence in the literature that investors have a preference for ESG and that their actions can generate positive social impact through engagement. The shift towards more sustainable policies in firms is motivated by the increased market values and the lower cost of capital of green firms driven by investors’ choices.","author":[{"dropping-particle":"","family":"Kräussl","given":"Roman","non-dropping-particle":"","parse-names":false,"suffix":""},{"dropping-particle":"","family":"Oladiran","given":"Tobi","non-dropping-particle":"","parse-names":false,"suffix":""},{"dropping-particle":"","family":"Stefanova","given":"Denitsa","non-dropping-particle":"","parse-names":false,"suffix":""}],"container-title":"Journal of Economic Surveys","id":"ITEM-1","issued":{"date-parts":[["2024"]]},"page":"476-502","title":"A review on ESG investing: Investors’ expectations, beliefs and perceptions","type":"article-journal","volume":"38"},"uris":["http://www.mendeley.com/documents/?uuid=00566512-ddfd-46f3-b716-29ee8c120807"]},{"id":"ITEM-2","itemData":{"DOI":"10.1002/csr.2134","ISSN":"15353966","abstract":"In recent years, greater attention has been paid to sustainability issues. Companies have received increasing pressure from stakeholders to adopt sustainable behavior and provide an adequate representation of sustainability practices. Nonfinancial disclosure has thus taken on a crucial role. In the academic field, several researchers have analyzed the effects of nonfinancial disclosure. However, limited attention has been paid to the impact of nonfinancial information on the cost of debt. This study aims at bridging this gap by analyzing the effect of ESG disclosure on the cost of debt. The fixed effects analysis conducted on a sample of 8264 observations (an unbalanced panel data of 919 firms for the period 2010–2019), shows a negative effect of the ESG disclosure on the cost of debt financing. The results demonstrate that companies with greater levels of transparency in the dissemination of ESG information benefit from accessing third party financial resources at better conditions.","author":[{"dropping-particle":"","family":"Raimo","given":"Nicola","non-dropping-particle":"","parse-names":false,"suffix":""},{"dropping-particle":"","family":"Caragnano","given":"Alessandra","non-dropping-particle":"","parse-names":false,"suffix":""},{"dropping-particle":"","family":"Zito","given":"Marianna","non-dropping-particle":"","parse-names":false,"suffix":""},{"dropping-particle":"","family":"Vitolla","given":"Filippo","non-dropping-particle":"","parse-names":false,"suffix":""},{"dropping-particle":"","family":"Mariani","given":"Massimo","non-dropping-particle":"","parse-names":false,"suffix":""}],"container-title":"Corporate Social Responsibility and Environmental Management","id":"ITEM-2","issued":{"date-parts":[["2021"]]},"page":"1412-1421","title":"Extending the benefits of ESG disclosure: The effect on the cost of debt financing","type":"article-journal","volume":"28"},"uris":["http://www.mendeley.com/documents/?uuid=38a64d8e-421f-4dc6-a437-25d6e072aec8"]},{"id":"ITEM-3","itemData":{"ISBN":"9781783215171","author":[{"dropping-particle":"","family":"Scherrenberg","given":"J.","non-dropping-particle":"","parse-names":false,"suffix":""},{"dropping-particle":"","family":"Wessels","given":"P.","non-dropping-particle":"","parse-names":false,"suffix":""},{"dropping-particle":"","family":"Nelisse","given":"P.","non-dropping-particle":"","parse-names":false,"suffix":""}],"editor":[{"dropping-particle":"","family":"Birch","given":"Sam","non-dropping-particle":"","parse-names":false,"suffix":""}],"id":"ITEM-3","issue":"January","issued":{"date-parts":[["2024"]]},"title":"The future of real estate valuations: the impact of ESG","type":"report"},"uris":["http://www.mendeley.com/documents/?uuid=2be7aa8f-c14b-4336-be1a-f6c029a1da42"]}],"mendeley":{"formattedCitation":"(Kräussl et al., 2024; Raimo et al., 2021; Scherrenberg et al., 2024)","plainTextFormattedCitation":"(Kräussl et al., 2024; Raimo et al., 2021; Scherrenberg et al., 2024)","previouslyFormattedCitation":"(Kräussl et al., 2024; Raimo et al., 2021; Scherrenberg et al., 2024)"},"properties":{"noteIndex":0},"schema":"https://github.com/citation-style-language/schema/raw/master/csl-citation.json"}</w:instrText>
      </w:r>
      <w:r w:rsidR="00EB4671" w:rsidRPr="00B0319E">
        <w:fldChar w:fldCharType="separate"/>
      </w:r>
      <w:r w:rsidR="00EB4671" w:rsidRPr="00A55043">
        <w:rPr>
          <w:noProof/>
        </w:rPr>
        <w:t>(Kräussl et al., 2024; Raimo et al., 2021; Scherrenberg et al., 2024)</w:t>
      </w:r>
      <w:r w:rsidR="00EB4671" w:rsidRPr="00B0319E">
        <w:fldChar w:fldCharType="end"/>
      </w:r>
      <w:r w:rsidR="00245926" w:rsidRPr="00B0319E">
        <w:t>.</w:t>
      </w:r>
      <w:r w:rsidR="00D636A1" w:rsidRPr="00B0319E">
        <w:t xml:space="preserve"> </w:t>
      </w:r>
      <w:r w:rsidR="00E13720" w:rsidRPr="00B0319E">
        <w:t xml:space="preserve">However, </w:t>
      </w:r>
      <w:r w:rsidR="000F780E" w:rsidRPr="00B0319E">
        <w:t>the case of</w:t>
      </w:r>
      <w:r w:rsidR="00E13720" w:rsidRPr="00B0319E">
        <w:t xml:space="preserve"> employee </w:t>
      </w:r>
      <w:r w:rsidR="00A451E4" w:rsidRPr="00B0319E">
        <w:t>relations</w:t>
      </w:r>
      <w:r w:rsidR="00E13720" w:rsidRPr="00B0319E">
        <w:t> </w:t>
      </w:r>
      <w:r w:rsidR="00631794" w:rsidRPr="00B0319E">
        <w:t>represents a largely untapped research opportunity</w:t>
      </w:r>
      <w:r w:rsidR="00D16CA5" w:rsidRPr="00B0319E">
        <w:t>, even when</w:t>
      </w:r>
      <w:r w:rsidR="00AC0C69" w:rsidRPr="00B0319E">
        <w:t xml:space="preserve"> </w:t>
      </w:r>
      <w:r w:rsidR="00117238" w:rsidRPr="00B0319E">
        <w:t>investments in the relation</w:t>
      </w:r>
      <w:r w:rsidR="004302E1" w:rsidRPr="00B0319E">
        <w:t>ship</w:t>
      </w:r>
      <w:r w:rsidR="00117238" w:rsidRPr="00B0319E">
        <w:t xml:space="preserve"> </w:t>
      </w:r>
      <w:r w:rsidR="004302E1" w:rsidRPr="00B0319E">
        <w:t>with</w:t>
      </w:r>
      <w:r w:rsidR="00117238" w:rsidRPr="00B0319E">
        <w:t xml:space="preserve"> employees</w:t>
      </w:r>
      <w:r w:rsidR="00D16CA5" w:rsidRPr="00B0319E">
        <w:t xml:space="preserve"> can have a positive financial impact on the company’s performance</w:t>
      </w:r>
      <w:r w:rsidR="006647EC" w:rsidRPr="00B0319E">
        <w:t xml:space="preserve"> </w:t>
      </w:r>
      <w:r w:rsidR="006647EC" w:rsidRPr="00B0319E">
        <w:fldChar w:fldCharType="begin" w:fldLock="1"/>
      </w:r>
      <w:r w:rsidR="006647EC" w:rsidRPr="00B0319E">
        <w:instrText>ADDIN CSL_CITATION {"citationItems":[{"id":"ITEM-1","itemData":{"DOI":"10.1108/MD-05-2016-0308","ISSN":"00251747","abstract":"Purpose: The purpose of this paper is to examine the association between corporate social responsibility (CSR) and employee satisfaction. The study proposes and empirically tests two hypotheses: that CSR is positively associated with employee satisfaction, and that organizational image mediates the relationship between CSR and employee satisfaction. Design/methodology/approach: The hypotheses were tested through regression analyses, using data from 85,167 questionnaires completed by employees at 381 Brazilian companies, as well as data pertaining to the “breadth” of CSR engagement of those same companies. Findings: The results of this study provide evidence that CSR-oriented actions undertaken by companies will lead to a better organizational image, and this, in turn, will lead to greater employee satisfaction. Practical implications: Because employee behaviour influences organizational outcomes and higher job satisfaction may lead to greater employee commitment to organizational goals and values, understanding the impact of CSR on employee satisfaction is relevant to corporate performance. Originality/value: The study contributes to the body of empirical research on CSR by investigating the underlying mechanisms linking CSR with employee behaviour. Scholars in the area of CSR regularly explore the outcomes and impacts of CSR actions on internal and external stakeholders. However, the impacts of CSR for a critical group of stakeholders – namely, employees – and its underlying mechanisms are understudied in the CSR literature.","author":[{"dropping-particle":"","family":"Barakat","given":"Simone R.","non-dropping-particle":"","parse-names":false,"suffix":""},{"dropping-particle":"","family":"Isabella","given":"Giuliana","non-dropping-particle":"","parse-names":false,"suffix":""},{"dropping-particle":"","family":"Boaventura","given":"João Maurício Gama","non-dropping-particle":"","parse-names":false,"suffix":""},{"dropping-particle":"","family":"Mazzon","given":"José Afonso","non-dropping-particle":"","parse-names":false,"suffix":""}],"container-title":"Management Decision","id":"ITEM-1","issue":"9","issued":{"date-parts":[["2016"]]},"page":"2325-2339","title":"The influence of corporate social responsibility on employee satisfaction","type":"article-journal","volume":"54"},"uris":["http://www.mendeley.com/documents/?uuid=be4cd7d1-8fa2-482c-a285-b7d1fefd6a68"]},{"id":"ITEM-2","itemData":{"DOI":"10.1108/JPIF-10-2021-0084","ISSN":"1463578X","abstract":"Purpose: Environment, social, governance (ESG) has taken on increased importance in real estate investment in recent years, with benchmarking ESG being critically important for more informed real estate investment decision-making. Using 60 stakeholder interviews with senior real estate executives, this paper examines the strategic issues regarding benchmarking ESG in real estate investment; specifically, identifying areas going forward where ESG benchmarks need to be improved. This includes the issues of granularity, climate resilience and climate risk, as well as an increased focus on outcomes and performance, and using best practice procedures in delivering ESG in real estate investment. Design/methodology/approach: In total, 60 stakeholder interviews were conducted with key real estate players globally to assess the use of ESG benchmarking in real estate investment at various levels (asset/fund-level, listed real estate, delivery, reporting and internal benchmarking), across regions and across different types of real estate investment players (real estate fund manager, real estate investment trust (REIT), institutional investor and real estate advisor). This enabled key strategic insights to be identified for improved ESG benchmarking practices in real estate investment going forward. Findings: There was clear evidence of the need for improved benchmarks for ESG in real estate investment. More focus was needed on performance, outcomes and impacts, with a stronger focus on granularity around the issues of climate resilience and climate risk. Improvements in Global Real Estate Sustainability Benchmark (GRESB), as well as increased attention to Task Force for Climate-Related Financial Disclosures (TCFD) were seen as important initiatives. Clear differences were also seen in the use of these ESG benchmarks on a regional basis; with Australia and Europe seen as the world leaders. These strategic stakeholder insights regarding ESG saw the development of best practice guidelines for the more effective delivery of ESG benchmarks for more informed real estate investment decision-making, as well as a series of recommendations for improving ESG benchmarking in real estate investment. Practical implications: ESG benchmarking is a critical area of real estate investment decision-making today. By utilising stakeholder interviews, the strategic insights from key players in the real estate investment space are identified. In particular, this paper identifies how the…","author":[{"dropping-particle":"","family":"Newell","given":"Graeme","non-dropping-particle":"","parse-names":false,"suffix":""},{"dropping-particle":"","family":"Nanda","given":"Anupam","non-dropping-particle":"","parse-names":false,"suffix":""},{"dropping-particle":"","family":"Moss","given":"Alex","non-dropping-particle":"","parse-names":false,"suffix":""}],"container-title":"Journal of Property Investment and Finance","id":"ITEM-2","issue":"4","issued":{"date-parts":[["2023"]]},"page":"380-405","title":"Improving the benchmarking of ESG in real estate investment","type":"article-journal","volume":"41"},"uris":["http://www.mendeley.com/documents/?uuid=f4f117b6-8c2a-4e00-b1f2-95c8626823d3"]}],"mendeley":{"formattedCitation":"(Barakat et al., 2016; Newell et al., 2023)","plainTextFormattedCitation":"(Barakat et al., 2016; Newell et al., 2023)","previouslyFormattedCitation":"(Barakat et al., 2016; Newell et al., 2023)"},"properties":{"noteIndex":0},"schema":"https://github.com/citation-style-language/schema/raw/master/csl-citation.json"}</w:instrText>
      </w:r>
      <w:r w:rsidR="006647EC" w:rsidRPr="00B0319E">
        <w:fldChar w:fldCharType="separate"/>
      </w:r>
      <w:r w:rsidR="006647EC" w:rsidRPr="00A55043">
        <w:rPr>
          <w:noProof/>
        </w:rPr>
        <w:t>(Barakat et al., 2016; Newell et al., 2023)</w:t>
      </w:r>
      <w:r w:rsidR="006647EC" w:rsidRPr="00B0319E">
        <w:fldChar w:fldCharType="end"/>
      </w:r>
      <w:r w:rsidR="00E0250F" w:rsidRPr="00B0319E">
        <w:t xml:space="preserve">. </w:t>
      </w:r>
    </w:p>
    <w:p w14:paraId="74A0CFB3" w14:textId="44B0DA10" w:rsidR="00E0250F" w:rsidRPr="00B0319E" w:rsidRDefault="00173994" w:rsidP="00A95038">
      <w:r>
        <w:t>The real estate industry has not yet sufficiently researched this area</w:t>
      </w:r>
      <w:r w:rsidR="00E0250F" w:rsidRPr="00B0319E">
        <w:t xml:space="preserve">, as customer relations and environmental impact </w:t>
      </w:r>
      <w:r>
        <w:t xml:space="preserve">receive </w:t>
      </w:r>
      <w:r w:rsidR="00E0250F" w:rsidRPr="00B0319E">
        <w:t xml:space="preserve">greater </w:t>
      </w:r>
      <w:r>
        <w:t>attention</w:t>
      </w:r>
      <w:r w:rsidR="00E0250F" w:rsidRPr="00B0319E">
        <w:t xml:space="preserve"> in society and the </w:t>
      </w:r>
      <w:r>
        <w:t>media</w:t>
      </w:r>
      <w:r w:rsidR="006C763B" w:rsidRPr="00B0319E">
        <w:t>.</w:t>
      </w:r>
      <w:r w:rsidR="00E0250F" w:rsidRPr="00B0319E">
        <w:t xml:space="preserve"> </w:t>
      </w:r>
      <w:r w:rsidR="006C763B" w:rsidRPr="00B0319E">
        <w:t>T</w:t>
      </w:r>
      <w:r w:rsidR="00E0250F" w:rsidRPr="00B0319E">
        <w:t>he perception in society has a major influence on how the company and its projects are perceived</w:t>
      </w:r>
      <w:r w:rsidR="008A6684" w:rsidRPr="00B0319E">
        <w:t xml:space="preserve"> and valued</w:t>
      </w:r>
      <w:r w:rsidR="00E0250F" w:rsidRPr="00B0319E">
        <w:t xml:space="preserve"> </w:t>
      </w:r>
      <w:r w:rsidR="00E0250F" w:rsidRPr="00B0319E">
        <w:fldChar w:fldCharType="begin" w:fldLock="1"/>
      </w:r>
      <w:r w:rsidR="00B969F0" w:rsidRPr="00B0319E">
        <w:instrText>ADDIN CSL_CITATION {"citationItems":[{"id":"ITEM-1","itemData":{"DOI":"10.1371/journal.pone.0257323","ISBN":"1111111111","ISSN":"19326203","PMID":"34520492","abstract":"There are two different concepts of corporate reputation grounded in individual and collective perceptions, respectively. The aim of this study was to identify how these two ways of conceiving of corporate reputation affect investors’ decisions about whether or not to buy stock in a given company. As this problem tackles individual decision-making processes, we designed and applied an incentivised economic experiment based on vignette studies and focused on individual decisions of single investors. Subjects took part in an online game that imitates stock exchange conditions and that concerns corporate reputation and investing. We found that the individual propensity to invest is not directly based on an investor’s perception (rooted in historical share price and other objective metrics) of a firm’s reputation but rather on an investor’s subjective recognition of collective corporate reputation in the market. This suggests a need to rethink the popular measures of corporate reputation in the context of studies of stock market investor decisions.","author":[{"dropping-particle":"","family":"Blajer-Gołębiewska","given":"Anna","non-dropping-particle":"","parse-names":false,"suffix":""}],"container-title":"PLoS ONE","id":"ITEM-1","issue":"9","issued":{"date-parts":[["2021"]]},"page":"1-21","title":"Individual corporate reputation and perception of collective corporate reputation regarding stock market investments","type":"article-journal","volume":"16"},"uris":["http://www.mendeley.com/documents/?uuid=9fa762b1-f5fd-4ac4-a478-86f46a33ba6f"]},{"id":"ITEM-2","itemData":{"DOI":"10.1007/s10551-020-04642-x","ISBN":"0123456789","ISSN":"15730697","abstract":"Corporate reputation is decisive for stakeholders’ supporting or repelling behavior and, therefore, one of firms’ most valuable intangible resources. Drawing on signaling theory, this paper focuses on the usefulness of voluntarily provided corporate reputation disclosures (CRDs) and examines their impact on stakeholders’ attitudinal and behavioral outcomes. Our experimental vignette studies reveal that CRDs reduce stakeholders’ information asymmetries, which positively affects perceived organizational performance and corporate reputation as well as stakeholders’ purchase, investment, and employment intentions. The relationships between CRDs and stakeholders’ behavioral intentions are sequentially mediated by changes in the perceived organizational performance and corporate reputation. This implies that stakeholders use the signals transmitted by CRDs to adjust their perceptions of a firm’s organizational performance and corporate reputation, which ultimately induces their behavioral outcomes. Overall, our empirical results show the usefulness of CRDs for firms in effectively developing stakeholder relationships and, thereby, contributing to assure their going concern. For stakeholders, CRDs improve efficiency in evaluating a firm’s future development.","author":[{"dropping-particle":"","family":"Baumgartner","given":"Kim T.","non-dropping-particle":"","parse-names":false,"suffix":""},{"dropping-particle":"","family":"Ernst","given":"Carolin A.","non-dropping-particle":"","parse-names":false,"suffix":""},{"dropping-particle":"","family":"Fischer","given":"Thomas M.","non-dropping-particle":"","parse-names":false,"suffix":""}],"container-title":"Journal of Business Ethics","id":"ITEM-2","issue":"2","issued":{"date-parts":[["2022"]]},"page":"361-389","publisher":"Springer Netherlands","title":"How Corporate Reputation Disclosures Affect Stakeholders’ Behavioral Intentions: Mediating Mechanisms of Perceived Organizational Performance and Corporate Reputation","type":"article-journal","volume":"175"},"uris":["http://www.mendeley.com/documents/?uuid=5cf12d33-a6c8-415b-a7e4-c323fe9d9c47"]},{"id":"ITEM-3","itemData":{"DOI":"10.1108/JPIF-10-2021-0084","ISSN":"1463578X","abstract":"Purpose: Environment, social, governance (ESG) has taken on increased importance in real estate investment in recent years, with benchmarking ESG being critically important for more informed real estate investment decision-making. Using 60 stakeholder interviews with senior real estate executives, this paper examines the strategic issues regarding benchmarking ESG in real estate investment; specifically, identifying areas going forward where ESG benchmarks need to be improved. This includes the issues of granularity, climate resilience and climate risk, as well as an increased focus on outcomes and performance, and using best practice procedures in delivering ESG in real estate investment. Design/methodology/approach: In total, 60 stakeholder interviews were conducted with key real estate players globally to assess the use of ESG benchmarking in real estate investment at various levels (asset/fund-level, listed real estate, delivery, reporting and internal benchmarking), across regions and across different types of real estate investment players (real estate fund manager, real estate investment trust (REIT), institutional investor and real estate advisor). This enabled key strategic insights to be identified for improved ESG benchmarking practices in real estate investment going forward. Findings: There was clear evidence of the need for improved benchmarks for ESG in real estate investment. More focus was needed on performance, outcomes and impacts, with a stronger focus on granularity around the issues of climate resilience and climate risk. Improvements in Global Real Estate Sustainability Benchmark (GRESB), as well as increased attention to Task Force for Climate-Related Financial Disclosures (TCFD) were seen as important initiatives. Clear differences were also seen in the use of these ESG benchmarks on a regional basis; with Australia and Europe seen as the world leaders. These strategic stakeholder insights regarding ESG saw the development of best practice guidelines for the more effective delivery of ESG benchmarks for more informed real estate investment decision-making, as well as a series of recommendations for improving ESG benchmarking in real estate investment. Practical implications: ESG benchmarking is a critical area of real estate investment decision-making today. By utilising stakeholder interviews, the strategic insights from key players in the real estate investment space are identified. In particular, this paper identifies how the…","author":[{"dropping-particle":"","family":"Newell","given":"Graeme","non-dropping-particle":"","parse-names":false,"suffix":""},{"dropping-particle":"","family":"Nanda","given":"Anupam","non-dropping-particle":"","parse-names":false,"suffix":""},{"dropping-particle":"","family":"Moss","given":"Alex","non-dropping-particle":"","parse-names":false,"suffix":""}],"container-title":"Journal of Property Investment and Finance","id":"ITEM-3","issue":"4","issued":{"date-parts":[["2023"]]},"page":"380-405","title":"Improving the benchmarking of ESG in real estate investment","type":"article-journal","volume":"41"},"uris":["http://www.mendeley.com/documents/?uuid=f4f117b6-8c2a-4e00-b1f2-95c8626823d3"]}],"mendeley":{"formattedCitation":"(Baumgartner et al., 2022; Blajer-Gołębiewska, 2021; Newell et al., 2023)","plainTextFormattedCitation":"(Baumgartner et al., 2022; Blajer-Gołębiewska, 2021; Newell et al., 2023)","previouslyFormattedCitation":"(Baumgartner et al., 2022; Blajer-Gołębiewska, 2021; Newell et al., 2023)"},"properties":{"noteIndex":0},"schema":"https://github.com/citation-style-language/schema/raw/master/csl-citation.json"}</w:instrText>
      </w:r>
      <w:r w:rsidR="00E0250F" w:rsidRPr="00B0319E">
        <w:fldChar w:fldCharType="separate"/>
      </w:r>
      <w:r w:rsidR="006647EC" w:rsidRPr="00A55043">
        <w:rPr>
          <w:noProof/>
        </w:rPr>
        <w:t>(Baumgartner et al., 2022; Blajer-Gołębiewska, 2021; Newell et al., 2023)</w:t>
      </w:r>
      <w:r w:rsidR="00E0250F" w:rsidRPr="00B0319E">
        <w:fldChar w:fldCharType="end"/>
      </w:r>
      <w:r w:rsidR="00E0250F" w:rsidRPr="00B0319E">
        <w:t xml:space="preserve">. Investors are more cautious when it comes to investing in companies that have a bad reputation </w:t>
      </w:r>
      <w:r w:rsidR="00E0250F" w:rsidRPr="00B0319E">
        <w:fldChar w:fldCharType="begin" w:fldLock="1"/>
      </w:r>
      <w:r w:rsidR="00BA7325" w:rsidRPr="00B0319E">
        <w:instrText>ADDIN CSL_CITATION {"citationItems":[{"id":"ITEM-1","itemData":{"DOI":"10.1371/journal.pone.0257323","ISBN":"1111111111","ISSN":"19326203","PMID":"34520492","abstract":"There are two different concepts of corporate reputation grounded in individual and collective perceptions, respectively. The aim of this study was to identify how these two ways of conceiving of corporate reputation affect investors’ decisions about whether or not to buy stock in a given company. As this problem tackles individual decision-making processes, we designed and applied an incentivised economic experiment based on vignette studies and focused on individual decisions of single investors. Subjects took part in an online game that imitates stock exchange conditions and that concerns corporate reputation and investing. We found that the individual propensity to invest is not directly based on an investor’s perception (rooted in historical share price and other objective metrics) of a firm’s reputation but rather on an investor’s subjective recognition of collective corporate reputation in the market. This suggests a need to rethink the popular measures of corporate reputation in the context of studies of stock market investor decisions.","author":[{"dropping-particle":"","family":"Blajer-Gołębiewska","given":"Anna","non-dropping-particle":"","parse-names":false,"suffix":""}],"container-title":"PLoS ONE","id":"ITEM-1","issue":"9","issued":{"date-parts":[["2021"]]},"page":"1-21","title":"Individual corporate reputation and perception of collective corporate reputation regarding stock market investments","type":"article-journal","volume":"16"},"uris":["http://www.mendeley.com/documents/?uuid=9fa762b1-f5fd-4ac4-a478-86f46a33ba6f"]},{"id":"ITEM-2","itemData":{"DOI":"10.1111/joes.12599","ISSN":"14676419","abstract":"This study examines the recent literature on the expectations, beliefs and perceptions of investors who incorporate Environmental, Social, Governance (ESG) considerations in investment decisions with the aim to generate superior performance or make a societal impact. Through the lens of equilibrium models of agents with heterogeneous tastes for ESG investments, green assets are expected to generate lower returns in the long run compared to their non-ESG counterparts. However, in the short run, ESG investments can outperform non-ESG investments through various channels. Empirically, results for the relative performance to ESG investment are mixed. We find strong empirical evidence in the literature that investors have a preference for ESG and that their actions can generate positive social impact through engagement. The shift towards more sustainable policies in firms is motivated by the increased market values and the lower cost of capital of green firms driven by investors’ choices.","author":[{"dropping-particle":"","family":"Kräussl","given":"Roman","non-dropping-particle":"","parse-names":false,"suffix":""},{"dropping-particle":"","family":"Oladiran","given":"Tobi","non-dropping-particle":"","parse-names":false,"suffix":""},{"dropping-particle":"","family":"Stefanova","given":"Denitsa","non-dropping-particle":"","parse-names":false,"suffix":""}],"container-title":"Journal of Economic Surveys","id":"ITEM-2","issued":{"date-parts":[["2024"]]},"page":"476-502","title":"A review on ESG investing: Investors’ expectations, beliefs and perceptions","type":"article-journal","volume":"38"},"uris":["http://www.mendeley.com/documents/?uuid=00566512-ddfd-46f3-b716-29ee8c120807"]}],"mendeley":{"formattedCitation":"(Blajer-Gołębiewska, 2021; Kräussl et al., 2024)","plainTextFormattedCitation":"(Blajer-Gołębiewska, 2021; Kräussl et al., 2024)","previouslyFormattedCitation":"(Blajer-Gołębiewska, 2021; Kräussl et al., 2024)"},"properties":{"noteIndex":0},"schema":"https://github.com/citation-style-language/schema/raw/master/csl-citation.json"}</w:instrText>
      </w:r>
      <w:r w:rsidR="00E0250F" w:rsidRPr="00B0319E">
        <w:fldChar w:fldCharType="separate"/>
      </w:r>
      <w:r w:rsidR="00C63C9D" w:rsidRPr="00A55043">
        <w:rPr>
          <w:noProof/>
        </w:rPr>
        <w:t>(Blajer-Gołębiewska, 2021; Kräussl et al., 2024)</w:t>
      </w:r>
      <w:r w:rsidR="00E0250F" w:rsidRPr="00B0319E">
        <w:fldChar w:fldCharType="end"/>
      </w:r>
      <w:r w:rsidR="00E0250F" w:rsidRPr="00B0319E">
        <w:t xml:space="preserve">. </w:t>
      </w:r>
    </w:p>
    <w:p w14:paraId="26A33FCE" w14:textId="0FE55D9B" w:rsidR="006F6EEA" w:rsidRPr="00B0319E" w:rsidRDefault="000B62E5" w:rsidP="00A95038">
      <w:r w:rsidRPr="00B0319E">
        <w:t>Nevertheless, there are reasons to take a closer look at the employee satisfaction of companies in the real estate sector.</w:t>
      </w:r>
      <w:r w:rsidR="00291903" w:rsidRPr="00B0319E">
        <w:t xml:space="preserve"> </w:t>
      </w:r>
      <w:r w:rsidR="00173994">
        <w:t>It pertains</w:t>
      </w:r>
      <w:r w:rsidR="006F6EEA" w:rsidRPr="00B0319E">
        <w:t xml:space="preserve"> specifically </w:t>
      </w:r>
      <w:r w:rsidR="00173994">
        <w:t>to</w:t>
      </w:r>
      <w:r w:rsidR="006F6EEA" w:rsidRPr="00B0319E">
        <w:t xml:space="preserve"> the relationship, opportunities, </w:t>
      </w:r>
      <w:r w:rsidR="00631FC9">
        <w:t>and</w:t>
      </w:r>
      <w:r w:rsidR="006F6EEA" w:rsidRPr="00B0319E">
        <w:t xml:space="preserve"> working conditions offered </w:t>
      </w:r>
      <w:r w:rsidR="004302E1" w:rsidRPr="00B0319E">
        <w:t>to</w:t>
      </w:r>
      <w:r w:rsidR="006F6EEA" w:rsidRPr="00B0319E">
        <w:t xml:space="preserve"> employees</w:t>
      </w:r>
      <w:r w:rsidR="00631FC9">
        <w:t>,</w:t>
      </w:r>
      <w:r w:rsidR="006F6EEA" w:rsidRPr="00B0319E">
        <w:t xml:space="preserve"> as well as the</w:t>
      </w:r>
      <w:r w:rsidR="004302E1" w:rsidRPr="00B0319E">
        <w:t>ir</w:t>
      </w:r>
      <w:r w:rsidR="006F6EEA" w:rsidRPr="00B0319E">
        <w:t xml:space="preserve"> satisfaction </w:t>
      </w:r>
      <w:r w:rsidR="006F6EEA" w:rsidRPr="00B0319E">
        <w:fldChar w:fldCharType="begin" w:fldLock="1"/>
      </w:r>
      <w:r w:rsidR="006F6EEA" w:rsidRPr="00B0319E">
        <w:instrText>ADDIN CSL_CITATION {"citationItems":[{"id":"ITEM-1","itemData":{"DOI":"10.1108/JPIF-01-2023-0003","ISBN":"0120230003","ISSN":"1463578X","abstract":"Purpose: Environment, social and governance (ESG) has taken on increased importance in recent years. This paper assesses the increasing importance of the social (“S”) dimension of ESG in the real estate space and the strategies being used by the leading real estate players to deliver this important aspect of ESG. This includes gender equality, cultural diversity, staff wellness, supply chain management and community engagement. It also indicates the need for an increased level of metrics in the S space for the effective delivery and external validation of the S dimension into real estate investment decision-making. Design/methodology/approach: This research is based on a thorough understanding of the ESG environment in the real estate industry by the author. Best practice examples regarding the S dimension are given from the ESG/sustainability reports from real estate players in Australia who are leaders in the ESG space. Findings: Excellent examples of the delivery of the S dimension are reported from the ESG/sustainability reports from the real estate industry. Whilst there is an increasing range of S information being reported in the real estate industry, there is a need for more metrics to effectively report this S information to indicate its key role in seeing the S dimension being delivered for the fuller integration of ESG at all levels of the real estate industry. The external validation of this S information will also take on increased importance going forward. Practical implications: With ESG becoming a critical issue in the real estate sector, issues involved in the S space will take on increased significance. This is critical, as the elements of the S dimension such as gender equality, cultural diversity, staff wellness, community engagement and supply chain management are important aspects for an effectively functioning real estate industry. More metrics in the S space will be an important development to further expand the delivery and external validation of the S space of ESG. Originality/value: This paper is the first paper to specifically address the need for more focus on delivering the S dimension of ESG in the real estate industry, highlighted by best practice examples from the real estate industry in Australia. This is a key issue for the real estate industry going forward at all levels to facilitate more effective real estate investment decision-making.","author":[{"dropping-particle":"","family":"Newell","given":"Graeme","non-dropping-particle":"","parse-names":false,"suffix":""}],"container-title":"Journal of Property Investment and Finance","id":"ITEM-1","issue":"4","issued":{"date-parts":[["2023"]]},"page":"453-459","title":"Real Estate Insights The increasing importance of the “S” dimension in ESG","type":"article-journal","volume":"41"},"locator":"453","uris":["http://www.mendeley.com/documents/?uuid=0bb179e4-70fc-4056-9edd-32ff2a9686a6"]},{"id":"ITEM-2","itemData":{"DOI":"10.1108/MD-05-2016-0308","ISSN":"00251747","abstract":"Purpose: The purpose of this paper is to examine the association between corporate social responsibility (CSR) and employee satisfaction. The study proposes and empirically tests two hypotheses: that CSR is positively associated with employee satisfaction, and that organizational image mediates the relationship between CSR and employee satisfaction. Design/methodology/approach: The hypotheses were tested through regression analyses, using data from 85,167 questionnaires completed by employees at 381 Brazilian companies, as well as data pertaining to the “breadth” of CSR engagement of those same companies. Findings: The results of this study provide evidence that CSR-oriented actions undertaken by companies will lead to a better organizational image, and this, in turn, will lead to greater employee satisfaction. Practical implications: Because employee behaviour influences organizational outcomes and higher job satisfaction may lead to greater employee commitment to organizational goals and values, understanding the impact of CSR on employee satisfaction is relevant to corporate performance. Originality/value: The study contributes to the body of empirical research on CSR by investigating the underlying mechanisms linking CSR with employee behaviour. Scholars in the area of CSR regularly explore the outcomes and impacts of CSR actions on internal and external stakeholders. However, the impacts of CSR for a critical group of stakeholders – namely, employees – and its underlying mechanisms are understudied in the CSR literature.","author":[{"dropping-particle":"","family":"Barakat","given":"Simone R.","non-dropping-particle":"","parse-names":false,"suffix":""},{"dropping-particle":"","family":"Isabella","given":"Giuliana","non-dropping-particle":"","parse-names":false,"suffix":""},{"dropping-particle":"","family":"Boaventura","given":"João Maurício Gama","non-dropping-particle":"","parse-names":false,"suffix":""},{"dropping-particle":"","family":"Mazzon","given":"José Afonso","non-dropping-particle":"","parse-names":false,"suffix":""}],"container-title":"Management Decision","id":"ITEM-2","issue":"9","issued":{"date-parts":[["2016"]]},"page":"2325-2339","title":"The influence of corporate social responsibility on employee satisfaction","type":"article-journal","volume":"54"},"uris":["http://www.mendeley.com/documents/?uuid=be4cd7d1-8fa2-482c-a285-b7d1fefd6a68"]}],"mendeley":{"formattedCitation":"(Barakat et al., 2016; Newell, 2023, p. 453)","plainTextFormattedCitation":"(Barakat et al., 2016; Newell, 2023, p. 453)","previouslyFormattedCitation":"(Barakat et al., 2016; Newell, 2023, p. 453)"},"properties":{"noteIndex":0},"schema":"https://github.com/citation-style-language/schema/raw/master/csl-citation.json"}</w:instrText>
      </w:r>
      <w:r w:rsidR="006F6EEA" w:rsidRPr="00B0319E">
        <w:fldChar w:fldCharType="separate"/>
      </w:r>
      <w:r w:rsidR="006F6EEA" w:rsidRPr="00A55043">
        <w:rPr>
          <w:noProof/>
        </w:rPr>
        <w:t>(Barakat et al., 2016; Newell, 2023, p. 453)</w:t>
      </w:r>
      <w:r w:rsidR="006F6EEA" w:rsidRPr="00B0319E">
        <w:fldChar w:fldCharType="end"/>
      </w:r>
      <w:r w:rsidR="006F6EEA" w:rsidRPr="00B0319E">
        <w:t xml:space="preserve">. </w:t>
      </w:r>
    </w:p>
    <w:p w14:paraId="50565811" w14:textId="629D3D7D" w:rsidR="006F6EEA" w:rsidRPr="00B0319E" w:rsidRDefault="00D2493D" w:rsidP="00A95038">
      <w:r w:rsidRPr="00B0319E">
        <w:t>Previous sections have highlighted the link between the real estate sector and ESG. The next section will dive deeper into the interplay between employee satisfaction and company performance, a relationship substantiated by existing research. The following chapter will focus on employees, explaining the various factors that can shape their satisfaction.</w:t>
      </w:r>
    </w:p>
    <w:p w14:paraId="35725B45" w14:textId="77777777" w:rsidR="006F6EEA" w:rsidRPr="00B0319E" w:rsidRDefault="006F6EEA" w:rsidP="00A95038">
      <w:pPr>
        <w:rPr>
          <w:strike/>
        </w:rPr>
      </w:pPr>
    </w:p>
    <w:p w14:paraId="35B7C017" w14:textId="77777777" w:rsidR="00730CAA" w:rsidRDefault="00730CAA">
      <w:pPr>
        <w:spacing w:line="240" w:lineRule="auto"/>
        <w:ind w:firstLine="0"/>
        <w:jc w:val="left"/>
        <w:rPr>
          <w:rFonts w:eastAsia="Times New Roman"/>
          <w:b/>
          <w:bCs/>
          <w:color w:val="000000"/>
          <w:szCs w:val="26"/>
        </w:rPr>
      </w:pPr>
      <w:r>
        <w:br w:type="page"/>
      </w:r>
    </w:p>
    <w:p w14:paraId="6B008469" w14:textId="09524F45" w:rsidR="00E0250F" w:rsidRPr="004A2A48" w:rsidRDefault="005D5987" w:rsidP="00A90225">
      <w:pPr>
        <w:pStyle w:val="Kop2"/>
        <w:rPr>
          <w:lang w:val="en-GB"/>
        </w:rPr>
      </w:pPr>
      <w:bookmarkStart w:id="4" w:name="_Toc174210210"/>
      <w:r w:rsidRPr="004A2A48">
        <w:rPr>
          <w:lang w:val="en-GB"/>
        </w:rPr>
        <w:lastRenderedPageBreak/>
        <w:t>Employee satisfaction</w:t>
      </w:r>
      <w:bookmarkEnd w:id="4"/>
    </w:p>
    <w:p w14:paraId="71C8823F" w14:textId="7273594E" w:rsidR="005D5987" w:rsidRPr="00B0319E" w:rsidRDefault="005D5987" w:rsidP="00DB4D5B">
      <w:pPr>
        <w:ind w:firstLine="204"/>
      </w:pPr>
      <w:r w:rsidRPr="00B0319E">
        <w:t xml:space="preserve">Employee satisfaction is a </w:t>
      </w:r>
      <w:r w:rsidR="00263985" w:rsidRPr="00B0319E">
        <w:t>crucial</w:t>
      </w:r>
      <w:r w:rsidRPr="00B0319E">
        <w:t xml:space="preserve"> component that can influence the productivity and profitability of companies. </w:t>
      </w:r>
      <w:r w:rsidR="00631FC9">
        <w:t>O</w:t>
      </w:r>
      <w:r w:rsidRPr="00B0319E">
        <w:t>ften not directly visible</w:t>
      </w:r>
      <w:r w:rsidR="00631FC9">
        <w:t>, it</w:t>
      </w:r>
      <w:r w:rsidR="00263985" w:rsidRPr="00B0319E">
        <w:t xml:space="preserve"> nevertheless </w:t>
      </w:r>
      <w:r w:rsidRPr="00B0319E">
        <w:t xml:space="preserve">determines the performance of a company. Employee satisfaction refers to the level of contentment that employees feel in relation to their work </w:t>
      </w:r>
      <w:r w:rsidR="008726D1" w:rsidRPr="00B0319E">
        <w:fldChar w:fldCharType="begin" w:fldLock="1"/>
      </w:r>
      <w:r w:rsidR="0002144A" w:rsidRPr="00B0319E">
        <w:instrText>ADDIN CSL_CITATION {"citationItems":[{"id":"ITEM-1","itemData":{"ISSN":"2045-7057","abstract":"– Employee satisfaction is considered weighty when it comes to define organizational success. Employee's satisfaction is central concern particularly in the service industry. Need to enhance employee satisfaction is critical because it is a key to business success of any organization. In the present milieu, employee satisfaction has come under limelight due to stiff competition where organizations are trying to carve competitive advantage through the human factor. The purpose of this study is to observe the relationship between employee satisfaction and customer satisfaction and to examine the impact of both on organizational success. This study scrutinizes the effects of different factors of organization which affects the employee satisfaction. This is a cohort study in which qualitative research methodology was used. The data was collected through self-administrated questionnaire which contains multiple choice questions and open-ended questions. Results of the principal component analysis (PCA) based on correlation matrix revealed a great deal of employees (hotel workers) satisfaction among surveyed cohorts where customers also had expressed satisfaction with existing services. Mainly environmental cleanliness, quality food and room services has played vital role in creating contentment and subsequent satisfaction among customers. From employee's perspective, conducive working atmosphere coupled with incentives like salary and frequent trainings focused the employees to work with dedication to uplift the organization (hotels) which is reflected clearly by the satisfaction level of customers. Our study confirms indirect relation between organizational success and employee satisfaction which was mediated by customers. In conclusion, it seems reasonable to believe that understanding of employee role is extremely important as it appears key factor in the success of modern organization.","author":[{"dropping-particle":"","family":"Naseem","given":"Afshan","non-dropping-particle":"","parse-names":false,"suffix":""},{"dropping-particle":"","family":"Ejaz Sheikh","given":"Sadia","non-dropping-particle":"","parse-names":false,"suffix":""},{"dropping-particle":"","family":"Malik GPHR","given":"Khusro P","non-dropping-particle":"","parse-names":false,"suffix":""}],"container-title":"International Journal of Multidisciplinary Sciences and Engineering","id":"ITEM-1","issue":"5","issued":{"date-parts":[["2011"]]},"page":"41-46","title":"Impact of Employee Satisfaction on Success of Organization: Relation between Customer Experience and Employee Satisfaction","type":"article-journal","volume":"2"},"uris":["http://www.mendeley.com/documents/?uuid=f3319b29-c9ae-4fba-95e2-5cec28c341d8"]}],"mendeley":{"formattedCitation":"(Naseem et al., 2011)","plainTextFormattedCitation":"(Naseem et al., 2011)","previouslyFormattedCitation":"(Naseem et al., 2011)"},"properties":{"noteIndex":0},"schema":"https://github.com/citation-style-language/schema/raw/master/csl-citation.json"}</w:instrText>
      </w:r>
      <w:r w:rsidR="008726D1" w:rsidRPr="00B0319E">
        <w:fldChar w:fldCharType="separate"/>
      </w:r>
      <w:r w:rsidR="008726D1" w:rsidRPr="00A55043">
        <w:rPr>
          <w:noProof/>
        </w:rPr>
        <w:t>(Naseem et al., 2011)</w:t>
      </w:r>
      <w:r w:rsidR="008726D1" w:rsidRPr="00B0319E">
        <w:fldChar w:fldCharType="end"/>
      </w:r>
      <w:r w:rsidRPr="00B0319E">
        <w:t xml:space="preserve">.  </w:t>
      </w:r>
      <w:r w:rsidR="00263985" w:rsidRPr="00B0319E">
        <w:t>H</w:t>
      </w:r>
      <w:r w:rsidRPr="00B0319E">
        <w:t xml:space="preserve">owever, </w:t>
      </w:r>
      <w:r w:rsidR="00263985" w:rsidRPr="00B0319E">
        <w:t xml:space="preserve">it is </w:t>
      </w:r>
      <w:r w:rsidRPr="00B0319E">
        <w:t xml:space="preserve">not </w:t>
      </w:r>
      <w:r w:rsidR="00263985" w:rsidRPr="00B0319E">
        <w:t>solely</w:t>
      </w:r>
      <w:r w:rsidRPr="00B0319E">
        <w:t xml:space="preserve"> about job satisfaction, but </w:t>
      </w:r>
      <w:r w:rsidR="00263985" w:rsidRPr="00B0319E">
        <w:t xml:space="preserve">rather encompasses </w:t>
      </w:r>
      <w:r w:rsidRPr="00B0319E">
        <w:t xml:space="preserve">a spectrum of factors that contribute to overall happiness and engagement at work </w:t>
      </w:r>
      <w:r w:rsidR="00744595" w:rsidRPr="00B0319E">
        <w:fldChar w:fldCharType="begin" w:fldLock="1"/>
      </w:r>
      <w:r w:rsidR="00C35A21" w:rsidRPr="00B0319E">
        <w:instrText>ADDIN CSL_CITATION {"citationItems":[{"id":"ITEM-1","itemData":{"ISSN":"2045-7057","abstract":"– Employee satisfaction is considered weighty when it comes to define organizational success. Employee's satisfaction is central concern particularly in the service industry. Need to enhance employee satisfaction is critical because it is a key to business success of any organization. In the present milieu, employee satisfaction has come under limelight due to stiff competition where organizations are trying to carve competitive advantage through the human factor. The purpose of this study is to observe the relationship between employee satisfaction and customer satisfaction and to examine the impact of both on organizational success. This study scrutinizes the effects of different factors of organization which affects the employee satisfaction. This is a cohort study in which qualitative research methodology was used. The data was collected through self-administrated questionnaire which contains multiple choice questions and open-ended questions. Results of the principal component analysis (PCA) based on correlation matrix revealed a great deal of employees (hotel workers) satisfaction among surveyed cohorts where customers also had expressed satisfaction with existing services. Mainly environmental cleanliness, quality food and room services has played vital role in creating contentment and subsequent satisfaction among customers. From employee's perspective, conducive working atmosphere coupled with incentives like salary and frequent trainings focused the employees to work with dedication to uplift the organization (hotels) which is reflected clearly by the satisfaction level of customers. Our study confirms indirect relation between organizational success and employee satisfaction which was mediated by customers. In conclusion, it seems reasonable to believe that understanding of employee role is extremely important as it appears key factor in the success of modern organization.","author":[{"dropping-particle":"","family":"Naseem","given":"Afshan","non-dropping-particle":"","parse-names":false,"suffix":""},{"dropping-particle":"","family":"Ejaz Sheikh","given":"Sadia","non-dropping-particle":"","parse-names":false,"suffix":""},{"dropping-particle":"","family":"Malik GPHR","given":"Khusro P","non-dropping-particle":"","parse-names":false,"suffix":""}],"container-title":"International Journal of Multidisciplinary Sciences and Engineering","id":"ITEM-1","issue":"5","issued":{"date-parts":[["2011"]]},"page":"41-46","title":"Impact of Employee Satisfaction on Success of Organization: Relation between Customer Experience and Employee Satisfaction","type":"article-journal","volume":"2"},"uris":["http://www.mendeley.com/documents/?uuid=f3319b29-c9ae-4fba-95e2-5cec28c341d8"]},{"id":"ITEM-2","itemData":{"DOI":"10.3846/ijspm.2019.6372","ISSN":"16489179","abstract":"Employee satisfaction is pivotal for companies as it enhances perceived productivity and organizational performance. Office concepts and their workspaces can affect employee satisfaction. However, these effects are still ambiguous, particularly regarding the activity-based concept. Therefore, in this study employee satisfaction with the work environment is investigated from a holistic approach. The effects of both personal characteristics and workspaces used by the employee on work environment satisfaction are described and measured, including mediating effects of the perceived importance of employee needs. Data was collected using an online questionnaire among 327 employees of 13 knowledge-based organizations. Path analysis was used to determine the direct and indirect effects of personal variables, environmental variables and perceived importance of needs on satisfaction. It demonstrated that both personal and environmental variables affect satisfaction, and that a considerable number of these effects are indirect through the perceived importance of needs. In particular, the effects of used workspaces were extensive.","author":[{"dropping-particle":"","family":"Budie","given":"Bart","non-dropping-particle":"","parse-names":false,"suffix":""},{"dropping-particle":"","family":"Appel-Meulenbroek","given":"Rianne","non-dropping-particle":"","parse-names":false,"suffix":""},{"dropping-particle":"","family":"Kemperman","given":"Astrid","non-dropping-particle":"","parse-names":false,"suffix":""},{"dropping-particle":"","family":"Weijs-Perree","given":"Minou","non-dropping-particle":"","parse-names":false,"suffix":""}],"container-title":"International Journal of Strategic Property Management","id":"ITEM-2","issue":"1","issued":{"date-parts":[["2019"]]},"page":"36-49","title":"Employee satisfaction with the physical work environment: The importance of a need based approach","type":"article-journal","volume":"23"},"uris":["http://www.mendeley.com/documents/?uuid=feede444-4770-4396-915e-11a1cd4c309b"]},{"id":"ITEM-3","itemData":{"DOI":"10.1108/MD-05-2016-0308","ISSN":"00251747","abstract":"Purpose: The purpose of this paper is to examine the association between corporate social responsibility (CSR) and employee satisfaction. The study proposes and empirically tests two hypotheses: that CSR is positively associated with employee satisfaction, and that organizational image mediates the relationship between CSR and employee satisfaction. Design/methodology/approach: The hypotheses were tested through regression analyses, using data from 85,167 questionnaires completed by employees at 381 Brazilian companies, as well as data pertaining to the “breadth” of CSR engagement of those same companies. Findings: The results of this study provide evidence that CSR-oriented actions undertaken by companies will lead to a better organizational image, and this, in turn, will lead to greater employee satisfaction. Practical implications: Because employee behaviour influences organizational outcomes and higher job satisfaction may lead to greater employee commitment to organizational goals and values, understanding the impact of CSR on employee satisfaction is relevant to corporate performance. Originality/value: The study contributes to the body of empirical research on CSR by investigating the underlying mechanisms linking CSR with employee behaviour. Scholars in the area of CSR regularly explore the outcomes and impacts of CSR actions o</w:instrText>
      </w:r>
      <w:r w:rsidR="00C35A21" w:rsidRPr="00CD3858">
        <w:rPr>
          <w:lang w:val="nl-NL"/>
        </w:rPr>
        <w:instrText>n internal and external stakeholders. However, the impacts of CSR for a critical group of stakeholders – namely, employees – and its underlying mechanisms are understudied in the CSR literature.","author":[{"dropping-particle":"","family":"Barakat","given":"Simone R.","non-dropping-particle":"","parse-names":false,"suffix":""},{"dropping-particle":"","family":"Isabella","given":"Giuliana","non-dropping-particle":"","parse-names":false,"suffix":""},{"dropping-particle":"","family":"Boaventura","given":"João Maurício Gama","non-dropping-particle":"","parse-names":false,"suffix":""},{"dropping-particle":"","family":"Mazzon","given":"José Afonso","non-dropping-particle":"","parse-names":false,"suffix":""}],"container-title":"Management Decision","id":"ITEM-3","issue":"9","issued":{"date-parts":[["2016"]]},"page":"2325-2339","title":"The influence of corporate social responsibility on employee satisfaction","type":"article-journal","volume":"54"},"locator":"2328","uris":["http://www.mendeley.com/documents/?uuid=be4cd7d1-8fa2-482c-a285-b7d1fefd6a68"]}],"mendeley":{"formattedCitation":"(Barakat et al., 2016, p. 2328; Budie et al., 2019; Naseem et al., 2011)","plainTextFormattedCitation":"(Barakat et al., 2016, p. 2328; Budie et al., 2019; Naseem et al., 2011)","previouslyFormattedCitation":"(Barakat et al., 2016, p. 2328; Budie et al., 2019; Naseem et al., 2011)"},"properties":{"noteIndex":0},"schema":"https://github.com/citation-style-language/schema/raw/master/csl-citation.json"}</w:instrText>
      </w:r>
      <w:r w:rsidR="00744595" w:rsidRPr="00B0319E">
        <w:fldChar w:fldCharType="separate"/>
      </w:r>
      <w:r w:rsidR="00B969F0" w:rsidRPr="00CD3858">
        <w:rPr>
          <w:noProof/>
          <w:lang w:val="nl-NL"/>
        </w:rPr>
        <w:t>(Barakat et al., 2016, p. 2328; Budie et al., 2019; Naseem et al., 2011)</w:t>
      </w:r>
      <w:r w:rsidR="00744595" w:rsidRPr="00B0319E">
        <w:fldChar w:fldCharType="end"/>
      </w:r>
      <w:r w:rsidRPr="00CD3858">
        <w:rPr>
          <w:lang w:val="nl-NL"/>
        </w:rPr>
        <w:t xml:space="preserve">. </w:t>
      </w:r>
      <w:r w:rsidRPr="00B0319E">
        <w:t xml:space="preserve">Employee satisfaction has emerged as a cornerstone of a company’s success </w:t>
      </w:r>
      <w:r w:rsidR="0002144A" w:rsidRPr="00B0319E">
        <w:fldChar w:fldCharType="begin" w:fldLock="1"/>
      </w:r>
      <w:r w:rsidR="00C35A21" w:rsidRPr="00B0319E">
        <w:instrText>ADDIN CSL_CITATION {"citationItems":[{"id":"ITEM-1","itemData":{"ISSN":"2045-7057","abstract":"– Employee satisfaction is considered weighty when it comes to define organizational success. Employee's satisfaction is central concern particularly in the service industry. Need to enhance employee satisfaction is critical because it is a key to business success of any organization. In the present milieu, employee satisfaction has come under limelight due to stiff competition where organizations are trying to carve competitive advantage through the human factor. The purpose of this study is to observe the relationship between employee satisfaction and customer satisfaction and to examine the impact of both on organizational success. This study scrutinizes the effects of different factors of organization which affects the employee satisfaction. This is a cohort study in which qualitative research methodology was used. The data was collected through self-administrated questionnaire which contains multiple choice questions and open-ended questions. Results of the principal component analysis (PCA) based on correlation matrix revealed a great deal of employees (hotel workers) satisfaction among surveyed cohorts where customers also had expressed satisfaction with existing services. Mainly environmental cleanliness, quality food and room services has played vital role in creating contentment and subsequent satisfaction among customers. From employee's perspective, conducive working atmosphere coupled with incentives like salary and frequent trainings focused the employees to work with dedication to uplift the organization (hotels) which is reflected clearly by the satisfaction level of customers. Our study confirms indirect relation between organizational success and employee satisfaction which was mediated by customers. In conclusion, it seems reasonable to believe that understanding of employee role is extremely important as it appears key factor in the success of modern organization.","author":[{"dropping-particle":"","family":"Naseem","given":"Afshan","non-dropping-particle":"","parse-names":false,"suffix":""},{"dropping-particle":"","family":"Ejaz Sheikh","given":"Sadia","non-dropping-particle":"","parse-names":false,"suffix":""},{"dropping-particle":"","family":"Malik GPHR","given":"Khusro P","non-dropping-particle":"","parse-names":false,"suffix":""}],"container-title":"International Journal of Multidisciplinary Sciences and Engineering","id":"ITEM-1","issue":"5","issued":{"date-parts":[["2011"]]},"page":"41-46","title":"Impact of Employee Satisfaction on Success of Organization: Relation between Customer Experience and Employee Satisfaction","type":"article-journal","volume":"2"},"uris":["http://www.mendeley.com/documents/?uuid=f3319b29-c9ae-4fba-95e2-5cec28c341d8"]},{"id":"ITEM-2","itemData":{"DOI":"10.1108/MD-05-2016-0308","ISSN":"00251747","abstract":"Purpose: The purpose of this paper is to examine the association between corporate social responsibility (CSR) and employee satisfaction. The study proposes and empirically tests two hypotheses: that CSR is positively associated with employee satisfaction, and that organizational image mediates the relationship between CSR and employee satisfaction. Design/methodology/approach: The hypotheses were tested through regression analyses, using data from 85,167 questionnaires completed by employees at 381 Brazilian companies, as well as data pertaining to the “breadth” of CSR engagement of those same companies. Findings: The results of this study provide evidence that CSR-oriented actions undertaken by companies will lead to a better organizational image, and this, in turn, will lead to greater employee satisfaction. Practical implications: Because employee behaviour influences organizational outcomes and higher job satisfaction may lead to greater employee commitment to organizational goals and values, understanding the impact of CSR on employee satisfaction is relevant to corporate performance. Originality/value: The study contributes to the body of empirical research on CSR by investigating the underlying mechanisms linking CSR with employee behaviour. Scholars in the area of CSR regularly explore the outcomes and impacts of CSR actions on internal and external stakeholders. However, the impacts of CSR for a critical group of stakeholders – namely, employees – and its underlying mechanisms are understudied in the CSR literature.","author":[{"dropping-particle":"","family":"Barakat","given":"Simone R.","non-dropping-particle":"","parse-names":false,"suffix":""},{"dropping-particle":"","family":"Isabella","given":"Giuliana","non-dropping-particle":"","parse-names":false,"suffix":""},{"dropping-particle":"","family":"Boaventura","given":"João Maurício Gama","non-dropping-particle":"","parse-names":false,"suffix":""},{"dropping-particle":"","family":"Mazzon","given":"José Afonso","non-dropping-particle":"","parse-names":false,"suffix":""}],"container-title":"Management Decision","id":"ITEM-2","issue":"9","issued":{"date-parts":[["2016"]]},"page":"2325-2339","title":"The influence of corporate social responsibility on employee satisfaction","type":"article-journal","volume":"54"},"locator":"2334-2335","uris":["http://www.mendeley.com/documents/?uuid=be4cd7d1-8fa2-482c-a285-b7d1fefd6a68"]}],"mendeley":{"formattedCitation":"(Barakat et al., 2016, pp. 2334–2335; Naseem et al., 2011)","plainTextFormattedCitation":"(Barakat et al., 2016, pp. 2334–2335; Naseem et al., 2011)","previouslyFormattedCitation":"(Barakat et al., 2016, pp. 2334–2335; Naseem et al., 2011)"},"properties":{"noteIndex":0},"schema":"https://github.com/citation-style-language/schema/raw/master/csl-citation.json"}</w:instrText>
      </w:r>
      <w:r w:rsidR="0002144A" w:rsidRPr="00B0319E">
        <w:fldChar w:fldCharType="separate"/>
      </w:r>
      <w:r w:rsidR="00C35A21" w:rsidRPr="00A55043">
        <w:rPr>
          <w:noProof/>
        </w:rPr>
        <w:t>(Barakat et al., 2016, pp. 2334–2335; Naseem et al., 2011)</w:t>
      </w:r>
      <w:r w:rsidR="0002144A" w:rsidRPr="00B0319E">
        <w:fldChar w:fldCharType="end"/>
      </w:r>
      <w:r w:rsidRPr="00B0319E">
        <w:t xml:space="preserve">. </w:t>
      </w:r>
      <w:r w:rsidR="00CD3858" w:rsidRPr="00CD3858">
        <w:t>By identifying the factors that contribute to increased employee satisfaction, organizations can implement specific strategies to improve overall employee contentment</w:t>
      </w:r>
      <w:r w:rsidR="00977158">
        <w:t xml:space="preserve"> </w:t>
      </w:r>
      <w:r w:rsidR="00977158">
        <w:fldChar w:fldCharType="begin" w:fldLock="1"/>
      </w:r>
      <w:r w:rsidR="00977158">
        <w:instrText>ADDIN CSL_CITATION {"citationItems":[{"id":"ITEM-1","itemData":{"DOI":"10.5296/ijld.v4i2.6094","abstract":"Job satisfaction -or lack of it -hinges on a productive, accomplishing relationship between staff and management; indeed, the success of any organization depends on staff members who enjoy their jobs and feel rewarded by their efforts. Ultimately, of all the people in the marketplace may suffer the most when this vital success factor is lacking. In earlier ages, many researchers have been directed on job satisfaction but this still remains an issue for many organizations. The ambition of this research paper is to examine the satisfaction level of the employees and helps organizations to know about the elements that influence job satisfaction. Precisely, we acquired employee empowerment and workplace environment as the antecedents to understand their effect on job satisfaction, and further the impact of job satisfaction on job loyalty, job performance and turnover intention. A self-administered questionnaire was used for data collection from several organizations. Convenient sampling technique was used and 200 questionnaires were circulated out of which 150 were nominated for further analysis. SPSS is used for data analysis statistically. The results showed significant positive association of employee empowerment, workplace environment, job loyalty and job www.macrothink.org/ijld 121 performance with job satisfaction. Furthermore, there is a significant negative relationship between job satisfaction and turnover intention. The findings also demonstrate that there is no significant relation of turnover intention with employee empowerment and job performance.","author":[{"dropping-particle":"","family":"Javed","given":"Masooma","non-dropping-particle":"","parse-names":false,"suffix":""},{"dropping-particle":"","family":"Balouch","given":"Rifat","non-dropping-particle":"","parse-names":false,"suffix":""},{"dropping-particle":"","family":"Hassan","given":"Fatima","non-dropping-particle":"","parse-names":false,"suffix":""}],"container-title":"International Journal of Learning and Development","id":"ITEM-1","issue":"2","issued":{"date-parts":[["2014"]]},"page":"120-140","title":"Determinants of Job Satisfaction and its Impact on Employee Performance and Turnover Intentions","type":"article-journal","volume":"4"},"uris":["http://www.mendeley.com/documents/?uuid=5b9b37af-4aa7-453e-ab80-0ef1ea833c3e"]},{"id":"ITEM-2","itemData":{"DOI":"10.1108/IJM-08-2018-0281","ISSN":"01437720","abstract":"Purpose: In the face of a changing and turbulent environment, an organizational learning culture (OLC) is crucial for the long-term operation of an organization. A learning culture provides the capacity to effectively integrate employees, and it also provides structure so that an organization can move forward via continuous learning and change. Few empirical results are available from Chinese companies enduring an organizational change. To bridge this research gap, this study investigated the relationships among an OLC, job satisfaction, turnover intentions and job performance during organizational change. Design/methodology/approach: A quantitative approach with structural equation modeling (SEM) and bootstrapping estimation was used to test hypotheses developed from a sample of 434 employees in a restructured telecommunications company in Taiwan. Findings: Employees who experienced a higher learning culture had lower levels of turnover intentions and exhibited better job performance. Job satisfaction had a negative impact on employee turnover intentions but a positive impact on job performance. Moreover, job satisfaction fully mediated the relationships between an OLC and employee turnover intentions and job performance. When encountering organizational planned changes, a vibrant learning culture gave employees a higher level of satisfaction in their jobs and workplace. Although unexpected challenges often appeared during the organizational changes, employees with a higher level of job satisfaction tended to fulfill their own job duties and showed fewer turnover intentions. Originality/value: In investigating issues related to organizational change, this study provides managerial insights and addresses strategies for facilitating the adoption of an OLC into the design and implementation of a better workplace environment.","author":[{"dropping-particle":"","family":"Lin","given":"Chun Yu","non-dropping-particle":"","parse-names":false,"suffix":""},{"dropping-particle":"","family":"Huang","given":"Chung Kai","non-dropping-particle":"","parse-names":false,"suffix":""}],"container-title":"International Journal of Manpower","id":"ITEM-2","issue":"3","issued":{"date-parts":[["2021"]]},"page":"409-423","title":"Employee turnover intentions and job performance from a planned change: the effects of an organizational learning culture and job satisfaction","type":"article-journal","volume":"42"},"uris":["http://www.mendeley.com/documents/?uuid=c88f4e6b-99f6-4313-8d75-a353cce176dc"]},{"id":"ITEM-3","itemData":{"DOI":"10.22161/ijebm.5.2.3","abstract":"Human Resource Management is getting more important in the business nowadays, because people and their knowledge are the most important aspects affecting the productivity of the company. One of the main aspects of Human Resource Management is the measurement of employee satisfaction. Companies have to make sure that employee satisfaction is high among the workers, which is a precondition for increasing productivity, responsiveness, quality, and recognitionservice. The aim of this thesis is to analyze the level of employee satisfaction and work motivation. It also deals with the effect the culture has on employee satisfaction. The theoretical framework of this thesis includes such concepts as, job satisfaction, motivation, and rewards differences. One of the biggest strength of the organization is the relationship and communication between the employees and the managers.","author":[{"dropping-particle":"","family":"Jamal Ali","given":"Bayad","non-dropping-particle":"","parse-names":false,"suffix":""},{"dropping-particle":"","family":"Anwar","given":"Govand","non-dropping-particle":"","parse-names":false,"suffix":""}],"container-title":"International Journal of Engineering, Business and Management","id":"ITEM-3","issue":"2","issued":{"date-parts":[["2021"]]},"page":"21-30","title":"An Empirical Study of Employees’ Motivation and its Influence Job Satisfaction","type":"article-journal","volume":"5"},"uris":["http://www.mendeley.com/documents/?uuid=a31e5f66-c2b3-4fdc-9e32-dc208990b8a5"]}],"mendeley":{"formattedCitation":"(Jamal Ali &amp; Anwar, 2021; Javed et al., 2014; Lin &amp; Huang, 2021)","plainTextFormattedCitation":"(Jamal Ali &amp; Anwar, 2021; Javed et al., 2014; Lin &amp; Huang, 2021)"},"properties":{"noteIndex":0},"schema":"https://github.com/citation-style-language/schema/raw/master/csl-citation.json"}</w:instrText>
      </w:r>
      <w:r w:rsidR="00977158">
        <w:fldChar w:fldCharType="separate"/>
      </w:r>
      <w:r w:rsidR="00977158" w:rsidRPr="00977158">
        <w:rPr>
          <w:noProof/>
        </w:rPr>
        <w:t>(Jamal Ali &amp; Anwar, 2021; Javed et al., 2014; Lin &amp; Huang, 2021)</w:t>
      </w:r>
      <w:r w:rsidR="00977158">
        <w:fldChar w:fldCharType="end"/>
      </w:r>
      <w:r w:rsidR="00CD3858" w:rsidRPr="00CD3858">
        <w:t>. Improved employee satisfaction can lead to enhanced performance metrics</w:t>
      </w:r>
      <w:r w:rsidR="00CD3858">
        <w:t xml:space="preserve"> </w:t>
      </w:r>
      <w:r w:rsidR="00CD3858">
        <w:fldChar w:fldCharType="begin" w:fldLock="1"/>
      </w:r>
      <w:r w:rsidR="00977158">
        <w:instrText>ADDIN CSL_CITATION {"citationItems":[{"id":"ITEM-1","itemData":{"DOI":"10.1016/j.jfineco.2011.03.021","ISSN":"0304405X","abstract":"This paper analyzes the relationship between employee satisfaction and long-run stock returns. A value-weighted portfolio of the \"100 Best Companies to Work For in America\" earned an annual four-factor alpha of 3.5% from 1984 to 2009, and 2.1% above industry benchmarks. The results are robust to controls for firm characteristics, different weighting methodologies, and the removal of outliers. The Best Companies also exhibited significantly more positive earnings surprises and announcement returns. These findings have three main implications. First, consistent with human capital-centered theories of the firm, employee satisfaction is positively correlated with shareholder returns and need not represent managerial slack. Second, the stock market does not fully value intangibles, even when independently verified by a highly public survey on large firms. Third, certain socially responsible investing (SRI) screens may improve investment returns. © 2011 Elsevier B.V.","author":[{"dropping-particle":"","family":"Edmans","given":"Alex","non-dropping-particle":"","parse-names":false,"suffix":""}],"container-title":"Journal of Financial Economics","id":"ITEM-1","issue":"3","issued":{"date-parts":[["2011"]]},"page":"621-640","publisher":"Elsevier","title":"Does the stock market fully value intangibles? Employee satisfaction and equity prices","type":"article-journal","volume":"101"},"uris":["http://www.mendeley.com/documents/?uuid=a0ab5230-7f96-4b6e-8428-05c807562982"]},{"id":"ITEM-2","itemData":{"DOI":"10.1007/s10551-010-0705-9","ISSN":"01674544","abstract":"As corporate managers interact with nonshareholder stakeholders, potential tradeoffs emerge and questions arise as to how these interactions impact shareholder value. We argue that this shareholder-stakeholder debate is an important issue within the overall corporate governance and corporate policy domain and examine one such stakeholder group - employees - by studying labor-friendly corporate practices. We find that announcements of labor-friendly policies are associated with positive abnormal stock returns. Labor-friendly firms also outperform otherwise similar firms, both in terms of long-run stock market returns and operating results. In addition, we find that the probability and benefits of labor-friendliness increase with the demand for highly skilled labor. Our analysis of excess executive compensation suggests that top management derives no pecuniary benefits from labor-friendly practices. We interpret our results as consistent with a genuine concern for employees translating into higher productivity and profitability, which in turn facilitate value creation. It appears that the benefits of labor-friendly practices significantly outweigh the costs and that what is good for employees is good for shareholders. © Springer 2010.","author":[{"dropping-particle":"","family":"Faleye","given":"Olubunmi","non-dropping-particle":"","parse-names":false,"suffix":""},{"dropping-particle":"","family":"Trahan","given":"Emery A.","non-dropping-particle":"","parse-names":false,"suffix":""}],"container-title":"Journal of Business Ethics","id":"ITEM-2","issue":"1","issued":{"date-parts":[["2011"]]},"page":"1-27","title":"Labor-Friendly Corporate Practices: Is What is Good for Employees Good for Shareholders?","type":"article-journal","volume":"101"},"uris":["http://www.mendeley.com/documents/?uuid=6830b34e-ad3e-44c6-b749-a057841a242b"]},{"id":"ITEM-3","itemData":{"author":[{"dropping-particle":"","family":"Rogelberg","given":"Steven G.","non-dropping-particle":"","parse-names":false,"suffix":""},{"dropping-particle":"","family":"Allen","given":"Joseph A.","non-dropping-particle":"","parse-names":false,"suffix":""},{"dropping-particle":"","family":"Shanock","given":"Linda","non-dropping-particle":"","parse-names":false,"suffix":""},{"dropping-particle":"","family":"Scott","given":"Cliff","non-dropping-particle":"","parse-names":false,"suffix":""},{"dropping-particle":"","family":"Shuffler","given":"Marissa","non-dropping-particle":"","parse-names":false,"suffix":""}],"container-title":"Human Resource Management","id":"ITEM-3","issue":"2","issued":{"date-parts":[["2010"]]},"page":"149-172","title":"Employee satisfaction with meetings: A contemporary facet of job satisfaction","type":"article-journal","volume":"49"},"uris":["http://www.mendeley.com/documents/?uuid=0cf099e0-5cbd-4317-b135-a436b2d4cfc2"]}],"mendeley":{"formattedCitation":"(Edmans, 2011; Faleye &amp; Trahan, 2011; Rogelberg et al., 2010)","plainTextFormattedCitation":"(Edmans, 2011; Faleye &amp; Trahan, 2011; Rogelberg et al., 2010)","previouslyFormattedCitation":"(Edmans, 2011; Faleye &amp; Trahan, 2011; Rogelberg et al., 2010)"},"properties":{"noteIndex":0},"schema":"https://github.com/citation-style-language/schema/raw/master/csl-citation.json"}</w:instrText>
      </w:r>
      <w:r w:rsidR="00CD3858">
        <w:fldChar w:fldCharType="separate"/>
      </w:r>
      <w:r w:rsidR="00CD3858" w:rsidRPr="00CD3858">
        <w:rPr>
          <w:noProof/>
        </w:rPr>
        <w:t>(Edmans, 2011; Faleye &amp; Trahan, 2011; Rogelberg et al., 2010)</w:t>
      </w:r>
      <w:r w:rsidR="00CD3858">
        <w:fldChar w:fldCharType="end"/>
      </w:r>
      <w:r w:rsidR="00CD3858" w:rsidRPr="00CD3858">
        <w:t xml:space="preserve">. Furthermore, by optimizing performance </w:t>
      </w:r>
      <w:r w:rsidR="00CD3858">
        <w:t>metrics</w:t>
      </w:r>
      <w:r w:rsidR="00CD3858" w:rsidRPr="00CD3858">
        <w:t xml:space="preserve"> such as Return on Assets, Return on Equity, and Dividends, a company can ultimately enhance its overall value.</w:t>
      </w:r>
      <w:r w:rsidR="00CD3858">
        <w:t xml:space="preserve"> </w:t>
      </w:r>
      <w:r w:rsidRPr="00B0319E">
        <w:t xml:space="preserve">There are </w:t>
      </w:r>
      <w:r w:rsidR="00263985" w:rsidRPr="00B0319E">
        <w:t>numerous</w:t>
      </w:r>
      <w:r w:rsidRPr="00B0319E">
        <w:t xml:space="preserve"> variables that influence employee satisfaction. In the following section, various of these variables are specifically examined and their importance for satisfaction is highlighted. </w:t>
      </w:r>
    </w:p>
    <w:p w14:paraId="2D33598E" w14:textId="5C1C98EE" w:rsidR="00CB7E78" w:rsidRPr="00B0319E" w:rsidRDefault="00CB7E78" w:rsidP="00FE3C2E">
      <w:pPr>
        <w:spacing w:before="240"/>
        <w:rPr>
          <w:rStyle w:val="Intensievebenadrukking"/>
          <w:i w:val="0"/>
          <w:iCs w:val="0"/>
        </w:rPr>
      </w:pPr>
      <w:r w:rsidRPr="00B0319E">
        <w:rPr>
          <w:rStyle w:val="Intensievebenadrukking"/>
          <w:i w:val="0"/>
          <w:iCs w:val="0"/>
        </w:rPr>
        <w:t>Work Environment</w:t>
      </w:r>
    </w:p>
    <w:p w14:paraId="749D466A" w14:textId="495A3DB7" w:rsidR="0083386D" w:rsidRPr="00B0319E" w:rsidRDefault="00864B44" w:rsidP="005D5987">
      <w:r w:rsidRPr="00B0319E">
        <w:t xml:space="preserve">The </w:t>
      </w:r>
      <w:r w:rsidR="005D5987" w:rsidRPr="00B0319E">
        <w:t>work environment</w:t>
      </w:r>
      <w:r w:rsidR="00631FC9">
        <w:t>, encompassing both the physical work environment and the organizational culture,</w:t>
      </w:r>
      <w:r w:rsidR="005D5987" w:rsidRPr="00B0319E">
        <w:t xml:space="preserve"> significantly </w:t>
      </w:r>
      <w:r w:rsidR="0098769E" w:rsidRPr="00B0319E">
        <w:t xml:space="preserve">contributes </w:t>
      </w:r>
      <w:r w:rsidR="005D5987" w:rsidRPr="00B0319E">
        <w:t xml:space="preserve">to the well-being of employees </w:t>
      </w:r>
      <w:r w:rsidR="00A34746" w:rsidRPr="00B0319E">
        <w:fldChar w:fldCharType="begin" w:fldLock="1"/>
      </w:r>
      <w:r w:rsidR="004116AF" w:rsidRPr="00B0319E">
        <w:instrText>ADDIN CSL_CITATION {"citationItems":[{"id":"ITEM-1","itemData":{"DOI":"10.1002/pfi.21499","abstract":"The purpose of this article is to provide a review of background information regarding perceived level of personal control over the physical features of the work environment and its impact on individual satisfaction and outcomes. In today’s business with the fast growth of technology, e-market development, and innovative methods of communication, the workplace will continue to change rapidly. To control and accommodate these fast changes while sustaining or enhancing outcomes, organizations have increasingly turned to a model of work teams; therefore, employees’ skills in working within team environments has been emphasized. To guarantee that the work environment itself supports these new approaches of working, flexible workplaces are often suggested. Open-plan offices offer more flexibility when compared to completely closed and private ones and they are considered to have more capabilities and are, therefore, highly valued in today’s industry. Apart from its advantages, open-plan office design does create some problems due to lack of personal control over the work environment, which can negatively affect employees’ satisfaction and performance. It is, therefore, important to emphasize the significance of personal control over the physical work environment and the impact of that on employees’ satisfaction and outcome.","author":[{"dropping-particle":"","family":"Samani","given":"Sanaz Ahmadpoor","non-dropping-particle":"","parse-names":false,"suffix":""},{"dropping-particle":"","family":"Rasid","given":"Siti Zaleha Abdul","non-dropping-particle":"","parse-names":false,"suffix":""},{"dropping-particle":"","family":"Sofian","given":"Saudah bt","non-dropping-particle":"","parse-names":false,"suffix":""}],"container-title":"Performance Improvement","id":"ITEM-1","issue":"9","issued":{"date-parts":[["2015"]]},"page":"28-35","title":"Perceived Level of Personal Control Over the Work Environment and Employee Satisfaction and Work Performance","type":"article-journal","volume":"54"},"uris":["http://www.mendeley.com/documents/?uuid=fad0a418-ba41-4801-b863-1717c5aa2685"]},{"id":"ITEM-2","itemData":{"DOI":"10.3846/ijspm.2019.6372","ISSN":"16489179","abstract":"Employee satisfaction is pivotal for companies as it enhances perceived productivity and organizational performance. Office concepts and their workspaces can affect employee satisfaction. However, these effects are still ambiguous, particularly regarding the activity-based concept. Therefore, in this study employee satisfaction with the work environment is investigated from a holistic approach. The effects of both personal characteristics and workspaces used by the employee on work environment satisfaction are described and measured, including mediating effects of the perceived importance of employee needs. Data was collected using an online questionnaire among 327 employees of 13 knowledge-based organizations. Path analysis was used to determine the direct and indirect effects of personal variables, environmental variables and perceived importance of needs on satisfaction. It demonstrated that both personal and environmental variables affect satisfaction, and that a considerable number of these effects are indirect through the perceived importance of needs. In particular, the effects of used workspaces were extensive.","author":[{"dropping-particle":"","family":"Budie","given":"Bart","non-dropping-particle":"","parse-names":false,"suffix":""},{"dropping-particle":"","family":"Appel-Meulenbroek","given":"Rianne","non-dropping-particle":"","parse-names":false,"suffix":""},{"dropping-particle":"","family":"Kemperman","given":"Astrid","non-dropping-particle":"","parse-names":false,"suffix":""},{"dropping-particle":"","family":"Weijs-Perree","given":"Minou","non-dropping-particle":"","parse-names":false,"suffix":""}],"container-title":"International Journal of Strategic Property Management","id":"ITEM-2","issue":"1","issued":{"date-parts":[["2019"]]},"page":"36-49","title":"Employee satisfaction with the physical work environment: The importance of a need based approach","type":"article-journal","volume":"23"},"uris":["http://www.mendeley.com/documents/?uuid=feede444-4770-4396-915e-11a1cd4c309b"]}],"mendeley":{"formattedCitation":"(Budie et al., 2019; Samani et al., 2015)","plainTextFormattedCitation":"(Budie et al., 2019; Samani et al., 2015)","previouslyFormattedCitation":"(Budie et al., 2019; Samani et al., 2015)"},"properties":{"noteIndex":0},"schema":"https://github.com/citation-style-language/schema/raw/master/csl-citation.json"}</w:instrText>
      </w:r>
      <w:r w:rsidR="00A34746" w:rsidRPr="00B0319E">
        <w:fldChar w:fldCharType="separate"/>
      </w:r>
      <w:r w:rsidR="004116AF" w:rsidRPr="00A55043">
        <w:rPr>
          <w:noProof/>
        </w:rPr>
        <w:t>(Budie et al., 2019; Samani et al., 2015)</w:t>
      </w:r>
      <w:r w:rsidR="00A34746" w:rsidRPr="00B0319E">
        <w:fldChar w:fldCharType="end"/>
      </w:r>
      <w:r w:rsidR="005D5987" w:rsidRPr="00B0319E">
        <w:t>. A pleasant working environment can be achieved by flexibly adapting the environment to the needs of each employee</w:t>
      </w:r>
      <w:r w:rsidR="00263985" w:rsidRPr="00B0319E">
        <w:t>,</w:t>
      </w:r>
      <w:r w:rsidR="004152E8" w:rsidRPr="00B0319E">
        <w:t xml:space="preserve"> which can include</w:t>
      </w:r>
      <w:r w:rsidR="005D5987" w:rsidRPr="00B0319E">
        <w:t xml:space="preserve"> </w:t>
      </w:r>
      <w:r w:rsidR="004152E8" w:rsidRPr="00B0319E">
        <w:t>height-adjustable chairs and tables, allow</w:t>
      </w:r>
      <w:r w:rsidR="00263985" w:rsidRPr="00B0319E">
        <w:t>ing</w:t>
      </w:r>
      <w:r w:rsidR="004152E8" w:rsidRPr="00B0319E">
        <w:t xml:space="preserve"> the employee to assume different positions to prevent physical discomfort </w:t>
      </w:r>
      <w:r w:rsidR="000146CC" w:rsidRPr="00B0319E">
        <w:fldChar w:fldCharType="begin" w:fldLock="1"/>
      </w:r>
      <w:r w:rsidR="005B405E" w:rsidRPr="00B0319E">
        <w:instrText>ADDIN CSL_CITATION {"citationItems":[{"id":"ITEM-1","itemData":{"DOI":"10.1002/pfi.21499","abstract":"The purpose of this article is to provide a review of background information regarding perceived level of personal control over the physical features of the work environment and its impact on individual satisfaction and outcomes. In today’s business with the fast growth of technology, e-market development, and innovative methods of communication, the workplace will continue to change rapidly. To control and accommodate these fast changes while sustaining or enhancing outcomes, organizations have increasingly turned to a model of work teams; therefore, employees’ skills in working within team environments has been emphasized. To guarantee that the work environment itself supports these new approaches of working, flexible workplaces are often suggested. Open-plan offices offer more flexibility when compared to completely closed and private ones and they are considered to have more capabilities and are, therefore, highly valued in today’s industry. Apart from its advantages, open-plan office design does create some problems due to lack of personal control over the work environment, which can negatively affect employees’ satisfaction and performance. It is, therefore, important to emphasize the significance of personal control over the physical work environment and the impact of that on employees’ satisfaction and outcome.","author":[{"dropping-particle":"","family":"Samani","given":"Sanaz Ahmadpoor","non-dropping-particle":"","parse-names":false,"suffix":""},{"dropping-particle":"","family":"Rasid","given":"Siti Zaleha Abdul","non-dropping-particle":"","parse-names":false,"suffix":""},{"dropping-particle":"","family":"Sofian","given":"Saudah bt","non-dropping-particle":"","parse-names":false,"suffix":""}],"container-title":"Performance Improvement","id":"ITEM-1","issue":"9","issued":{"date-parts":[["2015"]]},"page":"28-35","title":"Perceived Level of Personal Control Over the Work Environment and Employee Satisfaction and Work Performance","type":"article-journal","volume":"54"},"uris":["http://www.mendeley.com/documents/?uuid=fad0a418-ba41-4801-b863-1717c5aa2685"]},{"id":"ITEM-2","itemData":{"DOI":"10.3846/ijspm.2019.6372","ISSN":"16489179","abstract":"Employee satisfaction is pivotal for companies as it enhances perceived productivity and organizational performance. Office concepts and their workspaces can affect employee satisfaction. However, these effects are still ambiguous, particularly regarding the activity-based concept. Therefore, in this study employee satisfaction with the work environment is investigated from a holistic approach. The effects of both personal characteristics and workspaces used by the employee on work environment satisfaction are described and measured, including mediating effects of the perceived importance of employee needs. Data was collected using an online questionnaire among 327 employees of 13 knowledge-based organizations. Path analysis was used to determine the direct and indirect effects of personal variables, environmental variables and perceived importance of needs on satisfaction. It demonstrated that both personal and environmental variables affect satisfaction, and that a considerable number of these effects are indirect through the perceived importance of needs. In particular, the effects of used workspaces were extensive.","author":[{"dropping-particle":"","family":"Budie","given":"Bart","non-dropping-particle":"","parse-names":false,"suffix":""},{"dropping-particle":"","family":"Appel-Meulenbroek","given":"Rianne","non-dropping-particle":"","parse-names":false,"suffix":""},{"dropping-particle":"","family":"Kemperman","given":"Astrid","non-dropping-particle":"","parse-names":false,"suffix":""},{"dropping-particle":"","family":"Weijs-Perree","given":"Minou","non-dropping-particle":"","parse-names":false,"suffix":""}],"container-title":"International Journal of Strategic Property Management","id":"ITEM-2","issue":"1","issued":{"date-parts":[["2019"]]},"page":"36-49","title":"Employee satisfaction with the physical work environment: The importance of a need based approach","type":"article-journal","volume":"23"},"locator":"36","uri</w:instrText>
      </w:r>
      <w:r w:rsidR="005B405E" w:rsidRPr="00CD3858">
        <w:rPr>
          <w:lang w:val="nl-NL"/>
        </w:rPr>
        <w:instrText>s":["http://www.mendeley.com/documents/?uuid=feede444-4770-4396-915e-11a1cd4c309b"]},{"id":"ITEM-3","itemData":{"DOI":"10.1080/09613218.2014.1003176","author":[{"dropping-particle":"","family":"Leder","given":"S","non-dropping-particle":"","parse-names":false,"suffix":""},{"dropping-particle":"","family":"Newsham","given":"G","non-dropping-particle":"","parse-names":false,"suffix":""},{"dropping-particle":"","family":"Veitch","given":"A","non-dropping-particle":"","parse-names":false,"suffix":""},{"dropping-particle":"","family":"Mancini","given":"S","non-dropping-particle":"","parse-names":false,"suffix":""},{"dropping-particle":"","family":"Charles","given":"K","non-dropping-particle":"","parse-names":false,"suffix":""}],"container-title":"Building Research and Information","id":"ITEM-3","issue":"1","issued":{"date-parts":[["2016"]]},"page":"34-50","title":"Effects of office environment on employee satisfaction : a new analysis","type":"article-journal","volume":"44"},"uris":["http://www.mendeley.com/documents/?uuid=1f58b08c-210f-4ce3-8ce6-07cce03777e9"]}],"mendeley":{"formattedCitation":"(Budie et al., 2019, p. 36; Leder et al., 2016; Samani et al., 2015)","plainTextFormattedCitation":"(Budie et al., 2019, p. 36; Leder et al., 2016; Samani et al., 2015)","previouslyFormattedCitation":"(Budie et al., 2019, p. 36; Leder et al., 2016; Samani et al., 2015)"},"properties":{"noteIndex":0},"schema":"https://github.com/citation-style-language/schema/raw/master/csl-citation.json"}</w:instrText>
      </w:r>
      <w:r w:rsidR="000146CC" w:rsidRPr="00B0319E">
        <w:fldChar w:fldCharType="separate"/>
      </w:r>
      <w:r w:rsidR="005030A5" w:rsidRPr="00CD3858">
        <w:rPr>
          <w:noProof/>
          <w:lang w:val="nl-NL"/>
        </w:rPr>
        <w:t>(Budie et al., 2019, p. 36; Leder et al., 2016; Samani et al., 2015)</w:t>
      </w:r>
      <w:r w:rsidR="000146CC" w:rsidRPr="00B0319E">
        <w:fldChar w:fldCharType="end"/>
      </w:r>
      <w:r w:rsidR="005D5987" w:rsidRPr="00CD3858">
        <w:rPr>
          <w:lang w:val="nl-NL"/>
        </w:rPr>
        <w:t xml:space="preserve">. </w:t>
      </w:r>
      <w:r w:rsidR="005D5987" w:rsidRPr="00B0319E">
        <w:t>Furthermore, the possibility of spending break</w:t>
      </w:r>
      <w:r w:rsidR="00263985" w:rsidRPr="00B0319E">
        <w:t>s</w:t>
      </w:r>
      <w:r w:rsidR="005D5987" w:rsidRPr="00B0319E">
        <w:t xml:space="preserve"> in a quiet and pleasant environment can also be beneficia</w:t>
      </w:r>
      <w:r w:rsidR="004152E8" w:rsidRPr="00B0319E">
        <w:t>l</w:t>
      </w:r>
      <w:r w:rsidR="005D5987" w:rsidRPr="00B0319E">
        <w:t xml:space="preserve">, as can the </w:t>
      </w:r>
      <w:r w:rsidR="00263985" w:rsidRPr="00B0319E">
        <w:t>ability</w:t>
      </w:r>
      <w:r w:rsidR="005D5987" w:rsidRPr="00B0319E">
        <w:t xml:space="preserve"> to regulate light and temperature according</w:t>
      </w:r>
      <w:r w:rsidR="004152E8" w:rsidRPr="00B0319E">
        <w:t>ly</w:t>
      </w:r>
      <w:r w:rsidR="005D5987" w:rsidRPr="00B0319E">
        <w:t xml:space="preserve"> </w:t>
      </w:r>
      <w:r w:rsidR="006E7FB0" w:rsidRPr="00B0319E">
        <w:fldChar w:fldCharType="begin" w:fldLock="1"/>
      </w:r>
      <w:r w:rsidR="005030A5" w:rsidRPr="00B0319E">
        <w:instrText>ADDIN CSL_CITATION {"citationItems":[{"id":"ITEM-1","itemData":{"DOI":"10.3846/ijspm.2019.6372","ISSN":"16489179","abstract":"Employee satisfaction is pivotal for companies as it enhances perceived productivity and organizational performance. Office concepts and their workspaces can affect employee satisfaction. However, these effects are still ambiguous, particularly regarding the activity-based concept. Therefore, in this study employee satisfaction with the work environment is investigated from a holistic approach. The effects of both personal characteristics and workspaces used by the employee on work environment satisfaction are described and measured, including mediating effects of the perceived importance of employee needs. Data was collected using an online questionnaire among 327 employees of 13 knowledge-based organizations. Path analysis was used to determine the direct and indirect effects of personal variables, environmental variables and perceived importance of needs on satisfaction. It demonstrated that both personal and environmental variables affect satisfaction, and that a considerable number of these effects are indirect through the perceived importance of needs. In particular, the effects of used workspaces were extensive.","author":[{"dropping-particle":"","family":"Budie","given":"Bart","non-dropping-particle":"","parse-names":false,"suffix":""},{"dropping-particle":"","family":"Appel-Meulenbroek","given":"Rianne","non-dropping-particle":"","parse-names":false,"suffix":""},{"dropping-particle":"","family":"Kemperman","given":"Astrid","non-dropping-particle":"","parse-names":false,"suffix":""},{"dropping-particle":"","family":"Weijs-Perree","given":"Minou","non-dropping-particle":"","parse-names":false,"suffix":""}],"container-title":"International Journal of Strategic Property Management","id":"ITEM-1","issue":"1","issued":{"date-parts":[["2019"]]},"page":"36-49","title":"Employee satisfaction with the physical work environment: The importance of a need based approach","type":"article-journal","volume":"23"},"uris":["http://www.mendeley.com/documents/?uuid=feede444-4770-4396-915e-11a1cd4c309b"]},{"id":"ITEM-2","itemData":{"DOI":"10.1080/09613218.2014.1003176","author":[{"dropping-particle":"","family":"Leder","given":"S","non-dropping-particle":"","parse-names":false,"suffix":""},{"dropping-particle":"","family":"Newsham","given":"G","non-dropping-particle":"","parse-names":false,"suffix":""},{"dropping-particle":"","family":"Veitch","given":"A","non-dropping-particle":"","parse-names":false,"suffix":""},{"dropping-particle":"","family":"Mancini","given":"S","non-dropping-particle":"","parse-names":false,"suffix":""},{"dropping-particle":"","family":"Charles","given":"K","non-dropping-particle":"","parse-names":false,"suffix":""}],"container-title":"Building Research and Information","id":"ITEM-2","issue":"1","issued":{"date-parts":[["2016"]]},"page":"34-50","title":"Effects of office environment on employee satisfaction : a new analysis","type":"article-journal","volume":"44"},"uris":["http://www.mendeley.com/documents/?uuid=1f58b08c-210f-4ce3-8ce6-07cce03777e9"]}],"mendeley":{"formattedCitation":"(Budie et al., 2019; Leder et al., 2016)","plainTextFormattedCitation":"(Budie et al., 2019; Leder et al., 2016)","previouslyFormattedCitation":"(Budie et al., 2019; Leder et al., 2016)"},"properties":{"noteIndex":0},"schema":"https://github.com/citation-style-language/schema/raw/master/csl-citation.json"}</w:instrText>
      </w:r>
      <w:r w:rsidR="006E7FB0" w:rsidRPr="00B0319E">
        <w:fldChar w:fldCharType="separate"/>
      </w:r>
      <w:r w:rsidR="005030A5" w:rsidRPr="00A55043">
        <w:rPr>
          <w:noProof/>
        </w:rPr>
        <w:t>(Budie et al., 2019; Leder et al., 2016)</w:t>
      </w:r>
      <w:r w:rsidR="006E7FB0" w:rsidRPr="00B0319E">
        <w:fldChar w:fldCharType="end"/>
      </w:r>
      <w:r w:rsidR="005D5987" w:rsidRPr="00B0319E">
        <w:t xml:space="preserve">. </w:t>
      </w:r>
    </w:p>
    <w:p w14:paraId="34399AC1" w14:textId="5D3D7EB0" w:rsidR="005D5987" w:rsidRPr="00B0319E" w:rsidRDefault="00C7373C" w:rsidP="00C7373C">
      <w:r w:rsidRPr="00B0319E">
        <w:t>It is important to take these aspects into account,</w:t>
      </w:r>
      <w:r w:rsidR="002F48FB" w:rsidRPr="00B0319E">
        <w:t xml:space="preserve"> </w:t>
      </w:r>
      <w:r w:rsidR="00263985" w:rsidRPr="00B0319E">
        <w:t>as</w:t>
      </w:r>
      <w:r w:rsidR="002F48FB" w:rsidRPr="00B0319E">
        <w:t xml:space="preserve"> satisfied employees can </w:t>
      </w:r>
      <w:r w:rsidRPr="00B0319E">
        <w:t xml:space="preserve">better </w:t>
      </w:r>
      <w:r w:rsidR="00263985" w:rsidRPr="00B0319E">
        <w:t>manage</w:t>
      </w:r>
      <w:r w:rsidR="002F48FB" w:rsidRPr="00B0319E">
        <w:t xml:space="preserve"> stress</w:t>
      </w:r>
      <w:r w:rsidR="00590C27" w:rsidRPr="00B0319E">
        <w:t xml:space="preserve"> and </w:t>
      </w:r>
      <w:r w:rsidR="002F48FB" w:rsidRPr="00B0319E">
        <w:t xml:space="preserve">have a higher ability to concentrate </w:t>
      </w:r>
      <w:r w:rsidR="009F201C" w:rsidRPr="00B0319E">
        <w:fldChar w:fldCharType="begin" w:fldLock="1"/>
      </w:r>
      <w:r w:rsidR="002A5F18" w:rsidRPr="00B0319E">
        <w:instrText>ADDIN CSL_CITATION {"citationItems":[{"id":"ITEM-1","itemData":{"DOI":"10.1002/pfi.21499","abstract":"The purpose of this article is to provide a review of background information regarding perceived level of personal control over the physical features of the work environment and its impact on individual satisfaction and outcomes. In today’s business with the fast growth of technology, e-market development, and innovative methods of communication, the workplace will continue to change rapidly. To control and accommodate these fast changes while sustaining or enhancing outcomes, organizations have increasingly turned to a model of work teams; therefore, employees’ skills in working within team environments has been emphasized. To guarantee that the work environment itself supports these new approaches of working, flexible workplaces are often suggested. Open-plan offices offer more flexibility when compared to completely closed and private ones and they are considered to have more capabilities and are, therefore, highly valued in today’s industry. Apart from its advantages, open-plan office design does create some problems due to lack of personal control over the work environment, which can negatively affect employees’ satisfaction and performance. It is, therefore, important to emphasize the significance of personal control over the physical work environment and the impact of that on employees’ satisfaction and outcome.","author":[{"dropping-particle":"","family":"Samani","given":"Sanaz Ahmadpoor","non-dropping-particle":"","parse-names":false,"suffix":""},{"dropping-particle":"","family":"Rasid","given":"Siti Zaleha Abdul","non-dropping-particle":"","parse-names":false,"suffix":""},{"dropping-particle":"","family":"Sofian","given":"Saudah bt","non-dropping-particle":"","parse-names":false,"suffix":""}],"container-title":"Performance Improvement","id":"ITEM-1","issue":"9","issued":{"date-parts":[["2015"]]},"page":"28-35","title":"Perceived Level of Personal Control Over the Work Environment and Employee Satisfaction and Work Performance","type":"article-journal","volume":"54"},"uris":["http://www.mendeley.com/documents/?uuid=fad0a418-ba41-4801-b863-1717c5aa2685"]},{"id":"ITEM-2","itemData":{"DOI":"10.3846/ijspm.2019.6372","ISSN":"16489179","abstract":"Employee satisfaction is pivotal for companies as it enhances perceived productivity and organizational performance. Office concepts and their workspaces can affect employee satisfaction. However, these effects are still ambiguous, particularly regarding the activity-based concept. Therefore, in this study employee satisfaction with the work environment is investigated from a holistic approach. The effects of both personal characteristics and workspaces used by the employee on work environment satisfaction are described and measured, including mediating effects of the perceived importance of employee needs. Data was collected using an online questionnaire among 327 employees of 13 knowledge-based organizations. Path analysis was used to determine the direct and indirect effects of personal variables, environmental variables and perceived importance of needs on satisfaction. It demonstrated that both personal and environmental variables affect satisfaction, and that a considerable number of these effects are indirect through the perceived importance of needs. In particular, the effects of used workspaces were extensive.","author":[{"dropping-particle":"","family":"Budie","given":"Bart","non-dropping-particle":"","parse-names":false,"suffix":""},{"dropping-particle":"","family":"Appel-Meulenbroek","given":"Rianne","non-dropping-particle":"","parse-names":false,"suffix":""},{"dropping-particle":"","family":"Kemperman","given":"Astrid","non-dropping-particle":"","parse-names":false,"suffix":""},{"dropping-particle":"","family":"Weijs-Perree","given":"Minou","non-dropping-particle":"","parse-names":false,"suffix":""}],"container-title":"International Journal of Strategic Property Management","id":"ITEM-2","issue":"1","issued":{"date-parts":[["2019"]]},"page":"36-49","title":"Employee satisfaction with the physical work environment: The importance of a need based approach","type":"article-journal","volume":"23"},"uris":["http://www.mendeley.com/documents/?uuid=feede444-4770-4396-915e-11a1cd4c309b"]},{"id":"ITEM-3","itemData":{"DOI":"10.1108/MD-05-2016-0308","ISSN":"00251747","abstract":"Purpose: The purpose of this paper is to examine the association between corporate social responsibility (CSR) and employee satisfaction. The study proposes and empirically tests two hypotheses: that CSR is positively associated with employee satisfaction, and that organizational image mediates the relationship between CSR and employee satisfaction. Design/methodology/approach: The hypotheses were tested through regression analyses, using data from 85,167 questionnaires completed by employees at 381 Brazilian companies, as well as data pertaining to the “breadth” of CSR engagement of those same companies. Findings: The results of this study provide evidence that CSR-oriented actions undertaken by companies will lead to a better organizational image, and this, in turn, will lead to greater employee satisfaction. Practical implications: Because employee behaviour influences organizational outcomes and higher job satisfaction may lead to greater employee commitment to organizational goals and values, understanding the impact of CSR on employee satisfaction is relevant to corporate performance. Originality/value: The study contributes to the body of empirical research on CSR by investigating the underlying mechanisms linking CSR with employee behaviour. Scholars in the area of CSR regularly explore the outcomes and impacts of CSR actions on internal and external stakeholders. However, the impacts of CSR for a critical group of stakeholders – namely, employees – and its underlying mechanisms are understudied in the CSR literature.","author":[{"dropping-particle":"","family":"Barakat","given":"Simone R.","non-dropping-particle":"","parse-names":false,"suffix":""},{"dropping-particle":"","family":"Isabella","given":"Giuliana","non-dropping-particle":"","parse-names":false,"suffix":""},{"dropping-particle":"","family":"Boaventura","given":"João Maurício Gama","non-dropping-particle":"","parse-names":false,"suffix":""},{"dropping-particle":"","family":"Mazzon","given":"José Afonso","non-dropping-particle":"","parse-names":false,"suffix":""}],"container-title":"Management Decision","id":"ITEM-3","issue":"9","issued":{"date-parts":[["2016"]]},"page":"2325-2339","title":"The influence of corporate social responsibility on employee satisfaction","type":"article-journal","volume":"54"},"uris":["http://www.mendeley.com/documents/?uuid=be4cd7d1-8fa2-482c-a285-b7d1fefd6a68"]}],"mendeley":{"formattedCitation":"(Barakat et al., 2016; Budie et al., 2019; Samani et al., 2015)","plainTextFormattedCitation":"(Barakat et al., 2016; Budie et al., 2019; Samani et al., 2015)","previouslyFormattedCitation":"(Barakat et al., 2016; Budie et al., 2019; Samani et al., 2015)"},"properties":{"noteIndex":0},"schema":"https://github.com/citation-style-language/schema/raw/master/csl-citation.json"}</w:instrText>
      </w:r>
      <w:r w:rsidR="009F201C" w:rsidRPr="00B0319E">
        <w:fldChar w:fldCharType="separate"/>
      </w:r>
      <w:r w:rsidR="00C35A21" w:rsidRPr="00A55043">
        <w:rPr>
          <w:noProof/>
        </w:rPr>
        <w:t xml:space="preserve">(Barakat et al., 2016; Budie et al., 2019; Samani et </w:t>
      </w:r>
      <w:r w:rsidR="00C35A21" w:rsidRPr="00A55043">
        <w:rPr>
          <w:noProof/>
        </w:rPr>
        <w:lastRenderedPageBreak/>
        <w:t>al., 2015)</w:t>
      </w:r>
      <w:r w:rsidR="009F201C" w:rsidRPr="00B0319E">
        <w:fldChar w:fldCharType="end"/>
      </w:r>
      <w:r w:rsidR="002F48FB" w:rsidRPr="00B0319E">
        <w:t xml:space="preserve">. </w:t>
      </w:r>
      <w:r w:rsidR="00647A1A" w:rsidRPr="00B0319E">
        <w:t xml:space="preserve">Since the real estate sector often involves large financial amounts and long-term investments, it is </w:t>
      </w:r>
      <w:r w:rsidR="00263985" w:rsidRPr="00B0319E">
        <w:t>crucial</w:t>
      </w:r>
      <w:r w:rsidR="00647A1A" w:rsidRPr="00B0319E">
        <w:t xml:space="preserve"> to create the right working environment so that thoughtful decisions can be made</w:t>
      </w:r>
      <w:r w:rsidR="009E77A5" w:rsidRPr="00B0319E">
        <w:t xml:space="preserve"> that </w:t>
      </w:r>
      <w:r w:rsidR="00590C27" w:rsidRPr="00B0319E">
        <w:t>are profitable</w:t>
      </w:r>
      <w:r w:rsidR="00647A1A" w:rsidRPr="00B0319E">
        <w:t>.</w:t>
      </w:r>
      <w:r w:rsidR="00EA3CE7" w:rsidRPr="00B0319E">
        <w:t xml:space="preserve"> </w:t>
      </w:r>
      <w:r w:rsidR="00AE45EF" w:rsidRPr="00B0319E">
        <w:t xml:space="preserve">According to the literature, increased productivity can lead to higher returns </w:t>
      </w:r>
      <w:r w:rsidR="000D726F" w:rsidRPr="00B0319E">
        <w:fldChar w:fldCharType="begin" w:fldLock="1"/>
      </w:r>
      <w:r w:rsidR="001161E8" w:rsidRPr="00B0319E">
        <w:instrText>ADDIN CSL_CITATION {"citationItems":[{"id":"ITEM-1","itemData":{"DOI":"10.1016/j.jbusres.2021.07.009","ISSN":"01482963","abstract":"Drawing on stakeholder and agency theories, we examine how employee friendly practices impact dividend payments in emerging countries. Using data from 862 firms and 6,071 firm-year observations from 17 emerging countries, we find that the employee friendly practices are negatively related to the dividend payments. This relationship is found to be stronger for government owned firms. We further examine the ‘agency problems’ and ‘future investment’ as possible channels through which employee friendly practices may lead firms to pay low dividends. We find the support for the future investment channel. Lastly, we examine the value effect of employee friendly treatment and find that employee friendly practices increase firm performance in emerging markets which lends support to the effectiveness of the investment channel.","author":[{"dropping-particle":"","family":"Saeed","given":"Abubakr","non-dropping-particle":"","parse-names":false,"suffix":""}],"container-title":"Journal of Business Research","id":"ITEM-1","issue":"June","issued":{"date-parts":[["2021"]]},"page":"592-605","publisher":"Elsevier Inc.","title":"The impact of employee friendly practices on dividend payments: Evidence from emerging economies","type":"article-journal","volume":"135"},"uris":["http://www.mendeley.com/documents/?uuid=88784c72-24ad-42c1-9cbf-d8dcec29bb93"]},{"id":"ITEM-2","itemData":{"DOI":"10.1007/s11146-024-09979-y","ISBN":"0123456789","ISSN":"1573045X","abstract":"This article investigates the impacts of environmental, social, and governance (ESG) performance on a firm’s valuation, cash flow, and risk. Using newly available GRESB ESG performance data from 2019 to 2021 for global equity real estate investment trusts (REITs), we document that REITs with higher ESG performance scores have lower firm value and lower operating cash flow. Moreover, we show that strong ESG performing REITs exhibit higher firm risk. These results suggest that REIT management may overinvest in ESG activities at the expense of shareholder value. We are the first to our knowledge to provide evidence of overinvestment in ESG for REITs.","author":[{"dropping-particle":"","family":"Chacon","given":"Ryan G.","non-dropping-particle":"","parse-names":false,"suffix":""},{"dropping-particle":"","family":"Feng","given":"Zifeng","non-dropping-particle":"","parse-names":false,"suffix":""},{"dropping-particle":"","family":"Wu","given":"Zhonghua","non-dropping-particle":"","parse-names":false,"suffix":""}],"container-title":"Journal of Real Estate Finance and Economics","id":"ITEM-2","issue":"January","issued":{"date-parts":[["2024"]]},"publisher":"Springer US","title":"Does Investing in ESG Pay Off? Evidence from REITs","type":"article-journal"},"uris":["http://www.mendeley.com/documents/?uuid=19380253-0ec0-403f-bfc2-7f26720c45d6"]}],"mendeley":{"formattedCitation":"(Chacon et al., 2024; Saeed, 2021)","plainTextFormattedCitation":"(Chacon et al., 2024; Saeed, 2021)","previouslyFormattedCitation":"(Chacon et al., 2024; Saeed, 2021)"},"properties":{"noteIndex":0},"schema":"https://github.com/citation-style-language/schema/raw/master/csl-citation.json"}</w:instrText>
      </w:r>
      <w:r w:rsidR="000D726F" w:rsidRPr="00B0319E">
        <w:fldChar w:fldCharType="separate"/>
      </w:r>
      <w:r w:rsidR="000D726F" w:rsidRPr="00A55043">
        <w:rPr>
          <w:noProof/>
        </w:rPr>
        <w:t>(Chacon et al., 2024; Saeed, 2021)</w:t>
      </w:r>
      <w:r w:rsidR="000D726F" w:rsidRPr="00B0319E">
        <w:fldChar w:fldCharType="end"/>
      </w:r>
      <w:r w:rsidR="00AE45EF" w:rsidRPr="00B0319E">
        <w:t>.</w:t>
      </w:r>
    </w:p>
    <w:p w14:paraId="616C11A6" w14:textId="77777777" w:rsidR="004E3182" w:rsidRDefault="004E3182">
      <w:pPr>
        <w:spacing w:line="240" w:lineRule="auto"/>
        <w:ind w:firstLine="0"/>
        <w:jc w:val="left"/>
        <w:rPr>
          <w:rStyle w:val="Intensievebenadrukking"/>
          <w:i w:val="0"/>
          <w:iCs w:val="0"/>
        </w:rPr>
      </w:pPr>
      <w:r>
        <w:rPr>
          <w:rStyle w:val="Intensievebenadrukking"/>
          <w:i w:val="0"/>
          <w:iCs w:val="0"/>
        </w:rPr>
        <w:br w:type="page"/>
      </w:r>
    </w:p>
    <w:p w14:paraId="00576316" w14:textId="6FBA8422" w:rsidR="00CB7E78" w:rsidRPr="00B0319E" w:rsidRDefault="00CB7E78" w:rsidP="00FE3C2E">
      <w:pPr>
        <w:spacing w:before="240"/>
        <w:rPr>
          <w:rStyle w:val="Intensievebenadrukking"/>
          <w:i w:val="0"/>
          <w:iCs w:val="0"/>
        </w:rPr>
      </w:pPr>
      <w:r w:rsidRPr="00B0319E">
        <w:rPr>
          <w:rStyle w:val="Intensievebenadrukking"/>
          <w:i w:val="0"/>
          <w:iCs w:val="0"/>
        </w:rPr>
        <w:lastRenderedPageBreak/>
        <w:t>Recognition and Reward</w:t>
      </w:r>
    </w:p>
    <w:p w14:paraId="6986D52E" w14:textId="67115B82" w:rsidR="007F5563" w:rsidRPr="00B0319E" w:rsidRDefault="0098769E" w:rsidP="00C55F72">
      <w:r w:rsidRPr="00B0319E">
        <w:t>R</w:t>
      </w:r>
      <w:r w:rsidR="00BC6B15" w:rsidRPr="00B0319E">
        <w:t>ecognition and reward</w:t>
      </w:r>
      <w:r w:rsidRPr="00B0319E">
        <w:t xml:space="preserve"> greatly enhance employee satisfaction</w:t>
      </w:r>
      <w:r w:rsidR="00BC6B15" w:rsidRPr="00B0319E">
        <w:t>. When employees feel their work is appreciated and rewarded, it boosts their well-being</w:t>
      </w:r>
      <w:r w:rsidRPr="00B0319E">
        <w:t xml:space="preserve"> and</w:t>
      </w:r>
      <w:r w:rsidR="00BC6B15" w:rsidRPr="00B0319E">
        <w:t xml:space="preserve"> gives them a sense of contributing to the company’s value, motivating them to continue giving their best </w:t>
      </w:r>
      <w:r w:rsidR="005B405E" w:rsidRPr="00B0319E">
        <w:fldChar w:fldCharType="begin" w:fldLock="1"/>
      </w:r>
      <w:r w:rsidR="005553E3" w:rsidRPr="00B0319E">
        <w:instrText>ADDIN CSL_CITATION {"citationItems":[{"id":"ITEM-1","itemData":{"DOI":"10.1108/IJM-08-2018-0281","ISSN":"01437720","abstract":"Purpose: In the face of a changing and turbulent environment, an organizational learning culture (OLC) is crucial for the long-term operation of an organization. A learning culture provides the capacity to effectively integrate employees, and it also provides structure so that an organization can move forward via continuous learning and change. Few empirical results are available from Chinese companies enduring an organizational change. To bridge this research gap, this study investigated the relationships among an OLC, job satisfaction, turnover intentions and job performance during organizational change. Design/methodology/approach: A quantitative approach with structural equation modeling (SEM) and bootstrapping estimation was used to test hypotheses developed from a sample of 434 employees in a restructured telecommunications company in Taiwan. Findings: Employees who experienced a higher learning culture had lower levels of turnover intentions and exhibited better job performance. Job satisfaction had a negative impact on employee turnover intentions but a positive impact on job performance. Moreover, job satisfaction fully mediated the relationships between an OLC and employee turnover intentions and job performance. When encountering organizational planned changes, a vibrant learning culture gave employees a higher level of satisfaction in their jobs and workplace. Although unexpected challenges often appeared during the organizational changes, employees with a higher level of job satisfaction tended to fulfill their own job duties and showed fewer turnover intentions. Originality/value: In investigating issues related to organizational change, this study provides managerial insights and addresses strategies for facilitating the adoption of an OLC into the design and implementation of a better workplace environment.","author":[{"dropping-particle":"","family":"Lin","given":"Chun Yu","non-dropping-particle":"","parse-names":false,"suffix":""},{"dropping-particle":"","family":"Huang","given":"Chung Kai","non-dropping-particle":"","parse-names":false,"suffix":""}],"container-title":"International Journal of Manpower","id":"ITEM-1","issue":"3","issued":{"date-parts":[["2021"]]},"page":"409-423","title":"Employee turnover intentions and job performance from a planned change: the effects of an organizational learning culture and job satisfaction","type":"article-journal","volume":"42"},"uris":["http://www.mendeley.com/documents/?uuid=c88f4e6b-99f6-4313-8d75-a353cce176dc"]},{"id":"ITEM-2","itemData":{"DOI":"10.1108/MD-05-2016-0308","ISSN":"00251747","abstract":"Purpose: The purpose of this paper is to examine the association between corporate social responsibility (CSR) and employee satisfaction. The study proposes and empirically tests two hypotheses: that CSR is positively associated with employee satisfaction, and that organizational image mediates the relationship between CSR and employee satisfaction. Design/methodology/approach: The hypotheses were tested through regression analyses, using data from 85,167 questionnaires completed by employees at 381 Brazilian companies, as well as data pertaining to the “breadth” of CSR engagement of those same companies. Findings: The results of this study provide evidence that CSR-oriented actions undertaken by companies will lead to a better organizational image, and this, in turn, will lead to greater employee satisfaction. Practical implications: Because employee behaviour influences organizational outcomes and higher job satisfaction may lead to greater employee commitment to organizational goals and values, understanding the impact of CSR on employee satisfaction is relevant to corporate performance. Originality/value: The study contributes to the body of empirical research on CSR by investigating the underlying mechanisms linking CSR with employee behaviour. Scholars in the area of CSR regularly explore the outcomes and impacts of CSR actions on internal and external stakeholders. However, the impacts of CSR for a critical group of stakeholders – namely, employees – and its underlying mechanisms are understudied in the CSR literature.","author":[{"dropping-particle":"","family":"Barakat","given":"Simone R.","non-dropping-particle":"","parse-names":false,"suffix":""},{"dropping-particle":"","family":"Isabella","given":"Giuliana","non-dropping-particle":"","parse-names":false,"suffix":""},{"dropping-particle":"","family":"Boaventura","given":"João Maurício Gama","non-dropping-particle":"","parse-names":false,"suffix":""},{"dropping-particle":"","family":"Mazzon","given":"José Afonso","non-dropping-particle":"","parse-names":false,"suffix":""}],"container-title":"Management Decision","id":"ITEM-2","issue":"9","issued":{"date-parts":[["2016"]]},"page":"2325-2339","title":"The influence of corporate social responsibility on employee satisfaction","type":"article-journal","volume":"54"},"locator":"2328","uris":["http://www.mendeley.com/documents/?uuid=be4cd7d1-8fa2-482c-a285-b7d1fefd6a68"]}],"mendeley":{"formattedCitation":"(Barakat et al., 2016, p. 2328; Lin &amp; Huang, 2021)","plainTextFormattedCitation":"(Barakat et al., 2016, p. 2328; Lin &amp; Huang, 2021)","previouslyFormattedCitation":"(Barakat et al., 2016, p. 2328; Lin &amp; Huang, 2021)"},"properties":{"noteIndex":0},"schema":"https://github.com/citation-style-language/schema/raw/master/csl-citation.json"}</w:instrText>
      </w:r>
      <w:r w:rsidR="005B405E" w:rsidRPr="00B0319E">
        <w:fldChar w:fldCharType="separate"/>
      </w:r>
      <w:r w:rsidR="002A5F18" w:rsidRPr="00A55043">
        <w:rPr>
          <w:noProof/>
        </w:rPr>
        <w:t>(Barakat et al., 2016, p. 2328; Lin &amp; Huang, 2021)</w:t>
      </w:r>
      <w:r w:rsidR="005B405E" w:rsidRPr="00B0319E">
        <w:fldChar w:fldCharType="end"/>
      </w:r>
      <w:r w:rsidR="005D5987" w:rsidRPr="00B0319E">
        <w:t xml:space="preserve">. </w:t>
      </w:r>
      <w:r w:rsidR="001B076A" w:rsidRPr="00B0319E">
        <w:t xml:space="preserve">Employees who do not feel valued lack the incentive to perform at their best </w:t>
      </w:r>
      <w:r w:rsidR="00392F26" w:rsidRPr="00B0319E">
        <w:fldChar w:fldCharType="begin" w:fldLock="1"/>
      </w:r>
      <w:r w:rsidR="007D237E" w:rsidRPr="00B0319E">
        <w:instrText>ADDIN CSL_CITATION {"citationItems":[{"id":"ITEM-1","itemData":{"DOI":"10.22161/ijebm.5.2.3","abstract":"Human Resource Management is getting more important in the business nowadays, because people and their knowledge are the most important aspects affecting the productivity of the company. One of the main aspects of Human Resource Management is the measurement of employee satisfaction. Companies have to make sure that employee satisfaction is high among the workers, which is a precondition for increasing productivity, responsiveness, quality, and recognitionservice. The aim of this thesis is to analyze the level of employee satisfaction and work motivation. It also deals with the effect the culture has on employee satisfaction. The theoretical framework of this thesis includes such concepts as, job satisfaction, motivation, and rewards differences. One of the biggest strength of the organization is the relationship and communication between the employees and the managers.","author":[{"dropping-particle":"","family":"Jamal Ali","given":"Bayad","non-dropping-particle":"","parse-names":false,"suffix":""},{"dropping-particle":"","family":"Anwar","given":"Govand","non-dropping-particle":"","parse-names":false,"suffix":""}],"container-title":"International Journal of Engineering, Business and Management","id":"ITEM-1","issue":"2","issued":{"date-parts":[["2021"]]},"page":"21-30","title":"An Empirical Study of Employees’ Motivation and its Influence Job Satisfaction","type":"article-journal","volume":"5"},"uris":["http://www.mendeley.com/documents/?uuid=a31e5f66-c2b3-4fdc-9e32-dc208990b8a5"]}],"mendeley":{"formattedCitation":"(Jamal Ali &amp; Anwar, 2021)","plainTextFormattedCitation":"(Jamal Ali &amp; Anwar, 2021)","previouslyFormattedCitation":"(Jamal Ali &amp; Anwar, 2021)"},"properties":{"noteIndex":0},"schema":"https://github.com/citation-style-language/schema/raw/master/csl-citation.json"}</w:instrText>
      </w:r>
      <w:r w:rsidR="00392F26" w:rsidRPr="00B0319E">
        <w:fldChar w:fldCharType="separate"/>
      </w:r>
      <w:r w:rsidR="00392F26" w:rsidRPr="00A55043">
        <w:rPr>
          <w:noProof/>
        </w:rPr>
        <w:t>(Jamal Ali &amp; Anwar, 2021)</w:t>
      </w:r>
      <w:r w:rsidR="00392F26" w:rsidRPr="00B0319E">
        <w:fldChar w:fldCharType="end"/>
      </w:r>
      <w:r w:rsidR="005D5987" w:rsidRPr="00B0319E">
        <w:t xml:space="preserve">. </w:t>
      </w:r>
      <w:r w:rsidR="009917D1" w:rsidRPr="00B0319E">
        <w:t>Th</w:t>
      </w:r>
      <w:r w:rsidR="00631FC9">
        <w:t>e importance of this</w:t>
      </w:r>
      <w:r w:rsidR="009917D1" w:rsidRPr="00B0319E">
        <w:t xml:space="preserve"> aspect is </w:t>
      </w:r>
      <w:r w:rsidR="00631FC9">
        <w:t xml:space="preserve">especially pronounced for those </w:t>
      </w:r>
      <w:r w:rsidR="009917D1" w:rsidRPr="00B0319E">
        <w:t xml:space="preserve">who interact with customers and suppliers. Satisfied employees strive to satisfy customers and suppliers, </w:t>
      </w:r>
      <w:r w:rsidR="005D5987" w:rsidRPr="00B0319E">
        <w:t xml:space="preserve">ensuring that the company's reputation is not jeopardized by poor work practices </w:t>
      </w:r>
      <w:r w:rsidR="00D74EDE" w:rsidRPr="00B0319E">
        <w:fldChar w:fldCharType="begin" w:fldLock="1"/>
      </w:r>
      <w:r w:rsidR="001D3A70" w:rsidRPr="00B0319E">
        <w:instrText>ADDIN CSL_CITATION {"citationItems":[{"id":"ITEM-1","itemData":{"ISSN":"2045-7057","abstract":"– Employee satisfaction is considered weighty when it comes to define organizational success. Employee's satisfaction is central concern particularly in the service industry. Need to enhance employee satisfaction is critical because it is a key to business success of any organization. In the present milieu, employee satisfaction has come under limelight due to stiff competition where organizations are trying to carve competitive advantage through the human factor. The purpose of this study is to observe the relationship between employee satisfaction and customer satisfaction and to examine the impact of both on organizational success. This study scrutinizes the effects of different factors of organization which affects the employee satisfaction. This is a cohort study in which qualitative research methodology was used. The data was collected through self-administrated questionnaire which contains multiple choice questions and open-ended questions. Results of the principal component analysis (PCA) based on correlation matrix revealed a great deal of employees (hotel workers) satisfaction among surveyed cohorts where customers also had expressed satisfaction with existing services. Mainly environmental cleanliness, quality food and room services has played vital role in creating contentment and subsequent satisfaction among customers. From employee's perspective, conducive working atmosphere coupled with incentives like salary and frequent trainings focused the employees to work with dedication to uplift the organization (hotels) which is reflected clearly by the satisfaction level of customers. Our study confirms indirect relation between organizational success and employee satisfaction which was mediated by customers. In conclusion, it seems reasonable to believe that understanding of employee role is extremely important as it appears key factor in the success of modern organization.","author":[{"dropping-particle":"","family":"Naseem","given":"Afshan","non-dropping-particle":"","parse-names":false,"suffix":""},{"dropping-particle":"","family":"Ejaz Sheikh","given":"Sadia","non-dropping-particle":"","parse-names":false,"suffix":""},{"dropping-particle":"","family":"Malik GPHR","given":"Khusro P","non-dropping-particle":"","parse-names":false,"suffix":""}],"container-title":"International Journal of Multidisciplinary Sciences and Engineering","id":"ITEM-1","issue":"5","issued":{"date-parts":[["2011"]]},"page":"41-46","title":"Impact of Employee Satisfaction on Success of Organization: Relation between Customer Experience and Employee Satisfaction","type":"article-journal","volume":"2"},"uris":["http://www.mendeley.com/documents/?uuid=f3319b29-c9ae-4fba-95e2-5cec28c341d8"]},{"id":"ITEM-2","itemData":{"DOI":"10.1016/j.ijhm.2008.08.003","ISSN":"02784319","abstract":"The purpose of this study is to examine the relationship between employee satisfaction and customer satisfaction, and to examine the impact of both on a hospitality company's financial performance utilizing service-profit-chain framework as the theoretical base. Specifically, this study explores four major relationships: (1) the direct relationship between customer satisfaction and financial performance; (2) the direct relationship between employee satisfaction and financial performance; (3) the direct relationship between customer satisfaction and employee satisfaction; and (4) the indirect relationship between employee satisfaction and financial performance. Furthermore, this study examines the mediating role of customer satisfaction on the indirect relationship between employee satisfaction and financial performance. Data for this study was collected from employees, customers and managers of three- and four-star hotels. Structural equation modeling (SEM) with a two-step approach was utilized to empirically test the proposed hypotheses and the relationships between the constructs. Findings suggest that while customer satisfaction has positive significant impact on financial performance, employee satisfaction has no direct significant impact on financial performance. Instead, there is an indirect relationship between employee satisfaction and financial performance, which is mediated by customer satisfaction. © 2008.","author":[{"dropping-particle":"","family":"Chi","given":"Christina G.","non-dropping-particle":"","parse-names":false,"suffix":""},{"dropping-particle":"","family":"Gursoy","given":"Dogan","non-dropping-particle":"","parse-names":false,"suffix":""}],"container-title":"International Journal of Hospitality Management","id":"ITEM-2","issue":"2","issued":{"date-parts":[["2009"]]},"page":"245-253","title":"Employee satisfaction, customer satisfaction, and financial performance: An empirical examination","type":"article-journal","volume":"28"},"uris":["http://www.mendeley.com/documents/?uuid=4844ac44-bf27-485c-b98c-05040de0b00a"]},{"id":"ITEM-3","itemData":{"DOI":"10.2139/ssrn.4721577","abstract":"The widespread adoption of working-from-home policies by companies has shifted the demand for the office space market. Corporate tenants are reconsidering the amount of office space required for their operations. However, there is a lack of studies exploring the determinants of office demand by corporate tenants. In this study, we use a unique dataset combining the largest tenant survey of US office tenants with rental contracts retrieved from CoStar to estimate how tenant satisfaction shapes the demand for office space. Our sample includes 2,906 U.S. office buildings and 39,534 corporate tenants. We document that 1 point higher tenant satisfaction (on a scale of 1 to 5) is positively related to 8.62% higher willingness to renew the lease, 11.52% higher likelihood to recommend the property to the prospect tenants, and 15.80% lower probability of moving out of the property. In addition, the analysis of the financial performance of properties shows that 10% higher building level average overall satisfaction is associated with a 0.17% higher growth of gross rents, 0.59% higher growth of effective gross rent, and a 2.43% drop in the vacancy rate change. Heterogeneity analyses suggest that the role of satisfaction is strongest for short-term tenants, for the properties that are located in the submarkets with high vacancy rates. Finally, further analysis using the mediation model documents that putting in sustainability and better property management company could improvement to tenants' satisfaction and the performance of the building. Our research provides novel evidence for the financial implication of good customer relationship management in the real estate sector. JEL: R30, R32, R33, M31","author":[{"dropping-particle":"","family":"Hu","given":"Minyi","non-dropping-particle":"","parse-names":false,"suffix":""},{"dropping-particle":"","family":"Kok","given":"Nils","non-dropping-particle":"","parse-names":false,"suffix":""},{"dropping-particle":"","family":"Palacios","given":"Juan","non-dropping-particle":"","parse-names":false,"suffix":""}],"container-title":"SSRN Electronic Journal","id":"ITEM-3","issue":"24","issued":{"date-parts":[["2024"]]},"title":"Tenant Satisfaction and Commercial Building Performance","type":"article-journal"},"uris":["http://www.mendeley.com/documents/?uuid=03a2c279-6d6f-47a7-9327-1ba36c577ee9"]},{"id":"ITEM-4","itemData":{"DOI":"10.1016/j.jbef.2016.02.001","ISSN":"22146369","abstract":"This paper uses a novel identification strategy to test the influence of news media on the stock market. Because the stock market does not impact the media coverage of the housing market, a relationship between real-estate news and shares of companies engaged in the housing market is attributable media influence. I find that the content of reporting exhibits a significant relationship with stock returns, and the amount of news with the number of trades. These relationships exist even after controlling for known risk factors, housing market performance and intra-week correlation. This finding is consistent with the function of the media as a source of information and sentiment in financial markets.","author":[{"dropping-particle":"","family":"Walker","given":"Clive B.","non-dropping-particle":"","parse-names":false,"suffix":""}],"container-title":"Journal of Behavioral and Experimental Finance","id":"ITEM-4","issued":{"date-parts":[["2016"]]},"page":"20-31","publisher":"Elsevier B.V.","title":"The direction of media influence: Real-estate news and the stock market","type":"article-journal","volume":"10"},"uris":["http://www.mendeley.com/documents/?uuid=bd80ea61-57eb-42e9-8fb9-c1d3ee596670"]}],"mendeley":{"formattedCitation":"(Chi &amp; Gursoy, 2009; Hu et al., 2024; Naseem et al., 2011; Walker, 2016)","plainTextFormattedCitation":"(Chi &amp; Gursoy, 2009; Hu et al., 2024; Naseem et al., 2011; Walker, 2016)","previouslyFormattedCitation":"(Chi &amp; Gursoy, 2009; Hu et al., 2024; Naseem et al., 2011; Walker, 2016)"},"properties":{"noteIndex":0},"schema":"https://github.com/citation-style-language/schema/raw/master/csl-citation.json"}</w:instrText>
      </w:r>
      <w:r w:rsidR="00D74EDE" w:rsidRPr="00B0319E">
        <w:fldChar w:fldCharType="separate"/>
      </w:r>
      <w:r w:rsidR="0043052C" w:rsidRPr="00A55043">
        <w:rPr>
          <w:noProof/>
        </w:rPr>
        <w:t>(Chi &amp; Gursoy, 2009; Hu et al., 2024; Naseem et al., 2011; Walker, 2016)</w:t>
      </w:r>
      <w:r w:rsidR="00D74EDE" w:rsidRPr="00B0319E">
        <w:fldChar w:fldCharType="end"/>
      </w:r>
      <w:r w:rsidR="005D5987" w:rsidRPr="00B0319E">
        <w:t xml:space="preserve">. </w:t>
      </w:r>
      <w:r w:rsidR="002F3ACB" w:rsidRPr="00B0319E">
        <w:t>Real estate companies, in particular, are often in the media spotlight due to their operational business</w:t>
      </w:r>
      <w:r w:rsidR="004D0887" w:rsidRPr="00B0319E">
        <w:t xml:space="preserve"> </w:t>
      </w:r>
      <w:r w:rsidR="004D0887" w:rsidRPr="00B0319E">
        <w:fldChar w:fldCharType="begin" w:fldLock="1"/>
      </w:r>
      <w:r w:rsidR="0043052C" w:rsidRPr="00B0319E">
        <w:instrText>ADDIN CSL_CITATION {"citationItems":[{"id":"ITEM-1","itemData":{"DOI":"10.1016/j.jbef.2016.02.001","ISSN":"22146369","abstract":"This paper uses a novel identification strategy to test the influence of news media on the stock market. Because the stock market does not impact the media coverage of the housing market, a relationship between real-estate news and shares of companies engaged in the housing market is attributable media influence. I find that the content of reporting exhibits a significant relationship with stock returns, and the amount of news with the number of trades. These relationships exist even after controlling for known risk factors, housing market performance and intra-week correlation. This finding is consistent with the function of the media as a source of information and sentiment in financial markets.","author":[{"dropping-particle":"","family":"Walker","given":"Clive B.","non-dropping-particle":"","parse-names":false,"suffix":""}],"container-title":"Journal of Behavioral and Experimental Finance","id":"ITEM-1","issued":{"date-parts":[["2016"]]},"page":"20-31","publisher":"Elsevier B.V.","title":"The direction of media influence: Real-estate news and the stock market","type":"article-journal","volume":"10"},"uris":["http://www.mendeley.com/documents/?uuid=bd80ea61-57eb-42e9-8fb9-c1d3ee596670"]},{"id":"ITEM-2","itemData":{"DOI":"10.1080/10835547.2021.1967689","ISSN":"1083-5547","abstract":"… news on REIT market returns. While findings in the general stock market show a greater market reaction to negative news, we find that the REIT market reacts predominantly to positive …","author":[{"dropping-particle":"","family":"Birz","given":"Gene","non-dropping-particle":"","parse-names":false,"suffix":""},{"dropping-particle":"","family":"Devos","given":"Erik","non-dropping-particle":"","parse-names":false,"suffix":""},{"dropping-particle":"","family":"Dutta","given":"Sandip","non-dropping-particle":"","parse-names":false,"suffix":""},{"dropping-particle":"","family":"Tsang","given":"Desmond","non-dropping-particle":"","parse-names":false,"suffix":""}],"container-title":"Journal of Real Estate Portfolio Management","id":"ITEM-2","issue":"1","issued":{"date-parts":[["2021"]]},"page":"43-62","title":"Is Good News Good and Bad News Bad in the REIT Market?","type":"article-journal","volume":"27"},"uris":["http://www.mendeley.com/documents/?uuid=eb70ee02-d485-4302-8901-7e10fe0cb3f3"]}],"mendeley":{"formattedCitation":"(Birz et al., 2021; Walker, 2016)","plainTextFormattedCitation":"(Birz et al., 2021; Walker, 2016)","previouslyFormattedCitation":"(Birz et al., 2021; Walker, 2016)"},"properties":{"noteIndex":0},"schema":"https://github.com/citation-style-language/schema/raw/master/csl-citation.json"}</w:instrText>
      </w:r>
      <w:r w:rsidR="004D0887" w:rsidRPr="00B0319E">
        <w:fldChar w:fldCharType="separate"/>
      </w:r>
      <w:r w:rsidR="004D0887" w:rsidRPr="00A55043">
        <w:rPr>
          <w:noProof/>
        </w:rPr>
        <w:t>(Birz et al., 2021; Walker, 2016)</w:t>
      </w:r>
      <w:r w:rsidR="004D0887" w:rsidRPr="00B0319E">
        <w:fldChar w:fldCharType="end"/>
      </w:r>
      <w:r w:rsidR="002F3ACB" w:rsidRPr="00B0319E">
        <w:t>. Unlike other industries, real estate companies have a significant influence on the development of districts and cities</w:t>
      </w:r>
      <w:r w:rsidR="00631FC9">
        <w:t>,</w:t>
      </w:r>
      <w:r w:rsidR="002F3ACB" w:rsidRPr="00B0319E">
        <w:t xml:space="preserve"> plac</w:t>
      </w:r>
      <w:r w:rsidR="00631FC9">
        <w:t>ing</w:t>
      </w:r>
      <w:r w:rsidR="002F3ACB" w:rsidRPr="00B0319E">
        <w:t xml:space="preserve"> a great social responsibility on </w:t>
      </w:r>
      <w:r w:rsidR="00631FC9">
        <w:t>them,</w:t>
      </w:r>
      <w:r w:rsidR="00C55F72" w:rsidRPr="00B0319E">
        <w:t xml:space="preserve"> </w:t>
      </w:r>
      <w:r w:rsidR="00070A1F" w:rsidRPr="00B0319E">
        <w:t xml:space="preserve">which is regularly examined by the media </w:t>
      </w:r>
      <w:r w:rsidR="00083F96" w:rsidRPr="00B0319E">
        <w:fldChar w:fldCharType="begin" w:fldLock="1"/>
      </w:r>
      <w:r w:rsidR="00701F71" w:rsidRPr="00B0319E">
        <w:instrText>ADDIN CSL_CITATION {"citationItems":[{"id":"ITEM-1","itemData":{"DOI":"10.1108/MF-12-2021-0593","ISSN":"17587743","abstract":"Purpose: The purpose of the paper is to examine the relationship between the Environmental, Social and Governance (ESG) performance of Real Estate Investment Trusts (REITs) and their operational efficiency and performance. Design/methodology/approach: The authors use S&amp;P Global (formerly SNL Real Estate) for the study analyses and examine all publicly traded REITs based in the United States over the 2019–2020 sample period. The authors regress the measures of REIT operational efficiency and operational performance on REIT ESG scores while controlling for REIT characteristics and use an ordinary least squares (OLS) estimation model with heteroscedasticity-robust standard errors. The authors also run additional regressions to examine the implications of operational efficiency on the relationship between ESG and operational performance. Findings: The authors find that REITs that perform well on the ESG scale have higher operational efficiency. In addition, the authors find that REITs with better ESG scores are associated with better operational performance. Finally, the authors find that the positive association between ESG scores and operational performance is stronger in REITs with higher operational efficiency. Practical implications: First, the adoption of ESG adds value to the REIT in terms of increased operational performance and efficiency. Second, the value addition of ESG to an REIT is driven by the better operational efficiency of some REITs over the others. Therefore, the authors’ findings suggest that REITs that currently score poorly on ESG performance would first need to focus on all the possible avenues to improve economies of scale and hence operational efficiency. This approach would help ensure that when those REITs adopt ESG initiatives, they get the most bang for their buck. Originality/value: To the best of the authors’ knowledge, this is the first study that relates operational efficiency and operational performance of REITs to their ESG scores.","author":[{"dropping-particle":"","family":"Aroul","given":"Ramya Rajajagadeesan","non-dropping-particle":"","parse-names":false,"suffix":""},{"dropping-particle":"","family":"Sabherwal","given":"Sanjiv","non-dropping-particle":"","parse-names":false,"suffix":""},{"dropping-particle":"V.","family":"Villupuram","given":"Sriram","non-dropping-particle":"","parse-names":false,"suffix":""}],"container-title":"Managerial Finance","id":"ITEM-1","issue":"8","issued":{"date-parts":[["2022"]]},"page":"1206-1220","title":"ESG, operational efficiency and operational performance: evidence from Real Estate Investment Trusts","type":"article-journal","volume":"48"},"uris":["http://www.mendeley.com/documents/?uuid=98716b0f-2577-42ff-b94a-289990d3076b"]}],"mendeley":{"formattedCitation":"(Aroul et al., 2022)","plainTextFormattedCitation":"(Aroul et al., 2022)","previouslyFormattedCitation":"(Aroul et al., 2022)"},"properties":{"noteIndex":0},"schema":"https://github.com/citation-style-language/schema/raw/master/csl-citation.json"}</w:instrText>
      </w:r>
      <w:r w:rsidR="00083F96" w:rsidRPr="00B0319E">
        <w:fldChar w:fldCharType="separate"/>
      </w:r>
      <w:r w:rsidR="00083F96" w:rsidRPr="00A55043">
        <w:rPr>
          <w:noProof/>
        </w:rPr>
        <w:t>(Aroul et al., 2022)</w:t>
      </w:r>
      <w:r w:rsidR="00083F96" w:rsidRPr="00B0319E">
        <w:fldChar w:fldCharType="end"/>
      </w:r>
      <w:r w:rsidR="00070A1F" w:rsidRPr="00B0319E">
        <w:t>.</w:t>
      </w:r>
      <w:r w:rsidR="00A45FD7" w:rsidRPr="00B0319E">
        <w:t xml:space="preserve"> </w:t>
      </w:r>
      <w:r w:rsidR="002C79FA" w:rsidRPr="00B0319E">
        <w:t>Therefore, having satisfied employees helps maintain the company’s reputation and keeps investors interested.</w:t>
      </w:r>
      <w:r w:rsidR="0081533B" w:rsidRPr="00B0319E">
        <w:t xml:space="preserve"> Furthermore, the motivation felt by satisfied employees will also lead to higher quality work, which can be reflected in the company's </w:t>
      </w:r>
      <w:r w:rsidR="00A455B6" w:rsidRPr="00B0319E">
        <w:t>performance</w:t>
      </w:r>
      <w:r w:rsidR="0081533B" w:rsidRPr="00B0319E">
        <w:t xml:space="preserve"> </w:t>
      </w:r>
      <w:r w:rsidR="001161E8" w:rsidRPr="00B0319E">
        <w:fldChar w:fldCharType="begin" w:fldLock="1"/>
      </w:r>
      <w:r w:rsidR="007539C3" w:rsidRPr="00B0319E">
        <w:instrText>ADDIN CSL_CITATION {"citationItems":[{"id":"ITEM-1","itemData":{"DOI":"10.1108/MD-05-2016-0308","ISSN":"00251747","abstract":"Purpose: The purpose of this paper is to examine the association between corporate social responsibility (CSR) and employee satisfaction. The study proposes and empirically tests two hypotheses: that CSR is positively associated with employee satisfaction, and that organizational image mediates the relationship between CSR and employee satisfaction. Design/methodology/approach: The hypotheses were tested through regression analyses, using data from 85,167 questionnaires completed by employees at 381 Brazilian companies, as well as data pertaining to the “breadth” of CSR engagement of those same companies. Findings: The results of this study provide evidence that CSR-oriented actions undertaken by companies will lead to a better organizational image, and this, in turn, will lead to greater employee satisfaction. Practical implications: Because employee behaviour influences organizational outcomes and higher job satisfaction may lead to greater employee commitment to organizational goals and values, understanding the impact of CSR on employee satisfaction is relevant to corporate performance. Originality/value: The study contributes to the body of empirical research on CSR by investigating the underlying mechanisms linking CSR with employee behaviour. Scholars in the area of CSR regularly explore the outcomes and impacts of CSR actions on internal and external stakeholders. However, the impacts of CSR for a critical group of stakeholders – namely, employees – and its underlying mechanisms are understudied in the CSR literature.","author":[{"dropping-particle":"","family":"Barakat","given":"Simone R.","non-dropping-particle":"","parse-names":false,"suffix":""},{"dropping-particle":"","family":"Isabella","given":"Giuliana","non-dropping-particle":"","parse-names":false,"suffix":""},{"dropping-particle":"","family":"Boaventura","given":"João Maurício Gama","non-dropping-particle":"","parse-names":false,"suffix":""},{"dropping-particle":"","family":"Mazzon","given":"José Afonso","non-dropping-particle":"","parse-names":false,"suffix":""}],"container-title":"Management Decision","id":"ITEM-1","issue":"9","issued":{"date-parts":[["2016"]]},"page":"2325-2339","title":"The influence of corporate social responsibility on employee satisfaction","type":"article-journal","volume":"54"},"uris":["http://www.mendeley.com/documents/?uuid=be4cd7d1-8fa2-482c-a285-b7d1fefd6a68"]},{"id":"ITEM-2","itemData":{"DOI":"10.22161/ijebm.5.2.3","abstract":"Human Resource Management is getting more important in the business nowadays, because people and their knowledge are the most important aspects affecting the productivity of the company. One of the main aspects of Human Resource Management is the measurement of employee satisfaction. Companies have to make sure that employee satisfaction is high among the workers, which is a precondition for increasing productivity, responsiveness, quality, and recognitionservice. The aim of this thesis is to analyze the level of employee satisfaction and work motivation. It also deals with the effect the culture has on employee satisfaction. The theoretical framework of this thesis includes such concepts as, job satisfaction, motivation, and rewards differences. One of the biggest strength of the organization is the relationship and communication between the employees and the managers.","author":[{"dropping-particle":"","family":"Jamal Ali","given":"Bayad","non-dropping-particle":"","parse-names":false,"suffix":""},{"dropping-particle":"","family":"Anwar","given":"Govand","non-dropping-particle":"","parse-names":false,"suffix":""}],"container-title":"International Journal of Engineering, Business and Management","id":"ITEM-2","issue":"2","issued":{"date-parts":[["2021"]]},"page":"21-30","title":"An Empirical Study of Employees’ Motivation and its Influence Job Satisfaction","type":"article-journal","volume":"5"},"uris":["http://www.mendeley.com/documents/?uuid=a31e5f66-c2b3-4fdc-9e32-dc208990b8a5"]},{"id":"ITEM-3","itemData":{"DOI":"10.1108/IJM-08-2018-0281","ISSN":"01437720","abstract":"Purpose: In the face of a changing and turbulent environment, an organizational learning culture (OLC) is crucial for the long-term operation of an organization. A learning culture provides the capacity to effectively integrate employees, and it also provides structure so that an organization can move forward via continuous learning and change. Few empirical results are available from Chinese companies enduring an organizational change. To bridge this research gap, this study investigated the relationships among an OLC, job satisfaction, turnover intentions and job performance during organizational change. Design/methodology/approach: A quantitative approach with structural equation modeling (SEM) and bootstrapping estimation was used to test hypotheses developed from a sample of 434 employees in a restructured telecommunications company in Taiwan. Findings: Employees who experienced a higher learning culture had lower levels of turnover intentions and exhibited better job performance. Job satisfaction had a negative impact on employee turnover intentions but a positive impact on job performance. Moreover, job satisfaction fully mediated the relationships between an OLC and employee turnover intentions and job performance. When encountering organizational planned changes, a vibrant learning culture gave employees a higher level of satisfaction in their jobs and workplace. Although unexpected challenges often appeared during the organizational changes, employees with a higher level of job satisfaction tended to fulfill their own job duties and showed fewer turnover intentions. Originality/value: In investigating issues related to organizational change, this study provides managerial insights and addresses strategies for facilitating the adoption of an OLC into the design and implementation of a better workplace environment.","author":[{"dropping-particle":"","family":"Lin","given":"Chun Yu","non-dropping-particle":"","parse-names":false,"suffix":""},{"dropping-particle":"","family":"Huang","given":"Chung Kai","non-dropping-particle":"","parse-names":false,"suffix":""}],"container-title":"International Journal of Manpower","id":"ITEM-3","issue":"3","issued":{"date-parts":[["2021"]]},"page":"409-423","title":"Employee turnover intentions and job performance from a planned change: the effects of an organizational learning culture and job satisfaction","type":"article-journal","volume":"42"},"uris":["http://www.mendeley.com/documents/?uuid=c88f4e6b-99f6-4313-8d75-a353cce176dc"]}],"mendeley":{"formattedCitation":"(Barakat et al., 2016; Jamal Ali &amp; Anwar, 2021; Lin &amp; Huang, 2021)","plainTextFormattedCitation":"(Barakat et al., 2016; Jamal Ali &amp; Anwar, 2021; Lin &amp; Huang, 2021)","previouslyFormattedCitation":"(Barakat et al., 2016; Jamal Ali &amp; Anwar, 2021; Lin &amp; Huang, 2021)"},"properties":{"noteIndex":0},"schema":"https://github.com/citation-style-language/schema/raw/master/csl-citation.json"}</w:instrText>
      </w:r>
      <w:r w:rsidR="001161E8" w:rsidRPr="00B0319E">
        <w:fldChar w:fldCharType="separate"/>
      </w:r>
      <w:r w:rsidR="001161E8" w:rsidRPr="00A55043">
        <w:rPr>
          <w:noProof/>
        </w:rPr>
        <w:t>(Barakat et al., 2016; Jamal Ali &amp; Anwar, 2021; Lin &amp; Huang, 2021)</w:t>
      </w:r>
      <w:r w:rsidR="001161E8" w:rsidRPr="00B0319E">
        <w:fldChar w:fldCharType="end"/>
      </w:r>
      <w:r w:rsidR="0081533B" w:rsidRPr="00B0319E">
        <w:t>.</w:t>
      </w:r>
    </w:p>
    <w:p w14:paraId="67000349" w14:textId="32997FEA" w:rsidR="00934A95" w:rsidRPr="00B0319E" w:rsidRDefault="00934A95" w:rsidP="00FE3C2E">
      <w:pPr>
        <w:spacing w:before="240"/>
        <w:rPr>
          <w:rStyle w:val="Intensievebenadrukking"/>
          <w:i w:val="0"/>
          <w:iCs w:val="0"/>
        </w:rPr>
      </w:pPr>
      <w:r w:rsidRPr="00B0319E">
        <w:rPr>
          <w:rStyle w:val="Intensievebenadrukking"/>
          <w:i w:val="0"/>
          <w:iCs w:val="0"/>
        </w:rPr>
        <w:t>Career Growth Opportunities</w:t>
      </w:r>
    </w:p>
    <w:p w14:paraId="339BB729" w14:textId="678E8B91" w:rsidR="00B53BC3" w:rsidRPr="00B0319E" w:rsidRDefault="008B067F" w:rsidP="005D5987">
      <w:r w:rsidRPr="00B0319E">
        <w:t xml:space="preserve">The availability of career growth opportunities is another crucial factor influencing employee satisfaction. Opportunities for professional development and growth, such as training programs and mentorship initiatives, are highly valued by employees </w:t>
      </w:r>
      <w:r w:rsidR="00DE3F76" w:rsidRPr="00B0319E">
        <w:fldChar w:fldCharType="begin" w:fldLock="1"/>
      </w:r>
      <w:r w:rsidR="001E7CDC" w:rsidRPr="00B0319E">
        <w:instrText>ADDIN CSL_CITATION {"citationItems":[{"id":"ITEM-1","itemData":{"ISSN":"2045-7057","abstract":"– Employee satisfaction is considered weighty when it comes to define organizational success. Employee's satisfaction is central concern particularly in the service industry. Need to enhance employee satisfaction is critical because it is a key to business success of any organization. In the present milieu, employee satisfaction has come under limelight due to stiff competition where organizations are trying to carve competitive advantage through the human factor. The purpose of this study is to observe the relationship between employee satisfaction and customer satisfaction and to examine the impact of both on organizational success. This study scrutinizes the effects of different factors of organization which affects the employee satisfaction. This is a cohort study in which qualitative research methodology was used. The data was collected through self-administrated questionnaire which contains multiple choice questions and open-ended questions. Results of the principal component analysis (PCA) based on correlation matrix revealed a great deal of employees (hotel workers) satisfaction among surveyed cohorts where customers also had expressed satisfaction with existing services. Mainly environmental cleanliness, quality food and room services has played vital role in creating contentment and subsequent satisfaction among customers. From employee's perspective, conducive working atmosphere coupled with incentives like salary and frequent trainings focused the employees to work with dedication to uplift the organization (hotels) which is reflected clearly by the satisfaction level of customers. Our study confirms indirect relation between organizational success and employee satisfaction which was mediated by customers. In conclusion, it seems reasonable to believe that understanding of employee role is extremely important as it appears key factor in the success of modern organization.","author":[{"dropping-particle":"","family":"Naseem","given":"Afshan","non-dropping-particle":"","parse-names":false,"suffix":""},{"dropping-particle":"","family":"Ejaz Sheikh","given":"Sadia","non-dropping-particle":"","parse-names":false,"suffix":""},{"dropping-particle":"","family":"Malik GPHR","given":"Khusro P","non-dropping-particle":"","parse-names":false,"suffix":""}],"container-title":"International Journal of Multidisciplinary Sciences and Engineering","id":"ITEM-1","issue":"5","issued":{"date-parts":[["2011"]]},"page":"41-46","title":"Impact of Employee Satisfaction on Success of Organization: Relation between Customer Experience and Employee Satisfaction","type":"article-journal","volume":"2"},"uris":["http://www.mendeley.com/documents/?uuid=f3319b29-c9ae-4fba-95e2-5cec28c341d8"]},{"id":"ITEM-2","itemData":{"DOI":"10.1108/IJM-08-2018-0281","ISSN":"01437720","abstract":"Purpose: In the face of a changing and turbulent environment, an organizational learning culture (OLC) is crucial for the long-term operation of an organization. A learning culture provides the capacity to effectively integrate employees, and it also provides structure so that an organization can move forward via continuous learning and change. Few empirical results are available from Chinese companies enduring an organizational change. To bridge this research gap, this study investigated the relationships among an OLC, job satisfaction, turnover intentions and job performance during organizational change. Design/methodology/approach: A quantitative approach with structural equation modeling (SEM) and bootstrapping estimation was used to test hypotheses developed from a sample of 434 employees in a restructured telecommunications company in Taiwan. Findings: Employees who experienced a higher learning culture had lower levels of turnover intentions and exhibited better job performance. Job satisfaction had a negative impact on employee turnover intentions but a positive impact on job performance. Moreover, job satisfaction fully mediated the relationships between an OLC and employee turnover intentions and job performance. When encountering organizational planned changes, a vibrant learning culture gave employees a higher level of satisfaction in their jobs and workplace. Although unexpected challenges often appeared during the organizational changes, employees with a higher level of job satisfaction tended to fulfill their own job duties and showed fewer turnover intentions. Originality/value: In investigating issues related to organizational change, this study provides managerial insights and addresses strategies for facilitating the adoption of an OLC into the design and implementation of a better workplace environment.","author":[{"dropping-particle":"","family":"Lin","given":"Chun Yu","non-dropping-particle":"","parse-names":false,"suffix":""},{"dropping-particle":"","family":"Huang","given":"Chung Kai","non-dropping-particle":"","parse-names":false,"suffix":""}],"container-title":"International Journal of Manpower","id":"ITEM-2","issue":"3","issued":{"date-parts":[["2021"]]},"page":"409-423","title":"Employee turnover intentions and job performance from a planned change: the effects of an organizational learning culture and job satisfaction","type":"article-journal","volume":"42"},"uris":["http://www.mendeley.com/documents/?uuid=c88f4e6b-99f6-4313-8d75-a353cce176dc"]}],"mendeley":{"formattedCitation":"(Lin &amp; Huang, 2021; Naseem et al., 2011)","plainTextFormattedCitation":"(Lin &amp; Huang, 2021; Naseem et al., 2011)","previouslyFormattedCitation":"(Lin &amp; Huang, 2021; Naseem et al., 2011)"},"properties":{"noteIndex":0},"schema":"https://github.com/citation-style-language/schema/raw/master/csl-citation.json"}</w:instrText>
      </w:r>
      <w:r w:rsidR="00DE3F76" w:rsidRPr="00B0319E">
        <w:fldChar w:fldCharType="separate"/>
      </w:r>
      <w:r w:rsidR="001E7CDC" w:rsidRPr="00A55043">
        <w:rPr>
          <w:noProof/>
        </w:rPr>
        <w:t>(Lin &amp; Huang, 2021; Naseem et al., 2011)</w:t>
      </w:r>
      <w:r w:rsidR="00DE3F76" w:rsidRPr="00B0319E">
        <w:fldChar w:fldCharType="end"/>
      </w:r>
      <w:r w:rsidR="005D5987" w:rsidRPr="00B0319E">
        <w:t xml:space="preserve">. Research indicates </w:t>
      </w:r>
      <w:r w:rsidRPr="00B0319E">
        <w:t>that employees who see a clear career path within their company are more likely to stay, contributing to organizational success</w:t>
      </w:r>
      <w:r w:rsidR="001C1B09" w:rsidRPr="00B0319E">
        <w:t xml:space="preserve"> </w:t>
      </w:r>
      <w:r w:rsidR="001E7CDC" w:rsidRPr="00B0319E">
        <w:fldChar w:fldCharType="begin" w:fldLock="1"/>
      </w:r>
      <w:r w:rsidR="00F72408" w:rsidRPr="00B0319E">
        <w:instrText>ADDIN CSL_CITATION {"citationItems":[{"id":"ITEM-1","itemData":{"DOI":"10.1108/IJM-08-2018-0281","ISSN":"01437720","abstract":"Purpose: In the face of a changing and turbulent environment, an organizational learning culture (OLC) is crucial for the long-term operation of an organization. A learning culture provides the capacity to effectively integrate employees, and it also provides structure so that an organization can move forward via continuous learning and change. Few empirical results are available from Chinese companies enduring an organizational change. To bridge this research gap, this study investigated the relationships among an OLC, job satisfaction, turnover intentions and job performance during organizational change. Design/methodology/approach: A quantitative approach with structural equation modeling (SEM) and bootstrapping estimation was used to test hypotheses developed from a sample of 434 employees in a restructured telecommunications company in Taiwan. Findings: Employees who experienced a higher learning culture had lower levels of turnover intentions and exhibited better job performance. Job satisfaction had a negative impact on employee turnover intentions but a positive impact on job performance. Moreover, job satisfaction fully mediated the relationships between an OLC and employee turnover intentions and job performance. When encountering organizational planned changes, a vibrant learning culture gave employees a higher level of satisfaction in their jobs and workplace. Although unexpected challenges often appeared during the organizational changes, employees with a higher level of job satisfaction tended to fulfill their own job duties and showed fewer turnover intentions. Originality/value: In investigating issues related to organizational change, this study provides managerial insights and addresses strategies for facilitating the adoption of an OLC into the design and implementation of a better workplace environment.","author":[{"dropping-particle":"","family":"Lin","given":"Chun Yu","non-dropping-particle":"","parse-names":false,"suffix":""},{"dropping-particle":"","family":"Huang","given":"Chung Kai","non-dropping-particle":"","parse-names":false,"suffix":""}],"container-title":"International Journal of Manpower","id":"ITEM-1","issue":"3","issued":{"date-parts":[["2021"]]},"page":"409-423","title":"Employee turnover intentions and job performance from a planned change: the effects of an organizational learning culture and job satisfaction","type":"article-journal","volume":"42"},"uris":["http://www.mendeley.com/documents/?uuid=c88f4e6b-99f6-4313-8d75-a353cce176dc"]}],"mendeley":{"formattedCitation":"(Lin &amp; Huang, 2021)","plainTextFormattedCitation":"(Lin &amp; Huang, 2021)","previouslyFormattedCitation":"(Lin &amp; Huang, 2021)"},"properties":{"noteIndex":0},"schema":"https://github.com/citation-style-language/schema/raw/master/csl-citation.json"}</w:instrText>
      </w:r>
      <w:r w:rsidR="001E7CDC" w:rsidRPr="00B0319E">
        <w:fldChar w:fldCharType="separate"/>
      </w:r>
      <w:r w:rsidR="001E7CDC" w:rsidRPr="00A55043">
        <w:rPr>
          <w:noProof/>
        </w:rPr>
        <w:t>(Lin &amp; Huang, 2021)</w:t>
      </w:r>
      <w:r w:rsidR="001E7CDC" w:rsidRPr="00B0319E">
        <w:fldChar w:fldCharType="end"/>
      </w:r>
      <w:r w:rsidR="005D5987" w:rsidRPr="00B0319E">
        <w:t xml:space="preserve">. </w:t>
      </w:r>
      <w:r w:rsidR="00132729" w:rsidRPr="00B0319E">
        <w:t xml:space="preserve">When companies invest in their employees’ futures, it </w:t>
      </w:r>
      <w:r w:rsidR="00333AE1" w:rsidRPr="00B0319E">
        <w:t>enhances</w:t>
      </w:r>
      <w:r w:rsidR="00132729" w:rsidRPr="00B0319E">
        <w:t xml:space="preserve"> employees</w:t>
      </w:r>
      <w:r w:rsidR="00333AE1" w:rsidRPr="00B0319E">
        <w:t>’</w:t>
      </w:r>
      <w:r w:rsidR="00132729" w:rsidRPr="00B0319E">
        <w:t xml:space="preserve"> feel</w:t>
      </w:r>
      <w:r w:rsidR="00333AE1" w:rsidRPr="00B0319E">
        <w:t>ings of being</w:t>
      </w:r>
      <w:r w:rsidR="00132729" w:rsidRPr="00B0319E">
        <w:t xml:space="preserve"> valued and appreciated. </w:t>
      </w:r>
      <w:r w:rsidR="00333AE1" w:rsidRPr="00B0319E">
        <w:t>Furthermore</w:t>
      </w:r>
      <w:r w:rsidR="007539C3" w:rsidRPr="00B0319E">
        <w:t xml:space="preserve">, satisfied employees, who see a future within their company, have fewer incentives to seek employment elsewhere. In contrast, employees who are dissatisfied with their employer are more likely to change jobs </w:t>
      </w:r>
      <w:r w:rsidR="007539C3" w:rsidRPr="00B0319E">
        <w:fldChar w:fldCharType="begin" w:fldLock="1"/>
      </w:r>
      <w:r w:rsidR="00627C19" w:rsidRPr="00B0319E">
        <w:instrText>ADDIN CSL_CITATION {"citationItems":[{"id":"ITEM-1","itemData":{"DOI":"10.1108/IJM-08-2018-0281","ISSN":"01437720","abstract":"Purpose: In the face of a changing and turbulent environment, an organizational learning culture (OLC) is crucial for the long-term operation of an organization. A learning culture provides the capacity to effectively integrate employees, and it also provides structure so that an organization can move forward via continuous learning and change. Few empirical results are available from Chinese companies enduring an organizational change. To bridge this research gap, this study investigated the relationships among an OLC, job satisfaction, turnover intentions and job performance during organizational change. Design/methodology/approach: A quantitative approach with structural equation modeling (SEM) and bootstrapping estimation was used to test hypotheses developed from a sample of 434 employees in a restructured telecommunications company in Taiwan. Findings: Employees who experienced a higher learning culture had lower levels of turnover intentions and exhibited better job performance. Job satisfaction had a negative impact on employee turnover intentions but a positive impact on job performance. Moreover, job satisfaction fully mediated the relationships between an OLC and employee turnover intentions and job performance. When encountering organizational planned changes, a vibrant learning culture gave employees a higher level of satisfaction in their jobs and workplace. Although unexpected challenges often appeared during the organizational changes, employees with a higher level of job satisfaction tended to fulfill their own job duties and showed fewer turnover intentions. Originality/value: In investigating issues related to organizational change, this study provides managerial insights and addresses strategies for facilitating the adoption of an OLC into the design and implementation of a better workplace environment.","author":[{"dropping-particle":"","family":"Lin","given":"Chun Yu","non-dropping-particle":"","parse-names":false,"suffix":""},{"dropping-particle":"","family":"Huang","given":"Chung Kai","non-dropping-particle":"","parse-names":false,"suffix":""}],"container-title":"International Journal of Manpower","id":"ITEM-1","issue":"3","issued":{"date-parts":[["2021"]]},"page":"409-423","title":"Employee turnover intentions and job performance from a planned change: the effects of an organizational learning culture and job satisfaction","type":"article-journal","volume":"42"},"uris":["http://www.mendeley.com/documents/?uuid=c88f4e6b-99f6-4313-8d75-a353cce176dc"]}],"mendeley":{"formattedCitation":"(Lin &amp; Huang, 2021)","plainTextFormattedCitation":"(Lin &amp; Huang, 2021)","previouslyFormattedCitation":"(Lin &amp; Huang, 2021)"},"properties":{"noteIndex":0},"schema":"https://github.com/citation-style-language/schema/raw/master/csl-citation.json"}</w:instrText>
      </w:r>
      <w:r w:rsidR="007539C3" w:rsidRPr="00B0319E">
        <w:fldChar w:fldCharType="separate"/>
      </w:r>
      <w:r w:rsidR="007539C3" w:rsidRPr="00A55043">
        <w:rPr>
          <w:noProof/>
        </w:rPr>
        <w:t>(Lin &amp; Huang, 2021)</w:t>
      </w:r>
      <w:r w:rsidR="007539C3" w:rsidRPr="00B0319E">
        <w:fldChar w:fldCharType="end"/>
      </w:r>
      <w:r w:rsidR="007539C3" w:rsidRPr="00B0319E">
        <w:t xml:space="preserve">. </w:t>
      </w:r>
      <w:r w:rsidR="00DA79F4" w:rsidRPr="00B0319E">
        <w:t>Satisfied employees are</w:t>
      </w:r>
      <w:r w:rsidR="00132729" w:rsidRPr="00B0319E">
        <w:t xml:space="preserve"> not only motivate</w:t>
      </w:r>
      <w:r w:rsidR="00DA79F4" w:rsidRPr="00B0319E">
        <w:t>d</w:t>
      </w:r>
      <w:r w:rsidR="00132729" w:rsidRPr="00B0319E">
        <w:t xml:space="preserve"> to perform at their best but also</w:t>
      </w:r>
      <w:r w:rsidR="00DA79F4" w:rsidRPr="00B0319E">
        <w:t xml:space="preserve"> show</w:t>
      </w:r>
      <w:r w:rsidR="00132729" w:rsidRPr="00B0319E">
        <w:t xml:space="preserve"> increase</w:t>
      </w:r>
      <w:r w:rsidR="00DA79F4" w:rsidRPr="00B0319E">
        <w:t>d</w:t>
      </w:r>
      <w:r w:rsidR="00132729" w:rsidRPr="00B0319E">
        <w:t xml:space="preserve"> loyalty. Such loyalty can have a </w:t>
      </w:r>
      <w:r w:rsidR="00132729" w:rsidRPr="00B0319E">
        <w:lastRenderedPageBreak/>
        <w:t xml:space="preserve">positive impact on a company’s financials, as it can lead to lower employee turnover, reducing costs associated with recruitment and training </w:t>
      </w:r>
      <w:r w:rsidR="00F72408" w:rsidRPr="00B0319E">
        <w:fldChar w:fldCharType="begin" w:fldLock="1"/>
      </w:r>
      <w:r w:rsidR="00F72408" w:rsidRPr="00B0319E">
        <w:instrText>ADDIN CSL_CITATION {"citationItems":[{"id":"ITEM-1","itemData":{"DOI":"10.1108/IJM-08-2018-0281","ISSN":"01437720","abstract":"Purpose: In the face of a changing and turbulent environment, an organizational learning culture (OLC) is crucial for the long-term operation of an organization. A learning culture provides the capacity to effectively integrate employees, and it also provides structure so that an organization can move forward via continuous learning and change. Few empirical results are available from Chinese companies enduring an organizational change. To bridge this research gap, this study investigated the relationships among an OLC, job satisfaction, turnover intentions and job performance during organizational change. Design/methodology/approach: A quantitative approach with structural equation modeling (SEM) and bootstrapping estimation was used to test hypotheses developed from a sample of 434 employees in a restructured telecommunications company in Taiwan. Findings: Employees who experienced a higher learning culture had lower levels of turnover intentions and exhibited better job performance. Job satisfaction had a negative impact on employee turnover intentions but a positive impact on job performance. Moreover, job satisfaction fully mediated the relationships between an OLC and employee turnover intentions and job performance. When encountering organizational planned changes, a vibrant learning culture gave employees a higher level of satisfaction in their jobs and workplace. Although unexpected challenges often appeared during the organizational changes, employees with a higher level of job satisfaction tended to fulfill their own job duties and showed fewer turnover intentions. Originality/value: In investigating issues related to organizational change, this study provides managerial insights and addresses strategies for facilitating the adoption of an OLC into the design and implementation of a better workplace environment.","author":[{"dropping-particle":"","family":"Lin","given":"Chun Yu","non-dropping-particle":"","parse-names":false,"suffix":""},{"dropping-particle":"","family":"Huang","given":"Chung Kai","non-dropping-particle":"","parse-names":false,"suffix":""}],"container-title":"International Journal of Manpower","id":"ITEM-1","issue":"3","issued":{"date-parts":[["2021"]]},"page":"409-423","title":"Employee turnover intentions and job performance from a planned change: the effects of an organizational learning culture and job satisfaction","type":"article-journal","volume":"42"},"uris":["http://www.mendeley.com/documents/?uuid=c88f4e6b-99f6-4313-8d75-a353cce176dc"]}],"mendeley":{"formattedCitation":"(Lin &amp; Huang, 2021)","plainTextFormattedCitation":"(Lin &amp; Huang, 2021)","previouslyFormattedCitation":"(Lin &amp; Huang, 2021)"},"properties":{"noteIndex":0},"schema":"https://github.com/citation-style-language/schema/raw/master/csl-citation.json"}</w:instrText>
      </w:r>
      <w:r w:rsidR="00F72408" w:rsidRPr="00B0319E">
        <w:fldChar w:fldCharType="separate"/>
      </w:r>
      <w:r w:rsidR="00F72408" w:rsidRPr="00A55043">
        <w:rPr>
          <w:noProof/>
        </w:rPr>
        <w:t>(Lin &amp; Huang, 2021)</w:t>
      </w:r>
      <w:r w:rsidR="00F72408" w:rsidRPr="00B0319E">
        <w:fldChar w:fldCharType="end"/>
      </w:r>
      <w:r w:rsidR="008E72ED" w:rsidRPr="00B0319E">
        <w:t xml:space="preserve">. </w:t>
      </w:r>
    </w:p>
    <w:p w14:paraId="5CC339AF" w14:textId="631010E3" w:rsidR="003B34F8" w:rsidRPr="00B0319E" w:rsidRDefault="003B34F8" w:rsidP="0018082C">
      <w:pPr>
        <w:spacing w:before="240"/>
        <w:rPr>
          <w:rStyle w:val="Intensievebenadrukking"/>
          <w:i w:val="0"/>
          <w:iCs w:val="0"/>
        </w:rPr>
      </w:pPr>
      <w:r w:rsidRPr="00B0319E">
        <w:rPr>
          <w:rStyle w:val="Intensievebenadrukking"/>
          <w:i w:val="0"/>
          <w:iCs w:val="0"/>
        </w:rPr>
        <w:t>Work</w:t>
      </w:r>
      <w:r w:rsidR="008D498A" w:rsidRPr="00B0319E">
        <w:rPr>
          <w:rStyle w:val="Intensievebenadrukking"/>
          <w:i w:val="0"/>
          <w:iCs w:val="0"/>
        </w:rPr>
        <w:t>-Life Balance</w:t>
      </w:r>
    </w:p>
    <w:p w14:paraId="4B285548" w14:textId="5A4C33F3" w:rsidR="008D498A" w:rsidRPr="00B0319E" w:rsidRDefault="001A0A4C" w:rsidP="008D498A">
      <w:r w:rsidRPr="00B0319E">
        <w:t xml:space="preserve">Work-life balance </w:t>
      </w:r>
      <w:r w:rsidR="00A07071" w:rsidRPr="00B0319E">
        <w:t>should also not be neglected</w:t>
      </w:r>
      <w:r w:rsidRPr="00B0319E">
        <w:t xml:space="preserve">. It enables employees to strike a harmonious balance between their work and personal life </w:t>
      </w:r>
      <w:r w:rsidR="009A32AF" w:rsidRPr="00B0319E">
        <w:fldChar w:fldCharType="begin" w:fldLock="1"/>
      </w:r>
      <w:r w:rsidR="002D5EAA" w:rsidRPr="00B0319E">
        <w:instrText>ADDIN CSL_CITATION {"citationItems":[{"id":"ITEM-1","itemData":{"DOI":"10.5296/ijld.v4i2.6094","abstract":"Job satisfaction -or lack of it -hinges on a productive, accomplishing relationship between staff and management; indeed, the success of any organization depends on staff members who enjoy their jobs and feel rewarded by their efforts. Ultimately, of all the people in the marketplace may suffer the most when this vital success factor is lacking. In earlier ages, many researchers have been directed on job satisfaction but this still remains an issue for many organizations. The ambition of this research paper is to examine the satisfaction level of the employees and helps organizations to know about the elements that influence job satisfaction. Precisely, we acquired employee empowerment and workplace environment as the antecedents to understand their effect on job satisfaction, and further the impact of job satisfaction on job loyalty, job performance and turnover intention. A self-administered questionnaire was used for data collection from several organizations. Convenient sampling technique was used and 200 questionnaires were circulated out of which 150 were nominated for further analysis. SPSS is used for data analysis statistically. The results showed significant positive association of employee empowerment, workplace environment, job loyalty and job www.macrothink.org/ijld 121 performance with job satisfaction. Furthermore, there is a significant negative relationship between job satisfaction and turnover intention. The findings also demonstrate that there is no significant relation of turnover intention with employee empowerment and job performance.","author":[{"dropping-particle":"","family":"Javed","given":"Masooma","non-dropping-particle":"","parse-names":false,"suffix":""},{"dropping-particle":"","family":"Balouch","given":"Rifat","non-dropping-particle":"","parse-names":false,"suffix":""},{"dropping-particle":"","family":"Hassan","given":"Fatima","non-dropping-particle":"","parse-names":false,"suffix":""}],"container-title":"International Journal of Learning and Development","id":"ITEM-1","issue":"2","issued":{"date-parts":[["2014"]]},"page":"120-140","title":"Determinants of Job Satisfaction and its Impact on Employee Performance and Turnover Intentions","type":"article-journal","volume":"4"},"uris":["http://www.mendeley.com/documents/?uuid=5b9b37af-4aa7-453e-ab80-0ef1ea833c3e"]}],"mendeley":{"formattedCitation":"(Javed et al., 2014)","plainTextFormattedCitation":"(Javed et al., 2014)","previouslyFormattedCitation":"(Javed et al., 2014)"},"properties":{"noteIndex":0},"schema":"https://github.com/citation-style-language/schema/raw/master/csl-citation.json"}</w:instrText>
      </w:r>
      <w:r w:rsidR="009A32AF" w:rsidRPr="00B0319E">
        <w:fldChar w:fldCharType="separate"/>
      </w:r>
      <w:r w:rsidR="009A32AF" w:rsidRPr="00A55043">
        <w:rPr>
          <w:noProof/>
        </w:rPr>
        <w:t>(Javed et al., 2014)</w:t>
      </w:r>
      <w:r w:rsidR="009A32AF" w:rsidRPr="00B0319E">
        <w:fldChar w:fldCharType="end"/>
      </w:r>
      <w:r w:rsidR="005D5987" w:rsidRPr="00B0319E">
        <w:t xml:space="preserve">. </w:t>
      </w:r>
      <w:r w:rsidR="00B90597" w:rsidRPr="00B0319E">
        <w:t>To facilitate this balance, companies often offer flexible working arrangements. These can include options like remote work</w:t>
      </w:r>
      <w:r w:rsidR="009F5FE0" w:rsidRPr="00B0319E">
        <w:t xml:space="preserve"> and </w:t>
      </w:r>
      <w:r w:rsidR="00B90597" w:rsidRPr="00B0319E">
        <w:t xml:space="preserve">flexible hours, allowing employees to adapt their work schedules to their personal needs </w:t>
      </w:r>
      <w:r w:rsidR="002D5EAA" w:rsidRPr="00B0319E">
        <w:fldChar w:fldCharType="begin" w:fldLock="1"/>
      </w:r>
      <w:r w:rsidR="00C647F8" w:rsidRPr="00B0319E">
        <w:instrText>ADDIN CSL_CITATION {"citationItems":[{"id":"ITEM-1","itemData":{"DOI":"10.5296/ijld.v4i2.6094","abstract":"Job satisfaction -or lack of it -hinges on a productive, accomplishing relationship between staff and management; indeed, the success of any organization depends on staff members who enjoy their jobs and feel rewarded by their efforts. Ultimately, of all the people in the marketplace may suffer the most when this vital success factor is lacking. In earlier ages, many researchers have been directed on job satisfaction but this still remains an issue for many organizations. The ambition of this research paper is to examine the satisfaction level of the employees and helps organizations to know about the elements that influence job satisfaction. Precisely, we acquired employee empowerment and workplace environment as the antecedents to understand their effect on job satisfaction, and further the impact of job satisfaction on job loyalty, job performance and turnover intention. A self-administered questionnaire was used for data collection from several organizations. Convenient sampling technique was used and 200 questionnaires were circulated out of which 150 were nominated for further analysis. SPSS is used for data analysis statistically. The results showed significant positive association of employee empowerment, workplace environment, job loyalty and job www.macrothink.org/ijld 121 performance with job satisfaction. Furthermore, there is a significant negative relationship between job satisfaction and turnover intention. The findings also demonstrate that there is no significant relation of turnover intention with employee empowerment and job performance.","author":[{"dropping-particle":"","family":"Javed","given":"Masooma","non-dropping-particle":"","parse-names":false,"suffix":""},{"dropping-particle":"","family":"Balouch","given":"Rifat","non-dropping-particle":"","parse-names":false,"suffix":""},{"dropping-particle":"","family":"Hassan","given":"Fatima","non-dropping-particle":"","parse-names":false,"suffix":""}],"container-title":"International Journal of Learning and Development","id":"ITEM-1","issue":"2","issued":{"date-parts":[["2014"]]},"page":"120-140","title":"Determinants of Job Satisfaction and its Impact on Employee Performance and Turnover Intentions","type":"article-journal","volume":"4"},"uris":["http://www.mendeley.com/documents/?uuid=5b9b37af-4aa7-453e-ab80-0ef1ea833c3e"]}],"mendeley":{"formattedCitation":"(Javed et al., 2014)","plainTextFormattedCitation":"(Javed et al., 2014)","previouslyFormattedCitation":"(Javed et al., 2014)"},"properties":{"noteIndex":0},"schema":"https://github.com/citation-style-language/schema/raw/master/csl-citation.json"}</w:instrText>
      </w:r>
      <w:r w:rsidR="002D5EAA" w:rsidRPr="00B0319E">
        <w:fldChar w:fldCharType="separate"/>
      </w:r>
      <w:r w:rsidR="002D5EAA" w:rsidRPr="00A55043">
        <w:rPr>
          <w:noProof/>
        </w:rPr>
        <w:t>(Javed et al., 2014)</w:t>
      </w:r>
      <w:r w:rsidR="002D5EAA" w:rsidRPr="00B0319E">
        <w:fldChar w:fldCharType="end"/>
      </w:r>
      <w:r w:rsidR="005D5987" w:rsidRPr="00B0319E">
        <w:t xml:space="preserve">. </w:t>
      </w:r>
      <w:r w:rsidR="00333AE1" w:rsidRPr="00B0319E">
        <w:t>Consequently</w:t>
      </w:r>
      <w:r w:rsidR="008D498A" w:rsidRPr="00B0319E">
        <w:t xml:space="preserve">, employees tend to be more balanced and satisfied, which also benefits the company </w:t>
      </w:r>
      <w:r w:rsidR="008D498A" w:rsidRPr="00B0319E">
        <w:fldChar w:fldCharType="begin" w:fldLock="1"/>
      </w:r>
      <w:r w:rsidR="008D498A" w:rsidRPr="00B0319E">
        <w:instrText>ADDIN CSL_CITATION {"citationItems":[{"id":"ITEM-1","itemData":{"DOI":"10.5296/ijld.v4i2.6094","abstract":"Job satisfaction -or lack of it -hinges on a productive, accomplishing relationship between staff and management; indeed, the success of any organization depends on staff members who enjoy their jobs and feel rewarded by their efforts. Ultimately, of all the people in the marketplace may suffer the most when this vital success factor is lacking. In earlier ages, many researchers have been directed on job satisfaction but this still remains an issue for many organizations. The ambition of this research paper is to examine the satisfaction level of the employees and helps organizations to know about the elements that influence job satisfaction. Precisely, we acquired employee empowerment and workplace environment as the antecedents to understand their effect on job satisfaction, and further the impact of job satisfaction on job loyalty, job performance and turnover intention. A self-administered questionnaire was used for data collection from several organizations. Convenient sampling technique was used and 200 questionnaires were circulated out of which 150 were nominated for further analysis. SPSS is used for data analysis statistically. The results showed significant positive association of employee empowerment, workplace environment, job loyalty and job www.macrothink.org/ijld 121 performance with job satisfaction. Furthermore, there is a significant negative relationship between job satisfaction and turnover intention. The findings also demonstrate that there is no significant relation of turnover intention with employee empowerment and job performance.","author":[{"dropping-particle":"","family":"Javed","given":"Masooma","non-dropping-particle":"","parse-names":false,"suffix":""},{"dropping-particle":"","family":"Balouch","given":"Rifat","non-dropping-particle":"","parse-names":false,"suffix":""},{"dropping-particle":"","family":"Hassan","given":"Fatima","non-dropping-particle":"","parse-names":false,"suffix":""}],"container-title":"International Journal of Learning and Development","id":"ITEM-1","issue":"2","issued":{"date-parts":[["2014"]]},"page":"120-140","title":"Determinants of Job Satisfaction and its Impact on Employee Performance and Turnover Intentions","type":"article-journal","volume":"4"},"uris":["http://www.mendeley.com/documents/?uuid=5b9b37af-4aa7-453e-ab80-0ef1ea833c3e"]}],"mendeley":{"formattedCitation":"(Javed et al., 2014)","plainTextFormattedCitation":"(Javed et al., 2014)","previouslyFormattedCitation":"(Javed et al., 2014)"},"properties":{"noteIndex":0},"schema":"https://github.com/citation-style-language/schema/raw/master/csl-citation.json"}</w:instrText>
      </w:r>
      <w:r w:rsidR="008D498A" w:rsidRPr="00B0319E">
        <w:fldChar w:fldCharType="separate"/>
      </w:r>
      <w:r w:rsidR="008D498A" w:rsidRPr="00A55043">
        <w:rPr>
          <w:noProof/>
        </w:rPr>
        <w:t>(Javed et al., 2014)</w:t>
      </w:r>
      <w:r w:rsidR="008D498A" w:rsidRPr="00B0319E">
        <w:fldChar w:fldCharType="end"/>
      </w:r>
      <w:r w:rsidR="008D498A" w:rsidRPr="00B0319E">
        <w:t>. For instance</w:t>
      </w:r>
      <w:r w:rsidR="00333AE1" w:rsidRPr="00B0319E">
        <w:t>,</w:t>
      </w:r>
      <w:r w:rsidR="008D498A" w:rsidRPr="00B0319E">
        <w:t xml:space="preserve"> satisfied employees </w:t>
      </w:r>
      <w:r w:rsidR="00333AE1" w:rsidRPr="00B0319E">
        <w:t xml:space="preserve">are </w:t>
      </w:r>
      <w:r w:rsidR="008D498A" w:rsidRPr="00B0319E">
        <w:t xml:space="preserve">less likely to change employers, leading to lower turnover costs for the company </w:t>
      </w:r>
      <w:r w:rsidR="008D498A" w:rsidRPr="00B0319E">
        <w:fldChar w:fldCharType="begin" w:fldLock="1"/>
      </w:r>
      <w:r w:rsidR="008D498A" w:rsidRPr="00B0319E">
        <w:instrText>ADDIN CSL_CITATION {"citationItems":[{"id":"ITEM-1","itemData":{"DOI":"10.5296/ijld.v4i2.6094","abstract":"Job satisfaction -or lack of it -hinges on a productive, accomplishing relationship between staff and management; indeed, the success of any organization depends on staff members who enjoy their jobs and feel rewarded by their efforts. Ultimately, of all the people in the marketplace may suffer the most when this vital success factor is lacking. In earlier ages, many researchers have been directed on job satisfaction but this still remains an issue for many organizations. The ambition of this research paper is to examine the satisfaction level of the employees and helps organizations to know about the elements that influence job satisfaction. Precisely, we acquired employee empowerment and workplace environment as the antecedents to understand their effect on job satisfaction, and further the impact of job satisfaction on job loyalty, job performance and turnover intention. A self-administered questionnaire was used for data collection from several organizations. Convenient sampling technique was used and 200 questionnaires were circulated out of which 150 were nominated for further analysis. SPSS is used for data analysis statistically. The results showed significant positive association of employee empowerment, workplace environment, job loyalty and job www.macrothink.org/ijld 121 performance with job satisfaction. Furthermore, there is a significant negative relationship between job satisfaction and turnover intention. The findings also demonstrate that there is no significant relation of turnover intention with employee empowerment and job performance.","author":[{"dropping-particle":"","family":"Javed","given":"Masooma","non-dropping-particle":"","parse-names":false,"suffix":""},{"dropping-particle":"","family":"Balouch","given":"Rifat","non-dropping-particle":"","parse-names":false,"suffix":""},{"dropping-particle":"","family":"Hassan","given":"Fatima","non-dropping-particle":"","parse-names":false,"suffix":""}],"container-title":"International Journal of Learning and Development","id":"ITEM-1","issue":"2","issued":{"date-parts":[["2014"]]},"page":"120-140","title":"Determinants of Job Satisfaction and its Impact on Employee Performance and Turnover Intentions","type":"article-journal","volume":"4"},"uris":["http://www.mendeley.com/documents/?uuid=5b9b37af-4aa7-453e-ab80-0ef1ea833c3e"]}],"mendeley":{"formattedCitation":"(Javed et al., 2014)","plainTextFormattedCitation":"(Javed et al., 2014)","previouslyFormattedCitation":"(Javed et al., 2014)"},"properties":{"noteIndex":0},"schema":"https://github.com/citation-style-language/schema/raw/master/csl-citation.json"}</w:instrText>
      </w:r>
      <w:r w:rsidR="008D498A" w:rsidRPr="00B0319E">
        <w:fldChar w:fldCharType="separate"/>
      </w:r>
      <w:r w:rsidR="008D498A" w:rsidRPr="00A55043">
        <w:rPr>
          <w:noProof/>
        </w:rPr>
        <w:t>(Javed et al., 2014)</w:t>
      </w:r>
      <w:r w:rsidR="008D498A" w:rsidRPr="00B0319E">
        <w:fldChar w:fldCharType="end"/>
      </w:r>
      <w:r w:rsidR="008D498A" w:rsidRPr="00B0319E">
        <w:t>.</w:t>
      </w:r>
    </w:p>
    <w:p w14:paraId="5378FB39" w14:textId="0026E0CA" w:rsidR="00B83676" w:rsidRPr="00B0319E" w:rsidRDefault="002A5E60" w:rsidP="0089673E">
      <w:r w:rsidRPr="00B0319E">
        <w:t>Furthermore, supporting wellness programs or other initiatives that promote work-life balance</w:t>
      </w:r>
      <w:r w:rsidR="00114F36" w:rsidRPr="00B0319E">
        <w:t>, like subsidized gym memberships</w:t>
      </w:r>
      <w:r w:rsidR="0089673E" w:rsidRPr="00B0319E">
        <w:t>, can also increase employee satisfaction</w:t>
      </w:r>
      <w:r w:rsidR="00B83676" w:rsidRPr="00B0319E">
        <w:t xml:space="preserve"> </w:t>
      </w:r>
      <w:r w:rsidR="00F10F8F" w:rsidRPr="00B0319E">
        <w:fldChar w:fldCharType="begin" w:fldLock="1"/>
      </w:r>
      <w:r w:rsidR="00871359" w:rsidRPr="00B0319E">
        <w:instrText>ADDIN CSL_CITATION {"citationItems":[{"id":"ITEM-1","itemData":{"DOI":"10.1108/JCRE-03-2021-0012","ISSN":"14791048","abstract":"Purpose: This paper aims to explore the added value of healthy workplaces for employees and organizations, in particular regarding employee satisfaction, labour productivity and facility cost. Design/methodology/approach: The paper is based on a narrative review of journal papers and other sources covering the fields of building research, corporate real estate management, facilities management, environmental psychology and ergonomics. Findings: The review supports the assumption of positive impacts of appropriate building characteristics on health, satisfaction and productivity. Correlations between these impacts are still underexposed. Data on cost and economic benefits of healthy workplace characteristics is limited, and mainly regard reduced sickness absence. The discussed papers indicate that investing in healthy work environments is cost-effective. Originality/value: The findings contribute to a better understanding of the complex relationships between physical characteristics of the environment and health, satisfaction, productivity and costs. These insights can be used to assess work environments on these topics, and to identify appropriate interventions in value-adding management of buildings and facilities.","author":[{"dropping-particle":"","family":"Voordt","given":"Theo Van. Der.","non-dropping-particle":"","parse-names":false,"suffix":""},{"dropping-particle":"","family":"Jensen","given":"Per Anker","non-dropping-particle":"","parse-names":false,"suffix":""}],"container-title":"Journal of Corporate Real Estate","id":"ITEM-1","issue":"1","issued":{"date-parts":[["2021"]]},"page":"29-49","title":"The impact of healthy workplaces on employee satisfaction, productivity and costs","type":"article-journal","volume":"25"},"uris":["http://www.mendeley.com/documents/?uuid=7329fc42-558f-4510-b4b6-4bd2e9b75743"]},{"id":"ITEM-2","itemData":{"DOI":"10.5296/ijld.v4i2.6094","abstract":"Job satisfaction -or lack of it -hinges on a productive, accomplishing relationship between staff and management; indeed, the success of any organization depends on staff members who enjoy their jobs and feel rewarded by their efforts. Ultimately, of all the people in the marketplace may suffer the most when this vital success factor is lacking. In earlier ages, many researchers have been directed on job satisfaction but this still remains an issue for many organizations. The ambition of this research paper is to examine the satisfaction level of the employees and helps organizations to know about the elements that influence job satisfaction. Precisely, we acquired employee empowerment and workplace environment as the antecedents to understand their effect on job satisfaction, and further the impact of job satisfaction on job loyalty, job performance and turnover intention. A self-administered questionnaire was used for data collection from several organizations. Convenient sampling technique was used and 200 questionnaires were circulated out of which 150 were nominated for further analysis. SPSS is used for data analysis statistically. The results showed significant positive association of employee empowerment, workplace environment, job loyalty and job www.macrothink.org/ijld 121 performance with job satisfaction. Furthermore, there is a significant negative relationship between job satisfaction and turnover intention. The findings also demonstrate that there is no significant relation of turnover intention with employee empowerment and job performance.","author":[{"dropping-particle":"","family":"Javed","given":"Masooma","non-dropping-particle":"","parse-names":false,"suffix":""},{"dropping-particle":"","family":"Balouch","given":"Rifat","non-dropping-particle":"","parse-names":false,"suffix":""},{"dropping-particle":"","family":"Hassan","given":"Fatima","non-dropping-particle":"","parse-names":false,"suffix":""}],"container-title":"International Journal of Learning and Development","id":"ITEM-2","issue":"2","issued":{"date-parts":[["2014"]]},"page":"120-140","title":"Determinants of Job Satisfaction and its Impact on Employee Performance and Turnover Intentions","type":"article-journal","volume":"4"},"uris":["http://www.mendeley.com/documents/?uuid=5b9b37af-4aa7-453e-ab80-0ef1ea833c3e"]}],"mendeley":{"formattedCitation":"(Javed et al., 2014; Voordt &amp; Jensen, 2021)","plainTextFormattedCitation":"(Javed et al., 2014; Voordt &amp; Jensen, 2021)","previouslyFormattedCitation":"(Javed et al., 2014; Voordt &amp; Jensen, 2021)"},"properties":{"noteIndex":0},"schema":"https://github.com/citation-style-language/schema/raw/master/csl-citation.json"}</w:instrText>
      </w:r>
      <w:r w:rsidR="00F10F8F" w:rsidRPr="00B0319E">
        <w:fldChar w:fldCharType="separate"/>
      </w:r>
      <w:r w:rsidR="00C647F8" w:rsidRPr="00A55043">
        <w:rPr>
          <w:noProof/>
        </w:rPr>
        <w:t>(Javed et al., 2014; Voordt &amp; Jensen, 2021)</w:t>
      </w:r>
      <w:r w:rsidR="00F10F8F" w:rsidRPr="00B0319E">
        <w:fldChar w:fldCharType="end"/>
      </w:r>
      <w:r w:rsidR="00B83676" w:rsidRPr="00B0319E">
        <w:t xml:space="preserve">. </w:t>
      </w:r>
      <w:r w:rsidR="00696801" w:rsidRPr="00B0319E">
        <w:t>With such programs companies not only enhance employee satisfaction but also reap benefits themselves, such as increased employee engagement, productivity, and loyalty.</w:t>
      </w:r>
    </w:p>
    <w:p w14:paraId="31965E3A" w14:textId="43BAA370" w:rsidR="00D91BAF" w:rsidRPr="00B0319E" w:rsidRDefault="0018082C" w:rsidP="0018082C">
      <w:pPr>
        <w:spacing w:before="240"/>
        <w:rPr>
          <w:rStyle w:val="Intensievebenadrukking"/>
          <w:i w:val="0"/>
          <w:iCs w:val="0"/>
        </w:rPr>
      </w:pPr>
      <w:r w:rsidRPr="00B0319E">
        <w:rPr>
          <w:rStyle w:val="Intensievebenadrukking"/>
          <w:i w:val="0"/>
          <w:iCs w:val="0"/>
        </w:rPr>
        <w:t xml:space="preserve">Management Training </w:t>
      </w:r>
    </w:p>
    <w:p w14:paraId="26761A27" w14:textId="6E7E6293" w:rsidR="004E3182" w:rsidRPr="00B0319E" w:rsidRDefault="00F92A01" w:rsidP="005D5987">
      <w:r w:rsidRPr="00B0319E">
        <w:t xml:space="preserve">In addition to the factors already mentioned, supervisors and company management </w:t>
      </w:r>
      <w:r w:rsidR="0098769E" w:rsidRPr="00B0319E">
        <w:t xml:space="preserve">also </w:t>
      </w:r>
      <w:r w:rsidRPr="00B0319E">
        <w:t xml:space="preserve">play a significant role in employee satisfaction. </w:t>
      </w:r>
      <w:r w:rsidR="00D23432" w:rsidRPr="00D23432">
        <w:t>Recognizing the significance of employee satisfaction at the highest level and embedding it in the company’s values is crucial</w:t>
      </w:r>
      <w:r w:rsidR="00D23432">
        <w:t xml:space="preserve"> </w:t>
      </w:r>
      <w:r w:rsidR="00997B93" w:rsidRPr="00B0319E">
        <w:fldChar w:fldCharType="begin" w:fldLock="1"/>
      </w:r>
      <w:r w:rsidR="00F10F8F" w:rsidRPr="00B0319E">
        <w:instrText>ADDIN CSL_CITATION {"citationItems":[{"id":"ITEM-1","itemData":{"DOI":"10.22161/ijebm.5.2.3","abstract":"Human Resource Management is getting more important in the business nowadays, because people and their knowledge are the most important aspects affecting the productivity of the company. One of the main aspects of Human Resource Management is the measurement of employee satisfaction. Companies have to make sure that employee satisfaction is high among the workers, which is a precondition for increasing productivity, responsiveness, quality, and recognitionservice. The aim of this thesis is to analyze the level of employee satisfaction and work motivation. It also deals with the effect the culture has on employee satisfaction. The theoretical framework of this thesis includes such concepts as, job satisfaction, motivation, and rewards differences. One of the biggest strength of the organization is the relationship and communication between the employees and the managers.","author":[{"dropping-particle":"","family":"Jamal Ali","given":"Bayad","non-dropping-particle":"","parse-names":false,"suffix":""},{"dropping-particle":"","family":"Anwar","given":"Govand","non-dropping-particle":"","parse-names":false,"suffix":""}],"container-title":"International Journal of Engineering, Business and Management","id":"ITEM-1","issue":"2","issued":{"date-parts":[["2021"]]},"page":"21-30","title":"An Empirical Study of Employees’ Motivation and its Influence Job Satisfaction","type":"article-journal","volume":"5"},"uris":["http://www.mendeley.com/documents/?uuid=a31e5f66-c2b3-4fdc-9e32-dc208990b8a5"]}],"mendeley":{"formattedCitation":"(Jamal Ali &amp; Anwar, 2021)","plainTextFormattedCitation":"(Jamal Ali &amp; Anwar, 2021)","previouslyFormattedCitation":"(Jamal Ali &amp; Anwar, 2021)"},"properties":{"noteIndex":0},"schema":"https://github.com/citation-style-language/schema/raw/master/csl-citation.json"}</w:instrText>
      </w:r>
      <w:r w:rsidR="00997B93" w:rsidRPr="00B0319E">
        <w:fldChar w:fldCharType="separate"/>
      </w:r>
      <w:r w:rsidR="00997B93" w:rsidRPr="00A55043">
        <w:rPr>
          <w:noProof/>
        </w:rPr>
        <w:t>(Jamal Ali &amp; Anwar, 2021)</w:t>
      </w:r>
      <w:r w:rsidR="00997B93" w:rsidRPr="00B0319E">
        <w:fldChar w:fldCharType="end"/>
      </w:r>
      <w:r w:rsidR="005D5987" w:rsidRPr="00B0319E">
        <w:t xml:space="preserve">. </w:t>
      </w:r>
      <w:r w:rsidR="00263A3C" w:rsidRPr="00B0319E">
        <w:t xml:space="preserve">Moreover, managers should focus on their employees’ development and well-being in their daily work </w:t>
      </w:r>
      <w:r w:rsidR="007D237E" w:rsidRPr="00B0319E">
        <w:fldChar w:fldCharType="begin" w:fldLock="1"/>
      </w:r>
      <w:r w:rsidR="0076252F" w:rsidRPr="00B0319E">
        <w:instrText>ADDIN CSL_CITATION {"citationItems":[{"id":"ITEM-1","itemData":{"DOI":"10.22161/ijebm.5.2.3","abstract":"Human Resource Management is getting more important in the business nowadays, because people and their knowledge are the most important aspects affecting the productivity of the company. One of the main aspects of Human Resource Management is the measurement of employee satisfaction. Companies have to make sure that employee satisfaction is high among the workers, which is a precondition for increasing productivity, responsiveness, quality, and recognitionservice. The aim of this thesis is to analyze the level of employee satisfaction and work motivation. It also deals with the effect the culture has on employee satisfaction. The theoretical framework of this thesis includes such concepts as, job satisfaction, motivation, and rewards differences. One of the biggest strength of the organization is the relationship and communication between the employees and the managers.","author":[{"dropping-particle":"","family":"Jamal Ali","given":"Bayad","non-dropping-particle":"","parse-names":false,"suffix":""},{"dropping-particle":"","family":"Anwar","given":"Govand","non-dropping-particle":"","parse-names":false,"suffix":""}],"container-title":"International Journal of Engineering, Business and Management","id":"ITEM-1","issue":"2","issued":{"date-parts":[["2021"]]},"page":"21-30","title":"An Empirical Study of Employees’ Motivation and its Influence Job Satisfaction","type":"article-journal","volume":"5"},"uris":["http://www.mendeley.com/documents/?uuid=a31e5f66-c2b3-4fdc-9e32-dc208990b8a5"]}],"mendeley":{"formattedCitation":"(Jamal Ali &amp; Anwar, 2021)","plainTextFormattedCitation":"(Jamal Ali &amp; Anwar, 2021)","previouslyFormattedCitation":"(Jamal Ali &amp; Anwar, 2021)"},"properties":{"noteIndex":0},"schema":"https://github.com/citation-style-language/schema/raw/master/csl-citation.json"}</w:instrText>
      </w:r>
      <w:r w:rsidR="007D237E" w:rsidRPr="00B0319E">
        <w:fldChar w:fldCharType="separate"/>
      </w:r>
      <w:r w:rsidR="007D237E" w:rsidRPr="00A55043">
        <w:rPr>
          <w:noProof/>
        </w:rPr>
        <w:t>(Jamal Ali &amp; Anwar, 2021)</w:t>
      </w:r>
      <w:r w:rsidR="007D237E" w:rsidRPr="00B0319E">
        <w:fldChar w:fldCharType="end"/>
      </w:r>
      <w:r w:rsidR="00F62AA3" w:rsidRPr="00B0319E">
        <w:t xml:space="preserve">. </w:t>
      </w:r>
      <w:r w:rsidR="00EC5965" w:rsidRPr="00B0319E">
        <w:t>E</w:t>
      </w:r>
      <w:r w:rsidR="007C7F24" w:rsidRPr="00B0319E">
        <w:t xml:space="preserve">nsuring that </w:t>
      </w:r>
      <w:r w:rsidR="00EC5965" w:rsidRPr="00B0319E">
        <w:t>both</w:t>
      </w:r>
      <w:r w:rsidR="007C7F24" w:rsidRPr="00B0319E">
        <w:t xml:space="preserve"> employees </w:t>
      </w:r>
      <w:r w:rsidR="00EC5965" w:rsidRPr="00B0319E">
        <w:t>and</w:t>
      </w:r>
      <w:r w:rsidR="007C7F24" w:rsidRPr="00B0319E">
        <w:t xml:space="preserve"> managers participate in training</w:t>
      </w:r>
      <w:r w:rsidR="00EC5965" w:rsidRPr="00B0319E">
        <w:t xml:space="preserve"> programs is </w:t>
      </w:r>
      <w:r w:rsidR="00540CA1" w:rsidRPr="00B0319E">
        <w:t>essential</w:t>
      </w:r>
      <w:r w:rsidR="007C7F24" w:rsidRPr="00B0319E">
        <w:t>.</w:t>
      </w:r>
      <w:r w:rsidR="00B0319E" w:rsidRPr="00B0319E">
        <w:t xml:space="preserve"> </w:t>
      </w:r>
      <w:r w:rsidR="007C7F24" w:rsidRPr="00B0319E">
        <w:t xml:space="preserve"> Such training could cover leadership skills or communication techniques </w:t>
      </w:r>
      <w:r w:rsidR="003143E1" w:rsidRPr="00B0319E">
        <w:fldChar w:fldCharType="begin" w:fldLock="1"/>
      </w:r>
      <w:r w:rsidR="003143E1" w:rsidRPr="00B0319E">
        <w:instrText>ADDIN CSL_CITATION {"citationItems":[{"id":"ITEM-1","itemData":{"DOI":"10.22161/ijebm.5.2.3","abstract":"Human Resource Management is getting more important in the business nowadays, because people and their knowledge are the most important aspects affecting the productivity of the company. One of the main aspects of Human Resource Management is the measurement of employee satisfaction. Companies have to make sure that employee satisfaction is high among the workers, which is a precondition for increasing productivity, responsiveness, quality, and recognitionservice. The aim of this thesis is to analyze the level of employee satisfaction and work motivation. It also deals with the effect the culture has on employee satisfaction. The theoretical framework of this thesis includes such concepts as, job satisfaction, motivation, and rewards differences. One of the biggest strength of the organization is the relationship and communication between the employees and the managers.","author":[{"dropping-particle":"","family":"Jamal Ali","given":"Bayad","non-dropping-particle":"","parse-names":false,"suffix":""},{"dropping-particle":"","family":"Anwar","given":"Govand","non-dropping-particle":"","parse-names":false,"suffix":""}],"container-title":"International Journal of Engineering, Business and Management","id":"ITEM-1","issue":"2","issued":{"date-parts":[["2021"]]},"page":"21-30","title":"An Empirical Study of Employees’ Motivation and its Influence Job Satisfaction","type":"article-journal","volume":"5"},"uris":["http://www.mendeley.com/documents/?uuid=a31e5f66-c2b3-4fdc-9e32-dc208990b8a5"]}],"mendeley":{"formattedCitation":"(Jamal Ali &amp; Anwar, 2021)","plainTextFormattedCitation":"(Jamal Ali &amp; Anwar, 2021)","previouslyFormattedCitation":"(Jamal Ali &amp; Anwar, 2021)"},"properties":{"noteIndex":0},"schema":"https://github.com/citation-style-language/schema/raw/master/csl-citation.json"}</w:instrText>
      </w:r>
      <w:r w:rsidR="003143E1" w:rsidRPr="00B0319E">
        <w:fldChar w:fldCharType="separate"/>
      </w:r>
      <w:r w:rsidR="003143E1" w:rsidRPr="00A55043">
        <w:rPr>
          <w:noProof/>
        </w:rPr>
        <w:t>(Jamal Ali &amp; Anwar, 2021)</w:t>
      </w:r>
      <w:r w:rsidR="003143E1" w:rsidRPr="00B0319E">
        <w:fldChar w:fldCharType="end"/>
      </w:r>
      <w:r w:rsidR="005D5987" w:rsidRPr="00B0319E">
        <w:t>.</w:t>
      </w:r>
      <w:r w:rsidR="00AC5224" w:rsidRPr="00B0319E">
        <w:t xml:space="preserve"> </w:t>
      </w:r>
      <w:r w:rsidR="00957FA8" w:rsidRPr="00B0319E">
        <w:t xml:space="preserve">Employees who feel comfortable and are well-supervised tend to perform better </w:t>
      </w:r>
      <w:r w:rsidR="003143E1" w:rsidRPr="00B0319E">
        <w:fldChar w:fldCharType="begin" w:fldLock="1"/>
      </w:r>
      <w:r w:rsidR="00871359" w:rsidRPr="00B0319E">
        <w:instrText>ADDIN CSL_CITATION {"citationItems":[{"id":"ITEM-1","itemData":{"DOI":"10.22161/ijebm.5.2.3","abstract":"Human Resource Management is getting more important in the business nowadays, because people and their knowledge are the most important aspects affecting the productivity of the company. One of the main aspects of Human Resource Management is the measurement of employee satisfaction. Companies have to make sure that employee satisfaction is high among the workers, which is a precondition for increasing productivity, responsiveness, quality, and recognitionservice. The aim of this thesis is to analyze the level of employee satisfaction and work motivation. It also deals with the effect the culture has on employee satisfaction. The theoretical framework of this thesis includes such concepts as, job satisfaction, motivation, and rewards differences. One of the biggest strength of the organization is the relationship and communication between the employees and the managers.","author":[{"dropping-particle":"","family":"Jamal Ali","given":"Bayad","non-dropping-particle":"","parse-names":false,"suffix":""},{"dropping-particle":"","family":"Anwar","given":"Govand","non-dropping-particle":"","parse-names":false,"suffix":""}],"container-title":"International Journal of Engineering, Business and Management","id":"ITEM-1","issue":"2","issued":{"date-parts":[["2021"]]},"page":"21-30","title":"An Empirical Study of Employees’ Motivation and its Influence Job Satisfaction","type":"article-journal","volume":"5"},"uris":["http://www.mendeley.com/documents/?uuid=a31e5f66-c2b3-4fdc-9e32-dc208990b8a5"]},{"id":"ITEM-2","itemData":{"DOI":"10.5296/ijld.v4i2.6094","abstract":"Job satisfaction -or lack of it -hinges on a productive, accomplishing relationship between staff and management; indeed, the success of any organization depends on staff members who enjoy their jobs and feel rewarded by their efforts. Ultimately, of all the people in the marketplace may suffer the most when this vital success factor is lacking. In earlier ages, many researchers have been directed on job satisfaction but this still remains an issue for many organizations. The ambition of this research paper is to examine the satisfaction level of the employees and helps organizations to know about the elements that influence job satisfaction. Precisely, we acquired employee empowerment and workplace environment as the antecedents to understand their effect on job satisfaction, and further the impact of job satisfaction on job loyalty, job performance and turnover intention. A self-administered questionnaire was used for data collection from several organizations. Convenient sampling technique was used and 200 questionnaires were circulated out of which 150 were nominated for further analysis. SPSS is used for data analysis statistically. The results showed significant positive association of employee empowerment, workplace environment, job loyalty and job www.macrothink.org/ijld 121 performance with job satisfaction. Furthermore, there is a significant negative relationship between job satisfaction and turnover intention. The findings also demonstrate that there is no significant relation of turnover intention with employee empowerment and job performance.","author":[{"dropping-particle":"","family":"Javed","given":"Masooma","non-dropping-particle":"","parse-names":false,"suffix":""},{"dropping-particle":"","family":"Balouch","given":"Rifat","non-dropping-particle":"","parse-names":false,"suffix":""},{"dropping-particle":"","family":"Hassan","given":"Fatima","non-dropping-particle":"","parse-names":false,"suffix":""}],"container-title":"International Journal of Learning and Development","id":"ITEM-2","issue":"2","issued":{"date-parts":[["2014"]]},"page":"120-140","title":"Determinants of Job Satisfaction and its Impact on Employee Performance and Turnover Intentions","type":"article-journal","volume":"4"},"uris":["http://www.mendeley.com/documents/?uuid=5b9b37af-4aa7-453e-ab80-0ef1ea833c3e"]}],"mendeley":{"formattedCitation":"(Jamal Ali &amp; Anwar, 2021; Javed et al., 2014)","plainTextFormattedCitation":"(Jamal Ali &amp; Anwar, 2021; Javed et al., 2014)","previouslyFormattedCitation":"(Jamal Ali &amp; Anwar, 2021; Javed et al., 2014)"},"properties":{"noteIndex":0},"schema":"https://github.com/citation-style-language/schema/raw/master/csl-citation.json"}</w:instrText>
      </w:r>
      <w:r w:rsidR="003143E1" w:rsidRPr="00B0319E">
        <w:fldChar w:fldCharType="separate"/>
      </w:r>
      <w:r w:rsidR="00603ABC" w:rsidRPr="00A55043">
        <w:rPr>
          <w:noProof/>
        </w:rPr>
        <w:t>(Jamal Ali &amp; Anwar, 2021; Javed et al., 2014)</w:t>
      </w:r>
      <w:r w:rsidR="003143E1" w:rsidRPr="00B0319E">
        <w:fldChar w:fldCharType="end"/>
      </w:r>
      <w:r w:rsidR="00AC5224" w:rsidRPr="00B0319E">
        <w:t xml:space="preserve">. </w:t>
      </w:r>
      <w:r w:rsidR="00333AE1" w:rsidRPr="00B0319E">
        <w:t>Thus</w:t>
      </w:r>
      <w:r w:rsidR="003225F2" w:rsidRPr="00B0319E">
        <w:t>,</w:t>
      </w:r>
      <w:r w:rsidR="00A55F94" w:rsidRPr="00B0319E">
        <w:t xml:space="preserve"> t</w:t>
      </w:r>
      <w:r w:rsidR="00957FA8" w:rsidRPr="00B0319E">
        <w:t>his can give the company an advantage in terms of employee performance, which in turn enhances the overall performance of the company.</w:t>
      </w:r>
    </w:p>
    <w:p w14:paraId="6DDC796A" w14:textId="77777777" w:rsidR="004E3182" w:rsidRDefault="004E3182">
      <w:pPr>
        <w:spacing w:line="240" w:lineRule="auto"/>
        <w:ind w:firstLine="0"/>
        <w:jc w:val="left"/>
        <w:rPr>
          <w:rStyle w:val="Intensievebenadrukking"/>
          <w:i w:val="0"/>
          <w:iCs w:val="0"/>
        </w:rPr>
      </w:pPr>
      <w:r>
        <w:rPr>
          <w:rStyle w:val="Intensievebenadrukking"/>
          <w:i w:val="0"/>
          <w:iCs w:val="0"/>
        </w:rPr>
        <w:br w:type="page"/>
      </w:r>
    </w:p>
    <w:p w14:paraId="5BB1076C" w14:textId="3F3EF8D2" w:rsidR="00822E75" w:rsidRPr="00B0319E" w:rsidRDefault="001E347E" w:rsidP="001E347E">
      <w:pPr>
        <w:spacing w:before="240"/>
        <w:rPr>
          <w:rStyle w:val="Intensievebenadrukking"/>
          <w:i w:val="0"/>
          <w:iCs w:val="0"/>
        </w:rPr>
      </w:pPr>
      <w:r w:rsidRPr="00B0319E">
        <w:rPr>
          <w:rStyle w:val="Intensievebenadrukking"/>
          <w:i w:val="0"/>
          <w:iCs w:val="0"/>
        </w:rPr>
        <w:lastRenderedPageBreak/>
        <w:t>Benefits of Satisfied Employees</w:t>
      </w:r>
    </w:p>
    <w:p w14:paraId="7748373C" w14:textId="6468EC41" w:rsidR="00FD1B9B" w:rsidRDefault="00F2310B" w:rsidP="00822E75">
      <w:r w:rsidRPr="00B0319E">
        <w:t>It has already been mentioned that satisfied employees bring benefits</w:t>
      </w:r>
      <w:r w:rsidR="00EC5965" w:rsidRPr="00B0319E">
        <w:t>;</w:t>
      </w:r>
      <w:r w:rsidRPr="00B0319E">
        <w:t xml:space="preserve"> these benefits will now be discussed in more detail.</w:t>
      </w:r>
      <w:r w:rsidR="0079592B" w:rsidRPr="00B0319E">
        <w:t xml:space="preserve"> Research indicates that satisfied employees exhibit higher productivity levels due to increased motivation, focus, and a willingness to go the extra mile </w:t>
      </w:r>
      <w:r w:rsidR="009C2B59" w:rsidRPr="00B0319E">
        <w:fldChar w:fldCharType="begin" w:fldLock="1"/>
      </w:r>
      <w:r w:rsidR="003143E1" w:rsidRPr="00B0319E">
        <w:instrText>ADDIN CSL_CITATION {"citationItems":[{"id":"ITEM-1","itemData":{"ISSN":"2045-7057","abstract":"– Employee satisfaction is considered weighty when it comes to define organizational success. Employee's satisfaction is central concern particularly in the service industry. Need to enhance employee satisfaction is critical because it is a key to business success of any organization. In the present milieu, employee satisfaction has come under limelight due to stiff competition where organizations are trying to carve competitive advantage through the human factor. The purpose of this study is to observe the relationship between employee satisfaction and customer satisfaction and to examine the impact of both on organizational success. This study scrutinizes the effects of different factors of organization which affects the employee satisfaction. This is a cohort study in which qualitative research methodology was used. The data was collected through self-administrated questionnaire which contains multiple choice questions and open-ended questions. Results of the principal component analysis (PCA) based on correlation matrix revealed a great deal of employees (hotel workers) satisfaction among surveyed cohorts where customers also had expressed satisfaction with existing services. Mainly environmental cleanliness, quality food and room services has played vital role in creating contentment and subsequent satisfaction among customers. From employee's perspective, conducive working atmosphere coupled with incentives like salary and frequent trainings focused the employees to work with dedication to uplift the organization (hotels) which is reflected clearly by the satisfaction level of customers. Our study confirms indirect relation between organizational success and employee satisfaction which was mediated by customers. In conclusion, it seems reasonable to believe that understanding of employee role is extremely important as it appears key factor in the success of modern organization.","author":[{"dropping-particle":"","family":"Naseem","given":"Afshan","non-dropping-particle":"","parse-names":false,"suffix":""},{"dropping-particle":"","family":"Ejaz Sheikh","given":"Sadia","non-dropping-particle":"","parse-names":false,"suffix":""},{"dropping-particle":"","family":"Malik GPHR","given":"Khusro P","non-dropping-particle":"","parse-names":false,"suffix":""}],"container-title":"International Journal of Multidisciplinary Sciences and Engineering","id":"ITEM-1","issue":"5","issued":{"date-parts":[["2011"]]},"page":"41-46","title":"Impact of Employee Satisfaction on Success of Organization: Relation between Customer Experience and Employee Satisfaction","type":"article-journal","volume":"2"},"uris":["http://www.mendeley.com/documents/?uuid=f3319b29-c9ae-4fba-95e2-5cec28c341d8"]},{"id":"ITEM-2","itemData":{"DOI":"10.3846/ijspm.2019.6372","ISSN":"16489179","abstract":"Employee satisfaction is pivotal for companies as it enhances perceived productivity and organizational performance. Office concepts and their workspaces can affect employee satisfaction. However, these effects are still ambiguous, particularly regarding the activity-based concept. Therefore, in this study employee satisfaction with the work environment is investigated from a holistic approach. The effects of both personal characteristics and workspaces used by the employee on work environment satisfaction are described and measured, including mediating effects of the perceived importance of employee needs. Data was collected using an online questionnaire among 327 employees of 13 knowledge-based organizations. Path analysis was used to determine the direct and indirect effects of personal variables, environmental variables and perceived importance of needs on satisfaction. It demonstrated that both personal and environmental variables affect satisfaction, and that a considerable number of these effects are indirect through the perceived importance of needs. In particular, the effects of used workspaces were extensive.","author":[{"dropping-particle":"","family":"Budie","given":"Bart","non-dropping-particle":"","parse-names":false,"suffix":""},{"dropping-particle":"","family":"Appel-Meulenbroek","given":"Rianne","non-dropping-particle":"","parse-names":false,"suffix":""},{"dropping-particle":"","family":"Kemperman","given":"Astrid","non-dropping-particle":"","parse-names":false,"suffix":""},{"dropping-particle":"","family":"Weijs-Perree","given":"Minou","non-dropping-particle":"","parse-names":false,"suffix":""}],"container-title":"International Journal of Strategic Property Management","id":"ITEM-2","issue":"1","issued":{"date-parts":[["2019"]]},"page":"36-49","title":"Employee satisfaction with the physical work environment: The importance of a need based approach","type":"article-journal","volume":"23"},"uris":["http://www.mendeley.com/documents/?uuid=feede444-4770-4396-915e-11a1cd4c309b"]},{"id":"ITEM-3","itemData":{"DOI":"10.22161/ijebm.5.2.3","abstract":"Human Resource Management is getting more important in the business nowadays, because people and their knowledge are the most important aspects affecting the productivity of the company. One of the main aspects of Human Resource Management is the measurement of employee satisfaction. Companies have to make sure that employee satisfaction is high among the workers, which is a precondition for increasing productivity, responsiveness, quality, and recognitionservice. The aim of this thesis is to analyze the level of employee satisfaction and work motivation. It also deals with the effect the culture has on employee satisfaction. The theoretical framework of this thesis includes such concepts as, job satisfaction, motivation, and rewards differences. One of the biggest strength of the organization is the relationship and communication between the employees and the managers.","author":[{"dropping-particle":"","family":"Jamal Ali","given":"Bayad","non-dropping-particle":"","parse-names":false,"suffix":""},{"dropping-particle":"","family":"Anwar","given":"Govand","non-dropping-particle":"","parse-names":false,"suffix":""}],"container-title":"International Journal of Engineering, Business and Management","id":"ITEM-3","issue":"2","issued":{"date-parts":[["2021"]]},"page":"21-30","title":"An Empirical Study of Employees’ Motivation and its Influence Job Satisfaction","type":"article-journal","volume":"5"},"uris":["http://www.mendeley.com/documents/?uuid=a31e5f66-c2b3-4fdc-9e32-dc208990b8a5"]}],"mendeley":{"formattedCitation":"(Budie et al., 2019; Jamal Ali &amp; Anwar, 2021; Naseem et al., 2011)","plainTextFormattedCitation":"(Budie et al., 2019; Jamal Ali &amp; Anwar, 2021; Naseem et al., 2011)","previouslyFormattedCitation":"(Budie et al., 2019; Jamal Ali &amp; Anwar, 2021; Naseem et al., 2011)"},"properties":{"noteIndex":0},"schema":"https://github.com/citation-style-language/schema/raw/master/csl-citation.json"}</w:instrText>
      </w:r>
      <w:r w:rsidR="009C2B59" w:rsidRPr="00B0319E">
        <w:fldChar w:fldCharType="separate"/>
      </w:r>
      <w:r w:rsidR="00CB54FD" w:rsidRPr="00A55043">
        <w:rPr>
          <w:noProof/>
        </w:rPr>
        <w:t>(Budie et al., 2019; Jamal Ali &amp; Anwar, 2021; Naseem et al., 2011)</w:t>
      </w:r>
      <w:r w:rsidR="009C2B59" w:rsidRPr="00B0319E">
        <w:fldChar w:fldCharType="end"/>
      </w:r>
      <w:r w:rsidR="005D5987" w:rsidRPr="00B0319E">
        <w:t xml:space="preserve">. </w:t>
      </w:r>
      <w:r w:rsidR="003D586F" w:rsidRPr="00B0319E">
        <w:t xml:space="preserve"> The </w:t>
      </w:r>
      <w:r w:rsidR="00540CA1" w:rsidRPr="004A2A48">
        <w:t>enhanced</w:t>
      </w:r>
      <w:r w:rsidR="003D586F" w:rsidRPr="00B0319E">
        <w:t xml:space="preserve"> productivity, </w:t>
      </w:r>
      <w:r w:rsidR="00540CA1" w:rsidRPr="004A2A48">
        <w:t>along</w:t>
      </w:r>
      <w:r w:rsidR="003D586F" w:rsidRPr="00B0319E">
        <w:t xml:space="preserve"> with the </w:t>
      </w:r>
      <w:r w:rsidR="00540CA1" w:rsidRPr="004A2A48">
        <w:t>superior</w:t>
      </w:r>
      <w:r w:rsidR="003D586F" w:rsidRPr="00B0319E">
        <w:t xml:space="preserve"> quality of work that satisfied employees tend to produce, contributes to the overall success and competitiveness of the company</w:t>
      </w:r>
      <w:r w:rsidR="005D5987" w:rsidRPr="00B0319E">
        <w:t xml:space="preserve"> </w:t>
      </w:r>
      <w:r w:rsidR="0076252F" w:rsidRPr="00B0319E">
        <w:fldChar w:fldCharType="begin" w:fldLock="1"/>
      </w:r>
      <w:r w:rsidR="009A32AF" w:rsidRPr="00B0319E">
        <w:instrText>ADDIN CSL_CITATION {"citationItems":[{"id":"ITEM-1","itemData":{"DOI":"10.22161/ijebm.5.2.3","abstract":"Human Resource Management is getting more important in the business nowadays, because people and their knowledge are the most important aspects affecting the productivity of the company. One of the main aspects of Human Resource Management is the measurement of employee satisfaction. Companies have to make sure that employee satisfaction is high among the workers, which is a precondition for increasing productivity, responsiveness, quality, and recognitionservice. The aim of this thesis is to analyze the level of employee satisfaction and work motivation. It also deals with the effect the culture has on employee satisfaction. The theoretical framework of this thesis includes such concepts as, job satisfaction, motivation, and rewards differences. One of the biggest strength of the organization is the relationship and communication between the employees and the managers.","author":[{"dropping-particle":"","family":"Jamal Ali","given":"Bayad","non-dropping-particle":"","parse-names":false,"suffix":""},{"dropping-particle":"","family":"Anwar","given":"Govand","non-dropping-particle":"","parse-names":false,"suffix":""}],"container-title":"International Journal of Engineering, Business and Management","id":"ITEM-1","issue":"2","issued":{"date-parts":[["2021"]]},"page":"21-30","title":"An Empirical Study of Employees’ Motivation and its Influence Job Satisfaction","type":"article-journal","volume":"5"},"uris":["http://www.mendeley.com/documents/?uuid=a31e5f66-c2b3-4fdc-9e32-dc208990b8a5"]},{"id":"ITEM-2","itemData":{"DOI":"10.1108/IJM-08-2018-0281","ISSN":"01437720","abstract":"Purpose: In the face of a changing and turbulent environment, an organizational learning culture (OLC) is crucial for the long-term operation of an organization. A learning culture provides the capacity to effectively integrate employees, and it also provides structure so that an organization can move forward via continuous learning and change. Few empirical results are available from Chinese companies enduring an organizational change. To bridge this research gap, this study investigated the relationships among an OLC, job satisfaction, turnover intentions and job performance during organizational change. Design/methodology/approach: A quantitative approach with structural equation modeling (SEM) and bootstrapping estimation was used to test hypotheses developed from a sample of 434 employees in a restructured telecommunications company in Taiwan. Findings: Employees who experienced a higher learning culture had lower levels of turnover intentions and exhibited better job performance. Job satisfaction had a negative impact on employee turnover intentions but a positive impact on job performance. Moreover, job satisfaction fully mediated the relationships between an OLC and employee turnover intentions and job performance. When encountering organizational planned changes, a vibrant learning culture gave employees a higher level of satisfaction in their jobs and workplace. Although unexpected challenges often appeared during the organizational changes, employees with a higher level of job satisfaction tended to fulfill their own job duties and showed fewer turnover intentions. Originality/value: In investigating issues related to organizational change, this study provides managerial insights and addresses strategies for facilitating the adoption of an OLC into the design and implementation of a better workplace environment.","author":[{"dropping-particle":"","family":"Lin","given":"Chun Yu","non-dropping-particle":"","parse-names":false,"suffix":""},{"dropping-particle":"","family":"Huang","given":"Chung Kai","non-dropping-particle":"","parse-names":false,"suffix":""}],"container-title":"International Journal of Manpower","id":"ITEM-2","issue":"3","issued":{"date-parts":[["2021"]]},"page":"409-423","title":"Employee turnover intentions and job performance from a planned change: the effects of an organizational learning culture and job satisfaction","type":"article-journal","volume":"42"},"uris":["http://www.mendeley.com/documents/?uuid=c88f4e6b-99f6-4313-8d75-a353cce176dc"]}],"mendeley":{"formattedCitation":"(Jamal Ali &amp; Anwar, 2021; Lin &amp; Huang, 2021)","plainTextFormattedCitation":"(Jamal Ali &amp; Anwar, 2021; Lin &amp; Huang, 2021)","previouslyFormattedCitation":"(Jamal Ali &amp; Anwar, 2021; Lin &amp; Huang, 2021)"},"properties":{"noteIndex":0},"schema":"https://github.com/citation-style-language/schema/raw/master/csl-citation.json"}</w:instrText>
      </w:r>
      <w:r w:rsidR="0076252F" w:rsidRPr="00B0319E">
        <w:fldChar w:fldCharType="separate"/>
      </w:r>
      <w:r w:rsidR="00A761C2" w:rsidRPr="00A55043">
        <w:rPr>
          <w:noProof/>
        </w:rPr>
        <w:t>(Jamal Ali &amp; Anwar, 2021; Lin &amp; Huang, 2021)</w:t>
      </w:r>
      <w:r w:rsidR="0076252F" w:rsidRPr="00B0319E">
        <w:fldChar w:fldCharType="end"/>
      </w:r>
      <w:r w:rsidR="005D5987" w:rsidRPr="00B0319E">
        <w:t>.</w:t>
      </w:r>
      <w:r w:rsidR="005420AA" w:rsidRPr="00B0319E">
        <w:t xml:space="preserve"> </w:t>
      </w:r>
    </w:p>
    <w:p w14:paraId="51A55CF6" w14:textId="27E8028B" w:rsidR="003B1D97" w:rsidRPr="00B0319E" w:rsidRDefault="00B50349" w:rsidP="00822E75">
      <w:r w:rsidRPr="00B50349">
        <w:t>Some employees favo</w:t>
      </w:r>
      <w:r>
        <w:t>u</w:t>
      </w:r>
      <w:r w:rsidRPr="00B50349">
        <w:t xml:space="preserve">r a stable workforce with a low turnover rate because it minimizes disruptions that can arise from </w:t>
      </w:r>
      <w:r w:rsidRPr="00044C05">
        <w:t xml:space="preserve">the integration of new employees </w:t>
      </w:r>
      <w:r w:rsidR="00D23432">
        <w:fldChar w:fldCharType="begin" w:fldLock="1"/>
      </w:r>
      <w:r w:rsidR="00CD3858">
        <w:instrText>ADDIN CSL_CITATION {"citationItems":[{"id":"ITEM-1","itemData":{"DOI":"10.1108/MD-05-2016-0308","ISSN":"00251747","abstract":"Purpose: The purpose of this paper is to examine the association between corporate social responsibility (CSR) and employee satisfaction. The study proposes and empirically tests two hypotheses: that CSR is positively associated with employee satisfaction, and that organizational image mediates the relationship between CSR and employee satisfaction. Design/methodology/approach: The hypotheses were tested through regression analyses, using data from 85,167 questionnaires completed by employees at 381 Brazilian companies, as well as data pertaining to the “breadth” of CSR engagement of those same companies. Findings: The results of this study provide evidence that CSR-oriented actions undertaken by companies will lead to a better organizational image, and this, in turn, will lead to greater employee satisfaction. Practical implications: Because employee behaviour influences organizational outcomes and higher job satisfaction may lead to greater employee commitment to organizational goals and values, understanding the impact of CSR on employee satisfaction is relevant to corporate performance. Originality/value: The study contributes to the body of empirical research on CSR by investigating the underlying mechanisms linking CSR with employee behaviour. Scholars in the area of CSR regularly explore the outcomes and impacts of CSR actions on internal and external stakeholders. However, the impacts of CSR for a critical group of stakeholders – namely, employees – and its underlying mechanisms are understudied in the CSR literature.","author":[{"dropping-particle":"","family":"Barakat","given":"Simone R.","non-dropping-particle":"","parse-names":false,"suffix":""},{"dropping-particle":"","family":"Isabella","given":"Giuliana","non-dropping-particle":"","parse-names":false,"suffix":""},{"dropping-particle":"","family":"Boaventura","given":"João Maurício Gama","non-dropping-particle":"","parse-names":false,"suffix":""},{"dropping-particle":"","family":"Mazzon","given":"José Afonso","non-dropping-particle":"","parse-names":false,"suffix":""}],"container-title":"Management Decision","id":"ITEM-1","issue":"9","issued":{"date-parts":[["2016"]]},"page":"2325-2339","title":"The influence of corporate social responsibility on employee satisfaction","type":"article-journal","volume":"54"},"uris":["http://www.mendeley.com/documents/?uuid=be4cd7d1-8fa2-482c-a285-b7d1fefd6a68"]},{"id":"ITEM-2","itemData":{"DOI":"https://doi.org/10.1108/978-1-78973-483-620201006","author":[{"dropping-particle":"","family":"Lim","given":"Paul","non-dropping-particle":"","parse-names":false,"suffix":""},{"dropping-particle":"","family":"Parker","given":"Andrew","non-dropping-particle":"","parse-names":false,"suffix":""}],"container-title":"Mentoring Millennials in an Asian Context","id":"ITEM-2","issued":{"date-parts":[["2020"]]},"page":"35-43","title":"Employee Turnover","type":"article-journal"},"uris":["http://www.mendeley.com/documents/?uuid=e2ce82bb-8e4a-4db9-98bc-0f1452ce3ae2"]},{"id":"ITEM-3","itemData":{"author":[{"dropping-particle":"","family":"Rogelberg","given":"Steven G.","non-dropping-particle":"","parse-names":false,"suffix":""},{"dropping-particle":"","family":"Allen","given":"Joseph A.","non-dropping-particle":"","parse-names":false,"suffix":""},{"dropping-particle":"","family":"Shanock","given":"Linda","non-dropping-particle":"","parse-names":false,"suffix":""},{"dropping-particle":"","family":"Scott","given":"Cliff","non-dropping-particle":"","parse-names":false,"suffix":""},{"dropping-particle":"","family":"Shuffler","given":"Marissa","non-dropping-particle":"","parse-names":false,"suffix":""}],"container-title":"Human Resource Management","id":"ITEM-3","issue":"2","issued":{"date-parts":[["2010"]]},"page":"149-172","title":"Employee satisfaction with meetings: A contemporary facet of job satisfaction","type":"article-journal","volume":"49"},"uris":["http://www.mendeley.com/documents/?uuid=0cf099e0-5cbd-4317-b135-a436b2d4cfc2"]},{"id":"ITEM-4","itemData":{"DOI":"10.22161/ijebm.5.2.3","abstract":"Human Resource Management is getting more important in the business nowadays, because people and their knowledge are the most important aspects affecting the productivity of the company. One of the main aspects of Human Resource Management is the measurement of employee satisfaction. Companies have to make sure that employee satisfaction is high among the workers, which is a precondition for increasing productivity, responsiveness, quality, and recognitionservice. The aim of this thesis is to analyze the level of employee satisfaction and work motivation. It also deals with the effect the culture has on employee satisfaction. The theoretical framework of this thesis includes such concepts as, job satisfaction, motivation, and rewards differences. One of the biggest strength of the organization is the relationship and communication between the employees and the managers.","author":[{"dropping-particle":"","family":"Jamal Ali","given":"Bayad","non-dropping-particle":"","parse-names":false,"suffix":""},{"dropping-particle":"","family":"Anwar","given":"Govand","non-dropping-particle":"","parse-names":false,"suffix":""}],"container-title":"International Journal of Engineering, Business and Management","id":"ITEM-4","issue":"2","issued":{"date-parts":[["2021"]]},"page":"21-30","title":"An Empirical Study of Employees’ Motivation and its Influence Job Satisfaction","type":"article-journal","volume":"5"},"uris":["http://www.mendeley.com/documents/?uuid=a31e5f66-c2b3-4fdc-9e32-dc208990b8a5"]}],"mendeley":{"formattedCitation":"(Barakat et al., 2016; Jamal Ali &amp; Anwar, 2021; Lim &amp; Parker, 2020; Rogelberg et al., 2010)","plainTextFormattedCitation":"(Barakat et al., 2016; Jamal Ali &amp; Anwar, 2021; Lim &amp; Parker, 2020; Rogelberg et al., 2010)","previouslyFormattedCitation":"(Barakat et al., 2016; Jamal Ali &amp; Anwar, 2021; Lim &amp; Parker, 2020; Rogelberg et al., 2010)"},"properties":{"noteIndex":0},"schema":"https://github.com/citation-style-language/schema/raw/master/csl-citation.json"}</w:instrText>
      </w:r>
      <w:r w:rsidR="00D23432">
        <w:fldChar w:fldCharType="separate"/>
      </w:r>
      <w:r w:rsidR="00D23432" w:rsidRPr="00D23432">
        <w:rPr>
          <w:noProof/>
        </w:rPr>
        <w:t>(Barakat et al., 2016; Jamal Ali &amp; Anwar, 2021; Lim &amp; Parker, 2020; Rogelberg et al., 2010)</w:t>
      </w:r>
      <w:r w:rsidR="00D23432">
        <w:fldChar w:fldCharType="end"/>
      </w:r>
      <w:r w:rsidRPr="00044C05">
        <w:t>. </w:t>
      </w:r>
      <w:r w:rsidR="005D5987" w:rsidRPr="00044C05">
        <w:t xml:space="preserve">Furthermore, research suggests that </w:t>
      </w:r>
      <w:r w:rsidR="00FD1B9B" w:rsidRPr="00044C05">
        <w:t xml:space="preserve">in other industries </w:t>
      </w:r>
      <w:r w:rsidR="005D5987" w:rsidRPr="00044C05">
        <w:t>satisfied employees are less likely to change jobs</w:t>
      </w:r>
      <w:r w:rsidR="005553E3" w:rsidRPr="00044C05">
        <w:t xml:space="preserve"> </w:t>
      </w:r>
      <w:r w:rsidR="005553E3" w:rsidRPr="00044C05">
        <w:fldChar w:fldCharType="begin" w:fldLock="1"/>
      </w:r>
      <w:r w:rsidR="00A761C2" w:rsidRPr="00044C05">
        <w:instrText>ADDIN CSL_CITATION {"citationItems":[{"id":"ITEM-1","itemData":{"DOI":"10.1108/MD-05-2016-0308","ISSN":"00251747","abstract":"Purpose: The purpose of this paper is to examine the association between corporate social responsibility (CSR) and employee satisfaction. The study proposes and empirically tests two hypotheses: that CSR is positively associated with employee satisfaction, and that organizational image mediates the relationship between CSR and employee satisfaction. Design/methodology/approach: The hypotheses were tested through regression analyses, using data from 85,167 questionnaires completed by employees at 381 Brazilian companies, as well as data pertaining to the “breadth” of CSR engagement of those same companies. Findings: The results of this study provide evidence that CSR-oriented actions undertaken by companies will lead to a better organizational image, and this, in turn, will lead to greater employee satisfaction. Practical implications: Because employee behaviour influences organizational outcomes and higher job satisfaction may lead to greater employee commitment to organizational goals and values, understanding the impact of CSR on employee satisfaction is relevant to corporate performance. Originality/value: The study contributes to the body of empirical research on CSR by investigating the underlying mechanisms linking CSR with employee behaviour. Scholars in the area of CSR regularly explore the outcomes and impacts of CSR actions on internal and external stakeholders. However, the impacts of CSR for a critical group of stakeholders – namely, employees – and its underlying mechanisms are understudied in the CSR literature.","author":[{"dropping-particle":"","family":"Barakat","given":"Simone R.","non-dropping-particle":"","parse-names":false,"suffix":""},{"dropping-particle":"","family":"Isabella","given":"Giuliana","non-dropping-particle":"","parse-names":false,"suffix":""},{"dropping-particle":"","family":"Boaventura","given":"João Maurício Gama","non-dropping-particle":"","parse-names":false,"suffix":""},{"dropping-particle":"","family":"Mazzon","given":"José Afonso","non-dropping-particle":"","parse-names":false,"suffix":""}],"container-title":"Management Decision","id":"ITEM-1","issue":"9","issued":{"date-parts":[["2016"]]},"page":"2325-2339","title":"The influence of corporate social responsibility on employee satisfaction","type":"article-journal","volume":"54"},"uris":["http://www.mendeley.com/documents/?uuid=be4cd7d1-8fa2-482c-a285-b7d1fefd6a68"]},{"id":"ITEM-2","itemData":{"DOI":"10.1108/IJM-08-2018-0281","ISSN":"01437720","abstract":"Purpose: In the face of a changing and turbulent environment, an organizational learning culture (OLC) is crucial for the long-term operation of an organization. A learning culture provides the capacity to effectively integrate employees, and it also provides structure so that an organization can move forward via continuous learning and change. Few empirical results are available from Chinese companies enduring an organizational change. To bridge this research gap, this study investigated the relationships among an OLC, job satisfaction, turnover intentions and job performance during organizational change. Design/methodology/approach: A quantitative approach with structural equation modeling (SEM) and bootstrapping estimation was used to test hypotheses developed from a sample of 434 employees in a restructured telecommunications company in Taiwan. Findings: Employees who experienced a higher learning culture had lower levels of turnover intentions and exhibited better job performance. Job satisfaction had a negative impact on employee turnover intentions but a positive impact on job performance. Moreover, job satisfaction fully mediated the relationships between an OLC and employee turnover intentions and job performance. When encountering organizational planned changes, a vibrant learning culture gave employees a higher level of satisfaction in their jobs and workplace. Although unexpected challenges often appeared during the organizational changes, employees with a higher level of job satisfaction tended to fulfill their own job duties and showed fewer turnover intentions. Originality/value: In investigating issues related to organizational change, this study provides managerial insights and addresses strategies for facilitating the adoption of an OLC into the design and implementation of a better workplace environment.","author":[{"dropping-particle":"","family":"Lin","given":"Chun Yu","non-dropping-particle":"","parse-names":false,"suffix":""},{"dropping-particle":"","family":"Huang","given":"Chung Kai","non-dropping-particle":"","parse-names":false,"suffix":""}],"container-title":"International Journal of Manpower","id":"ITEM-2","issue":"3","issued":{"date-parts":[["2021"]]},"page":"409-423","title":"Employee turnover intentions and job performance from a planned change: the effects of an organizational learning culture and job satisfaction","type":"article-journal","volume":"42"},"uris":["http://www.mendeley.com/documents/?uuid=c88f4e6b-99f6-4313-8d75-a353cce176dc"]}],"mendeley":{"formattedCitation":"(Barakat et al., 2016; Lin &amp; Huang, 2021)","plainTextFormattedCitation":"(Barakat et al., 2016; Lin &amp; Huang, 2021)","previouslyFormattedCitation":"(Barakat et al., 2016; Lin &amp; Huang, 2021)"},"properties":{"noteIndex":0},"schema":"https://github.com/citation-style-language/schema/raw/master/csl-citation.json"}</w:instrText>
      </w:r>
      <w:r w:rsidR="005553E3" w:rsidRPr="00044C05">
        <w:fldChar w:fldCharType="separate"/>
      </w:r>
      <w:r w:rsidR="0092021B" w:rsidRPr="00044C05">
        <w:rPr>
          <w:noProof/>
        </w:rPr>
        <w:t>(Barakat et al., 2016; Lin &amp; Huang, 2021)</w:t>
      </w:r>
      <w:r w:rsidR="005553E3" w:rsidRPr="00044C05">
        <w:fldChar w:fldCharType="end"/>
      </w:r>
      <w:r w:rsidR="005D5987" w:rsidRPr="00044C05">
        <w:t xml:space="preserve">. </w:t>
      </w:r>
      <w:r w:rsidRPr="00044C05">
        <w:t xml:space="preserve">For companies, a low turnover rate is advantageous </w:t>
      </w:r>
      <w:r w:rsidR="00044C05">
        <w:t>because</w:t>
      </w:r>
      <w:r w:rsidR="0019571F" w:rsidRPr="00044C05">
        <w:t xml:space="preserve"> high turnover rates are costly, both financially and in terms of the loss of knowledge and continuity </w:t>
      </w:r>
      <w:r w:rsidR="00A133F4" w:rsidRPr="00044C05">
        <w:fldChar w:fldCharType="begin" w:fldLock="1"/>
      </w:r>
      <w:r w:rsidR="000A6DB2" w:rsidRPr="00044C05">
        <w:instrText>ADDIN CSL_CITATION {"citationItems":[{"id":"ITEM-1","itemData":{"DOI":"https://doi.org/10.1108/978-1-78973-483-620201006","author":[{"dropping-particle":"","family":"Lim","given":"Paul","non-dropping-particle":"","parse-names":false,"suffix":""},{"dropping-particle":"","family":"Parker","given":"Andrew","non-dropping-particle":"","parse-names":false,"suffix":""}],"container-title":"Mentoring Millennials in an Asian Context","id":"ITEM-1","issued":{"date-parts":[["2020"]]},"page":"35-43","title":"Employee Turnover","type":"article-journal"},"uris":["http://www.mendeley.com/documents/?uuid=e2ce82bb-8e4a-4db9-98bc-0f1452ce3ae2"]}],"mendeley":{"formattedCitation":"(Lim &amp; Parker, 2020)","plainTextFormattedCitation":"(Lim &amp; Parker, 2020)","previouslyFormattedCitation":"(Lim &amp; Parker, 2020)"},"properties":{"noteIndex":0},"schema":"https://github.com/citation-style-language/schema/raw/master/csl-citation.json"}</w:instrText>
      </w:r>
      <w:r w:rsidR="00A133F4" w:rsidRPr="00044C05">
        <w:fldChar w:fldCharType="separate"/>
      </w:r>
      <w:r w:rsidR="00A133F4" w:rsidRPr="00044C05">
        <w:rPr>
          <w:noProof/>
        </w:rPr>
        <w:t>(Lim &amp; Parker, 2020)</w:t>
      </w:r>
      <w:r w:rsidR="00A133F4" w:rsidRPr="00044C05">
        <w:fldChar w:fldCharType="end"/>
      </w:r>
      <w:r w:rsidR="005D5987" w:rsidRPr="00044C05">
        <w:t xml:space="preserve">. </w:t>
      </w:r>
      <w:r w:rsidR="00044C05">
        <w:t xml:space="preserve">For </w:t>
      </w:r>
      <w:r w:rsidRPr="00044C05">
        <w:t>companies with significant customer interaction,</w:t>
      </w:r>
      <w:r w:rsidR="00044C05">
        <w:t xml:space="preserve"> </w:t>
      </w:r>
      <w:r w:rsidRPr="00044C05">
        <w:t>low turnover rates help</w:t>
      </w:r>
      <w:r w:rsidR="00044C05">
        <w:t xml:space="preserve"> </w:t>
      </w:r>
      <w:r w:rsidRPr="00044C05">
        <w:t>maintai</w:t>
      </w:r>
      <w:r w:rsidR="00044C05">
        <w:t>n</w:t>
      </w:r>
      <w:r w:rsidRPr="00044C05">
        <w:t xml:space="preserve"> consistent service quality </w:t>
      </w:r>
      <w:r w:rsidR="00044C05" w:rsidRPr="004A2A48">
        <w:fldChar w:fldCharType="begin" w:fldLock="1"/>
      </w:r>
      <w:r w:rsidR="00D23432">
        <w:instrText>ADDIN CSL_CITATION {"citationItems":[{"id":"ITEM-1","itemData":{"DOI":"10.1108/MD-05-2016-0308","ISSN":"00251747","abstract":"Purpose: The purpose of this paper is to examine the association between corporate social responsibility (CSR) and employee satisfaction. The study proposes and empirically tests two hypotheses: that CSR is positively associated with employee satisfaction, and that organizational image mediates the relationship between CSR and employee satisfaction. Design/methodology/approach: The hypotheses were tested through regression analyses, using data from 85,167 questionnaires completed by employees at 381 Brazilian companies, as well as data pertaining to the “breadth” of CSR engagement of those same companies. Findings: The results of this study provide evidence that CSR-oriented actions undertaken by companies will lead to a better organizational image, and this, in turn, will lead to greater employee satisfaction. Practical implications: Because employee behaviour influences organizational outcomes and higher job satisfaction may lead to greater employee commitment to organizational goals and values, understanding the impact of CSR on employee satisfaction is relevant to corporate performance. Originality/value: The study contributes to the body of empirical research on CSR by investigating the underlying mechanisms linking CSR with employee behaviour. Scholars in the area of CSR regularly explore the outcomes and impacts of CSR actions on internal and external stakeholders. However, the impacts of CSR for a critical group of stakeholders – namely, employees – and its underlying mechanisms are understudied in the CSR literature.","author":[{"dropping-particle":"","family":"Barakat","given":"Simone R.","non-dropping-particle":"","parse-names":false,"suffix":""},{"dropping-particle":"","family":"Isabella","given":"Giuliana","non-dropping-particle":"","parse-names":false,"suffix":""},{"dropping-particle":"","family":"Boaventura","given":"João Maurício Gama","non-dropping-particle":"","parse-names":false,"suffix":""},{"dropping-particle":"","family":"Mazzon","given":"José Afonso","non-dropping-particle":"","parse-names":false,"suffix":""}],"container-title":"Management Decision","id":"ITEM-1","issue":"9","issued":{"date-parts":[["2016"]]},"page":"2325-2339","title":"The influence of corporate social responsibility on employee satisfaction","type":"article-journal","volume":"54"},"uris":["http://www.mendeley.com/documents/?uuid=be4cd7d1-8fa2-482c-a285-b7d1fefd6a68"]},{"id":"ITEM-2","itemData":{"DOI":"https://doi.org/10.1108/978-1-78973-483-620201006","author":[{"dropping-particle":"","family":"Lim","given":"Paul","non-dropping-particle":"","parse-names":false,"suffix":""},{"dropping-particle":"","family":"Parker","given":"Andrew","non-dropping-particle":"","parse-names":false,"suffix":""}],"container-title":"Mentoring Millennials in an Asian Context","id":"ITEM-2","issued":{"date-parts":[["2020"]]},"page":"35-43","title":"Employee Turnover","type":"article-journal"},"uris":["http://www.mendeley.com/documents/?uuid=e2ce82bb-8e4a-4db9-98bc-0f1452ce3ae2"]},{"id":"ITEM-3","itemData":{"author":[{"dropping-particle":"","family":"Rogelberg","given":"Steven G.","non-dropping-particle":"","parse-names":false,"suffix":""},{"dropping-particle":"","family":"Allen","given":"Joseph A.","non-dropping-particle":"","parse-names":false,"suffix":""},{"dropping-particle":"","family":"Shanock","given":"Linda","non-dropping-particle":"","parse-names":false,"suffix":""},{"dropping-particle":"","family":"Scott","given":"Cliff","non-dropping-particle":"","parse-names":false,"suffix":""},{"dropping-particle":"","family":"Shuffler","given":"Marissa","non-dropping-particle":"","parse-names":false,"suffix":""}],"container-title":"Human Resource Management","id":"ITEM-3","issue":"2","issued":{"date-parts":[["2010"]]},"page":"149-172","title":"Employee satisfaction with meetings: A contemporary facet of job satisfaction","type":"article-journal","volume":"49"},"uris":["http://www.mendeley.com/documents/?uuid=0cf099e0-5cbd-4317-b135-a436b2d4cfc2"]},{"id":"ITEM-4","itemData":{"ISBN":"9781783215171","author":[{"dropping-particle":"","family":"Scherrenberg","given":"J.","non-dropping-particle":"","parse-names":false,"suffix":""},{"dropping-particle":"","family":"Wessels","given":"P.","non-dropping-particle":"","parse-names":false,"suffix":""},{"dropping-particle":"","family":"Nelisse","given":"P.","non-dropping-particle":"","parse-names":false,"suffix":""}],"editor":[{"dropping-particle":"","family":"Birch","given":"Sam","non-dropping-particle":"","parse-names":false,"suffix":""}],"id":"ITEM-4","issue":"January","issued":{"date-parts":[["2024"]]},"title":"The future of real estate valuations: the impact of ESG","type":"report"},"uris":["http://www.mendeley.com/documents/?uuid=2be7aa8f-c14b-4336-be1a-f6c029a1da42"]}],"mendeley":{"formattedCitation":"(Barakat et al., 2016; Lim &amp; Parker, 2020; Rogelberg et al., 2010; Scherrenberg et al., 2024)","plainTextFormattedCitation":"(Barakat et al., 2016; Lim &amp; Parker, 2020; Rogelberg et al., 2010; Scherrenberg et al., 2024)","previouslyFormattedCitation":"(Barakat et al., 2016; Lim &amp; Parker, 2020; Rogelberg et al., 2010; Scherrenberg et al., 2024)"},"properties":{"noteIndex":0},"schema":"https://github.com/citation-style-language/schema/raw/master/csl-citation.json"}</w:instrText>
      </w:r>
      <w:r w:rsidR="00044C05" w:rsidRPr="004A2A48">
        <w:fldChar w:fldCharType="separate"/>
      </w:r>
      <w:r w:rsidR="00044C05" w:rsidRPr="004A2A48">
        <w:rPr>
          <w:noProof/>
        </w:rPr>
        <w:t>(Barakat et al., 2016; Lim &amp; Parker, 2020; Rogelberg et al., 2010; Scherrenberg et al., 2024)</w:t>
      </w:r>
      <w:r w:rsidR="00044C05" w:rsidRPr="004A2A48">
        <w:fldChar w:fldCharType="end"/>
      </w:r>
      <w:r w:rsidRPr="00044C05">
        <w:t xml:space="preserve">. </w:t>
      </w:r>
      <w:r w:rsidR="00E85016" w:rsidRPr="00044C05">
        <w:t>The costs associated with recruiting and training</w:t>
      </w:r>
      <w:r w:rsidR="00E85016" w:rsidRPr="00B0319E">
        <w:t xml:space="preserve"> new employees, as well as the reduced productivity until the new employee is fully integrated, can add up to significant </w:t>
      </w:r>
      <w:r w:rsidR="00FD1B9B">
        <w:t>amounts</w:t>
      </w:r>
      <w:r w:rsidR="00E85016" w:rsidRPr="00B0319E">
        <w:t xml:space="preserve"> </w:t>
      </w:r>
      <w:r w:rsidR="000A6DB2" w:rsidRPr="00B0319E">
        <w:fldChar w:fldCharType="begin" w:fldLock="1"/>
      </w:r>
      <w:r w:rsidR="000A6DB2" w:rsidRPr="00B0319E">
        <w:instrText>ADDIN CSL_CITATION {"citationItems":[{"id":"ITEM-1","itemData":{"DOI":"https://doi.org/10.1108/978-1-78973-483-620201006","author":[{"dropping-particle":"","family":"Lim","given":"Paul","non-dropping-particle":"","parse-names":false,"suffix":""},{"dropping-particle":"","family":"Parker","given":"Andrew","non-dropping-particle":"","parse-names":false,"suffix":""}],"container-title":"Mentoring Millennials in an Asian Context","id":"ITEM-1","issued":{"date-parts":[["2020"]]},"page":"35-43","title":"Employee Turnover","type":"article-journal"},"uris":["http://www.mendeley.com/documents/?uuid=e2ce82bb-8e4a-4db9-98bc-0f1452ce3ae2"]}],"mendeley":{"formattedCitation":"(Lim &amp; Parker, 2020)","plainTextFormattedCitation":"(Lim &amp; Parker, 2020)","previouslyFormattedCitation":"(Lim &amp; Parker, 2020)"},"properties":{"noteIndex":0},"schema":"https://github.com/citation-style-language/schema/raw/master/csl-citation.json"}</w:instrText>
      </w:r>
      <w:r w:rsidR="000A6DB2" w:rsidRPr="00B0319E">
        <w:fldChar w:fldCharType="separate"/>
      </w:r>
      <w:r w:rsidR="000A6DB2" w:rsidRPr="00A55043">
        <w:rPr>
          <w:noProof/>
        </w:rPr>
        <w:t>(Lim &amp; Parker, 2020)</w:t>
      </w:r>
      <w:r w:rsidR="000A6DB2" w:rsidRPr="00B0319E">
        <w:fldChar w:fldCharType="end"/>
      </w:r>
      <w:r w:rsidR="005D5987" w:rsidRPr="00B0319E">
        <w:t>.</w:t>
      </w:r>
      <w:r w:rsidR="00F675C6" w:rsidRPr="00B0319E">
        <w:t xml:space="preserve"> For this reason, lower turnover rates are preferred.</w:t>
      </w:r>
      <w:r w:rsidR="005D5987" w:rsidRPr="00B0319E">
        <w:t xml:space="preserve"> </w:t>
      </w:r>
      <w:r w:rsidR="00882673" w:rsidRPr="00B0319E">
        <w:t>Moreover, a stable team leads to a more stable work environment</w:t>
      </w:r>
      <w:r w:rsidR="00FD1B9B">
        <w:t>, as c</w:t>
      </w:r>
      <w:r w:rsidR="00882673" w:rsidRPr="00B0319E">
        <w:t>onstant changes in the team can disrupt team dynamics and collaboration. Therefore, maintaining a satisfied and stable workforce can lead to improved team performance</w:t>
      </w:r>
      <w:r w:rsidR="005420AA" w:rsidRPr="00B0319E">
        <w:t>, lower employee</w:t>
      </w:r>
      <w:r w:rsidR="00EC5965" w:rsidRPr="00B0319E">
        <w:t xml:space="preserve"> turnover</w:t>
      </w:r>
      <w:r w:rsidR="00882673" w:rsidRPr="00B0319E">
        <w:t xml:space="preserve"> and ultimately, a more successful company </w:t>
      </w:r>
      <w:r w:rsidR="00997B93" w:rsidRPr="00B0319E">
        <w:fldChar w:fldCharType="begin" w:fldLock="1"/>
      </w:r>
      <w:r w:rsidR="00997B93" w:rsidRPr="00B0319E">
        <w:instrText>ADDIN CSL_CITATION {"citationItems":[{"id":"ITEM-1","itemData":{"DOI":"10.22161/ijebm.5.2.3","abstract":"Human Resource Management is getting more important in the business nowadays, because people and their knowledge are the most important aspects affecting the productivity of the company. One of the main aspects of Human Resource Management is the measurement of employee satisfaction. Companies have to make sure that employee satisfaction is high among the workers, which is a precondition for increasing productivity, responsiveness, quality, and recognitionservice. The aim of this thesis is to analyze the level of employee satisfaction and work motivation. It also deals with the effect the culture has on employee satisfaction. The theoretical framework of this thesis includes such concepts as, job satisfaction, motivation, and rewards differences. One of the biggest strength of the organization is the relationship and communication between the employees and the managers.","author":[{"dropping-particle":"","family":"Jamal Ali","given":"Bayad","non-dropping-particle":"","parse-names":false,"suffix":""},{"dropping-particle":"","family":"Anwar","given":"Govand","non-dropping-particle":"","parse-names":false,"suffix":""}],"container-title":"International Journal of Engineering, Business and Management","id":"ITEM-1","issue":"2","issued":{"date-parts":[["2021"]]},"page":"21-30","title":"An Empirical Study of Employees’ Motivation and its Influence Job Satisfaction","type":"article-journal","volume":"5"},"uris":["http://www.mendeley.com/documents/?uuid=a31e5f66-c2b3-4fdc-9e32-dc208990b8a5"]}],"mendeley":{"formattedCitation":"(Jamal Ali &amp; Anwar, 2021)","plainTextFormattedCitation":"(Jamal Ali &amp; Anwar, 2021)","previouslyFormattedCitation":"(Jamal Ali &amp; Anwar, 2021)"},"properties":{"noteIndex":0},"schema":"https://github.com/citation-style-language/schema/raw/master/csl-citation.json"}</w:instrText>
      </w:r>
      <w:r w:rsidR="00997B93" w:rsidRPr="00B0319E">
        <w:fldChar w:fldCharType="separate"/>
      </w:r>
      <w:r w:rsidR="00997B93" w:rsidRPr="00A55043">
        <w:rPr>
          <w:noProof/>
        </w:rPr>
        <w:t>(Jamal Ali &amp; Anwar, 2021)</w:t>
      </w:r>
      <w:r w:rsidR="00997B93" w:rsidRPr="00B0319E">
        <w:fldChar w:fldCharType="end"/>
      </w:r>
      <w:r w:rsidR="005D5987" w:rsidRPr="00B0319E">
        <w:t>.</w:t>
      </w:r>
    </w:p>
    <w:p w14:paraId="76A0AC15" w14:textId="0F04C880" w:rsidR="00540CA1" w:rsidRPr="00044C05" w:rsidRDefault="00E57C7A" w:rsidP="00044C05">
      <w:r w:rsidRPr="00B0319E">
        <w:t xml:space="preserve">Companies in the real estate industry, which are often public, can greatly benefit from employee satisfaction. Not only does it influence the general performance of a company, but it also has an impact on the dividends that a company passes on to its shareholders </w:t>
      </w:r>
      <w:r w:rsidR="00391736" w:rsidRPr="00B0319E">
        <w:fldChar w:fldCharType="begin" w:fldLock="1"/>
      </w:r>
      <w:r w:rsidR="001E379B" w:rsidRPr="00B0319E">
        <w:instrText>ADDIN CSL_CITATION {"citationItems":[{"id":"ITEM-1","itemData":{"DOI":"10.1016/j.jfineco.2011.03.021","ISSN":"0304405X","abstract":"This paper analyzes the relationship between employee satisfaction and long-run stock returns. A value-weighted portfolio of the \"100 Best Companies to Work For in America\" earned an annual four-factor alpha of 3.5% from 1984 to 2009, and 2.1% above industry benchmarks. The results are robust to controls for firm characteristics, different weighting methodologies, and the removal of outliers. The Best Companies also exhibited significantly more positive earnings surprises and announcement returns. These findings have three main implications. First, consistent with human capital-centered theories of the firm, employee satisfaction is positively correlated with shareholder returns and need not represent managerial slack. Second, the stock market does not fully value intangibles, even when independently verified by a highly public survey on large firms. Third, certain socially responsible investing (SRI) screens may improve investment returns. © 2011 Elsevier B.V.","author":[{"dropping-particle":"","family":"Edmans","given":"Alex","non-dropping-particle":"","parse-names":false,"suffix":""}],"container-title":"Journal of Financial Economics","id":"ITEM-1","issue":"3","issued":{"date-parts":[["2011"]]},"page":"621-640","publisher":"Elsevier","title":"Does the stock market fully value intangibles? Employee satisfaction and equity prices","type":"article-journal","volume":"101"},"uris":["http://www.mendeley.com/documents/?uuid=a0ab5230-7f96-4b6e-8428-05c807562982"]},{"id":"ITEM-2","itemData":{"DOI":"10.1007/s10551-010-0705-9","ISSN":"01674544","abstract":"As corporate managers interact with nonshareholder stakeholders, potential tradeoffs emerge and questions arise as to how these interactions impact shareholder value. We argue that this shareholder-stakeholder debate is an important issue within the overall corporate governance and corporate policy domain and examine one such stakeholder group - employees - by studying labor-friendly corporate practices. We find that announcements of labor-friendly policies are associated with positive abnormal stock returns. Labor-friendly firms also outperform otherwise similar firms, both in terms of long-run stock market returns and operating results. In addition, we find that the probability and benefits of labor-friendliness increase with the demand for highly skilled labor. Our analysis of excess executive compensation suggests that top management derives no pecuniary benefits from labor-friendly practices. We interpret our results as consistent with a genuine concern for employees translating into higher productivity and profitability, which in turn facilitate value creation. It appears that the benefits of labor-friendly practices significantly outweigh the costs and that what is good for employees is good for shareholders. © Springer 2010.","author":[{"dropping-particle":"","family":"Faleye","given":"Olubunmi","non-dropping-particle":"","parse-names":false,"suffix":""},{"dropping-particle":"","family":"Trahan","given":"Emery A.","non-dropping-particle":"","parse-names":false,"suffix":""}],"container-title":"Journal of Business Ethics","id":"ITEM-2","issue":"1","issued":{"date-parts":[["2011"]]},"page":"1-27","title":"Labor-Friendly Corporate Practices: Is What is Good for Employees Good for Shareholders?","type":"article-journal","volume":"101"},"uris":["http://www.mendeley.com/documents/?uuid=6830b34e-ad3e-44c6-b749-a057841a242b"]}],"mendeley":{"formattedCitation":"(Edmans, 2011; Faleye &amp; Trahan, 2011)","plainTextFormattedCitation":"(Edmans, 2011; Faleye &amp; Trahan, 2011)","previouslyFormattedCitation":"(Edmans, 2011; Faleye &amp; Trahan, 2011)"},"properties":{"noteIndex":0},"schema":"https://github.com/citation-style-language/schema/raw/master/csl-citation.json"}</w:instrText>
      </w:r>
      <w:r w:rsidR="00391736" w:rsidRPr="00B0319E">
        <w:fldChar w:fldCharType="separate"/>
      </w:r>
      <w:r w:rsidR="00391736" w:rsidRPr="00A55043">
        <w:rPr>
          <w:noProof/>
        </w:rPr>
        <w:t>(Edmans, 2011; Faleye &amp; Trahan, 2011)</w:t>
      </w:r>
      <w:r w:rsidR="00391736" w:rsidRPr="00B0319E">
        <w:fldChar w:fldCharType="end"/>
      </w:r>
      <w:r w:rsidR="005D5987" w:rsidRPr="00B0319E">
        <w:t xml:space="preserve">. The relationship between employee satisfaction and company performance is therefore </w:t>
      </w:r>
      <w:r w:rsidR="00750715" w:rsidRPr="00B0319E">
        <w:t>of great interest to</w:t>
      </w:r>
      <w:r w:rsidR="005D5987" w:rsidRPr="00B0319E">
        <w:t xml:space="preserve"> shareholders and should be examined in more detail</w:t>
      </w:r>
      <w:r w:rsidR="00750715" w:rsidRPr="00B0319E">
        <w:t>.</w:t>
      </w:r>
      <w:r w:rsidR="00822E75" w:rsidRPr="00B0319E">
        <w:t xml:space="preserve"> </w:t>
      </w:r>
      <w:r w:rsidR="00071A50" w:rsidRPr="00B0319E">
        <w:t xml:space="preserve">A company that demonstrates good financial performance, thanks in part to its satisfied </w:t>
      </w:r>
      <w:r w:rsidR="00071A50" w:rsidRPr="00B0319E">
        <w:lastRenderedPageBreak/>
        <w:t xml:space="preserve">employees, may be more inclined to distribute profits to investors in the form of dividends </w:t>
      </w:r>
      <w:r w:rsidR="00645494" w:rsidRPr="00B0319E">
        <w:fldChar w:fldCharType="begin" w:fldLock="1"/>
      </w:r>
      <w:r w:rsidR="00775BA0" w:rsidRPr="00B0319E">
        <w:instrText>ADDIN CSL_CITATION {"citationItems":[{"id":"ITEM-1","itemData":{"DOI":"10.1016/j.jfineco.2011.03.021","ISSN":"0304405X","abstract":"This paper analyzes the relationship between employee satisfaction and long-run stock returns. A value-weighted portfolio of the \"100 Best Companies to Work For in America\" earned an annual four-factor alpha of 3.5% from 1984 to 2009, and 2.1% above industry benchmarks. The results are robust to controls for firm characteristics, different weighting methodologies, and the removal of outliers. The Best Companies also exhibited significantly more positive earnings surprises and announcement returns. These findings have three main implications. First, consistent with human capital-centered theories of the firm, employee satisfaction is positively correlated with shareholder returns and need not represent managerial slack. Second, the stock market does not fully value intangibles, even when independently verified by a highly public survey on large firms. Third, certain socially responsible investing (SRI) screens may improve investment returns. © 2011 Elsevier B.V.","author":[{"dropping-particle":"","family":"Edmans","given":"Alex","non-dropping-particle":"","parse-names":false,"suffix":""}],"container-title":"Journal of Financial Economics","id":"ITEM-1","issue":"3","issued":{"date-parts":[["2011"]]},"page":"621-640","publisher":"Elsevier","title":"Does the stock market fully value intangibles? Employee satisfaction and equity prices","type":"article-journal","volume":"101"},"uris":["http://www.mendeley.com/documents/?uuid=a0ab5230-7f96-4b6e-8428-05c807562982"]},{"id":"ITEM-2","itemData":{"DOI":"10.1007/s10551-010-0705-9","ISSN":"01674544","abstract":"As corporate managers interact with nonshareholder stakeholders, potential tradeoffs emerge and questions arise as to how these interactions impact shareholder value. We argue that this shareholder-stakeholder debate is an important issue within the overall corporate governance and corporate policy domain and examine one such stakeholder group - employees - by studying labor-friendly corporate practices. We find that announcements of labor-friendly policies are associated with positive abnormal stock returns. Labor-friendly firms also outperform otherwise similar firms, both in terms of long-run stock market returns and operating results. In addition, we find that the probability and benefits of labor-friendliness increase with the demand for highly skilled labor. Our analysis of excess executive compensation suggests that top management derives no pecuniary benefits from labor-friendly practices. We interpret our results as consistent with a genuine concern for employees translating into higher productivity and profitability, which in turn facilitate value creation. It appears that the benefits of labor-friendly practices significantly outweigh the costs and that what is good for employees is good for shareholders. © Springer 2010.","author":[{"dropping-particle":"","family":"Faleye","given":"Olubunmi","non-dropping-particle":"","parse-names":false,"suffix":""},{"dropping-particle":"","family":"Trahan","given":"Emery A.","non-dropping-particle":"","parse-names":false,"suffix":""}],"container-title":"Journal of Business Ethics","id":"ITEM-2","issue":"1","issued":{"date-parts":[["2011"]]},"page":"1-27","title":"Labor-Friendly Corporate Practices: Is What is Good for Employees Good for Shareholders?","type":"article-journal","volume":"101"},"uris":["http://www.mendeley.com/documents/?uuid=6830b34e-ad3e-44c6-b749-a057841a242b"]},{"id":"ITEM-3","itemData":{"DOI":"10.1007/s11146-024-09979-y","ISBN":"0123456789","ISSN":"1573045X","abstract":"This article investigates the impacts of environmental, social, and governance (ESG) performance on a firm’s valuation, cash flow, and risk. Using newly available GRESB ESG performance data from 2019 to 2021 for global equity real estate investment trusts (REITs), we document that REITs with higher ESG performance scores have lower firm value and lower operating cash flow. Moreover, we show that strong ESG performing REITs exhibit higher firm risk. These results suggest that REIT management may overinvest in ESG activities at the expense of shareholder value. We are the first to our knowledge to provide evidence of overinvestment in ESG for REITs.","author":[{"dropping-particle":"","family":"Chacon","given":"Ryan G.","non-dropping-particle":"","parse-names":false,"suffix":""},{"dropping-particle":"","family":"Feng","given":"Zifeng","non-dropping-particle":"","parse-names":false,"suffix":""},{"dropping-particle":"","family":"Wu","given":"Zhonghua","non-dropping-particle":"","parse-names":false,"suffix":""}],"container-title":"Journal of Real Estate Finance and Economics","id":"ITEM-3","issue":"January","issued":{"date-parts":[["2024"]]},"publisher":"Springer US","title":"Does Investing in ESG Pay Off? Evidence from REITs","type":"article-journal"},"uris":["http://www.mendeley.com/documents/?uuid=19380253-0ec0-403f-bfc2-7f26720c45d6"]}],"mendeley":{"formattedCitation":"(Chacon et al., 2024; Edmans, 2011; Faleye &amp; Trahan, 2011)","plainTextFormattedCitation":"(Chacon et al., 2024; Edmans, 2011; Faleye &amp; Trahan, 2011)","previouslyFormattedCitation":"(Chacon et al., 2024; Edmans, 2011; Faleye &amp; Trahan, 2011)"},"properties":{"noteIndex":0},"schema":"https://github.com/citation-style-language/schema/raw/master/csl-citation.json"}</w:instrText>
      </w:r>
      <w:r w:rsidR="00645494" w:rsidRPr="00B0319E">
        <w:fldChar w:fldCharType="separate"/>
      </w:r>
      <w:r w:rsidR="006D668A" w:rsidRPr="00A55043">
        <w:rPr>
          <w:noProof/>
        </w:rPr>
        <w:t>(Chacon et al., 2024; Edmans, 2011; Faleye &amp; Trahan, 2011)</w:t>
      </w:r>
      <w:r w:rsidR="00645494" w:rsidRPr="00B0319E">
        <w:fldChar w:fldCharType="end"/>
      </w:r>
      <w:r w:rsidR="003A393E" w:rsidRPr="00B0319E">
        <w:t>. Regular dividends are attractive for investors and can result in the company receiving new financial resources to pursue its operational business.</w:t>
      </w:r>
      <w:r w:rsidR="00E80B89" w:rsidRPr="00B0319E">
        <w:t xml:space="preserve"> </w:t>
      </w:r>
      <w:r w:rsidR="001D07EE" w:rsidRPr="00B0319E">
        <w:t xml:space="preserve">It is worth examining the connection between dividend distribution and employee satisfaction, especially when many companies in an industry have a strong connection to shareholders. </w:t>
      </w:r>
    </w:p>
    <w:p w14:paraId="75CA9BD1" w14:textId="306670A5" w:rsidR="00E80B89" w:rsidRPr="00B0319E" w:rsidRDefault="00E80B89" w:rsidP="00E80B89">
      <w:r w:rsidRPr="00B0319E">
        <w:t xml:space="preserve">Employee satisfaction is not a trend but a fundamental pillar of organizational success. By </w:t>
      </w:r>
      <w:r w:rsidR="00333AE1" w:rsidRPr="00B0319E">
        <w:t>fostering</w:t>
      </w:r>
      <w:r w:rsidRPr="00B0319E">
        <w:t xml:space="preserve"> a supportive work environment, recognizing employee contributions, and prioritizing their well-being, organizations can create a loyal, motivated </w:t>
      </w:r>
      <w:r w:rsidR="00333AE1" w:rsidRPr="00B0319E">
        <w:t>workforce</w:t>
      </w:r>
      <w:r w:rsidRPr="00B0319E">
        <w:t xml:space="preserve"> that drives innovation and achieves remarkable results. In </w:t>
      </w:r>
      <w:r w:rsidR="00540CA1" w:rsidRPr="004A2A48">
        <w:t>the current</w:t>
      </w:r>
      <w:r w:rsidRPr="00B0319E">
        <w:t xml:space="preserve"> competitive </w:t>
      </w:r>
      <w:r w:rsidR="00540CA1" w:rsidRPr="004A2A48">
        <w:t>landscape</w:t>
      </w:r>
      <w:r w:rsidRPr="00B0319E">
        <w:t xml:space="preserve">, </w:t>
      </w:r>
      <w:r w:rsidR="00540CA1" w:rsidRPr="004A2A48">
        <w:t>prioritizing</w:t>
      </w:r>
      <w:r w:rsidRPr="00B0319E">
        <w:t xml:space="preserve"> employee satisfaction </w:t>
      </w:r>
      <w:r w:rsidR="00540CA1" w:rsidRPr="004A2A48">
        <w:t>is crucial for</w:t>
      </w:r>
      <w:r w:rsidRPr="00B0319E">
        <w:t xml:space="preserve"> achiev</w:t>
      </w:r>
      <w:r w:rsidR="00540CA1" w:rsidRPr="004A2A48">
        <w:t>ing</w:t>
      </w:r>
      <w:r w:rsidRPr="00B0319E">
        <w:t xml:space="preserve"> sustainable performance.</w:t>
      </w:r>
    </w:p>
    <w:p w14:paraId="18A47FA3" w14:textId="0422BF68" w:rsidR="005D5987" w:rsidRPr="00B0319E" w:rsidRDefault="00992FE3" w:rsidP="005D5987">
      <w:r w:rsidRPr="00B0319E">
        <w:t xml:space="preserve">In the next section, conclusions will be drawn </w:t>
      </w:r>
      <w:r w:rsidR="00E80B89" w:rsidRPr="00B0319E">
        <w:t xml:space="preserve">based on these observations. These conclusions will then be tested in Chapter 3, providing further insights into </w:t>
      </w:r>
      <w:r w:rsidR="004A72AE" w:rsidRPr="00B0319E">
        <w:t>these important relationships</w:t>
      </w:r>
      <w:r w:rsidR="00E80B89" w:rsidRPr="00B0319E">
        <w:t>.</w:t>
      </w:r>
    </w:p>
    <w:p w14:paraId="51A456D6" w14:textId="77777777" w:rsidR="00423509" w:rsidRPr="004A2A48" w:rsidRDefault="00423509">
      <w:pPr>
        <w:spacing w:line="240" w:lineRule="auto"/>
        <w:ind w:firstLine="0"/>
        <w:jc w:val="left"/>
        <w:rPr>
          <w:rFonts w:eastAsia="Times New Roman"/>
          <w:b/>
          <w:bCs/>
          <w:color w:val="000000"/>
          <w:szCs w:val="26"/>
        </w:rPr>
      </w:pPr>
      <w:r w:rsidRPr="00B0319E">
        <w:br w:type="page"/>
      </w:r>
    </w:p>
    <w:p w14:paraId="389B666B" w14:textId="2D8E92D9" w:rsidR="00F42C4B" w:rsidRPr="004A2A48" w:rsidRDefault="00F42C4B" w:rsidP="00F42C4B">
      <w:pPr>
        <w:pStyle w:val="Kop2"/>
        <w:rPr>
          <w:lang w:val="en-GB"/>
        </w:rPr>
      </w:pPr>
      <w:bookmarkStart w:id="5" w:name="_Toc174210211"/>
      <w:r w:rsidRPr="004A2A48">
        <w:rPr>
          <w:lang w:val="en-GB"/>
        </w:rPr>
        <w:lastRenderedPageBreak/>
        <w:t>Proposition</w:t>
      </w:r>
      <w:bookmarkEnd w:id="5"/>
    </w:p>
    <w:p w14:paraId="3CB4E193" w14:textId="77777777" w:rsidR="00F42C4B" w:rsidRPr="00B0319E" w:rsidRDefault="00F42C4B" w:rsidP="00F42C4B">
      <w:pPr>
        <w:ind w:firstLine="204"/>
      </w:pPr>
      <w:r w:rsidRPr="00B0319E">
        <w:t xml:space="preserve">In the previous chapters, much has been mentioned about the various components that can contribute to employee satisfaction. Based on the literature on the topic of employee satisfaction, four hypotheses are presented below. </w:t>
      </w:r>
    </w:p>
    <w:p w14:paraId="61691E27" w14:textId="5F993EC8" w:rsidR="00CF4CF1" w:rsidRPr="00B0319E" w:rsidRDefault="00F42C4B" w:rsidP="00152BF5">
      <w:pPr>
        <w:ind w:firstLine="204"/>
      </w:pPr>
      <w:r w:rsidRPr="00B0319E">
        <w:tab/>
      </w:r>
      <w:r w:rsidR="00CF4CF1" w:rsidRPr="00B0319E">
        <w:t xml:space="preserve">Both Return on Assets (ROA) and Return on Equity (ROE) are considered in this study to achieve a holistic picture of a company’s performance </w:t>
      </w:r>
      <w:r w:rsidR="00CF4CF1" w:rsidRPr="00B0319E">
        <w:fldChar w:fldCharType="begin" w:fldLock="1"/>
      </w:r>
      <w:r w:rsidR="00CF4CF1" w:rsidRPr="00B0319E">
        <w:instrText>ADDIN CSL_CITATION {"citationItems":[{"id":"ITEM-1","itemData":{"author":[{"dropping-particle":"","family":"Beracha","given":"Eli","non-dropping-particle":"","parse-names":false,"suffix":""},{"dropping-particle":"","family":"Feng","given":"Zifeng","non-dropping-particle":"","parse-names":false,"suffix":""},{"dropping-particle":"","family":"Hardin","given":"William G.","non-dropping-particle":"","parse-names":false,"suffix":""}],"container-title":"J Real Estate Finan Econ","id":"ITEM-1","issued":{"date-parts":[["2019"]]},"page":"408-437","title":"REIT Operational Efficiency: Performance, Risk, and Return","type":"article-journal","volume":"58"},"uris":["http://www.mendeley.com/documents/?uuid=c52a905f-85b6-4e4a-b872-9cfcec1d8e2b"]},{"id":"ITEM-2","itemData":{"DOI":"10.1108/JPIF-08-2016-0067","ISSN":"1463578X","abstract":"Purpose: The purpose of this paper is to examine the impact of free cash flow (FCF) on the agency costs and how these FCF and agency costs affect the performance of REITs in Asia. Unlike previous studies that focus on conventional public listed companies and non-regulated industry, the Asian REIT industry being a highly regulated industry provides a new context for further research. Design/methodology/approach: The samples for this study comprise REIT data from four major Asian REIT countries, namely, Japan, Singapore, Hong Kong and Malaysia. These countries are the leaders in Asian REITs which account for 94 percent of the total market capitalization of REITs in Asia. The study period is from 2002 to 2012 using panel data. This study employs GMM method which is more robust compared to previous studies that used pooled ordinary least squares (OLS) and other panel data methods. Findings: The results indicate that FCF and agency costs persist over time in Asian REITs even though REITs are in a highly regulated industry. The findings also imply that REIT managers face substantial costs when they wish to adjust to the equilibrium level of agency costs, whereby the optimum level is always dynamic and not constant over time and moves with the changes in the determinants of agency costs. These agency costs persist over time and have significant impacts on the performance of REITs in Asia. Research limitations/implications: There are limited data in selling, general and administrative expenses in Asian REITs which render only limited use of selling, general and administrative expenses ratio in this empirical study on Asian REITs. For future research, researchers can embark on research studies on issues that might determine the speed of adjustment toward the equilibrium level of agency costs in Asian REITs. Practical implications: For REIT regulators in Asia, this empirical study helps to provide useful information for policy planning and formulation in REIT corporate governance; and to transform the inherent satellite structure of the externally managed REIT structure into internally managed REIT structure. For REIT managers and practitioners, this empirical study serves as a reflection for them which helps them to be more aware of the dynamism of FCF and agency costs in REITs; and alert them that these FCF and agency costs persist over time which can have significant impacts on the REIT performance, return on assets and return on equity, REIT value and REIT re…","author":[{"dropping-particle":"","family":"Chong","given":"Wei Lan","non-dropping-particle":"","parse-names":false,"suffix":""},{"dropping-particle":"","family":"Ting","given":"Kien Hwa","non-dropping-particle":"","parse-names":false,"suffix":""},{"dropping-particle":"","family":"Cheng","given":"Fan Fah","non-dropping-particle":"","parse-names":false,"suffix":""}],"container-title":"Journal of Property Investment and Finance","id":"ITEM-2","issue":"2","issued":{"date-parts":[["2017"]]},"page":"200-227","title":"The performance of externally managed REITs in Asia: Further evidence from free cash flow and agency costs","type":"article-journal","volume":"35"},"uris":["http://www.mendeley.com/documents/?uuid=44bc7a90-f742-4f1d-8163-b5373848b1d6"]},{"id":"ITEM-3","itemData":{"DOI":"10.1111/jasp.12695","abstract":"Contemporary trends in business have focused on enhancing the employee work experience. Proponents argue that doing so will improve employees’ productivity and ultimately the firm's performance. However, critics argue that job satisfaction has only a modest relationship with an employee's job performance, and therefore, such an investment will likely have little impact on the firm's financial performance. To investigate the relationship between employees’ job satisfaction and firm performance, we collected a sample of 404 employees working in 31 firms. We tested this relationship using latent growth modeling which allows us to latently examine how employees’ job satisfaction at one time point can predict the trajectory of firm performance. Study results indicated that job satisfaction predicted a positive linear change in two financial indices of firm performance (i.e., return on assets and return on equity) over the course of four years when controlling for three indicators of firm size. These results suggest that the effects of job satisfaction on firm performance are not immediate but rather take time to manifest.","author":[{"dropping-particle":"","family":"Kessler","given":"Stacey R.","non-dropping-particle":"","parse-names":false,"suffix":""},{"dropping-particle":"","family":"Lucianetti","given":"Lorenzo","non-dropping-particle":"","parse-names":false,"suffix":""},{"dropping-particle":"","family":"Pindek","given":"Shani","non-dropping-particle":"","parse-names":false,"suffix":""},{"dropping-particle":"","family":"Zhu","given":"Zhu","non-dropping-particle":"","parse-names":false,"suffix":""},{"dropping-particle":"","family":"Spector","given":"Paul E.","non-dropping-particle":"","parse-names":false,"suffix":""}],"container-title":"Journal of Applied Social Psychology","id":"ITEM-3","issue":"10","issued":{"date-parts":[["2020"]]},"page":"563-572","title":"Job satisfaction and firm performance: Can employees’ job satisfaction change the trajectory of a firm’s performance?","type":"article-journal","volume":"50"},"uris":["http://www.mendeley.com/documents/?uuid=d4d8c121-f755-40ae-9ff4-3c40febf3bc8"]}],"mendeley":{"formattedCitation":"(Beracha et al., 2019; Chong et al., 2017; Kessler et al., 2020)","plainTextFormattedCitation":"(Beracha et al., 2019; Chong et al., 2017; Kessler et al., 2020)","previouslyFormattedCitation":"(Beracha et al., 2019; Chong et al., 2017; Kessler et al., 2020)"},"properties":{"noteIndex":0},"schema":"https://github.com/citation-style-language/schema/raw/master/csl-citation.json"}</w:instrText>
      </w:r>
      <w:r w:rsidR="00CF4CF1" w:rsidRPr="00B0319E">
        <w:fldChar w:fldCharType="separate"/>
      </w:r>
      <w:r w:rsidR="00CF4CF1" w:rsidRPr="00A55043">
        <w:rPr>
          <w:noProof/>
        </w:rPr>
        <w:t>(Beracha et al., 2019; Chong et al., 2017; Kessler et al., 2020)</w:t>
      </w:r>
      <w:r w:rsidR="00CF4CF1" w:rsidRPr="00B0319E">
        <w:fldChar w:fldCharType="end"/>
      </w:r>
      <w:r w:rsidR="00CF4CF1" w:rsidRPr="00B0319E">
        <w:t xml:space="preserve">. ROA, which looks at the returns generated by a company’s own assets, is particularly relevant for real estate companies. These companies often have many assets as their core business is to generate income from real estate, making it an asset-intensive industry </w:t>
      </w:r>
      <w:r w:rsidR="00CF4CF1" w:rsidRPr="00B0319E">
        <w:fldChar w:fldCharType="begin" w:fldLock="1"/>
      </w:r>
      <w:r w:rsidR="00CF4CF1" w:rsidRPr="00B0319E">
        <w:instrText>ADDIN CSL_CITATION {"citationItems":[{"id":"ITEM-1","itemData":{"DOI":"10.1080/10835547.2021.1967689","ISSN":"1083-5547","abstract":"… news on REIT market returns. While findings in the general stock market show a greater market reaction to negative news, we find that the REIT market reacts predominantly to positive …","author":[{"dropping-particle":"","family":"Birz","given":"Gene","non-dropping-particle":"","parse-names":false,"suffix":""},{"dropping-particle":"","family":"Devos","given":"Erik","non-dropping-particle":"","parse-names":false,"suffix":""},{"dropping-particle":"","family":"Dutta","given":"Sandip","non-dropping-particle":"","parse-names":false,"suffix":""},{"dropping-particle":"","family":"Tsang","given":"Desmond","non-dropping-particle":"","parse-names":false,"suffix":""}],"container-title":"Journal of Real Estate Portfolio Management","id":"ITEM-1","issue":"1","issued":{"date-parts":[["2021"]]},"page":"43-62","title":"Is Good News Good and Bad News Bad in the REIT Market?","type":"article-journal","volume":"27"},"uris":["http://www.mendeley.com/documents/?uuid=eb70ee02-d485-4302-8901-7e10fe0cb3f3"]}],"mendeley":{"formattedCitation":"(Birz et al., 2021)","plainTextFormattedCitation":"(Birz et al., 2021)","previouslyFormattedCitation":"(Birz et al., 2021)"},"properties":{"noteIndex":0},"schema":"https://github.com/citation-style-language/schema/raw/master/csl-citation.json"}</w:instrText>
      </w:r>
      <w:r w:rsidR="00CF4CF1" w:rsidRPr="00B0319E">
        <w:fldChar w:fldCharType="separate"/>
      </w:r>
      <w:r w:rsidR="00CF4CF1" w:rsidRPr="00A55043">
        <w:rPr>
          <w:noProof/>
        </w:rPr>
        <w:t>(Birz et al., 2021)</w:t>
      </w:r>
      <w:r w:rsidR="00CF4CF1" w:rsidRPr="00B0319E">
        <w:fldChar w:fldCharType="end"/>
      </w:r>
      <w:r w:rsidR="00CF4CF1" w:rsidRPr="00B0319E">
        <w:t xml:space="preserve">. </w:t>
      </w:r>
      <w:r w:rsidR="00BE6F91" w:rsidRPr="00B0319E">
        <w:t>Conversely</w:t>
      </w:r>
      <w:r w:rsidR="00CF4CF1" w:rsidRPr="00B0319E">
        <w:t xml:space="preserve">, ROE looks at the income generated through shareholder equity. </w:t>
      </w:r>
      <w:r w:rsidR="00287F97">
        <w:t>E</w:t>
      </w:r>
      <w:r w:rsidR="00CF4CF1" w:rsidRPr="00B0319E">
        <w:t xml:space="preserve">qually important </w:t>
      </w:r>
      <w:r w:rsidR="00287F97">
        <w:t>is the fact that</w:t>
      </w:r>
      <w:r w:rsidR="00CF4CF1" w:rsidRPr="00B0319E">
        <w:t xml:space="preserve"> companies in the real estate sector are usually publicly traded. ROA and ROE measure the performance of the company based on two completely different values. ROA reflects operational performance, while ROE indicates how profitably the invested capital is used. Given that the second hypothesis of this study addresses a variable related to ROE, it is interesting to examine how these metrics interact with employee satisfaction.</w:t>
      </w:r>
    </w:p>
    <w:p w14:paraId="26F08289" w14:textId="67C2BD8A" w:rsidR="00152BF5" w:rsidRPr="00B0319E" w:rsidRDefault="00152BF5" w:rsidP="00152BF5">
      <w:pPr>
        <w:ind w:firstLine="204"/>
      </w:pPr>
      <w:r w:rsidRPr="00B0319E">
        <w:t>This study hypothesizes that there is a positive relationship between employee satisfaction and Return on Assets (ROA)</w:t>
      </w:r>
      <w:r w:rsidR="0011018F" w:rsidRPr="00B0319E">
        <w:t>, a key financial metric that measures the profitability of a company relative to its total assets</w:t>
      </w:r>
      <w:r w:rsidRPr="00B0319E">
        <w:t xml:space="preserve">. Specifically, it is expected that higher levels of employee satisfaction will lead to an improvement in a company's </w:t>
      </w:r>
      <w:r w:rsidR="00701C9D" w:rsidRPr="00B0319E">
        <w:t>ROA</w:t>
      </w:r>
      <w:r w:rsidRPr="00B0319E">
        <w:t xml:space="preserve">. </w:t>
      </w:r>
      <w:r w:rsidR="005340F8" w:rsidRPr="00B0319E">
        <w:t xml:space="preserve">The reasoning behind this is that satisfied employees are more productive and manage assets (real estate property) more effectively, which can enhance the company’s ROA </w:t>
      </w:r>
      <w:r w:rsidR="005340F8" w:rsidRPr="00B0319E">
        <w:fldChar w:fldCharType="begin" w:fldLock="1"/>
      </w:r>
      <w:r w:rsidR="005340F8" w:rsidRPr="00B0319E">
        <w:instrText>ADDIN CSL_CITATION {"citationItems":[{"id":"ITEM-1","itemData":{"DOI":"10.1108/MD-05-2016-0308","ISSN":"00251747","abstract":"Purpose: The purpose of this paper is to examine the association between corporate social responsibility (CSR) and employee satisfaction. The study proposes and empirically tests two hypotheses: that CSR is positively associated with employee satisfaction, and that organizational image mediates the relationship between CSR and employee satisfaction. Design/methodology/approach: The hypotheses were tested through regression analyses, using data from 85,167 questionnaires completed by employees at 381 Brazilian companies, as well as data pertaining to the “breadth” of CSR engagement of those same companies. Findings: The results of this study provide evidence that CSR-oriented actions undertaken by companies will lead to a better organizational image, and this, in turn, will lead to greater employee satisfaction. Practical implications: Because employee behaviour influences organizational outcomes and higher job satisfaction may lead to greater employee commitment to organizational goals and values, understanding the impact of CSR on employee satisfaction is relevant to corporate performance. Originality/value: The study contributes to the body of empirical research on CSR by investigating the underlying mechanisms linking CSR with employee behaviour. Scholars in the area of CSR regularly explore the outcomes and impacts of CSR actions on internal and external stakeholders. However, the impacts of CSR for a critical group of stakeholders – namely, employees – and its underlying mechanisms are understudied in the CSR literature.","author":[{"dropping-particle":"","family":"Barakat","given":"Simone R.","non-dropping-particle":"","parse-names":false,"suffix":""},{"dropping-particle":"","family":"Isabella","given":"Giuliana","non-dropping-particle":"","parse-names":false,"suffix":""},{"dropping-particle":"","family":"Boaventura","given":"João Maurício Gama","non-dropping-particle":"","parse-names":false,"suffix":""},{"dropping-particle":"","family":"Mazzon","given":"José Afonso","non-dropping-particle":"","parse-names":false,"suffix":""}],"container-title":"Management Decision","id":"ITEM-1","issue":"9","issued":{"date-parts":[["2016"]]},"page":"2325-2339","title":"The influence of corporate social responsibility on employee satisfaction","type":"article-journal","volume":"54"},"uris":["http://www.mendeley.com/documents/?uuid=be4cd7d1-8fa2-482c-a285-b7d1fefd6a68"]},{"id":"ITEM-2","itemData":{"DOI":"10.12712/rpca.v16i3.52420","ISBN":"0000000299","abstract":"We investigated happiness at work reflected in the indexes presented by the 100 best companies to work for in the United States, as well as its impact on Return on Assets (ROA). Indicators used by Glassdoor were collected, as well as financial data from the Eikon. We performed a confirmatory factor analysis (CFA) to obtain the Happiness at Work General Index. The results were applied to regression to understand the relationship between the index and the ROA. Happiness at Work General Index and ROA are positively related, providing evidence that happiness at work positively impacts the operational performance of companies.","author":[{"dropping-particle":"de","family":"Souza","given":"Juliana Nascimento","non-dropping-particle":"","parse-names":false,"suffix":""},{"dropping-particle":"","family":"Fogaça","given":"Natasha","non-dropping-particle":"","parse-names":false,"suffix":""},{"dropping-particle":"","family":"Souza","given":"João Gabriel de Moraes","non-dropping-particle":"","parse-names":false,"suffix":""},{"dropping-particle":"","family":"Albuquerque","given":"Pedro Henrique Melo","non-dropping-particle":"","parse-names":false,"suffix":""}],"container-title":"Revista Pensamento Contemporâneo em Administração","id":"ITEM-2","issue":"3","issued":{"date-parts":[["2022"]]},"page":"40-54","title":"Happiness and Wealth: Satisfaction, well-being, and ROA Relationship","type":"article-journal","volume":"16"},"uris":["http://www.mendeley.com/documents/?uuid=bb7d0e96-32a3-41fe-a162-af357e6819a4"]}],"mendeley":{"formattedCitation":"(Barakat et al., 2016; Souza et al., 2022)","plainTextFormattedCitation":"(Barakat et al., 2016; Souza et al., 2022)","previouslyFormattedCitation":"(Barakat et al., 2016; Souza et al., 2022)"},"properties":{"noteIndex":0},"schema":"https://github.com/citation-style-language/schema/raw/master/csl-citation.json"}</w:instrText>
      </w:r>
      <w:r w:rsidR="005340F8" w:rsidRPr="00B0319E">
        <w:fldChar w:fldCharType="separate"/>
      </w:r>
      <w:r w:rsidR="005340F8" w:rsidRPr="00A55043">
        <w:rPr>
          <w:noProof/>
        </w:rPr>
        <w:t>(Barakat et al., 2016; Souza et al., 2022)</w:t>
      </w:r>
      <w:r w:rsidR="005340F8" w:rsidRPr="00B0319E">
        <w:fldChar w:fldCharType="end"/>
      </w:r>
      <w:r w:rsidR="005340F8" w:rsidRPr="00B0319E">
        <w:t>.</w:t>
      </w:r>
      <w:r w:rsidR="002943C3" w:rsidRPr="00B0319E">
        <w:t xml:space="preserve"> </w:t>
      </w:r>
      <w:r w:rsidR="00287F97">
        <w:t xml:space="preserve">Various studies have </w:t>
      </w:r>
      <w:r w:rsidR="005340F8" w:rsidRPr="00B0319E">
        <w:t xml:space="preserve">established </w:t>
      </w:r>
      <w:r w:rsidR="00287F97">
        <w:t xml:space="preserve">this relationship </w:t>
      </w:r>
      <w:r w:rsidR="005340F8" w:rsidRPr="00B0319E">
        <w:t xml:space="preserve">in other sectors, and a similar positive relationship is expected in the real estate sector </w:t>
      </w:r>
      <w:r w:rsidRPr="00B0319E">
        <w:fldChar w:fldCharType="begin" w:fldLock="1"/>
      </w:r>
      <w:r w:rsidRPr="00B0319E">
        <w:instrText>ADDIN CSL_CITATION {"citationItems":[{"id":"ITEM-1","itemData":{"DOI":"10.1108/MD-05-2016-0308","ISSN":"00251747","abstract":"Purpose: The purpose of this paper is to examine the association between corporate social responsibility (CSR) and employee satisfaction. The study proposes and empirically tests two hypotheses: that CSR is positively associated with employee satisfaction, and that organizational image mediates the relationship between CSR and employee satisfaction. Design/methodology/approach: The hypotheses were tested through regression analyses, using data from 85,167 questionnaires completed by employees at 381 Brazilian companies, as well as data pertaining to the “breadth” of CSR engagement of those same companies. Findings: The results of this study provide evidence that CSR-oriented actions undertaken by companies will lead to a better organizational image, and this, in turn, will lead to greater employee satisfaction. Practical implications: Because employee behaviour influences organizational outcomes and higher job satisfaction may lead to greater employee commitment to organizational goals and values, understanding the impact of CSR on employee satisfaction is relevant to corporate performance. Originality/value: The study contributes to the body of empirical research on CSR by investigating the underlying mechanisms linking CSR with employee behaviour. Scholars in the area of CSR regularly explore the outcomes and impacts of CSR actions on internal and external stakeholders. However, the impacts of CSR for a critical group of stakeholders – namely, employees – and its underlying mechanisms are understudied in the CSR literature.","author":[{"dropping-particle":"","family":"Barakat","given":"Simone R.","non-dropping-particle":"","parse-names":false,"suffix":""},{"dropping-particle":"","family":"Isabella","given":"Giuliana","non-dropping-particle":"","parse-names":false,"suffix":""},{"dropping-particle":"","family":"Boaventura","given":"João Maurício Gama","non-dropping-particle":"","parse-names":false,"suffix":""},{"dropping-particle":"","family":"Mazzon","given":"José Afonso","non-dropping-particle":"","parse-names":false,"suffix":""}],"container-title":"Management Decision","id":"ITEM-1","issue":"9","issued":{"date-parts":[["2016"]]},"page":"2325-2339","title":"The influence of corporate social responsibility on employee satisfaction","type":"article-journal","volume":"54"},"uris":["http://www.mendeley.com/documents/?uuid=be4cd7d1-8fa2-482c-a285-b7d1fefd6a68"]},{"id":"ITEM-2","itemData":{"DOI":"10.12712/rpca.v16i3.52420","ISBN":"0000000299","abstract":"We investigated happiness at work reflected in the indexes presented by the 100 best companies to work for in the United States, as well as its impact on Return on Assets (ROA). Indicators used by Glassdoor were collected, as well as financial data from the Eikon. We performed a confirmatory factor analysis (CFA) to obtain the Happiness at Work General Index. The results were applied to regression to understand the relationship between the index and the ROA. Happiness at Work General Index and ROA are positively related, providing evidence that happiness at work positively impacts the operational performance of companies.","author":[{"dropping-particle":"de","family":"Souza","given":"Juliana Nascimento","non-dropping-particle":"","parse-names":false,"suffix":""},{"dropping-particle":"","family":"Fogaça","given":"Natasha","non-dropping-particle":"","parse-names":false,"suffix":""},{"dropping-particle":"","family":"Souza","given":"João Gabriel de Moraes","non-dropping-particle":"","parse-names":false,"suffix":""},{"dropping-particle":"","family":"Albuquerque","given":"Pedro Henrique Melo","non-dropping-particle":"","parse-names":false,"suffix":""}],"container-title":"Revista Pensamento Contemporâneo em Administração","id":"ITEM-2","issue":"3","issued":{"date-parts":[["2022"]]},"page":"40-54","title":"Happiness and Wealth: Satisfaction, well-being, and ROA Relationship","type":"article-journal","volume":"16"},"uris":["http://www.mendeley.com/documents/?uuid=bb7d0e96-32a3-41fe-a162-af357e6819a4"]}],"mendeley":{"formattedCitation":"(Barakat et al., 2016; Souza et al., 2022)","plainTextFormattedCitation":"(Barakat et al., 2016; Souza et al., 2022)","previouslyFormattedCitation":"(Barakat et al., 2016; Souza et al., 2022)"},"properties":{"noteIndex":0},"schema":"https://github.com/citation-style-language/schema/raw/master/csl-citation.json"}</w:instrText>
      </w:r>
      <w:r w:rsidRPr="00B0319E">
        <w:fldChar w:fldCharType="separate"/>
      </w:r>
      <w:r w:rsidRPr="00A55043">
        <w:rPr>
          <w:noProof/>
        </w:rPr>
        <w:t>(Barakat et al., 2016; Souza et al., 2022)</w:t>
      </w:r>
      <w:r w:rsidRPr="00B0319E">
        <w:fldChar w:fldCharType="end"/>
      </w:r>
      <w:r w:rsidRPr="00B0319E">
        <w:t xml:space="preserve">. </w:t>
      </w:r>
    </w:p>
    <w:p w14:paraId="73CC7CF6" w14:textId="77777777" w:rsidR="00152BF5" w:rsidRPr="00B0319E" w:rsidRDefault="00152BF5" w:rsidP="00152BF5"/>
    <w:p w14:paraId="06E2D63E" w14:textId="43C2D2AD" w:rsidR="00152BF5" w:rsidRPr="00B0319E" w:rsidRDefault="00152BF5" w:rsidP="00152BF5">
      <w:pPr>
        <w:ind w:left="567" w:right="567" w:firstLine="0"/>
      </w:pPr>
      <w:r w:rsidRPr="00B0319E">
        <w:t>H1A: Companies with higher employee satisfaction levels will exhibit higher Return on Assets (ROA) compared to companies with lower employee satisfaction levels.</w:t>
      </w:r>
    </w:p>
    <w:p w14:paraId="35C97108" w14:textId="77777777" w:rsidR="00152BF5" w:rsidRPr="00B0319E" w:rsidRDefault="00152BF5" w:rsidP="00152BF5">
      <w:pPr>
        <w:ind w:left="567" w:right="567" w:firstLine="0"/>
      </w:pPr>
    </w:p>
    <w:p w14:paraId="023EA1EB" w14:textId="34EE34A5" w:rsidR="00F42C4B" w:rsidRPr="00B0319E" w:rsidRDefault="00F42C4B" w:rsidP="00F42C4B">
      <w:r w:rsidRPr="00B0319E">
        <w:t xml:space="preserve">This study </w:t>
      </w:r>
      <w:r w:rsidR="006C3319" w:rsidRPr="00B0319E">
        <w:t xml:space="preserve">proposes </w:t>
      </w:r>
      <w:r w:rsidRPr="00B0319E">
        <w:t>that there is a positive relationship between employee satisfaction and Return on Equity (ROE)</w:t>
      </w:r>
      <w:r w:rsidR="00143B5B" w:rsidRPr="00B0319E">
        <w:t xml:space="preserve">, a key financial metric that measures a company’s profitability relative to </w:t>
      </w:r>
      <w:r w:rsidR="00143B5B" w:rsidRPr="00B0319E">
        <w:lastRenderedPageBreak/>
        <w:t>equity</w:t>
      </w:r>
      <w:r w:rsidRPr="00B0319E">
        <w:t>. Specifically, it is expected that higher levels of employee satisfaction will lead to an improvement in a company's R</w:t>
      </w:r>
      <w:r w:rsidR="00757955">
        <w:t>OE</w:t>
      </w:r>
      <w:r w:rsidRPr="00B0319E">
        <w:t xml:space="preserve">. </w:t>
      </w:r>
      <w:r w:rsidR="005719E6" w:rsidRPr="00B0319E">
        <w:t>A positive relationship between ROE and employee satisfaction is expected because satisfied employees are more productive and focused</w:t>
      </w:r>
      <w:r w:rsidR="00710A15" w:rsidRPr="00B0319E">
        <w:t>,</w:t>
      </w:r>
      <w:r w:rsidR="005719E6" w:rsidRPr="00B0319E">
        <w:t xml:space="preserve"> </w:t>
      </w:r>
      <w:r w:rsidR="00710A15" w:rsidRPr="00B0319E">
        <w:t xml:space="preserve">which can enhance the management of investments and overall company performance </w:t>
      </w:r>
      <w:r w:rsidR="001D3A70" w:rsidRPr="00B0319E">
        <w:fldChar w:fldCharType="begin" w:fldLock="1"/>
      </w:r>
      <w:r w:rsidR="009849D7" w:rsidRPr="00B0319E">
        <w:instrText>ADDIN CSL_CITATION {"citationItems":[{"id":"ITEM-1","itemData":{"DOI":"10.1108/MD-05-2016-0308","ISSN":"00251747","abstract":"Purpose: The purpose of this paper is to examine the association between corporate social responsibility (CSR) and employee satisfaction. The study proposes and empirically tests two hypotheses: that CSR is positively associated with employee satisfaction, and that organizational image mediates the relationship between CSR and employee satisfaction. Design/methodology/approach: The hypotheses were tested through regression analyses, using data from 85,167 questionnaires completed by employees at 381 Brazilian companies, as well as data pertaining to the “breadth” of CSR engagement of those same companies. Findings: The results of this study provide evidence that CSR-oriented actions undertaken by companies will lead to a better organizational image, and this, in turn, will lead to greater employee satisfaction. Practical implications: Because employee behaviour influences organizational outcomes and higher job satisfaction may lead to greater employee commitment to organizational goals and values, understanding the impact of CSR on employee satisfaction is relevant to corporate performance. Originality/value: The study contributes to the body of empirical research on CSR by investigating the underlying mechanisms linking CSR with employee behaviour. Scholars in the area of CSR regularly explore the outcomes and impacts of CSR actions on internal and external stakeholders. However, the impacts of CSR for a critical group of stakeholders – namely, employees – and its underlying mechanisms are understudied in the CSR literature.","author":[{"dropping-particle":"","family":"Barakat","given":"Simone R.","non-dropping-particle":"","parse-names":false,"suffix":""},{"dropping-particle":"","family":"Isabella","given":"Giuliana","non-dropping-particle":"","parse-names":false,"suffix":""},{"dropping-particle":"","family":"Boaventura","given":"João Maurício Gama","non-dropping-particle":"","parse-names":false,"suffix":""},{"dropping-particle":"","family":"Mazzon","given":"José Afonso","non-dropping-particle":"","parse-names":false,"suffix":""}],"container-title":"Management Decision","id":"ITEM-1","issue":"9","issued":{"date-parts":[["2016"]]},"page":"2325-2339","title":"The influence of corporate social responsibility on employee satisfaction","type":"article-journal","volume":"54"},"uris":["http://www.mendeley.com/documents/?uuid=be4cd7d1-8fa2-482c-a285-b7d1fefd6a68"]},{"id":"ITEM-2","itemData":{"DOI":"10.12712/rpca.v16i3.52420","ISBN":"0000000299","abstract":"We investigated happiness at work reflected in the indexes presented by the 100 best companies to work for in the United States, as well as its impact on Return on Assets (ROA). Indicators used by Glassdoor were collected, as well as financial data from the Eikon. We performed a confirmatory factor analysis (CFA) to obtain the Happiness at Work General Index. The results were applied to regression to understand the relationship between the index and the ROA. Happiness at Work General Index and ROA are positively related, providing evidence that happiness at work positively impacts the operational performance of companies.","author":[{"dropping-particle":"de","family":"Souza","given":"Juliana Nascimento","non-dropping-particle":"","parse-names":false,"suffix":""},{"dropping-particle":"","family":"Fogaça","given":"Natasha","non-dropping-particle":"","parse-names":false,"suffix":""},{"dropping-particle":"","family":"Souza","given":"João Gabriel de Moraes","non-dropping-particle":"","parse-names":false,"suffix":""},{"dropping-particle":"","family":"Albuquerque","given":"Pedro Henrique Melo","non-dropping-particle":"","parse-names":false,"suffix":""}],"container-title":"Revista Pensamento Contemporâneo em Administração","id":"ITEM-2","issue":"3","issued":{"date-parts":[["2022"]]},"page":"40-54","title":"Happiness and Wealth: Satisfaction, well-being, and ROA Relationship","type":"article-journal","volume":"16"},"uris":["http://www.mendeley.com/documents/?uuid=bb7d0e96-32a3-41fe-a162-af357e6819a4"]}],"mendeley":{"formattedCitation":"(Barakat et al., 2016; Souza et al., 2022)","plainTextFormattedCitation":"(Barakat et al., 2016; Souza et al., 2022)","previouslyFormattedCitation":"(Barakat et al., 2016; Souza et al., 2022)"},"properties":{"noteIndex":0},"schema":"https://github.com/citation-style-language/schema/raw/master/csl-citation.json"}</w:instrText>
      </w:r>
      <w:r w:rsidR="001D3A70" w:rsidRPr="00B0319E">
        <w:fldChar w:fldCharType="separate"/>
      </w:r>
      <w:r w:rsidR="009849D7" w:rsidRPr="00A55043">
        <w:rPr>
          <w:noProof/>
        </w:rPr>
        <w:t>(Barakat et al., 2016; Souza et al., 2022)</w:t>
      </w:r>
      <w:r w:rsidR="001D3A70" w:rsidRPr="00B0319E">
        <w:fldChar w:fldCharType="end"/>
      </w:r>
      <w:r w:rsidR="00347003" w:rsidRPr="00B0319E">
        <w:t>. Th</w:t>
      </w:r>
      <w:r w:rsidR="00A9134C" w:rsidRPr="00B0319E">
        <w:t>erefore, companies with high employee satisfaction levels may see a corresponding increase in their ROE.</w:t>
      </w:r>
    </w:p>
    <w:p w14:paraId="37D65BDC" w14:textId="77777777" w:rsidR="00F42C4B" w:rsidRPr="00B0319E" w:rsidRDefault="00F42C4B" w:rsidP="00F42C4B"/>
    <w:p w14:paraId="2EE8D1CA" w14:textId="5A99B572" w:rsidR="00F42C4B" w:rsidRPr="00B0319E" w:rsidRDefault="00F42C4B" w:rsidP="00CF4CF1">
      <w:pPr>
        <w:ind w:left="567" w:right="567" w:firstLine="0"/>
      </w:pPr>
      <w:r w:rsidRPr="00B0319E">
        <w:t>H1</w:t>
      </w:r>
      <w:r w:rsidR="00152BF5" w:rsidRPr="00B0319E">
        <w:t>B</w:t>
      </w:r>
      <w:r w:rsidRPr="00B0319E">
        <w:t>: Companies with higher employee satisfaction levels will exhibit higher Return on Equity (ROE) compared to companies with lower employee satisfaction levels.</w:t>
      </w:r>
    </w:p>
    <w:p w14:paraId="1E4FA3FE" w14:textId="77777777" w:rsidR="001D2C37" w:rsidRPr="00B0319E" w:rsidRDefault="001D2C37" w:rsidP="00F42C4B">
      <w:pPr>
        <w:ind w:firstLine="204"/>
      </w:pPr>
    </w:p>
    <w:p w14:paraId="34C4FBAA" w14:textId="00D8F585" w:rsidR="00F42C4B" w:rsidRPr="00B0319E" w:rsidRDefault="00F42C4B" w:rsidP="00F42C4B">
      <w:pPr>
        <w:ind w:firstLine="204"/>
      </w:pPr>
      <w:r w:rsidRPr="00B0319E">
        <w:t>This study hypothesizes that there is a positive relationship between employee satisfaction and dividend payouts</w:t>
      </w:r>
      <w:r w:rsidR="00636D2F" w:rsidRPr="00B0319E">
        <w:t>, a key financial metric that measures the amount of dividends paid out to shareholders</w:t>
      </w:r>
      <w:r w:rsidRPr="00B0319E">
        <w:t>. Specifically, it is expected that higher levels of employee satisfaction will lead to higher dividend</w:t>
      </w:r>
      <w:r w:rsidR="007C5ADD" w:rsidRPr="00B0319E">
        <w:t xml:space="preserve"> payouts.</w:t>
      </w:r>
      <w:r w:rsidR="00E1586F" w:rsidRPr="00B0319E">
        <w:t xml:space="preserve"> The justification for this is </w:t>
      </w:r>
      <w:r w:rsidR="00E8505D" w:rsidRPr="00B0319E">
        <w:t xml:space="preserve">that satisfied employees are more motivated and productive, which can enhance the company’s profitability and lead to higher dividends </w:t>
      </w:r>
      <w:r w:rsidR="00137123" w:rsidRPr="00B0319E">
        <w:fldChar w:fldCharType="begin" w:fldLock="1"/>
      </w:r>
      <w:r w:rsidR="00CF752C" w:rsidRPr="00B0319E">
        <w:instrText>ADDIN CSL_CITATION {"citationItems":[{"id":"ITEM-1","itemData":{"DOI":"10.1016/j.jbusres.2021.07.009","ISSN":"01482963","abstract":"Drawing on stakeholder and agency theories, we examine how employee friendly practices impact dividend payments in emerging countries. Using data from 862 firms and 6,071 firm-year observations from 17 emerging countries, we find that the employee friendly practices are negatively related to the dividend payments. This relationship is found to be stronger for government owned firms. We further examine the ‘agency problems’ and ‘future investment’ as possible channels through which employee friendly practices may lead firms to pay low dividends. We find the support for the future investment channel. Lastly, we examine the value effect of employee friendly treatment and find that employee friendly practices increase firm performance in emerging markets which lends support to the effectiveness of the investment channel.","author":[{"dropping-particle":"","family":"Saeed","given":"Abubakr","non-dropping-particle":"","parse-names":false,"suffix":""}],"container-title":"Journal of Business Research","id":"ITEM-1","issue":"June","issued":{"date-parts":[["2021"]]},"page":"592-605","publisher":"Elsevier Inc.","title":"The impact of employee friendly practices on dividend payments: Evidence from emerging economies","type":"article-journal","volume":"135"},"uris":["http://www.mendeley.com/documents/?uuid=88784c72-24ad-42c1-9cbf-d8dcec29bb93"]},{"id":"ITEM-2","itemData":{"DOI":"10.1007/s11146-024-09979-y","ISBN":"0123456789","ISSN":"1573045X","abstract":"This article investigates the impacts of environmental, social, and governance (ESG) performance on a firm’s valuation, cash flow, and risk. Using newly available GRESB ESG performance data from 2019 to 2021 for global equity real estate investment trusts (REITs), we document that REITs with higher ESG performance scores have lower firm value and lower operating cash flow. Moreover, we show that strong ESG performing REITs exhibit higher firm risk. These results suggest that REIT management may overinvest in ESG activities at the expense of shareholder value. We are the first to our knowledge to provide evidence of overinvestment in ESG for REITs.","author":[{"dropping-particle":"","family":"Chacon","given":"Ryan G.","non-dropping-particle":"","parse-names":false,"suffix":""},{"dropping-particle":"","family":"Feng","given":"Zifeng","non-dropping-particle":"","parse-names":false,"suffix":""},{"dropping-particle":"","family":"Wu","given":"Zhonghua","non-dropping-particle":"","parse-names":false,"suffix":""}],"container-title":"Journal of Real Estate Finance and Economics","id":"ITEM-2","issue":"January","issued":{"date-parts":[["2024"]]},"publisher":"Springer US","title":"Does Investing in ESG Pay Off? Evidence from REITs","type":"article-journal"},"uris":["http://www.mendeley.com/documents/?uuid=19380253-0ec0-403f-bfc2-7f26720c45d6"]},{"id":"ITEM-3","itemData":{"DOI":"10.1287/mnsc.2023.4889","ISBN":"0000000189224","ISSN":"0025-1909","abstract":"Studying 30 countries, we find that the link between employee satisfaction and stock returns is significantly increasing in a country’s labor market flexibility. This result is consistent with employee satisfaction having greater recruitment, retention, and motivation benefits where firms face fewer hiring and firing constraints and employees have greater ability to respond to satisfaction. Labor market flexibility also increases the link between employee satisfaction and current valuation ratios, future profitability, and future earnings surprises, inconsistent with omitted risk factors and identifying channels through which employee satisfaction may affect stock returns. The findings have implications for the differential profitability of socially responsible investing strategies around the world—in particular, the importance of considering institutional factors when forming such strategies.This paper was accepted by Lin William Cong, finance.Funding: This work was supported by Deloitte Institute of Innovation and Entrepreneurship.Supplemental Material: The data files and online appendix are available at https://doi.org/10.1287/mnsc.2023.4889 .","author":[{"dropping-particle":"","family":"Edmans","given":"Alex","non-dropping-particle":"","parse-names":false,"suffix":""},{"dropping-particle":"","family":"Pu","given":"Darcy","non-dropping-particle":"","parse-names":false,"suffix":""},{"dropping-particle":"","family":"Zhang","given":"Chendi","non-dropping-particle":"","parse-names":false,"suffix":""},{"dropping-particle":"","family":"Li","given":"Lucius","non-dropping-particle":"","parse-names":false,"suffix":""}],"container-title":"Management Science","id":"ITEM-3","issue":"April 2024","issued":{"date-parts":[["2023"]]},"page":"0-24","publisher":"http://pubsonline.informs.org/journal/mnsc","title":"Employee Satisfaction, Labor Market Flexibility, and Stock Returns Around the World","type":"article-journal"},"uris":["http://www.mendeley.com/documents/?uuid=cc7f5068-37a4-45d5-baf1-40e0c10ef13c"]}],"mendeley":{"formattedCitation":"(Chacon et al., 2024; Edmans et al., 2023; Saeed, 2021)","plainTextFormattedCitation":"(Chacon et al., 2024; Edmans et al., 2023; Saeed, 2021)","previouslyFormattedCitation":"(Chacon et al., 2024; Edmans et al., 2023; Saeed, 2021)"},"properties":{"noteIndex":0},"schema":"https://github.com/citation-style-language/schema/raw/master/csl-citation.json"}</w:instrText>
      </w:r>
      <w:r w:rsidR="00137123" w:rsidRPr="00B0319E">
        <w:fldChar w:fldCharType="separate"/>
      </w:r>
      <w:r w:rsidR="009849D7" w:rsidRPr="00A55043">
        <w:rPr>
          <w:noProof/>
        </w:rPr>
        <w:t>(Chacon et al., 2024; Edmans et al., 2023; Saeed, 2021)</w:t>
      </w:r>
      <w:r w:rsidR="00137123" w:rsidRPr="00B0319E">
        <w:fldChar w:fldCharType="end"/>
      </w:r>
      <w:r w:rsidRPr="00B0319E">
        <w:t>.</w:t>
      </w:r>
      <w:r w:rsidR="001F7C6F" w:rsidRPr="00B0319E">
        <w:t xml:space="preserve"> </w:t>
      </w:r>
      <w:r w:rsidR="00E8505D" w:rsidRPr="00B0319E">
        <w:t>Given that the real estate sector, like other sectors, is also partly service-oriented, a similar positive relationship is expected.</w:t>
      </w:r>
    </w:p>
    <w:p w14:paraId="03F774F7" w14:textId="77777777" w:rsidR="00F42C4B" w:rsidRPr="00B0319E" w:rsidRDefault="00F42C4B" w:rsidP="00F42C4B"/>
    <w:p w14:paraId="474ED0CB" w14:textId="77777777" w:rsidR="00F42C4B" w:rsidRPr="00B0319E" w:rsidRDefault="00F42C4B" w:rsidP="00F42C4B">
      <w:pPr>
        <w:ind w:left="567" w:right="567" w:firstLine="0"/>
      </w:pPr>
      <w:r w:rsidRPr="00B0319E">
        <w:t>H2: Companies with higher employee satisfaction levels will have higher dividend payouts compared to companies with lower employee satisfaction levels.</w:t>
      </w:r>
    </w:p>
    <w:p w14:paraId="35ACC3E7" w14:textId="77777777" w:rsidR="00F42C4B" w:rsidRPr="00B0319E" w:rsidRDefault="00F42C4B" w:rsidP="00F42C4B"/>
    <w:p w14:paraId="2B5EE246" w14:textId="77777777" w:rsidR="00556DE9" w:rsidRPr="00B0319E" w:rsidRDefault="00F44FFA" w:rsidP="006662DA">
      <w:pPr>
        <w:ind w:firstLine="204"/>
      </w:pPr>
      <w:bookmarkStart w:id="6" w:name="_Hlk174198248"/>
      <w:r w:rsidRPr="00B0319E">
        <w:t xml:space="preserve">This study postulates </w:t>
      </w:r>
      <w:r w:rsidR="00F42C4B" w:rsidRPr="00B0319E">
        <w:t>that there is a negative relationship between employee satisfaction and employee turnover rate</w:t>
      </w:r>
      <w:r w:rsidR="000F1C72" w:rsidRPr="00B0319E">
        <w:t>, a metric that measures the rate at which employees leave a company</w:t>
      </w:r>
      <w:r w:rsidR="00F42C4B" w:rsidRPr="00B0319E">
        <w:t>. Specifically, it is expected that higher levels of employee satisfaction will lead to a lower employee turnover rate</w:t>
      </w:r>
      <w:r w:rsidR="007B230C" w:rsidRPr="00B0319E">
        <w:t xml:space="preserve"> </w:t>
      </w:r>
      <w:r w:rsidR="007B230C" w:rsidRPr="00B0319E">
        <w:fldChar w:fldCharType="begin" w:fldLock="1"/>
      </w:r>
      <w:r w:rsidR="003A5CCA" w:rsidRPr="00B0319E">
        <w:instrText>ADDIN CSL_CITATION {"citationItems":[{"id":"ITEM-1","itemData":{"DOI":"https://doi.org/10.1108/978-1-78973-483-620201006","author":[{"dropping-particle":"","family":"Lim","given":"Paul","non-dropping-particle":"","parse-names":false,"suffix":""},{"dropping-particle":"","family":"Parker","given":"Andrew","non-dropping-particle":"","parse-names":false,"suffix":""}],"container-title":"Mentoring Millennials in an Asian Context","id":"ITEM-1","issued":{"date-parts":[["2020"]]},"page":"35-43","title":"Employee Turnover","type":"article-journal"},"uris":["http://www.mendeley.com/documents/?uuid=e2ce82bb-8e4a-4db9-98bc-0f1452ce3ae2"]},{"id":"ITEM-2","itemData":{"DOI":"10.1108/MD-05-2016-0308","ISSN":"00251747","abstract":"Purpose: The purpose of this paper is to examine the association between corporate social responsibility (CSR) and employee satisfaction. The study proposes and empirically tests two hypotheses: that CSR is positively associated with employee satisfaction, and that organizational image mediates the relationship between CSR and employee satisfaction. Design/methodology/approach: The hypotheses were tested through regression analyses, using data from 85,167 questionnaires completed by employees at 381 Brazilian companies, as well as data pertaining to the “breadth” of CSR engagement of those same companies. Findings: The results of this study provide evidence that CSR-oriented actions undertaken by companies will lead to a better organizational image, and this, in turn, will lead to greater employee satisfaction. Practical implications: Because employee behaviour influences organizational outcomes and higher job satisfaction may lead to greater employee commitment to organizational goals and values, understanding the impact of CSR on employee satisfaction is relevant to corporate performance. Originality/value: The study contributes to the body of empirical research on CSR by investigating the underlying mechanisms linking CSR with employee behaviour. Scholars in the area of CSR regularly explore the outcomes and impacts of CSR actions on internal and external stakeholders. However, the impacts of CSR for a critical group of stakeholders – namely, employees – and its underlying mechanisms are understudied in the CSR literature.","author":[{"dropping-particle":"","family":"Barakat","given":"Simone R.","non-dropping-particle":"","parse-names":false,"suffix":""},{"dropping-particle":"","family":"Isabella","given":"Giuliana","non-dropping-particle":"","parse-names":false,"suffix":""},{"dropping-particle":"","family":"Boaventura","given":"João Maurício Gama","non-dropping-particle":"","parse-names":false,"suffix":""},{"dropping-particle":"","family":"Mazzon","given":"José Afonso","non-dropping-particle":"","parse-names":false,"suffix":""}],"container-title":"Management Decision","id":"ITEM-2","issue":"9","issued":{"date-parts":[["2016"]]},"page":"2325-2339","title":"The influence of corporate social responsibility on employee satisfaction","type":"article-journal","volume":"54"},"uris":["http://www.mendeley.com/documents/?uuid=be4cd7d1-8fa2-482c-a285-b7d1fefd6a68"]},{"id":"ITEM-3","itemData":{"author":[{"dropping-particle":"","family":"Rogelberg","given":"Steven G.","non-dropping-particle":"","parse-names":false,"suffix":""},{"dropping-particle":"","family":"Allen","given":"Joseph A.","non-dropping-particle":"","parse-names":false,"suffix":""},{"dropping-particle":"","family":"Shanock","given":"Linda","non-dropping-particle":"","parse-names":false,"suffix":""},{"dropping-particle":"","family":"Scott","given":"Cliff","non-dropping-particle":"","parse-names":false,"suffix":""},{"dropping-particle":"","family":"Shuffler","given":"Marissa","non-dropping-particle":"","parse-names":false,"suffix":""}],"container-title":"Human Resource Management","id":"ITEM-3","issue":"2","issued":{"date-parts":[["2010"]]},"page":"149-172","title":"Employee satisfaction with meetings: A contemporary facet of job satisfaction","type":"article-journal","volume":"49"},"uris":["http://www.mendeley.com/documents/?uuid=0cf099e0-5cbd-4317-b135-a436b2d4cfc2"]}],"mendeley":{"formattedCitation":"(Barakat et al., 2016; Lim &amp; Parker, 2020; Rogelberg et al., 2010)","plainTextFormattedCitation":"(Barakat et al., 2016; Lim &amp; Parker, 2020; Rogelberg et al., 2010)","previouslyFormattedCitation":"(Barakat et al., 2016; Lim &amp; Parker, 2020; Rogelberg et al., 2010)"},"properties":{"noteIndex":0},"schema":"https://github.com/citation-style-language/schema/raw/master/csl-citation.json"}</w:instrText>
      </w:r>
      <w:r w:rsidR="007B230C" w:rsidRPr="00B0319E">
        <w:fldChar w:fldCharType="separate"/>
      </w:r>
      <w:r w:rsidR="00B92DD5" w:rsidRPr="00A55043">
        <w:rPr>
          <w:noProof/>
        </w:rPr>
        <w:t>(Barakat et al., 2016; Lim &amp; Parker, 2020; Rogelberg et al., 2010)</w:t>
      </w:r>
      <w:r w:rsidR="007B230C" w:rsidRPr="00B0319E">
        <w:fldChar w:fldCharType="end"/>
      </w:r>
      <w:r w:rsidR="00F42C4B" w:rsidRPr="00B0319E">
        <w:t>.</w:t>
      </w:r>
      <w:r w:rsidR="006662DA" w:rsidRPr="00B0319E">
        <w:t xml:space="preserve"> Employees who feel comfortable in a company are generally more likely to stay with their employer </w:t>
      </w:r>
      <w:r w:rsidR="0079522D" w:rsidRPr="00B0319E">
        <w:fldChar w:fldCharType="begin" w:fldLock="1"/>
      </w:r>
      <w:r w:rsidR="00B92DD5" w:rsidRPr="00B0319E">
        <w:instrText>ADDIN CSL_CITATION {"citationItems":[{"id":"ITEM-1","itemData":{"DOI":"10.1287/mnsc.2023.4889","ISBN":"0000000189224","ISSN":"0025-1909","abstract":"Studying 30 countries, we find that the link between employee satisfaction and stock returns is significantly increasing in a country’s labor market flexibility. This result is consistent with employee satisfaction having greater recruitment, retention, and motivation benefits where firms face fewer hiring and firing constraints and employees have greater ability to respond to satisfaction. Labor market flexibility also increases the link between employee satisfaction and current valuation ratios, future profitability, and future earnings surprises, inconsistent with omitted risk factors and identifying channels through which employee satisfaction may affect stock returns. The findings have implications for the differential profitability of socially responsible investing strategies around the world—in particular, the importance of considering institutional factors when forming such strategies.This paper was accepted by Lin William Cong, finance.Funding: This work was supported by Deloitte Institute of Innovation and Entrepreneurship.Supplemental Material: The data files and online appendix are available at https://doi.org/10.1287/mnsc.2023.4889 .","author":[{"dropping-particle":"","family":"Edmans","given":"Alex","non-dropping-particle":"","parse-names":false,"suffix":""},{"dropping-particle":"","family":"Pu","given":"Darcy","non-dropping-particle":"","parse-names":false,"suffix":""},{"dropping-particle":"","family":"Zhang","given":"Chendi","non-dropping-particle":"","parse-names":false,"suffix":""},{"dropping-particle":"","family":"Li","given":"Lucius","non-dropping-particle":"","parse-names":false,"suffix":""}],"container-title":"Management Science","id":"ITEM-1","issue":"April 2024","issued":{"date-parts":[["2023"]]},"page":"0-24","publisher":"http://pubsonline.informs.org/journal/mnsc","title":"Employee Satisfaction, Labor Market Flexibility, and Stock Returns Around the World","type":"article-journal"},"uris":["http://www.mendeley.com/documents/?uuid=cc7f5068-37a4-45d5-baf1-40e0c10ef13c"]},{"id":"ITEM-2","itemData":{"DOI":"10.1108/IJM-08-2018-0281","ISSN":"01437720","abstract":"Purpose: In the face of a changing and turbulent environment, an organizational learning culture (OLC) is crucial for the long-term operation of an organization. A learning culture provides the capacity to effectively integrate employees, and it also provides structure so that an organization can move forward via continuous learning and change. Few empirical results are available from Chinese companies enduring an organizational change. To bridge this research gap, this study investigated the relationships among an OLC, job satisfaction, turnover intentions and job performance during organizational change. Design/methodology/approach: A quantitative approach with structural equation modeling (SEM) and bootstrapping estimation was used to test hypotheses developed from a sample of 434 employees in a restructured telecommunications company in Taiwan. Findings: Employees who experienced a higher learning culture had lower levels of turnover intentions and exhibited better job performance. Job satisfaction had a negative impact on employee turnover intentions but a positive impact on job performance. Moreover, job satisfaction fully mediated the relationships between an OLC and employee turnover intentions and job performance. When encountering organizational planned changes, a vibrant learning culture gave employees a higher level of satisfaction in their jobs and workplace. Although unexpected challenges often appeared during the organizational changes, employees with a higher level of job satisfaction tended to fulfill their own job duties and showed fewer turnover intentions. Originality/value: In investigating issues related to organizational change, this study provides managerial insights and addresses strategies for facilitating the adoption of an OLC into the design and implementation of a better workplace environment.","author":[{"dropping-particle":"","family":"Lin","given":"Chun Yu","non-dropping-particle":"","parse-names":false,"suffix":""},{"dropping-particle":"","family":"Huang","given":"Chung Kai","non-dropping-particle":"","parse-names":false,"suffix":""}],"container-title":"International Journal of Manpower","id":"ITEM-2","issue":"3","issued":{"date-parts":[["2021"]]},"page":"409-423","title":"Employee turnover intentions and job performance from a planned change: the effects of an organizational learning culture and job satisfaction","type":"article-journal","volume":"42"},"uris":["http://www.mendeley.com/documents/?uuid=c88f4e6b-99f6-4313-8d75-a353cce176dc"]},{"id":"ITEM-3","itemData":{"author":[{"dropping-particle":"","family":"Rogelberg","given":"Steven G.","non-dropping-particle":"","parse-names":false,"suffix":""},{"dropping-particle":"","family":"Allen","given":"Joseph A.","non-dropping-particle":"","parse-names":false,"suffix":""},{"dropping-particle":"","family":"Shanock","given":"Linda","non-dropping-particle":"","parse-names":false,"suffix":""},{"dropping-particle":"","family":"Scott","given":"Cliff","non-dropping-particle":"","parse-names":false,"suffix":""},{"dropping-particle":"","family":"Shuffler","given":"Marissa","non-dropping-particle":"","parse-names":false,"suffix":""}],"container-title":"Human Resource Management","id":"ITEM-3","issue":"2","issued":{"date-parts":[["2010"]]},"page":"149-172","title":"Employee satisfaction with meetings: A contemporary facet of job satisfaction","type":"article-journal","volume":"49"},"uris":["http://www.mendeley.com/documents/?uuid=0cf099e0-5cbd-4317-b135-a436b2d4cfc2"]}],"mendeley":{"formattedCitation":"(Edmans et al., 2023; Lin &amp; Huang, 2021; Rogelberg et al., 2010)","plainTextFormattedCitation":"(Edmans et al., 2023; Lin &amp; Huang, 2021; Rogelberg et al., 2010)","previouslyFormattedCitation":"(Edmans et al., 2023; Lin &amp; Huang, 2021; Rogelberg et al., 2010)"},"properties":{"noteIndex":0},"schema":"https://github.com/citation-style-language/schema/raw/master/csl-citation.json"}</w:instrText>
      </w:r>
      <w:r w:rsidR="0079522D" w:rsidRPr="00B0319E">
        <w:fldChar w:fldCharType="separate"/>
      </w:r>
      <w:r w:rsidR="00B92DD5" w:rsidRPr="00A55043">
        <w:rPr>
          <w:noProof/>
        </w:rPr>
        <w:t>(Edmans et al., 2023; Lin &amp; Huang, 2021; Rogelberg et al., 2010)</w:t>
      </w:r>
      <w:r w:rsidR="0079522D" w:rsidRPr="00B0319E">
        <w:fldChar w:fldCharType="end"/>
      </w:r>
      <w:r w:rsidR="002E5E18" w:rsidRPr="00B0319E">
        <w:t xml:space="preserve">. </w:t>
      </w:r>
      <w:r w:rsidR="006C2539" w:rsidRPr="00B0319E">
        <w:t>Therefore, a similar negative relationship is expected in the real estate sector.</w:t>
      </w:r>
      <w:r w:rsidR="00556DE9" w:rsidRPr="00B0319E">
        <w:t xml:space="preserve"> </w:t>
      </w:r>
    </w:p>
    <w:p w14:paraId="3FE44BAF" w14:textId="23167778" w:rsidR="00F42C4B" w:rsidRPr="00B0319E" w:rsidRDefault="00556DE9" w:rsidP="00556DE9">
      <w:pPr>
        <w:ind w:firstLine="204"/>
      </w:pPr>
      <w:bookmarkStart w:id="7" w:name="_Hlk174095648"/>
      <w:r w:rsidRPr="00B0319E">
        <w:lastRenderedPageBreak/>
        <w:t>The relevance of hypothesis 3 lies in its potential impact on overall company performance. High employee turnover rates can lead to increased recruitment and training costs, loss of institutional knowledge, and decreased productivity, all of which can negatively affect a company’s financial performance</w:t>
      </w:r>
      <w:r w:rsidR="00A55043">
        <w:t xml:space="preserve"> </w:t>
      </w:r>
      <w:r w:rsidR="00A55043">
        <w:fldChar w:fldCharType="begin" w:fldLock="1"/>
      </w:r>
      <w:r w:rsidR="00044C05">
        <w:instrText>ADDIN CSL_CITATION {"citationItems":[{"id":"ITEM-1","itemData":{"DOI":"10.1108/MD-05-2016-0308","ISSN":"00251747","abstract":"Purpose: The purpose of this paper is to examine the association between corporate social responsibility (CSR) and employee satisfaction. The study proposes and empirically tests two hypotheses: that CSR is positively associated with employee satisfaction, and that organizational image mediates the relationship between CSR and employee satisfaction. Design/methodology/approach: The hypotheses were tested through regression analyses, using data from 85,167 questionnaires completed by employees at 381 Brazilian companies, as well as data pertaining to the “breadth” of CSR engagement of those same companies. Findings: The results of this study provide evidence that CSR-oriented actions undertaken by companies will lead to a better organizational image, and this, in turn, will lead to greater employee satisfaction. Practical implications: Because employee behaviour influences organizational outcomes and higher job satisfaction may lead to greater employee commitment to organizational goals and values, understanding the impact of CSR on employee satisfaction is relevant to corporate performance. Originality/value: The study contributes to the body of empirical research on CSR by investigating the underlying mechanisms linking CSR with employee behaviour. Scholars in the area of CSR regularly explore the outcomes and impacts of CSR actions on internal and external stakeholders. However, the impacts of CSR for a critical group of stakeholders – namely, employees – and its underlying mechanisms are understudied in the CSR literature.","author":[{"dropping-particle":"","family":"Barakat","given":"Simone R.","non-dropping-particle":"","parse-names":false,"suffix":""},{"dropping-particle":"","family":"Isabella","given":"Giuliana","non-dropping-particle":"","parse-names":false,"suffix":""},{"dropping-particle":"","family":"Boaventura","given":"João Maurício Gama","non-dropping-particle":"","parse-names":false,"suffix":""},{"dropping-particle":"","family":"Mazzon","given":"José Afonso","non-dropping-particle":"","parse-names":false,"suffix":""}],"container-title":"Management Decision","id":"ITEM-1","issue":"9","issued":{"date-parts":[["2016"]]},"page":"2325-2339","title":"The influence of corporate social responsibility on employee satisfaction","type":"article-journal","volume":"54"},"uris":["http://www.mendeley.com/documents/?uuid=be4cd7d1-8fa2-482c-a285-b7d1fefd6a68"]},{"id":"ITEM-2","itemData":{"DOI":"https://doi.org/10.1108/978-1-78973-483-620201006","author":[{"dropping-particle":"","family":"Lim","given":"Paul","non-dropping-particle":"","parse-names":false,"suffix":""},{"dropping-particle":"","family":"Parker","given":"Andrew","non-dropping-particle":"","parse-names":false,"suffix":""}],"container-title":"Mentoring Millennials in an Asian Context","id":"ITEM-2","issued":{"date-parts":[["2020"]]},"page":"35-43","title":"Employee Turnover","type":"article-journal"},"uris":["http://www.mendeley.com/documents/?uuid=e2ce82bb-8e4a-4db9-98bc-0f1452ce3ae2"]},{"id":"ITEM-3","itemData":{"author":[{"dropping-particle":"","family":"Rogelberg","given":"Steven G.","non-dropping-particle":"","parse-names":false,"suffix":""},{"dropping-particle":"","family":"Allen","given":"Joseph A.","non-dropping-particle":"","parse-names":false,"suffix":""},{"dropping-particle":"","family":"Shanock","given":"Linda","non-dropping-particle":"","parse-names":false,"suffix":""},{"dropping-particle":"","family":"Scott","given":"Cliff","non-dropping-particle":"","parse-names":false,"suffix":""},{"dropping-particle":"","family":"Shuffler","given":"Marissa","non-dropping-particle":"","parse-names":false,"suffix":""}],"container-title":"Human Resource Management","id":"ITEM-3","issue":"2","issued":{"date-parts":[["2010"]]},"page":"149-172","title":"Employee satisfaction with meetings: A contemporary facet of job satisfaction","type":"article-journal","volume":"49"},"uris":["http://www.mendeley.com/documents/?uuid=0cf099e0-5cbd-4317-b135-a436b2d4cfc2"]}],"mendeley":{"formattedCitation":"(Barakat et al., 2016; Lim &amp; Parker, 2020; Rogelberg et al., 2010)","plainTextFormattedCitation":"(Barakat et al., 2016; Lim &amp; Parker, 2020; Rogelberg et al., 2010)","previouslyFormattedCitation":"(Barakat et al., 2016; Lim &amp; Parker, 2020; Rogelberg et al., 2010)"},"properties":{"noteIndex":0},"schema":"https://github.com/citation-style-language/schema/raw/master/csl-citation.json"}</w:instrText>
      </w:r>
      <w:r w:rsidR="00A55043">
        <w:fldChar w:fldCharType="separate"/>
      </w:r>
      <w:r w:rsidR="00A55043" w:rsidRPr="00A55043">
        <w:rPr>
          <w:noProof/>
        </w:rPr>
        <w:t>(Barakat et al., 2016; Lim &amp; Parker, 2020; Rogelberg et al., 2010)</w:t>
      </w:r>
      <w:r w:rsidR="00A55043">
        <w:fldChar w:fldCharType="end"/>
      </w:r>
      <w:r w:rsidRPr="00B0319E">
        <w:t xml:space="preserve">. By demonstrating that higher employee satisfaction leads to lower turnover rates, this study can provide valuable insights into how improving employee satisfaction can enhance overall company performance. </w:t>
      </w:r>
      <w:r w:rsidR="00287F97">
        <w:t>P</w:t>
      </w:r>
      <w:r w:rsidRPr="00B0319E">
        <w:t>articularly important in the real estate sector</w:t>
      </w:r>
      <w:r w:rsidR="00287F97">
        <w:t xml:space="preserve"> is </w:t>
      </w:r>
      <w:r w:rsidRPr="00B0319E">
        <w:t>employee retention</w:t>
      </w:r>
      <w:r w:rsidR="00287F97">
        <w:t>, as it</w:t>
      </w:r>
      <w:r w:rsidRPr="00B0319E">
        <w:t xml:space="preserve"> is crucial for maintaining client relationships and ensuring consistent service quality</w:t>
      </w:r>
      <w:bookmarkEnd w:id="7"/>
      <w:r w:rsidRPr="00B0319E">
        <w:t>.</w:t>
      </w:r>
    </w:p>
    <w:bookmarkEnd w:id="6"/>
    <w:p w14:paraId="34385F74" w14:textId="77777777" w:rsidR="00F42C4B" w:rsidRPr="00B0319E" w:rsidRDefault="00F42C4B" w:rsidP="00F42C4B"/>
    <w:p w14:paraId="71B2A7AD" w14:textId="77777777" w:rsidR="00F42C4B" w:rsidRPr="00B0319E" w:rsidRDefault="00F42C4B" w:rsidP="00F42C4B">
      <w:pPr>
        <w:ind w:left="567" w:right="567" w:firstLine="0"/>
      </w:pPr>
      <w:r w:rsidRPr="00B0319E">
        <w:t>H3: Companies with higher employee satisfaction levels will experience lower employee turnover rates compared to companies with lower employee satisfaction levels.</w:t>
      </w:r>
    </w:p>
    <w:p w14:paraId="6DD77D13" w14:textId="77777777" w:rsidR="00F42C4B" w:rsidRPr="00B0319E" w:rsidRDefault="00F42C4B" w:rsidP="00F42C4B">
      <w:pPr>
        <w:ind w:left="567" w:right="567" w:firstLine="0"/>
      </w:pPr>
    </w:p>
    <w:p w14:paraId="7EE62B06" w14:textId="1705398E" w:rsidR="00F42C4B" w:rsidRPr="00B0319E" w:rsidRDefault="00556DE9" w:rsidP="00F42C4B">
      <w:pPr>
        <w:ind w:firstLine="0"/>
      </w:pPr>
      <w:r w:rsidRPr="00B0319E">
        <w:t>The subsequent</w:t>
      </w:r>
      <w:r w:rsidR="00F42C4B" w:rsidRPr="00B0319E">
        <w:t xml:space="preserve"> section </w:t>
      </w:r>
      <w:r w:rsidRPr="00B0319E">
        <w:t xml:space="preserve">discusses </w:t>
      </w:r>
      <w:r w:rsidR="00F42C4B" w:rsidRPr="00B0319E">
        <w:t>the method</w:t>
      </w:r>
      <w:r w:rsidRPr="00B0319E">
        <w:t>ologies</w:t>
      </w:r>
      <w:r w:rsidR="002E5E18" w:rsidRPr="00B0319E">
        <w:t xml:space="preserve"> and regression</w:t>
      </w:r>
      <w:r w:rsidRPr="00B0319E">
        <w:t xml:space="preserve"> analyses employed</w:t>
      </w:r>
      <w:r w:rsidR="00F42C4B" w:rsidRPr="00B0319E">
        <w:t xml:space="preserve"> to test the hypotheses.</w:t>
      </w:r>
    </w:p>
    <w:p w14:paraId="082EB961" w14:textId="4245A6DD" w:rsidR="005D5987" w:rsidRPr="00B0319E" w:rsidRDefault="005D5987">
      <w:pPr>
        <w:spacing w:line="240" w:lineRule="auto"/>
        <w:ind w:firstLine="0"/>
        <w:jc w:val="left"/>
      </w:pPr>
      <w:r w:rsidRPr="00B0319E">
        <w:br w:type="page"/>
      </w:r>
    </w:p>
    <w:p w14:paraId="4BEA5E26" w14:textId="5F6EA140" w:rsidR="00DB4D5B" w:rsidRPr="004A2A48" w:rsidRDefault="00DB4D5B" w:rsidP="00394B30">
      <w:pPr>
        <w:pStyle w:val="Kop1"/>
        <w:rPr>
          <w:lang w:val="en-GB"/>
        </w:rPr>
      </w:pPr>
      <w:bookmarkStart w:id="8" w:name="_Toc174210212"/>
      <w:r w:rsidRPr="004A2A48">
        <w:rPr>
          <w:lang w:val="en-GB"/>
        </w:rPr>
        <w:lastRenderedPageBreak/>
        <w:t>Method</w:t>
      </w:r>
      <w:r w:rsidR="00C33176" w:rsidRPr="004A2A48">
        <w:rPr>
          <w:lang w:val="en-GB"/>
        </w:rPr>
        <w:t>ology</w:t>
      </w:r>
      <w:bookmarkEnd w:id="8"/>
    </w:p>
    <w:p w14:paraId="19193B75" w14:textId="06799AD6" w:rsidR="00F252E5" w:rsidRPr="004A2A48" w:rsidRDefault="00F252E5" w:rsidP="00DB4D5B">
      <w:pPr>
        <w:ind w:firstLine="204"/>
      </w:pPr>
      <w:r w:rsidRPr="004A2A48">
        <w:t xml:space="preserve">A multivariate regression analysis was </w:t>
      </w:r>
      <w:r w:rsidR="00533701" w:rsidRPr="004A2A48">
        <w:t>chosen</w:t>
      </w:r>
      <w:r w:rsidRPr="004A2A48">
        <w:t xml:space="preserve"> to test the relationship between the dependent variables </w:t>
      </w:r>
      <w:r w:rsidR="00533701" w:rsidRPr="004A2A48">
        <w:t>(</w:t>
      </w:r>
      <w:r w:rsidRPr="004A2A48">
        <w:t>ROA, ROE, Dividends</w:t>
      </w:r>
      <w:r w:rsidR="00533701" w:rsidRPr="004A2A48">
        <w:t xml:space="preserve"> and</w:t>
      </w:r>
      <w:r w:rsidRPr="004A2A48">
        <w:t xml:space="preserve"> Employee Turnover</w:t>
      </w:r>
      <w:r w:rsidR="00533701" w:rsidRPr="004A2A48">
        <w:t>)</w:t>
      </w:r>
      <w:r w:rsidRPr="004A2A48">
        <w:t xml:space="preserve"> and the various independent variables specified in the models</w:t>
      </w:r>
      <w:r w:rsidR="007968F7">
        <w:rPr>
          <w:rStyle w:val="Voetnootmarkering"/>
        </w:rPr>
        <w:footnoteReference w:id="1"/>
      </w:r>
      <w:r w:rsidRPr="004A2A48">
        <w:t>.</w:t>
      </w:r>
      <w:r w:rsidR="00533701" w:rsidRPr="004A2A48">
        <w:t xml:space="preserve"> </w:t>
      </w:r>
      <w:r w:rsidR="00533701" w:rsidRPr="00B0319E">
        <w:t>Th</w:t>
      </w:r>
      <w:r w:rsidR="00287F97">
        <w:t>e</w:t>
      </w:r>
      <w:r w:rsidR="00533701" w:rsidRPr="00B0319E">
        <w:t xml:space="preserve"> method was selected because it allows for the examination of multiple independent variables simultaneously, providing a comprehensive understanding of their collective and individual impacts on the dependent variables. Furthermore, multivariate regression is well-suited for identifying the strength and direction of these relationships, which is critical for validating the hypotheses.</w:t>
      </w:r>
      <w:r w:rsidR="007305D2" w:rsidRPr="004A2A48">
        <w:t xml:space="preserve"> </w:t>
      </w:r>
      <w:r w:rsidR="00533701" w:rsidRPr="00B0319E">
        <w:t>To ensure the robustness of the analysis, several diagnostic tests were performed to rule out potential issues such as multicollinearity,</w:t>
      </w:r>
      <w:r w:rsidR="005778F9" w:rsidRPr="00B0319E">
        <w:t xml:space="preserve"> autocorrelation</w:t>
      </w:r>
      <w:r w:rsidR="00533701" w:rsidRPr="00B0319E">
        <w:t xml:space="preserve"> and heteroskedasticity. These tests help confirm the validity of the regression results and ensure that the assumptions of the regression model are met</w:t>
      </w:r>
      <w:r w:rsidR="007305D2" w:rsidRPr="004A2A48">
        <w:t>.</w:t>
      </w:r>
    </w:p>
    <w:p w14:paraId="203FA187" w14:textId="4B8EF5EA" w:rsidR="00C63E16" w:rsidRPr="004A2A48" w:rsidRDefault="005778F9" w:rsidP="00C63E16">
      <w:pPr>
        <w:ind w:firstLine="204"/>
      </w:pPr>
      <w:r w:rsidRPr="004A2A48">
        <w:t xml:space="preserve">In preparing the regression analysis, potential multicollinearity among the variables that proxy employee satisfaction was assessed. Variables such as Policy_Career_Dev and Management_Training were examined for correlations to determine if they are distinct measures or if they overlap significantly in what they measure. </w:t>
      </w:r>
      <w:r w:rsidR="00C63E16" w:rsidRPr="004A2A48">
        <w:t xml:space="preserve">Multicollinearity is present when a correlation exists between several independent variables in a multiple regression model. When multiple independent variables measure the same, it becomes more difficult to determine which variable influences the dependent variable. Ultimately, multicollinearity can result in the coefficients not being statistically significant. </w:t>
      </w:r>
      <w:r w:rsidR="00580BEA" w:rsidRPr="0044645A">
        <w:t xml:space="preserve">The models were tested for multicollinearity using VIF (Variance Inflation Factor). </w:t>
      </w:r>
      <w:r w:rsidR="00757955" w:rsidRPr="00757955">
        <w:t>VIF is employed to assess the extent to which multicollinearity inflates the variance of a regression coefficient.</w:t>
      </w:r>
      <w:r w:rsidR="00757955">
        <w:t xml:space="preserve"> </w:t>
      </w:r>
      <w:r w:rsidR="00C63E16" w:rsidRPr="004A2A48">
        <w:t xml:space="preserve">A VIF value between 1 and 5 indicates that multicollinearity is not a problem in the model, whereas a value above 5 indicates that multicollinearity likely exists and requires further investigation </w:t>
      </w:r>
      <w:r w:rsidR="00C63E16" w:rsidRPr="004A2A48">
        <w:fldChar w:fldCharType="begin" w:fldLock="1"/>
      </w:r>
      <w:r w:rsidR="00C63E16" w:rsidRPr="004A2A48">
        <w:instrText>ADDIN CSL_CITATION {"citationItems":[{"id":"ITEM-1","itemData":{"URL":"https://medium.com/@satyarepala/tackling-multicollinearity-understanding-variance-inflation-factor-vif-and-mitigation-techniques-2521ebf024b6","accessed":{"date-parts":[["2024","8","4"]]},"author":[{"dropping-particle":"","family":"Repala","given":"Satya","non-dropping-particle":"","parse-names":false,"suffix":""}],"id":"ITEM-1","issued":{"date-parts":[["2023"]]},"title":"Tackling Multicollinearity: Understanding Variance Inflation Factor (VIF) and Mitigation Techniques","type":"webpage"},"uris":["http://www.mendeley.com/documents/?uuid=54a6b32a-2693-447f-9f80-2b595a430747"]}],"mendeley":{"formattedCitation":"(Repala, 2023)","plainTextFormattedCitation":"(Repala, 2023)","previouslyFormattedCitation":"(Repala, 2023)"},"properties":{"noteIndex":0},"schema":"https://github.com/citation-style-language/schema/raw/master/csl-citation.json"}</w:instrText>
      </w:r>
      <w:r w:rsidR="00C63E16" w:rsidRPr="004A2A48">
        <w:fldChar w:fldCharType="separate"/>
      </w:r>
      <w:r w:rsidR="00C63E16" w:rsidRPr="004A2A48">
        <w:rPr>
          <w:noProof/>
        </w:rPr>
        <w:t>(Repala, 2023)</w:t>
      </w:r>
      <w:r w:rsidR="00C63E16" w:rsidRPr="004A2A48">
        <w:fldChar w:fldCharType="end"/>
      </w:r>
      <w:r w:rsidR="00C63E16" w:rsidRPr="004A2A48">
        <w:t xml:space="preserve">. The VIF results </w:t>
      </w:r>
      <w:r w:rsidR="00757955">
        <w:t xml:space="preserve">for the regressions </w:t>
      </w:r>
      <w:r w:rsidR="00C63E16" w:rsidRPr="004A2A48">
        <w:t>range between 1 and 1.6, which suggests that multicollinearity is not a problem in the models presented here.</w:t>
      </w:r>
    </w:p>
    <w:p w14:paraId="55D23E3C" w14:textId="387EFAD7" w:rsidR="005778F9" w:rsidRPr="004A2A48" w:rsidRDefault="00580BEA" w:rsidP="005778F9">
      <w:pPr>
        <w:ind w:firstLine="204"/>
      </w:pPr>
      <w:r w:rsidRPr="00580BEA">
        <w:t>The Durbin-Watson test was used to verify the absence of autocorrelation</w:t>
      </w:r>
      <w:r w:rsidR="005778F9" w:rsidRPr="004A2A48">
        <w:t xml:space="preserve">. </w:t>
      </w:r>
      <w:r w:rsidRPr="00580BEA">
        <w:t xml:space="preserve">Due to the small sample size, the commonly used threshold for assuming the absence of autocorrelation was </w:t>
      </w:r>
      <w:r w:rsidRPr="00580BEA">
        <w:lastRenderedPageBreak/>
        <w:t>adjusted from 1.5 - 2.5 to 1.75 - 2.25</w:t>
      </w:r>
      <w:r w:rsidR="005778F9" w:rsidRPr="004A2A48">
        <w:t xml:space="preserve"> </w:t>
      </w:r>
      <w:r w:rsidR="005778F9" w:rsidRPr="004A2A48">
        <w:fldChar w:fldCharType="begin" w:fldLock="1"/>
      </w:r>
      <w:r w:rsidR="00A55043">
        <w:instrText>ADDIN CSL_CITATION {"citationItems":[{"id":"ITEM-1","itemData":{"URL":"https://medium.com/@analyttica/durbin-watson-test-fde429f79203","accessed":{"date-parts":[["2024","8","4"]]},"author":[{"dropping-particle":"","family":"Analyttica Datalab","given":"","non-dropping-particle":"","parse-names":false,"suffix":""}],"id":"ITEM-1","issued":{"date-parts":[["2021"]]},"title":"Understanding Durbin-Watson Test","type":"webpage"},"uris":["http://www.mendeley.com/documents/?uuid=89f79042-737e-453b-b589-d153bc5d05d5"]}],"mendeley":{"formattedCitation":"(Analyttica Datalab, 2021)","plainTextFormattedCitation":"(Analyttica Datalab, 2021)","previouslyFormattedCitation":"(Analyttica Datalab, 2021)"},"properties":{"noteIndex":0},"schema":"https://github.com/citation-style-language/schema/raw/master/csl-citation.json"}</w:instrText>
      </w:r>
      <w:r w:rsidR="005778F9" w:rsidRPr="004A2A48">
        <w:fldChar w:fldCharType="separate"/>
      </w:r>
      <w:r w:rsidR="005778F9" w:rsidRPr="004A2A48">
        <w:rPr>
          <w:noProof/>
        </w:rPr>
        <w:t>(Analyttica Datalab, 2021)</w:t>
      </w:r>
      <w:r w:rsidR="005778F9" w:rsidRPr="004A2A48">
        <w:fldChar w:fldCharType="end"/>
      </w:r>
      <w:r w:rsidR="005778F9" w:rsidRPr="004A2A48">
        <w:t>. The range was reduced to maintain the significance of the results even with a small sample size. The values of the Durbin-Watson tests range from 1.77 to 2.07. Therefore, it can be assumed that autocorrelation does not play a significant role in the existing models.</w:t>
      </w:r>
    </w:p>
    <w:p w14:paraId="191A6608" w14:textId="0235A6AA" w:rsidR="00580BEA" w:rsidRPr="004A2A48" w:rsidRDefault="00580BEA" w:rsidP="00044C05">
      <w:pPr>
        <w:ind w:firstLine="204"/>
      </w:pPr>
      <w:r w:rsidRPr="00580BEA">
        <w:t>The Breusch-Pagan test was used to check for the presence of heteroskedasticity. When heteroskedasticity is present, the variance of the residuals is not constant, which can affect the efficiency of the estimates.</w:t>
      </w:r>
      <w:r>
        <w:t xml:space="preserve"> </w:t>
      </w:r>
      <w:r w:rsidR="00C63E16" w:rsidRPr="004A2A48">
        <w:t>For the Breusch-Pagan test, 0.05 was chosen as the threshold and the results indicate that all models exceed this value. Therefore, it can be assumed that the models are not heteros</w:t>
      </w:r>
      <w:r w:rsidR="00480013" w:rsidRPr="004A2A48">
        <w:t>k</w:t>
      </w:r>
      <w:r w:rsidR="00C63E16" w:rsidRPr="004A2A48">
        <w:t>edastic</w:t>
      </w:r>
      <w:r w:rsidR="00480013" w:rsidRPr="004A2A48">
        <w:t>, but homoskedastic,</w:t>
      </w:r>
      <w:r w:rsidR="00C63E16" w:rsidRPr="004A2A48">
        <w:t xml:space="preserve"> which is required to </w:t>
      </w:r>
      <w:r w:rsidR="00480013" w:rsidRPr="004A2A48">
        <w:t>not violate regression assumptions.</w:t>
      </w:r>
      <w:r>
        <w:t xml:space="preserve"> </w:t>
      </w:r>
    </w:p>
    <w:p w14:paraId="4176A876" w14:textId="52445602" w:rsidR="00DB4D5B" w:rsidRPr="00CD3858" w:rsidRDefault="00DB4D5B" w:rsidP="00DB4D5B">
      <w:pPr>
        <w:rPr>
          <w:lang w:val="nl-NL"/>
        </w:rPr>
      </w:pPr>
      <w:r w:rsidRPr="004A2A48">
        <w:t xml:space="preserve">Based on the literature and previous research findings, the variables for hypotheses one and two were carefully chosen. To examine the impact of employee satisfaction, the variable of employee satisfaction was </w:t>
      </w:r>
      <w:r w:rsidR="00F7686B" w:rsidRPr="004A2A48">
        <w:t>included</w:t>
      </w:r>
      <w:r w:rsidRPr="004A2A48">
        <w:t xml:space="preserve">, along with other variables </w:t>
      </w:r>
      <w:r w:rsidR="00F7686B" w:rsidRPr="004A2A48">
        <w:t>identified</w:t>
      </w:r>
      <w:r w:rsidRPr="004A2A48">
        <w:t xml:space="preserve"> in the literature as influential on the dependent variable</w:t>
      </w:r>
      <w:r w:rsidR="00F7686B" w:rsidRPr="004A2A48">
        <w:t>s</w:t>
      </w:r>
      <w:r w:rsidRPr="004A2A48">
        <w:t xml:space="preserve"> </w:t>
      </w:r>
      <w:r w:rsidR="00894DC1" w:rsidRPr="004A2A48">
        <w:fldChar w:fldCharType="begin" w:fldLock="1"/>
      </w:r>
      <w:r w:rsidR="00B64534" w:rsidRPr="004A2A48">
        <w:instrText>ADDIN CSL_CITATION {"citationItems":[{"id":"ITEM-1","itemData":{"DOI":"10.12712/rpca.v16i3.52420","ISBN":"0000000299","abstract":"We investigated happiness at work reflected in the indexes presented by the 100 best companies to work for in the United States, as well as its impact on Return on Assets (ROA). Indicators used by Glassdoor were collected, as well as financial data from the Eikon. We performed a confirmatory factor analysis (CFA) to obtain the Happiness at Work General Index. The results were applied to regression to understand the relationship between the index and the ROA. Happiness at Work General Index and ROA are positively related, providing evidence that happiness at work positively impacts the operational performance of companies.","author":[{"dropping-particle":"de","family":"Souza","given":"Juliana Nascimento","non-dropping-particle":"","parse-names":false,"suffix":""},{"dropping-particle":"","family":"Fogaça","given":"Natasha","non-dropping-particle":"","parse-names":false,"suffix":""},{"dropping-particle":"","family":"Souza","given":"João Gabriel de Moraes","non-dropping-particle":"","parse-names":false,"suffix":""},{"dropping-particle":"","family":"Albuquerque","given":"Pedro Henrique Melo","non-dropping-particle":"","parse-names":false,"suffix":""}],"container-title":"Revista Pensamento Contemporâneo em Administração","id":"ITEM-1","issue":"3","issued":{"date-parts":[["2022"]]},"page":"40-54","title":"Happiness and Wealth: Satisfaction, well-being, and ROA Relationship","type":"article-journal","volume":"16"},"uris":["http://www.mendeley.com/documents/?uuid=bb7d0e96-32a3-41fe-a162-af357e6819a4"]},{"id":"ITEM-2","itemData":{"DOI":"10.1111/jasp.12695","abstract":"Contemporary trends in business have focused on enhancing the employee work experience. Proponents argue that doing so will improve employees’ productivity and ultimately the firm's performance. However, critics argue that job satisfaction has only a modest relationship with an employee's job performance, and therefore, such an investment will likely have little impact on the firm's financial performance. To investigate the relationship between employees’ job satisfaction and firm performance, we collected a sample of 404 employees working in 31 firms. We tested this relationship using latent growth modeling which allows us to latently examine how employees’ job satisfaction at one time point can predict the trajectory of firm performance. Study results indicated that job satisfaction predicted a positive linear change in two financial indices of firm performance (i.e., return on assets and return on equity) over the course of four years when controlling for three indicators of firm size. These results suggest that the effects of job satisfaction on firm performance are not immediate but rather take time to manifest.","author":[{"dropping-particle":"","family":"Kessler","given":"Stacey R.","non-dropping-particle":"","parse-names":false,"suffix":""},{"dropping-particle":"","family":"Lucianetti","given":"Lorenzo","non-dropping-particle":"","parse-names":false,"suffix":""},{"dropping-particle":"","family":"Pindek","given":"Shani","non-dropping-particle":"","parse-names":false,"suffix":""},{"dropping-particle":"","family":"Zhu","given":"Zhu","non-dropping-particle":"","parse-names":false,"suffix":""},{"dropping-particle":"","family":"Spector","given":"Paul E.","non-dropping-particle":"","parse-names":false,"suffix":""}],"container-title":"Journal of Applied Social Psychology","id":"ITEM-2","issue":"10","issued":{"date-parts":[["2020"]]},"page":"563-572","title":"Job satisfaction and firm performance: Can employees’ job satisfaction change the trajectory of a firm’s performance?","type":"article-journal","volume":"50"},"uris":["http://www.mendeley.com/documents/?uuid=d4d8c121-f755-40ae-9ff4-3c40febf3bc8"]},{"id":"ITEM-3","itemData":{"DOI":"10.5296/ijld.v4i2.6094","abstract":"Job satisfaction -or lack of it -hinges on a productive, accomplishing relationship between staff and management; indeed, the success of any organization depends on staff members who enjoy their jobs and feel rewarded by their efforts. Ultimately, of all the people in the marketplace may suffer the most when this vital success factor is lacking. In earlier ages, many researchers have been directed on job satisfaction but this still remains an issue for many organizations. The ambition of this research paper is to examine the satisfaction level of the employees and helps organizations to know about the elements that influence job satisfaction. Precisely, we acquired employee empowerment and workplace environment as the antecedents to understand their effect on job satisfaction, and further the impact of job satisfaction on job loyalty, job performance and turnover intention. A self-administered questionnaire was used for data collection from several organizations. Convenient sampling technique was used and 200 questionnaires were circulated out of which 150 were nominated for further analysis. SPSS is used for data analysis statistically. The results showed significant positive association of employee empowerment, workplace environment, job loyalty and job www.macrothink.org/ijld 121 performance with job satisfaction. Furthermore, there is a significant negative relationship between job satisfaction and turnover intention. The findings also demonstrate that there is no significant relation of turnover intention with employee empowerment and job performance.","author":[{"dropping-particle":"","family":"Javed","given":"Masooma","non-dropping-particle":"","parse-names":false,"suffix":""},{"dropping-particle":"","family":"Balouch","given":"Rifat","non-dropping-particle":"","parse-names":false,"suffix":""},{"dropping-particle":"","family":"Hassan","given":"Fatima","non-dropping-particle":"","parse-names":false,"suffix":""}],"container-title":"International Journal of Learning and Dev</w:instrText>
      </w:r>
      <w:r w:rsidR="00B64534" w:rsidRPr="00CD3858">
        <w:rPr>
          <w:lang w:val="nl-NL"/>
        </w:rPr>
        <w:instrText>elopment","id":"ITEM-3","issue":"2","issued":{"date-parts":[["2014"]]},"page":"120-140","title":"Determinants of Job Satisfaction and its Impact on Employee Performance and Turnover Intentions","type":"article-journal","volume":"4"},"uris":["http://www.mendeley.com/documents/?uuid=5b9b37af-4aa7-453e-ab80-0ef1ea833c3e"]},{"id":"ITEM-4","itemData":{"author":[{"dropping-particle":"","family":"Beracha","given":"Eli","non-dropping-particle":"","parse-names":false,"suffix":""},{"dropping-particle":"","family":"Feng","given":"Zifeng","non-dropping-particle":"","parse-names":false,"suffix":""},{"dropping-particle":"","family":"Hardin","given":"William G.","non-dropping-particle":"","parse-names":false,"suffix":""}],"container-title":"J Real Estate Finan Econ","id":"ITEM-4","issued":{"date-parts":[["2019"]]},"page":"408-437","title":"REIT Operational Efficiency: Performance, Risk, and Return","type":"article-journal","volume":"58"},"uris":["http://www.mendeley.com/documents/?uuid=c52a905f-85b6-4e4a-b872-9cfcec1d8e2b"]}],"mendeley":{"formattedCitation":"(Beracha et al., 2019; Javed et al., 2014; Kessler et al., 2020; Souza et al., 2022)","plainTextFormattedCitation":"(Beracha et al., 2019; Javed et al., 2014; Kessler et al., 2020; Souza et al., 2022)","previouslyFormattedCitation":"(Beracha et al., 2019; Javed et al., 2014; Kessler et al., 2020; Souza et al., 2022)"},"properties":{"noteIndex":0},"schema":"https://github.com/citation-style-language/schema/raw/master/csl-citation.json"}</w:instrText>
      </w:r>
      <w:r w:rsidR="00894DC1" w:rsidRPr="004A2A48">
        <w:fldChar w:fldCharType="separate"/>
      </w:r>
      <w:r w:rsidR="00B64534" w:rsidRPr="00CD3858">
        <w:rPr>
          <w:noProof/>
          <w:lang w:val="nl-NL"/>
        </w:rPr>
        <w:t>(Beracha et al., 2019; Javed et al., 2014; Kessler et al., 2020; Souza et al., 2022)</w:t>
      </w:r>
      <w:r w:rsidR="00894DC1" w:rsidRPr="004A2A48">
        <w:fldChar w:fldCharType="end"/>
      </w:r>
      <w:r w:rsidRPr="00CD3858">
        <w:rPr>
          <w:lang w:val="nl-NL"/>
        </w:rPr>
        <w:t xml:space="preserve">. </w:t>
      </w:r>
    </w:p>
    <w:p w14:paraId="7638EE10" w14:textId="3F4E21D7" w:rsidR="006F2376" w:rsidRPr="00B0319E" w:rsidRDefault="006F2376" w:rsidP="00DB4D5B">
      <w:r w:rsidRPr="00B0319E">
        <w:t>To prevent po</w:t>
      </w:r>
      <w:r w:rsidR="00F7686B" w:rsidRPr="00B0319E">
        <w:t>tential</w:t>
      </w:r>
      <w:r w:rsidRPr="00B0319E">
        <w:t xml:space="preserve"> multicollinearity, two </w:t>
      </w:r>
      <w:r w:rsidR="00F7686B" w:rsidRPr="00B0319E">
        <w:t xml:space="preserve">separate </w:t>
      </w:r>
      <w:r w:rsidRPr="00B0319E">
        <w:t xml:space="preserve">regressions were </w:t>
      </w:r>
      <w:r w:rsidR="00F7686B" w:rsidRPr="00B0319E">
        <w:t>conducted</w:t>
      </w:r>
      <w:r w:rsidRPr="00B0319E">
        <w:t xml:space="preserve"> for each hypothesis. The first </w:t>
      </w:r>
      <w:r w:rsidR="00F7686B" w:rsidRPr="00B0319E">
        <w:t>regression includes</w:t>
      </w:r>
      <w:r w:rsidRPr="00B0319E">
        <w:t xml:space="preserve"> the independent variable employee satisfaction and the second regression </w:t>
      </w:r>
      <w:r w:rsidR="00F7686B" w:rsidRPr="00B0319E">
        <w:t>includes</w:t>
      </w:r>
      <w:r w:rsidRPr="00B0319E">
        <w:t xml:space="preserve"> individual independent variables </w:t>
      </w:r>
      <w:r w:rsidR="00F7686B" w:rsidRPr="00B0319E">
        <w:t>that</w:t>
      </w:r>
      <w:r w:rsidRPr="00B0319E">
        <w:t xml:space="preserve"> also reflect </w:t>
      </w:r>
      <w:r w:rsidR="00F7686B" w:rsidRPr="00B0319E">
        <w:t xml:space="preserve">aspects of </w:t>
      </w:r>
      <w:r w:rsidRPr="00B0319E">
        <w:t xml:space="preserve">employee satisfaction. </w:t>
      </w:r>
      <w:r w:rsidR="00F7686B" w:rsidRPr="00B0319E">
        <w:t>Th</w:t>
      </w:r>
      <w:r w:rsidR="00287F97">
        <w:t>e</w:t>
      </w:r>
      <w:r w:rsidR="00F7686B" w:rsidRPr="00B0319E">
        <w:t xml:space="preserve"> dual approach allows it to test the direct relationship between employee satisfaction and the dependent variables and to identify which individual components of employee satisfaction </w:t>
      </w:r>
      <w:r w:rsidR="00F7686B" w:rsidRPr="00A55043">
        <w:t>have an effect.</w:t>
      </w:r>
    </w:p>
    <w:p w14:paraId="5ED5E068" w14:textId="3C21FEC0" w:rsidR="009E405A" w:rsidRPr="004A2A48" w:rsidRDefault="009E405A" w:rsidP="009E405A">
      <w:r w:rsidRPr="004A2A48">
        <w:t>Employee satisfaction was measured using a score reported by the company, representing the overall percentage of employees who are satisfied with their job. This score is provided as a positive value and serves as a clear and straightforward indicator of overall employee satisfaction within the company.</w:t>
      </w:r>
    </w:p>
    <w:p w14:paraId="4E0EDA7C" w14:textId="138F5DF2" w:rsidR="009E405A" w:rsidRPr="004A2A48" w:rsidRDefault="009E405A" w:rsidP="009E405A">
      <w:pPr>
        <w:rPr>
          <w:highlight w:val="yellow"/>
        </w:rPr>
      </w:pPr>
      <w:r w:rsidRPr="004A2A48">
        <w:t xml:space="preserve">To validate the employee satisfaction metric, additional variables were included based on their established relevance in existing research. Flexible working hours, policy career development, policy skills, internal promotion, and management training were incorporated as dummy variables. Each dummy variable indicates the presence or absence of specific policies or programs, </w:t>
      </w:r>
      <w:r w:rsidRPr="004A2A48">
        <w:lastRenderedPageBreak/>
        <w:t>coded as 1 if present and 0 otherwise. Th</w:t>
      </w:r>
      <w:r w:rsidR="00287F97" w:rsidRPr="004A2A48">
        <w:t>e</w:t>
      </w:r>
      <w:r w:rsidRPr="004A2A48">
        <w:t xml:space="preserve"> approach allows categorical data to be included in regression models, which typically require numerical input.</w:t>
      </w:r>
    </w:p>
    <w:p w14:paraId="2AE0A5AF" w14:textId="1104A780" w:rsidR="009E405A" w:rsidRPr="004A2A48" w:rsidRDefault="009E405A" w:rsidP="009E405A">
      <w:r w:rsidRPr="004A2A48">
        <w:t>Flexible working hours</w:t>
      </w:r>
      <w:r w:rsidR="00580BEA" w:rsidRPr="004A2A48">
        <w:t xml:space="preserve"> (Flex_Work_Hours)</w:t>
      </w:r>
      <w:r w:rsidRPr="004A2A48">
        <w:t xml:space="preserve"> indicate whether flexible working hours are available. Policy career development</w:t>
      </w:r>
      <w:r w:rsidR="00580BEA" w:rsidRPr="004A2A48">
        <w:t xml:space="preserve"> (Policy_Career_Dev)</w:t>
      </w:r>
      <w:r w:rsidRPr="004A2A48">
        <w:t xml:space="preserve"> indicates the presence of career development policies. Policy skills</w:t>
      </w:r>
      <w:r w:rsidR="00580BEA" w:rsidRPr="004A2A48">
        <w:t xml:space="preserve"> (Policy_Skills)</w:t>
      </w:r>
      <w:r w:rsidRPr="004A2A48">
        <w:t xml:space="preserve"> indicates the presence of skills training policies. Internal promotion</w:t>
      </w:r>
      <w:r w:rsidR="00580BEA" w:rsidRPr="004A2A48">
        <w:t xml:space="preserve"> (Internal_Promotion)</w:t>
      </w:r>
      <w:r w:rsidRPr="004A2A48">
        <w:t xml:space="preserve"> indicates whether promotion within the company is favoured. Management training</w:t>
      </w:r>
      <w:r w:rsidR="00580BEA" w:rsidRPr="004A2A48">
        <w:t xml:space="preserve"> (Management_Training)</w:t>
      </w:r>
      <w:r w:rsidRPr="004A2A48">
        <w:t xml:space="preserve"> indicates whether management training programs are in place. </w:t>
      </w:r>
    </w:p>
    <w:p w14:paraId="0740EDDD" w14:textId="635BE80F" w:rsidR="009E405A" w:rsidRPr="004A2A48" w:rsidRDefault="009E405A" w:rsidP="009E405A">
      <w:r w:rsidRPr="004A2A48">
        <w:tab/>
        <w:t>Board size and board independence were also included</w:t>
      </w:r>
      <w:r w:rsidR="00580BEA" w:rsidRPr="004A2A48">
        <w:t xml:space="preserve">. </w:t>
      </w:r>
      <w:r w:rsidRPr="004A2A48">
        <w:t xml:space="preserve">Board size indicates the size of the company’s board, while board independence represents the proportion of independent members on the board. </w:t>
      </w:r>
    </w:p>
    <w:p w14:paraId="60F1EF1B" w14:textId="6C0ACC7A" w:rsidR="009E405A" w:rsidRPr="004A2A48" w:rsidRDefault="009E405A" w:rsidP="009E405A">
      <w:r w:rsidRPr="004A2A48">
        <w:tab/>
        <w:t>Return on Assets (ROA) and Return on Equity (ROE) were measured as continuous variables that can take on positive or negative values, typically around zero. Return on Assets indicates how efficiently a company is using its assets to generate profit. On the other hand, Return on Equity indicates how effectively a company is using the equity invested by its shareholders to generate profit.</w:t>
      </w:r>
    </w:p>
    <w:p w14:paraId="3C6EC503" w14:textId="43B65616" w:rsidR="009E405A" w:rsidRPr="004A2A48" w:rsidRDefault="009E405A" w:rsidP="009E405A">
      <w:r w:rsidRPr="004A2A48">
        <w:tab/>
        <w:t xml:space="preserve">Employee turnover, Dividends, </w:t>
      </w:r>
      <w:r w:rsidR="00580BEA" w:rsidRPr="004A2A48">
        <w:t>N</w:t>
      </w:r>
      <w:r w:rsidRPr="004A2A48">
        <w:t xml:space="preserve">umber of </w:t>
      </w:r>
      <w:r w:rsidR="00580BEA" w:rsidRPr="004A2A48">
        <w:t>E</w:t>
      </w:r>
      <w:r w:rsidRPr="004A2A48">
        <w:t xml:space="preserve">mployees, </w:t>
      </w:r>
      <w:r w:rsidR="00580BEA" w:rsidRPr="004A2A48">
        <w:t>C</w:t>
      </w:r>
      <w:r w:rsidRPr="004A2A48">
        <w:t xml:space="preserve">apital </w:t>
      </w:r>
      <w:r w:rsidR="00580BEA" w:rsidRPr="004A2A48">
        <w:t>E</w:t>
      </w:r>
      <w:r w:rsidRPr="004A2A48">
        <w:t xml:space="preserve">xpenditures, </w:t>
      </w:r>
      <w:r w:rsidR="00580BEA" w:rsidRPr="004A2A48">
        <w:t>R</w:t>
      </w:r>
      <w:r w:rsidRPr="004A2A48">
        <w:t xml:space="preserve">evenue, and </w:t>
      </w:r>
      <w:r w:rsidR="00580BEA" w:rsidRPr="004A2A48">
        <w:t>A</w:t>
      </w:r>
      <w:r w:rsidRPr="004A2A48">
        <w:t xml:space="preserve">ssets were measured as positive continuous values. </w:t>
      </w:r>
    </w:p>
    <w:p w14:paraId="1C52552C" w14:textId="481C75DD" w:rsidR="009E405A" w:rsidRPr="004A2A48" w:rsidRDefault="009E405A" w:rsidP="009E405A">
      <w:r w:rsidRPr="004A2A48">
        <w:t>Employee turnover</w:t>
      </w:r>
      <w:r w:rsidR="00580BEA" w:rsidRPr="004A2A48">
        <w:t xml:space="preserve"> (Turnover_Employees)</w:t>
      </w:r>
      <w:r w:rsidRPr="004A2A48">
        <w:t xml:space="preserve"> represents the rate at which employees leave the company within a specific period. Dividends</w:t>
      </w:r>
      <w:r w:rsidR="00BA7827" w:rsidRPr="004A2A48">
        <w:t xml:space="preserve"> (Div)</w:t>
      </w:r>
      <w:r w:rsidRPr="004A2A48">
        <w:t xml:space="preserve"> represents the payments made by the company to its shareholders, usually in the form of cash or additional shares. The number of employees</w:t>
      </w:r>
      <w:r w:rsidR="00B87FA0" w:rsidRPr="004A2A48">
        <w:t xml:space="preserve"> (Number_Employees)</w:t>
      </w:r>
      <w:r w:rsidRPr="004A2A48">
        <w:t xml:space="preserve"> indicates the total number of employees in the company. Capital expenditures (Cap</w:t>
      </w:r>
      <w:r w:rsidR="00BA7827" w:rsidRPr="004A2A48">
        <w:t>_Ex)</w:t>
      </w:r>
      <w:r w:rsidRPr="004A2A48">
        <w:t xml:space="preserve"> represent the company’s investments in long-term assets, such as property, plant, and equipment. Revenue</w:t>
      </w:r>
      <w:r w:rsidR="00B87FA0" w:rsidRPr="004A2A48">
        <w:t xml:space="preserve"> (Revenue)</w:t>
      </w:r>
      <w:r w:rsidRPr="004A2A48">
        <w:t xml:space="preserve"> represents the total income generated by the company. Assets</w:t>
      </w:r>
      <w:r w:rsidR="00B87FA0" w:rsidRPr="004A2A48">
        <w:t xml:space="preserve"> (Assets)</w:t>
      </w:r>
      <w:r w:rsidRPr="004A2A48">
        <w:t xml:space="preserve"> represents the total value of assets the company owns.</w:t>
      </w:r>
      <w:r w:rsidR="00B87FA0" w:rsidRPr="00B87FA0">
        <w:t xml:space="preserve"> </w:t>
      </w:r>
      <w:r w:rsidRPr="004A2A48">
        <w:t xml:space="preserve">These variables were selected to capture various dimensions of job satisfaction known to positively influence overall employee satisfaction. </w:t>
      </w:r>
    </w:p>
    <w:p w14:paraId="629347AA" w14:textId="6B5343EF" w:rsidR="0096160C" w:rsidRPr="00B0319E" w:rsidRDefault="009E405A" w:rsidP="009E405A">
      <w:r w:rsidRPr="004A2A48">
        <w:t>By using these variables to validate the primary measure of employee satisfaction, a robust analysis is ensured that accounts for multiple dimensions of job satisfaction. Th</w:t>
      </w:r>
      <w:r w:rsidR="00287F97" w:rsidRPr="004A2A48">
        <w:t>e</w:t>
      </w:r>
      <w:r w:rsidRPr="004A2A48">
        <w:t xml:space="preserve"> comprehensive approach provides a nuanced understanding of the factors influencing employee satisfaction within the real estate sector</w:t>
      </w:r>
      <w:r w:rsidR="00287F97" w:rsidRPr="00B87FA0">
        <w:t>.</w:t>
      </w:r>
    </w:p>
    <w:p w14:paraId="6C80C8B7" w14:textId="1FAEFE2E" w:rsidR="00ED27E4" w:rsidRPr="004A2A48" w:rsidRDefault="006F2376" w:rsidP="00DB4D5B">
      <w:r w:rsidRPr="004A2A48">
        <w:t>For hypothesis one</w:t>
      </w:r>
      <w:r w:rsidR="00DB4D5B" w:rsidRPr="004A2A48">
        <w:t xml:space="preserve">, both </w:t>
      </w:r>
      <w:r w:rsidR="00F7686B" w:rsidRPr="004A2A48">
        <w:t>R</w:t>
      </w:r>
      <w:r w:rsidR="00DB4D5B" w:rsidRPr="004A2A48">
        <w:t xml:space="preserve">eturn on </w:t>
      </w:r>
      <w:r w:rsidR="00F7686B" w:rsidRPr="004A2A48">
        <w:t>A</w:t>
      </w:r>
      <w:r w:rsidR="00DB4D5B" w:rsidRPr="004A2A48">
        <w:t xml:space="preserve">ssets and </w:t>
      </w:r>
      <w:r w:rsidR="00F7686B" w:rsidRPr="004A2A48">
        <w:t>R</w:t>
      </w:r>
      <w:r w:rsidR="00DB4D5B" w:rsidRPr="004A2A48">
        <w:t xml:space="preserve">eturn on </w:t>
      </w:r>
      <w:r w:rsidR="00F7686B" w:rsidRPr="004A2A48">
        <w:t>E</w:t>
      </w:r>
      <w:r w:rsidR="00DB4D5B" w:rsidRPr="004A2A48">
        <w:t>quity</w:t>
      </w:r>
      <w:r w:rsidR="00F7686B" w:rsidRPr="004A2A48">
        <w:t xml:space="preserve"> </w:t>
      </w:r>
      <w:r w:rsidR="00DB4D5B" w:rsidRPr="004A2A48">
        <w:t>are used</w:t>
      </w:r>
      <w:r w:rsidR="00F7686B" w:rsidRPr="004A2A48">
        <w:t xml:space="preserve"> as dependent variables. Th</w:t>
      </w:r>
      <w:r w:rsidR="00287F97">
        <w:t>e</w:t>
      </w:r>
      <w:r w:rsidR="00F7686B" w:rsidRPr="004A2A48">
        <w:t xml:space="preserve"> combination</w:t>
      </w:r>
      <w:r w:rsidR="00287F97">
        <w:t xml:space="preserve"> of ROA and ROE</w:t>
      </w:r>
      <w:r w:rsidR="00F7686B" w:rsidRPr="004A2A48">
        <w:t xml:space="preserve"> </w:t>
      </w:r>
      <w:r w:rsidR="00DB4D5B" w:rsidRPr="004A2A48">
        <w:t xml:space="preserve">is frequently used </w:t>
      </w:r>
      <w:r w:rsidR="00F7686B" w:rsidRPr="004A2A48">
        <w:t>in the literature as it provides a holistic view of a company’s financial performance</w:t>
      </w:r>
      <w:r w:rsidR="00DB4D5B" w:rsidRPr="004A2A48">
        <w:t xml:space="preserve"> </w:t>
      </w:r>
      <w:r w:rsidR="00B64534" w:rsidRPr="004A2A48">
        <w:fldChar w:fldCharType="begin" w:fldLock="1"/>
      </w:r>
      <w:r w:rsidR="00B64534" w:rsidRPr="004A2A48">
        <w:instrText>ADDIN CSL_CITATION {"citationItems":[{"id":"ITEM-1","itemData":{"author":[{"dropping-particle":"","family":"Beracha","given":"Eli","non-dropping-particle":"","parse-names":false,"suffix":""},{"dropping-particle":"","family":"Feng","given":"Zifeng","non-dropping-particle":"","parse-names":false,"suffix":""},{"dropping-particle":"","family":"Hardin","given":"William G.","non-dropping-particle":"","parse-names":false,"suffix":""}],"container-title":"J Real Estate Finan Econ","id":"ITEM-1","issued":{"date-parts":[["2019"]]},"page":"408-437","title":"REIT Operational Efficiency: Performance, Risk, and Return","type":"article-journal","volume":"58"},"uris":["http://www.mendeley.com/documents/?uuid=c52a905f-85b6-4e4a-b872-9cfcec1d8e2b"]},{"id":"ITEM-2","itemData":{"DOI":"10.1108/JPIF-08-2016-0067","ISSN":"1463578X","abstract":"Purpose: The purpose of this paper is to examine the impact of free cash flow (FCF) on the agency costs and how these FCF and agency costs affect the performance of REITs in Asia. Unlike previous studies that focus on conventional public listed companies and non-regulated industry, the Asian REIT industry being a highly regulated industry provides a new context for further research. Design/methodology/approach: The samples for this study comprise REIT data from four major Asian REIT countries, namely, Japan, Singapore, Hong Kong and Malaysia. These countries are the leaders in Asian REITs which account for 94 percent of the total market capitalization of REITs in Asia. The study period is from 2002 to 2012 using panel data. This study employs GMM method which is more robust compared to previous studies that used pooled ordinary least squares (OLS) and other panel data methods. Findings: The results indicate that FCF and agency costs persist over time in Asian REITs even though REITs are in a highly regulated industry. The findings also imply that REIT managers face substantial costs when they wish to adjust to the equilibrium level of agency costs, whereby the optimum level is always dynamic and not constant over time and moves with the changes in the determinants of agency costs. These agency costs persist over time and have significant impacts on the performance of REITs in Asia. Research limitations/implications: There are limited data in selling, general and administrative expenses in Asian REITs which render only limited use of selling, general and administrative expenses ratio in this empirical study on Asian REITs. For future research, researchers can embark on research studies on issues that might determine the speed of adjustment toward the equilibrium level of agency costs in Asian REITs. Practical implications: For REIT regulators in Asia, this empirical study helps to provide useful information for policy planning and formulation in REIT corporate governance; and to transform the inherent satellite structure of the externally managed REIT structure into internally managed REIT structure. For REIT managers and practitioners, this empirical study serves as a reflection for them which helps them to be more aware of the dynamism of FCF and agency costs in REITs; and alert them that these FCF and agency costs persist over time which can have significant impacts on the REIT performance, return on assets and return on equity, REIT value and REIT re…","author":[{"dropping-particle":"","family":"Chong","given":"Wei Lan","non-dropping-particle":"","parse-names":false,"suffix":""},{"dropping-particle":"","family":"Ting","given":"Kien Hwa","non-dropping-particle":"","parse-names":false,"suffix":""},{"dropping-particle":"","family":"Cheng","given":"Fan Fah","non-dropping-particle":"","parse-names":false,"suffix":""}],"container-title":"Journal of Property Investment and Finance","id":"ITEM-2","issue":"2","issued":{"date-parts":[["2017"]]},"page":"200-227","title":"The performance of externally managed REITs in Asia: Further evidence from free cash flow and agency costs","type":"article-journal","volume":"35"},"uris":["http://www.mendeley.com/documents/?uuid=44bc7a90-f742-4f1d-8163-b5373848b1d6"]},{"id":"ITEM-3","itemData":{"DOI":"10.1111/jasp.12695","abstract":"Contemporary trends in business have focused on enhancing the employee work experience. Proponents argue that doing so will improve employees’ productivity and ultimately the firm's performance. However, critics argue that job satisfaction has only a modest relationship with an employee's job performance, and therefore, such an investment will likely have little impact on the firm's financial performance. To investigate the relationship between employees’ job satisfaction and firm performance, we collected a sample of 404 employees working in 31 firms. We tested this relationship using latent growth modeling which allows us to latently examine how employees’ job satisfaction at one time point can predict the trajectory of firm performance. Study results indicated that job satisfaction predicted a positive linear change in two financial indices of firm performance (i.e., return on assets and return on equity) over the course of four years when controlling for three indicators of firm size. These results suggest that the effects of job satisfaction on firm performance are not immediate but rather take time to manifest.","author":[{"dropping-particle":"","family":"Kessler","given":"Stacey R.","non-dropping-particle":"","parse-names":false,"suffix":""},{"dropping-particle":"","family":"Lucianetti","given":"Lorenzo","non-dropping-particle":"","parse-names":false,"suffix":""},{"dropping-particle":"","family":"Pindek","given":"Shani","non-dropping-particle":"","parse-names":false,"suffix":""},{"dropping-particle":"","family":"Zhu","given":"Zhu","non-dropping-particle":"","parse-names":false,"suffix":""},{"dropping-particle":"","family":"Spector","given":"Paul E.","non-dropping-particle":"","parse-names":false,"suffix":""}],"container-title":"Journal of Applied Social Psychology","id":"ITEM-3","issue":"10","issued":{"date-parts":[["2020"]]},"page":"563-572","title":"Job satisfaction and firm performance: Can employees’ job satisfaction change the trajectory of a firm’s performance?","type":"article-journal","volume":"50"},"uris":["http://www.mendeley.com/documents/?uuid=d4d8c121-f755-40ae-9ff4-3c40febf3bc8"]}],"mendeley":{"formattedCitation":"(Beracha et al., 2019; Chong et al., 2017; Kessler et al., 2020)","plainTextFormattedCitation":"(Beracha et al., 2019; Chong et al., 2017; Kessler et al., 2020)","previouslyFormattedCitation":"(Beracha et al., 2019; Chong et al., 2017; Kessler et al., 2020)"},"properties":{"noteIndex":0},"schema":"https://github.com/citation-style-language/schema/raw/master/csl-citation.json"}</w:instrText>
      </w:r>
      <w:r w:rsidR="00B64534" w:rsidRPr="004A2A48">
        <w:fldChar w:fldCharType="separate"/>
      </w:r>
      <w:r w:rsidR="00B64534" w:rsidRPr="004A2A48">
        <w:rPr>
          <w:noProof/>
        </w:rPr>
        <w:t>(Beracha et al., 2019; Chong et al., 2017; Kessler et al., 2020)</w:t>
      </w:r>
      <w:r w:rsidR="00B64534" w:rsidRPr="004A2A48">
        <w:fldChar w:fldCharType="end"/>
      </w:r>
      <w:r w:rsidR="00B64534" w:rsidRPr="004A2A48">
        <w:t>.</w:t>
      </w:r>
      <w:r w:rsidR="00AE0543" w:rsidRPr="004A2A48">
        <w:t xml:space="preserve"> ROA measures the efficiency of a company’s use of its assets to generate profit, while ROE measures the return generated on shareholders’ equity. By using both ROA and ROE, different aspects of financial performance can be captured, ensuring a more comprehensive analysis.</w:t>
      </w:r>
    </w:p>
    <w:p w14:paraId="0476BAE1" w14:textId="58070138" w:rsidR="00DB4D5B" w:rsidRPr="004A2A48" w:rsidRDefault="00DB4D5B" w:rsidP="00DB4D5B">
      <w:r w:rsidRPr="004A2A48">
        <w:t xml:space="preserve">The </w:t>
      </w:r>
      <w:r w:rsidR="00AE0543" w:rsidRPr="004A2A48">
        <w:t xml:space="preserve">utilization of both variables provides a more comprehensive assessment of a company’s </w:t>
      </w:r>
      <w:r w:rsidRPr="004A2A48">
        <w:t>performance</w:t>
      </w:r>
      <w:r w:rsidR="00AE0543" w:rsidRPr="004A2A48">
        <w:t>,</w:t>
      </w:r>
      <w:r w:rsidRPr="004A2A48">
        <w:t xml:space="preserve"> as they </w:t>
      </w:r>
      <w:r w:rsidR="00AE0543" w:rsidRPr="004A2A48">
        <w:t xml:space="preserve">offer </w:t>
      </w:r>
      <w:r w:rsidRPr="004A2A48">
        <w:t>complement</w:t>
      </w:r>
      <w:r w:rsidR="00AE0543" w:rsidRPr="004A2A48">
        <w:t>ary insights</w:t>
      </w:r>
      <w:r w:rsidRPr="004A2A48">
        <w:t>.</w:t>
      </w:r>
      <w:r w:rsidR="00F33410" w:rsidRPr="004A2A48">
        <w:t xml:space="preserve"> </w:t>
      </w:r>
      <w:r w:rsidR="00AE0543" w:rsidRPr="004A2A48">
        <w:t>Consequently</w:t>
      </w:r>
      <w:r w:rsidR="00F33410" w:rsidRPr="004A2A48">
        <w:t xml:space="preserve">, hypothesis H1A will </w:t>
      </w:r>
      <w:r w:rsidR="00AE0543" w:rsidRPr="004A2A48">
        <w:t>employ</w:t>
      </w:r>
      <w:r w:rsidR="00F33410" w:rsidRPr="004A2A48">
        <w:t xml:space="preserve"> ROA as </w:t>
      </w:r>
      <w:r w:rsidR="00AE0543" w:rsidRPr="004A2A48">
        <w:t>the</w:t>
      </w:r>
      <w:r w:rsidR="00F33410" w:rsidRPr="004A2A48">
        <w:t xml:space="preserve"> dependent variable</w:t>
      </w:r>
      <w:r w:rsidR="00AE0543" w:rsidRPr="004A2A48">
        <w:t>,</w:t>
      </w:r>
      <w:r w:rsidR="00F33410" w:rsidRPr="004A2A48">
        <w:t xml:space="preserve"> </w:t>
      </w:r>
      <w:r w:rsidR="00AE0543" w:rsidRPr="004A2A48">
        <w:t>while</w:t>
      </w:r>
      <w:r w:rsidR="00F33410" w:rsidRPr="004A2A48">
        <w:t xml:space="preserve"> hypothesis H1B will </w:t>
      </w:r>
      <w:r w:rsidR="00AE0543" w:rsidRPr="004A2A48">
        <w:t>utilize</w:t>
      </w:r>
      <w:r w:rsidR="00F33410" w:rsidRPr="004A2A48">
        <w:t xml:space="preserve"> ROE as </w:t>
      </w:r>
      <w:r w:rsidR="00AE0543" w:rsidRPr="004A2A48">
        <w:t>the</w:t>
      </w:r>
      <w:r w:rsidR="00F33410" w:rsidRPr="004A2A48">
        <w:t xml:space="preserve"> dependent variable.</w:t>
      </w:r>
      <w:r w:rsidRPr="004A2A48">
        <w:t xml:space="preserve"> The model to test hypothesis one </w:t>
      </w:r>
      <w:r w:rsidR="00AE0543" w:rsidRPr="004A2A48">
        <w:t>is structured</w:t>
      </w:r>
      <w:r w:rsidRPr="004A2A48">
        <w:t xml:space="preserve"> as follows:</w:t>
      </w:r>
    </w:p>
    <w:p w14:paraId="344D9186" w14:textId="77777777" w:rsidR="005D5987" w:rsidRPr="00B0319E" w:rsidRDefault="005D5987" w:rsidP="005D5987"/>
    <w:p w14:paraId="626D51DC" w14:textId="15EFBD6E" w:rsidR="00DB4D5B" w:rsidRPr="00B0319E" w:rsidRDefault="00DB4D5B" w:rsidP="00DB4D5B">
      <w:pPr>
        <w:tabs>
          <w:tab w:val="left" w:pos="1134"/>
        </w:tabs>
        <w:spacing w:line="240" w:lineRule="auto"/>
        <w:ind w:left="567" w:right="567" w:firstLine="0"/>
        <w:jc w:val="left"/>
        <w:rPr>
          <w:rFonts w:ascii="Calibri" w:eastAsia="Yu Mincho" w:hAnsi="Calibri" w:cs="Arial"/>
          <w:color w:val="70AD47"/>
          <w:kern w:val="2"/>
          <w:lang w:eastAsia="ja-JP"/>
          <w14:ligatures w14:val="standardContextual"/>
        </w:rPr>
      </w:pPr>
      <w:r w:rsidRPr="00B0319E">
        <w:rPr>
          <w:rFonts w:ascii="Times New Roman" w:eastAsia="Yu Mincho" w:hAnsi="Times New Roman"/>
          <w:kern w:val="2"/>
          <w:lang w:eastAsia="ja-JP"/>
          <w14:ligatures w14:val="standardContextual"/>
        </w:rPr>
        <w:t>H1:</w:t>
      </w:r>
      <w:r w:rsidRPr="00B0319E">
        <w:rPr>
          <w:rFonts w:ascii="Calibri" w:eastAsia="Yu Mincho" w:hAnsi="Calibri" w:cs="Arial"/>
          <w:kern w:val="2"/>
          <w:lang w:eastAsia="ja-JP"/>
          <w14:ligatures w14:val="standardContextual"/>
        </w:rPr>
        <w:t xml:space="preserve"> </w:t>
      </w:r>
      <m:oMath>
        <m:sSub>
          <m:sSubPr>
            <m:ctrlPr>
              <w:rPr>
                <w:rFonts w:ascii="Cambria Math" w:eastAsia="Yu Mincho" w:hAnsi="Cambria Math" w:cs="Arial"/>
                <w:i/>
                <w:kern w:val="2"/>
                <w:lang w:eastAsia="ja-JP"/>
                <w14:ligatures w14:val="standardContextual"/>
              </w:rPr>
            </m:ctrlPr>
          </m:sSubPr>
          <m:e>
            <m:r>
              <w:rPr>
                <w:rFonts w:ascii="Cambria Math" w:eastAsia="Yu Mincho" w:hAnsi="Cambria Math" w:cs="Arial"/>
                <w:kern w:val="2"/>
                <w:lang w:eastAsia="ja-JP"/>
                <w14:ligatures w14:val="standardContextual"/>
              </w:rPr>
              <m:t>Y=β</m:t>
            </m:r>
          </m:e>
          <m:sub>
            <m:r>
              <w:rPr>
                <w:rFonts w:ascii="Cambria Math" w:eastAsia="Yu Mincho" w:hAnsi="Cambria Math" w:cs="Arial"/>
                <w:kern w:val="2"/>
                <w:lang w:eastAsia="ja-JP"/>
                <w14:ligatures w14:val="standardContextual"/>
              </w:rPr>
              <m:t>0</m:t>
            </m:r>
          </m:sub>
        </m:sSub>
        <m:r>
          <w:rPr>
            <w:rFonts w:ascii="Cambria Math" w:eastAsia="Yu Mincho" w:hAnsi="Cambria Math" w:cs="Arial"/>
            <w:kern w:val="2"/>
            <w:lang w:eastAsia="ja-JP"/>
            <w14:ligatures w14:val="standardContextual"/>
          </w:rPr>
          <m:t>+</m:t>
        </m:r>
        <m:sSub>
          <m:sSubPr>
            <m:ctrlPr>
              <w:rPr>
                <w:rFonts w:ascii="Cambria Math" w:eastAsia="Yu Mincho" w:hAnsi="Cambria Math" w:cs="Arial"/>
                <w:i/>
                <w:kern w:val="2"/>
                <w:lang w:eastAsia="ja-JP"/>
                <w14:ligatures w14:val="standardContextual"/>
              </w:rPr>
            </m:ctrlPr>
          </m:sSubPr>
          <m:e>
            <m:r>
              <w:rPr>
                <w:rFonts w:ascii="Cambria Math" w:eastAsia="Yu Mincho" w:hAnsi="Cambria Math" w:cs="Arial"/>
                <w:kern w:val="2"/>
                <w:lang w:eastAsia="ja-JP"/>
                <w14:ligatures w14:val="standardContextual"/>
              </w:rPr>
              <m:t>β</m:t>
            </m:r>
          </m:e>
          <m:sub>
            <m:r>
              <w:rPr>
                <w:rFonts w:ascii="Cambria Math" w:eastAsia="Yu Mincho" w:hAnsi="Cambria Math" w:cs="Arial"/>
                <w:kern w:val="2"/>
                <w:lang w:eastAsia="ja-JP"/>
                <w14:ligatures w14:val="standardContextual"/>
              </w:rPr>
              <m:t>1</m:t>
            </m:r>
          </m:sub>
        </m:sSub>
        <m:r>
          <w:rPr>
            <w:rFonts w:ascii="Cambria Math" w:eastAsia="Yu Mincho" w:hAnsi="Cambria Math" w:cs="Arial"/>
            <w:kern w:val="2"/>
            <w:lang w:eastAsia="ja-JP"/>
            <w14:ligatures w14:val="standardContextual"/>
          </w:rPr>
          <m:t>FlexibleWorkingHours+</m:t>
        </m:r>
        <m:sSub>
          <m:sSubPr>
            <m:ctrlPr>
              <w:rPr>
                <w:rFonts w:ascii="Cambria Math" w:eastAsia="Yu Mincho" w:hAnsi="Cambria Math" w:cs="Arial"/>
                <w:i/>
                <w:kern w:val="2"/>
                <w:lang w:eastAsia="ja-JP"/>
                <w14:ligatures w14:val="standardContextual"/>
              </w:rPr>
            </m:ctrlPr>
          </m:sSubPr>
          <m:e>
            <m:r>
              <w:rPr>
                <w:rFonts w:ascii="Cambria Math" w:eastAsia="Yu Mincho" w:hAnsi="Cambria Math" w:cs="Arial"/>
                <w:kern w:val="2"/>
                <w:lang w:eastAsia="ja-JP"/>
                <w14:ligatures w14:val="standardContextual"/>
              </w:rPr>
              <m:t>β</m:t>
            </m:r>
          </m:e>
          <m:sub>
            <m:r>
              <w:rPr>
                <w:rFonts w:ascii="Cambria Math" w:eastAsia="Yu Mincho" w:hAnsi="Cambria Math" w:cs="Arial"/>
                <w:kern w:val="2"/>
                <w:lang w:eastAsia="ja-JP"/>
                <w14:ligatures w14:val="standardContextual"/>
              </w:rPr>
              <m:t>2</m:t>
            </m:r>
          </m:sub>
        </m:sSub>
        <m:r>
          <w:rPr>
            <w:rFonts w:ascii="Cambria Math" w:eastAsia="Yu Mincho" w:hAnsi="Cambria Math" w:cs="Arial"/>
            <w:kern w:val="2"/>
            <w:lang w:eastAsia="ja-JP"/>
            <w14:ligatures w14:val="standardContextual"/>
          </w:rPr>
          <m:t>PolicyCareerDevelopment+</m:t>
        </m:r>
        <m:sSub>
          <m:sSubPr>
            <m:ctrlPr>
              <w:rPr>
                <w:rFonts w:ascii="Cambria Math" w:eastAsia="Yu Mincho" w:hAnsi="Cambria Math" w:cs="Arial"/>
                <w:i/>
                <w:kern w:val="2"/>
                <w:lang w:eastAsia="ja-JP"/>
                <w14:ligatures w14:val="standardContextual"/>
              </w:rPr>
            </m:ctrlPr>
          </m:sSubPr>
          <m:e>
            <m:sSub>
              <m:sSubPr>
                <m:ctrlPr>
                  <w:rPr>
                    <w:rFonts w:ascii="Cambria Math" w:eastAsia="Yu Mincho" w:hAnsi="Cambria Math" w:cs="Arial"/>
                    <w:i/>
                    <w:kern w:val="2"/>
                    <w:lang w:eastAsia="ja-JP"/>
                    <w14:ligatures w14:val="standardContextual"/>
                  </w:rPr>
                </m:ctrlPr>
              </m:sSubPr>
              <m:e>
                <m:r>
                  <w:rPr>
                    <w:rFonts w:ascii="Cambria Math" w:eastAsia="Yu Mincho" w:hAnsi="Cambria Math" w:cs="Arial"/>
                    <w:kern w:val="2"/>
                    <w:lang w:eastAsia="ja-JP"/>
                    <w14:ligatures w14:val="standardContextual"/>
                  </w:rPr>
                  <m:t>β</m:t>
                </m:r>
              </m:e>
              <m:sub>
                <m:r>
                  <w:rPr>
                    <w:rFonts w:ascii="Cambria Math" w:eastAsia="Yu Mincho" w:hAnsi="Cambria Math" w:cs="Arial"/>
                    <w:kern w:val="2"/>
                    <w:lang w:eastAsia="ja-JP"/>
                    <w14:ligatures w14:val="standardContextual"/>
                  </w:rPr>
                  <m:t>3</m:t>
                </m:r>
              </m:sub>
            </m:sSub>
            <m:r>
              <w:rPr>
                <w:rFonts w:ascii="Cambria Math" w:eastAsia="Yu Mincho" w:hAnsi="Cambria Math" w:cs="Arial"/>
                <w:kern w:val="2"/>
                <w:lang w:eastAsia="ja-JP"/>
                <w14:ligatures w14:val="standardContextual"/>
              </w:rPr>
              <m:t>PolicySkillsTraining+</m:t>
            </m:r>
            <m:sSub>
              <m:sSubPr>
                <m:ctrlPr>
                  <w:rPr>
                    <w:rFonts w:ascii="Cambria Math" w:eastAsia="Yu Mincho" w:hAnsi="Cambria Math" w:cs="Arial"/>
                    <w:i/>
                    <w:kern w:val="2"/>
                    <w:lang w:eastAsia="ja-JP"/>
                    <w14:ligatures w14:val="standardContextual"/>
                  </w:rPr>
                </m:ctrlPr>
              </m:sSubPr>
              <m:e>
                <m:r>
                  <w:rPr>
                    <w:rFonts w:ascii="Cambria Math" w:eastAsia="Yu Mincho" w:hAnsi="Cambria Math" w:cs="Arial"/>
                    <w:kern w:val="2"/>
                    <w:lang w:eastAsia="ja-JP"/>
                    <w14:ligatures w14:val="standardContextual"/>
                  </w:rPr>
                  <m:t>β</m:t>
                </m:r>
              </m:e>
              <m:sub>
                <m:r>
                  <w:rPr>
                    <w:rFonts w:ascii="Cambria Math" w:eastAsia="Yu Mincho" w:hAnsi="Cambria Math" w:cs="Arial"/>
                    <w:kern w:val="2"/>
                    <w:lang w:eastAsia="ja-JP"/>
                    <w14:ligatures w14:val="standardContextual"/>
                  </w:rPr>
                  <m:t>4</m:t>
                </m:r>
              </m:sub>
            </m:sSub>
            <m:r>
              <w:rPr>
                <w:rFonts w:ascii="Cambria Math" w:eastAsia="Yu Mincho" w:hAnsi="Cambria Math" w:cs="Arial"/>
                <w:kern w:val="2"/>
                <w:lang w:eastAsia="ja-JP"/>
                <w14:ligatures w14:val="standardContextual"/>
              </w:rPr>
              <m:t>InternalPromotion+β</m:t>
            </m:r>
          </m:e>
          <m:sub>
            <m:r>
              <w:rPr>
                <w:rFonts w:ascii="Cambria Math" w:eastAsia="Yu Mincho" w:hAnsi="Cambria Math" w:cs="Arial"/>
                <w:kern w:val="2"/>
                <w:lang w:eastAsia="ja-JP"/>
                <w14:ligatures w14:val="standardContextual"/>
              </w:rPr>
              <m:t>5</m:t>
            </m:r>
          </m:sub>
        </m:sSub>
        <m:r>
          <w:rPr>
            <w:rFonts w:ascii="Cambria Math" w:eastAsia="Yu Mincho" w:hAnsi="Cambria Math" w:cs="Arial"/>
            <w:kern w:val="2"/>
            <w:lang w:eastAsia="ja-JP"/>
            <w14:ligatures w14:val="standardContextual"/>
          </w:rPr>
          <m:t>TurnoverEmployee+</m:t>
        </m:r>
        <m:sSub>
          <m:sSubPr>
            <m:ctrlPr>
              <w:rPr>
                <w:rFonts w:ascii="Cambria Math" w:eastAsia="Yu Mincho" w:hAnsi="Cambria Math" w:cs="Arial"/>
                <w:i/>
                <w:kern w:val="2"/>
                <w:lang w:eastAsia="ja-JP"/>
                <w14:ligatures w14:val="standardContextual"/>
              </w:rPr>
            </m:ctrlPr>
          </m:sSubPr>
          <m:e>
            <m:r>
              <w:rPr>
                <w:rFonts w:ascii="Cambria Math" w:eastAsia="Yu Mincho" w:hAnsi="Cambria Math" w:cs="Arial"/>
                <w:kern w:val="2"/>
                <w:lang w:eastAsia="ja-JP"/>
                <w14:ligatures w14:val="standardContextual"/>
              </w:rPr>
              <m:t>β</m:t>
            </m:r>
          </m:e>
          <m:sub>
            <m:r>
              <w:rPr>
                <w:rFonts w:ascii="Cambria Math" w:eastAsia="Yu Mincho" w:hAnsi="Cambria Math" w:cs="Arial"/>
                <w:kern w:val="2"/>
                <w:lang w:eastAsia="ja-JP"/>
                <w14:ligatures w14:val="standardContextual"/>
              </w:rPr>
              <m:t>6</m:t>
            </m:r>
          </m:sub>
        </m:sSub>
        <m:r>
          <w:rPr>
            <w:rFonts w:ascii="Cambria Math" w:eastAsia="Yu Mincho" w:hAnsi="Cambria Math" w:cs="Arial"/>
            <w:kern w:val="2"/>
            <w:lang w:eastAsia="ja-JP"/>
            <w14:ligatures w14:val="standardContextual"/>
          </w:rPr>
          <m:t>Dividend+</m:t>
        </m:r>
        <m:sSub>
          <m:sSubPr>
            <m:ctrlPr>
              <w:rPr>
                <w:rFonts w:ascii="Cambria Math" w:eastAsia="Yu Mincho" w:hAnsi="Cambria Math" w:cs="Arial"/>
                <w:i/>
                <w:kern w:val="2"/>
                <w:lang w:eastAsia="ja-JP"/>
                <w14:ligatures w14:val="standardContextual"/>
              </w:rPr>
            </m:ctrlPr>
          </m:sSubPr>
          <m:e>
            <m:r>
              <w:rPr>
                <w:rFonts w:ascii="Cambria Math" w:eastAsia="Yu Mincho" w:hAnsi="Cambria Math" w:cs="Arial"/>
                <w:kern w:val="2"/>
                <w:lang w:eastAsia="ja-JP"/>
                <w14:ligatures w14:val="standardContextual"/>
              </w:rPr>
              <m:t>β</m:t>
            </m:r>
          </m:e>
          <m:sub>
            <m:r>
              <w:rPr>
                <w:rFonts w:ascii="Cambria Math" w:eastAsia="Yu Mincho" w:hAnsi="Cambria Math" w:cs="Arial"/>
                <w:kern w:val="2"/>
                <w:lang w:eastAsia="ja-JP"/>
                <w14:ligatures w14:val="standardContextual"/>
              </w:rPr>
              <m:t>7</m:t>
            </m:r>
          </m:sub>
        </m:sSub>
        <m:r>
          <w:rPr>
            <w:rFonts w:ascii="Cambria Math" w:eastAsia="Yu Mincho" w:hAnsi="Cambria Math" w:cs="Arial"/>
            <w:kern w:val="2"/>
            <w:lang w:eastAsia="ja-JP"/>
            <w14:ligatures w14:val="standardContextual"/>
          </w:rPr>
          <m:t>Revenue+</m:t>
        </m:r>
        <w:bookmarkStart w:id="9" w:name="_Hlk169529202"/>
        <m:sSub>
          <m:sSubPr>
            <m:ctrlPr>
              <w:rPr>
                <w:rFonts w:ascii="Cambria Math" w:eastAsia="Yu Mincho" w:hAnsi="Cambria Math" w:cs="Arial"/>
                <w:i/>
                <w:kern w:val="2"/>
                <w:lang w:eastAsia="ja-JP"/>
                <w14:ligatures w14:val="standardContextual"/>
              </w:rPr>
            </m:ctrlPr>
          </m:sSubPr>
          <m:e>
            <m:r>
              <w:rPr>
                <w:rFonts w:ascii="Cambria Math" w:eastAsia="Yu Mincho" w:hAnsi="Cambria Math" w:cs="Arial"/>
                <w:kern w:val="2"/>
                <w:lang w:eastAsia="ja-JP"/>
                <w14:ligatures w14:val="standardContextual"/>
              </w:rPr>
              <m:t>β</m:t>
            </m:r>
          </m:e>
          <m:sub>
            <m:r>
              <w:rPr>
                <w:rFonts w:ascii="Cambria Math" w:eastAsia="Yu Mincho" w:hAnsi="Cambria Math" w:cs="Arial"/>
                <w:kern w:val="2"/>
                <w:lang w:eastAsia="ja-JP"/>
                <w14:ligatures w14:val="standardContextual"/>
              </w:rPr>
              <m:t>8</m:t>
            </m:r>
          </m:sub>
        </m:sSub>
        <m:r>
          <w:rPr>
            <w:rFonts w:ascii="Cambria Math" w:eastAsia="Yu Mincho" w:hAnsi="Cambria Math" w:cs="Arial"/>
            <w:kern w:val="2"/>
            <w:lang w:eastAsia="ja-JP"/>
            <w14:ligatures w14:val="standardContextual"/>
          </w:rPr>
          <m:t>Assets</m:t>
        </m:r>
        <w:bookmarkEnd w:id="9"/>
        <m:r>
          <w:rPr>
            <w:rFonts w:ascii="Cambria Math" w:eastAsia="Yu Mincho" w:hAnsi="Cambria Math" w:cs="Arial"/>
            <w:kern w:val="2"/>
            <w:lang w:eastAsia="ja-JP"/>
            <w14:ligatures w14:val="standardContextual"/>
          </w:rPr>
          <m:t>+</m:t>
        </m:r>
        <m:sSub>
          <m:sSubPr>
            <m:ctrlPr>
              <w:rPr>
                <w:rFonts w:ascii="Cambria Math" w:eastAsia="Yu Mincho" w:hAnsi="Cambria Math" w:cs="Arial"/>
                <w:i/>
                <w:kern w:val="2"/>
                <w:lang w:eastAsia="ja-JP"/>
                <w14:ligatures w14:val="standardContextual"/>
              </w:rPr>
            </m:ctrlPr>
          </m:sSubPr>
          <m:e>
            <m:r>
              <w:rPr>
                <w:rFonts w:ascii="Cambria Math" w:eastAsia="Yu Mincho" w:hAnsi="Cambria Math" w:cs="Arial"/>
                <w:kern w:val="2"/>
                <w:lang w:eastAsia="ja-JP"/>
                <w14:ligatures w14:val="standardContextual"/>
              </w:rPr>
              <m:t>β</m:t>
            </m:r>
          </m:e>
          <m:sub>
            <m:r>
              <w:rPr>
                <w:rFonts w:ascii="Cambria Math" w:eastAsia="Yu Mincho" w:hAnsi="Cambria Math" w:cs="Arial"/>
                <w:kern w:val="2"/>
                <w:lang w:eastAsia="ja-JP"/>
                <w14:ligatures w14:val="standardContextual"/>
              </w:rPr>
              <m:t>9</m:t>
            </m:r>
          </m:sub>
        </m:sSub>
        <m:r>
          <w:rPr>
            <w:rFonts w:ascii="Cambria Math" w:eastAsia="Yu Mincho" w:hAnsi="Cambria Math" w:cs="Arial"/>
            <w:kern w:val="2"/>
            <w:lang w:eastAsia="ja-JP"/>
            <w14:ligatures w14:val="standardContextual"/>
          </w:rPr>
          <m:t xml:space="preserve">NumberEmployees+ </m:t>
        </m:r>
        <m:sSub>
          <m:sSubPr>
            <m:ctrlPr>
              <w:rPr>
                <w:rFonts w:ascii="Cambria Math" w:eastAsia="Yu Mincho" w:hAnsi="Cambria Math" w:cs="Arial"/>
                <w:i/>
                <w:kern w:val="2"/>
                <w:lang w:eastAsia="ja-JP"/>
                <w14:ligatures w14:val="standardContextual"/>
              </w:rPr>
            </m:ctrlPr>
          </m:sSubPr>
          <m:e>
            <m:r>
              <w:rPr>
                <w:rFonts w:ascii="Cambria Math" w:eastAsia="Yu Mincho" w:hAnsi="Cambria Math" w:cs="Arial"/>
                <w:kern w:val="2"/>
                <w:lang w:eastAsia="ja-JP"/>
                <w14:ligatures w14:val="standardContextual"/>
              </w:rPr>
              <m:t>β</m:t>
            </m:r>
          </m:e>
          <m:sub>
            <m:r>
              <w:rPr>
                <w:rFonts w:ascii="Cambria Math" w:eastAsia="Yu Mincho" w:hAnsi="Cambria Math" w:cs="Arial"/>
                <w:kern w:val="2"/>
                <w:lang w:eastAsia="ja-JP"/>
                <w14:ligatures w14:val="standardContextual"/>
              </w:rPr>
              <m:t>10</m:t>
            </m:r>
          </m:sub>
        </m:sSub>
        <m:r>
          <w:rPr>
            <w:rFonts w:ascii="Cambria Math" w:eastAsia="Yu Mincho" w:hAnsi="Cambria Math" w:cs="Arial"/>
            <w:kern w:val="2"/>
            <w:lang w:eastAsia="ja-JP"/>
            <w14:ligatures w14:val="standardContextual"/>
          </w:rPr>
          <m:t>ManagementTraining+ε</m:t>
        </m:r>
      </m:oMath>
    </w:p>
    <w:p w14:paraId="16EA4475" w14:textId="77777777" w:rsidR="00DB4D5B" w:rsidRPr="00B0319E" w:rsidRDefault="00DB4D5B" w:rsidP="00DB4D5B">
      <w:pPr>
        <w:ind w:firstLine="0"/>
        <w:rPr>
          <w:rFonts w:ascii="Times New Roman" w:eastAsia="Aptos" w:hAnsi="Times New Roman"/>
        </w:rPr>
      </w:pPr>
    </w:p>
    <w:p w14:paraId="56E842B0" w14:textId="77777777" w:rsidR="00DB4D5B" w:rsidRPr="00B0319E" w:rsidRDefault="00DB4D5B" w:rsidP="005D5987"/>
    <w:p w14:paraId="4245F94E" w14:textId="1BB00065" w:rsidR="00DB4D5B" w:rsidRPr="00B0319E" w:rsidRDefault="00DB4D5B" w:rsidP="005D5987">
      <w:r w:rsidRPr="00B0319E">
        <w:t xml:space="preserve">For hypothesis two, additional relevant variables were </w:t>
      </w:r>
      <w:r w:rsidR="007E7AC6" w:rsidRPr="00B0319E">
        <w:t>incorporated</w:t>
      </w:r>
      <w:r w:rsidRPr="00B0319E">
        <w:t xml:space="preserve"> into the model in order to </w:t>
      </w:r>
      <w:r w:rsidR="007E7AC6" w:rsidRPr="00B0319E">
        <w:t>achieve optimal</w:t>
      </w:r>
      <w:r w:rsidRPr="00B0319E">
        <w:t xml:space="preserve"> results</w:t>
      </w:r>
      <w:r w:rsidR="007E7AC6" w:rsidRPr="00B0319E">
        <w:t xml:space="preserve"> and mitigate omitted variable bias</w:t>
      </w:r>
      <w:r w:rsidRPr="00B0319E">
        <w:t xml:space="preserve">. </w:t>
      </w:r>
      <w:r w:rsidR="007E7AC6" w:rsidRPr="00B0319E">
        <w:t>E</w:t>
      </w:r>
      <w:r w:rsidRPr="00B0319E">
        <w:t>xisting research</w:t>
      </w:r>
      <w:r w:rsidR="007E7AC6" w:rsidRPr="00B0319E">
        <w:t xml:space="preserve"> indicates that</w:t>
      </w:r>
      <w:r w:rsidRPr="00B0319E">
        <w:t xml:space="preserve"> the size of the board and its independence </w:t>
      </w:r>
      <w:r w:rsidR="007E7AC6" w:rsidRPr="00B0319E">
        <w:t xml:space="preserve">significantly impact </w:t>
      </w:r>
      <w:r w:rsidRPr="00B0319E">
        <w:t xml:space="preserve">the issuance of dividends to shareholders </w:t>
      </w:r>
      <w:r w:rsidR="001E379B" w:rsidRPr="00B0319E">
        <w:fldChar w:fldCharType="begin" w:fldLock="1"/>
      </w:r>
      <w:r w:rsidR="003F09B4" w:rsidRPr="00B0319E">
        <w:instrText>ADDIN CSL_CITATION {"citationItems":[{"id":"ITEM-1","itemData":{"DOI":"10.1016/j.jbusres.2021.07.009","ISSN":"01482963","abstract":"Drawing on stakeholder and agency theories, we examine how employee friendly practices impact dividend payments in emerging countries. Using data from 862 firms and 6,071 firm-year observations from 17 emerging countries, we find that the employee friendly practices are negatively related to the dividend payments. This relationship is found to be stronger for government owned firms. We further examine the ‘agency problems’ and ‘future investment’ as possible channels through which employee friendly practices may lead firms to pay low dividends. We find the support for the future investment channel. Lastly, we examine the value effect of employee friendly treatment and find that employee friendly practices increase firm performance in emerging markets which lends support to the effectiveness of the investment channel.","author":[{"dropping-particle":"","family":"Saeed","given":"Abubakr","non-dropping-particle":"","parse-names":false,"suffix":""}],"container-title":"Journal of Business Research","id":"ITEM-1","issue":"June","issued":{"date-parts":[["2021"]]},"page":"592-605","publisher":"Elsevier Inc.","title":"The impact of employee friendly practices on dividend payments: Evidence from emerging economies","type":"article-journal","volume":"135"},"uris":["http://www.mendeley.com/documents/?uuid=88784c72-24ad-42c1-9cbf-d8dcec29bb93"]}],"mendeley":{"formattedCitation":"(Saeed, 2021)","plainTextFormattedCitation":"(Saeed, 2021)","previouslyFormattedCitation":"(Saeed, 2021)"},"properties":{"noteIndex":0},"schema":"https://github.com/citation-style-language/schema/raw/master/csl-citation.json"}</w:instrText>
      </w:r>
      <w:r w:rsidR="001E379B" w:rsidRPr="00B0319E">
        <w:fldChar w:fldCharType="separate"/>
      </w:r>
      <w:r w:rsidR="001E379B" w:rsidRPr="00A55043">
        <w:rPr>
          <w:noProof/>
        </w:rPr>
        <w:t>(Saeed, 2021)</w:t>
      </w:r>
      <w:r w:rsidR="001E379B" w:rsidRPr="00B0319E">
        <w:fldChar w:fldCharType="end"/>
      </w:r>
      <w:r w:rsidRPr="00B0319E">
        <w:t xml:space="preserve">. </w:t>
      </w:r>
      <w:r w:rsidR="007E7AC6" w:rsidRPr="00B0319E">
        <w:t>Similarly,</w:t>
      </w:r>
      <w:r w:rsidR="001B3180" w:rsidRPr="00B0319E">
        <w:t xml:space="preserve"> Cap_Ex</w:t>
      </w:r>
      <w:r w:rsidR="00F81370" w:rsidRPr="00B0319E">
        <w:t xml:space="preserve"> and ROA</w:t>
      </w:r>
      <w:r w:rsidR="007E7AC6" w:rsidRPr="00B0319E">
        <w:t xml:space="preserve"> are pertinent factors</w:t>
      </w:r>
      <w:r w:rsidR="007968F7">
        <w:t xml:space="preserve"> (Saeed, 2021)</w:t>
      </w:r>
      <w:r w:rsidR="001B3180" w:rsidRPr="00B0319E">
        <w:t>. Research suggests that</w:t>
      </w:r>
      <w:r w:rsidR="007E7AC6" w:rsidRPr="00B0319E">
        <w:t xml:space="preserve"> while</w:t>
      </w:r>
      <w:r w:rsidR="001B3180" w:rsidRPr="00B0319E">
        <w:t xml:space="preserve"> </w:t>
      </w:r>
      <w:r w:rsidR="00F81370" w:rsidRPr="00B0319E">
        <w:t xml:space="preserve">Cap_Ex </w:t>
      </w:r>
      <w:r w:rsidR="007E7AC6" w:rsidRPr="00B0319E">
        <w:t>does</w:t>
      </w:r>
      <w:r w:rsidR="007A69E3" w:rsidRPr="00B0319E">
        <w:t xml:space="preserve"> </w:t>
      </w:r>
      <w:r w:rsidR="001B3180" w:rsidRPr="00B0319E">
        <w:t>no</w:t>
      </w:r>
      <w:r w:rsidR="007E7AC6" w:rsidRPr="00B0319E">
        <w:t>t have a</w:t>
      </w:r>
      <w:r w:rsidR="001B3180" w:rsidRPr="00B0319E">
        <w:t xml:space="preserve"> particular significance for ROA and ROE, </w:t>
      </w:r>
      <w:r w:rsidR="007E7AC6" w:rsidRPr="00B0319E">
        <w:t>it does</w:t>
      </w:r>
      <w:r w:rsidR="001B3180" w:rsidRPr="00B0319E">
        <w:t xml:space="preserve"> play a role in dividends</w:t>
      </w:r>
      <w:r w:rsidR="002574D8" w:rsidRPr="00B0319E">
        <w:t xml:space="preserve"> </w:t>
      </w:r>
      <w:r w:rsidR="003F09B4" w:rsidRPr="00B0319E">
        <w:fldChar w:fldCharType="begin" w:fldLock="1"/>
      </w:r>
      <w:r w:rsidR="003F09B4" w:rsidRPr="00B0319E">
        <w:instrText>ADDIN CSL_CITATION {"citationItems":[{"id":"ITEM-1","itemData":{"DOI":"10.1016/j.jbusres.2021.07.009","ISSN":"01482963","abstract":"Drawing on stakeholder and agency theories, we examine how employee friendly practices impact dividend payments in emerging countries. Using data from 862 firms and 6,071 firm-year observations from 17 emerging countries, we find that the employee friendly practices are negatively related to the dividend payments. This relationship is found to be stronger for government owned firms. We further examine the ‘agency problems’ and ‘future investment’ as possible channels through which employee friendly practices may lead firms to pay low dividends. We find the support for the future investment channel. Lastly, we examine the value effect of employee friendly treatment and find that employee friendly practices increase firm performance in emerging markets which lends support to the effectiveness of the investment channel.","author":[{"dropping-particle":"","family":"Saeed","given":"Abubakr","non-dropping-particle":"","parse-names":false,"suffix":""}],"container-title":"Journal of Business Research","id":"ITEM-1","issue":"June","issued":{"date-parts":[["2021"]]},"page":"592-605","publisher":"Elsevier Inc.","title":"The impact of employee friendly practices on dividend payments: Evidence from emerging economies","type":"article-journal","volume":"135"},"uris":["http://www.mendeley.com/documents/?uuid=88784c72-24ad-42c1-9cbf-d8dcec29bb93"]}],"mendeley":{"formattedCitation":"(Saeed, 2021)","plainTextFormattedCitation":"(Saeed, 2021)","previouslyFormattedCitation":"(Saeed, 2021)"},"properties":{"noteIndex":0},"schema":"https://github.com/citation-style-language/schema/raw/master/csl-citation.json"}</w:instrText>
      </w:r>
      <w:r w:rsidR="003F09B4" w:rsidRPr="00B0319E">
        <w:fldChar w:fldCharType="separate"/>
      </w:r>
      <w:r w:rsidR="003F09B4" w:rsidRPr="00A55043">
        <w:rPr>
          <w:noProof/>
        </w:rPr>
        <w:t>(Saeed, 2021)</w:t>
      </w:r>
      <w:r w:rsidR="003F09B4" w:rsidRPr="00B0319E">
        <w:fldChar w:fldCharType="end"/>
      </w:r>
      <w:r w:rsidR="001B3180" w:rsidRPr="00B0319E">
        <w:t xml:space="preserve">. </w:t>
      </w:r>
      <w:r w:rsidR="002574D8" w:rsidRPr="00B0319E">
        <w:t xml:space="preserve">ROA is also considered </w:t>
      </w:r>
      <w:r w:rsidR="007E7AC6" w:rsidRPr="00B0319E">
        <w:t>crucial</w:t>
      </w:r>
      <w:r w:rsidR="002574D8" w:rsidRPr="00B0319E">
        <w:t xml:space="preserve"> </w:t>
      </w:r>
      <w:r w:rsidR="007E7AC6" w:rsidRPr="00B0319E">
        <w:t>in determining</w:t>
      </w:r>
      <w:r w:rsidR="002574D8" w:rsidRPr="00B0319E">
        <w:t xml:space="preserve"> the amount of dividends </w:t>
      </w:r>
      <w:r w:rsidR="003F09B4" w:rsidRPr="00B0319E">
        <w:fldChar w:fldCharType="begin" w:fldLock="1"/>
      </w:r>
      <w:r w:rsidR="00894DC1" w:rsidRPr="00B0319E">
        <w:instrText>ADDIN CSL_CITATION {"citationItems":[{"id":"ITEM-1","itemData":{"DOI":"10.1016/j.jbusres.2021.07.009","ISSN":"01482963","abstract":"Drawing on stakeholder and agency theories, we examine how employee friendly practices impact dividend payments in emerging countries. Using data from 862 firms and 6,071 firm-year observations from 17 emerging countries, we find that the employee friendly practices are negatively related to the dividend payments. This relationship is found to be stronger for government owned firms. We further examine the ‘agency problems’ and ‘future investment’ as possible channels through which employee friendly practices may lead firms to pay low dividends. We find the support for the future investment channel. Lastly, we examine the value effect of employee friendly treatment and find that employee friendly practices increase firm performance in emerging markets which lends support to the effectiveness of the investment channel.","author":[{"dropping-particle":"","family":"Saeed","given":"Abubakr","non-dropping-particle":"","parse-names":false,"suffix":""}],"container-title":"Journal of Business Research","id":"ITEM-1","issue":"June","issued":{"date-parts":[["2021"]]},"page":"592-605","publisher":"Elsevier Inc.","title":"The impact of employee friendly practices on dividend payments: Evidence from emerging economies","type":"article-journal","volume":"135"},"uris":["http://www.mendeley.com/documents/?uuid=88784c72-24ad-42c1-9cbf-d8dcec29bb93"]}],"mendeley":{"formattedCitation":"(Saeed, 2021)","plainTextFormattedCitation":"(Saeed, 2021)","previouslyFormattedCitation":"(Saeed, 2021)"},"properties":{"noteIndex":0},"schema":"https://github.com/citation-style-language/schema/raw/master/csl-citation.json"}</w:instrText>
      </w:r>
      <w:r w:rsidR="003F09B4" w:rsidRPr="00B0319E">
        <w:fldChar w:fldCharType="separate"/>
      </w:r>
      <w:r w:rsidR="003F09B4" w:rsidRPr="00A55043">
        <w:rPr>
          <w:noProof/>
        </w:rPr>
        <w:t>(Saeed, 2021)</w:t>
      </w:r>
      <w:r w:rsidR="003F09B4" w:rsidRPr="00B0319E">
        <w:fldChar w:fldCharType="end"/>
      </w:r>
      <w:r w:rsidR="002574D8" w:rsidRPr="00B0319E">
        <w:t xml:space="preserve">. </w:t>
      </w:r>
      <w:r w:rsidR="007E7AC6" w:rsidRPr="00B0319E">
        <w:t>Consequently</w:t>
      </w:r>
      <w:r w:rsidRPr="00B0319E">
        <w:t xml:space="preserve">, these </w:t>
      </w:r>
      <w:r w:rsidR="00F81370" w:rsidRPr="00B0319E">
        <w:t>four</w:t>
      </w:r>
      <w:r w:rsidRPr="00B0319E">
        <w:t xml:space="preserve"> variables were included in the model as control variables. The model for testing hypothesis two </w:t>
      </w:r>
      <w:r w:rsidR="007E7AC6" w:rsidRPr="00B0319E">
        <w:t>is structured</w:t>
      </w:r>
      <w:r w:rsidRPr="00B0319E">
        <w:t xml:space="preserve"> as follows:</w:t>
      </w:r>
    </w:p>
    <w:p w14:paraId="11311AB9" w14:textId="77777777" w:rsidR="00DB4D5B" w:rsidRPr="00B0319E" w:rsidRDefault="00DB4D5B" w:rsidP="005D5987"/>
    <w:p w14:paraId="362BEB66" w14:textId="1611E133" w:rsidR="00DB4D5B" w:rsidRPr="00B0319E" w:rsidRDefault="00DB4D5B" w:rsidP="00DB4D5B">
      <w:pPr>
        <w:spacing w:line="279" w:lineRule="auto"/>
        <w:ind w:left="567" w:right="567" w:firstLine="0"/>
        <w:jc w:val="left"/>
        <w:rPr>
          <w:rFonts w:ascii="Times New Roman" w:eastAsia="MS Mincho" w:hAnsi="Times New Roman"/>
        </w:rPr>
      </w:pPr>
      <w:r w:rsidRPr="00B0319E">
        <w:rPr>
          <w:rFonts w:ascii="Times New Roman" w:eastAsia="Aptos" w:hAnsi="Times New Roman"/>
        </w:rPr>
        <w:t xml:space="preserve">H2: </w:t>
      </w:r>
      <m:oMath>
        <m:r>
          <w:rPr>
            <w:rFonts w:ascii="Cambria Math" w:eastAsia="Aptos" w:hAnsi="Cambria Math"/>
          </w:rPr>
          <m:t>Dividend=</m:t>
        </m:r>
        <m:sSub>
          <m:sSubPr>
            <m:ctrlPr>
              <w:rPr>
                <w:rFonts w:ascii="Cambria Math" w:eastAsia="Aptos" w:hAnsi="Cambria Math"/>
                <w:i/>
              </w:rPr>
            </m:ctrlPr>
          </m:sSubPr>
          <m:e>
            <m:r>
              <w:rPr>
                <w:rFonts w:ascii="Cambria Math" w:eastAsia="Aptos" w:hAnsi="Cambria Math"/>
              </w:rPr>
              <m:t>β</m:t>
            </m:r>
          </m:e>
          <m:sub>
            <m:r>
              <w:rPr>
                <w:rFonts w:ascii="Cambria Math" w:eastAsia="Aptos" w:hAnsi="Cambria Math"/>
              </w:rPr>
              <m:t>0</m:t>
            </m:r>
          </m:sub>
        </m:sSub>
        <m:r>
          <w:rPr>
            <w:rFonts w:ascii="Cambria Math" w:eastAsia="Aptos" w:hAnsi="Cambria Math"/>
          </w:rPr>
          <m:t>+</m:t>
        </m:r>
        <m:sSub>
          <m:sSubPr>
            <m:ctrlPr>
              <w:rPr>
                <w:rFonts w:ascii="Cambria Math" w:eastAsia="Aptos" w:hAnsi="Cambria Math"/>
                <w:i/>
              </w:rPr>
            </m:ctrlPr>
          </m:sSubPr>
          <m:e>
            <m:r>
              <w:rPr>
                <w:rFonts w:ascii="Cambria Math" w:eastAsia="Aptos" w:hAnsi="Cambria Math"/>
              </w:rPr>
              <m:t>β</m:t>
            </m:r>
          </m:e>
          <m:sub>
            <m:r>
              <w:rPr>
                <w:rFonts w:ascii="Cambria Math" w:eastAsia="Aptos" w:hAnsi="Cambria Math"/>
              </w:rPr>
              <m:t>1</m:t>
            </m:r>
          </m:sub>
        </m:sSub>
        <m:r>
          <w:rPr>
            <w:rFonts w:ascii="Cambria Math" w:eastAsia="Aptos" w:hAnsi="Cambria Math"/>
          </w:rPr>
          <m:t>FlexibleWorkingHours+</m:t>
        </m:r>
        <m:sSub>
          <m:sSubPr>
            <m:ctrlPr>
              <w:rPr>
                <w:rFonts w:ascii="Cambria Math" w:eastAsia="Aptos" w:hAnsi="Cambria Math"/>
                <w:i/>
              </w:rPr>
            </m:ctrlPr>
          </m:sSubPr>
          <m:e>
            <m:r>
              <w:rPr>
                <w:rFonts w:ascii="Cambria Math" w:eastAsia="Aptos" w:hAnsi="Cambria Math"/>
              </w:rPr>
              <m:t>β</m:t>
            </m:r>
          </m:e>
          <m:sub>
            <m:r>
              <w:rPr>
                <w:rFonts w:ascii="Cambria Math" w:eastAsia="Aptos" w:hAnsi="Cambria Math"/>
              </w:rPr>
              <m:t>2</m:t>
            </m:r>
          </m:sub>
        </m:sSub>
        <m:r>
          <w:rPr>
            <w:rFonts w:ascii="Cambria Math" w:eastAsia="Aptos" w:hAnsi="Cambria Math"/>
          </w:rPr>
          <m:t>PolicyCareerDevelopment+</m:t>
        </m:r>
        <m:sSub>
          <m:sSubPr>
            <m:ctrlPr>
              <w:rPr>
                <w:rFonts w:ascii="Cambria Math" w:eastAsia="Aptos" w:hAnsi="Cambria Math"/>
                <w:i/>
              </w:rPr>
            </m:ctrlPr>
          </m:sSubPr>
          <m:e>
            <m:sSub>
              <m:sSubPr>
                <m:ctrlPr>
                  <w:rPr>
                    <w:rFonts w:ascii="Cambria Math" w:eastAsia="Aptos" w:hAnsi="Cambria Math"/>
                    <w:i/>
                  </w:rPr>
                </m:ctrlPr>
              </m:sSubPr>
              <m:e>
                <m:r>
                  <w:rPr>
                    <w:rFonts w:ascii="Cambria Math" w:eastAsia="Aptos" w:hAnsi="Cambria Math"/>
                  </w:rPr>
                  <m:t>β</m:t>
                </m:r>
              </m:e>
              <m:sub>
                <m:r>
                  <w:rPr>
                    <w:rFonts w:ascii="Cambria Math" w:eastAsia="Aptos" w:hAnsi="Cambria Math"/>
                  </w:rPr>
                  <m:t>3</m:t>
                </m:r>
              </m:sub>
            </m:sSub>
            <m:r>
              <w:rPr>
                <w:rFonts w:ascii="Cambria Math" w:eastAsia="Aptos" w:hAnsi="Cambria Math"/>
              </w:rPr>
              <m:t>PolicySkillsTraining+</m:t>
            </m:r>
            <m:sSub>
              <m:sSubPr>
                <m:ctrlPr>
                  <w:rPr>
                    <w:rFonts w:ascii="Cambria Math" w:eastAsia="Aptos" w:hAnsi="Cambria Math"/>
                    <w:i/>
                  </w:rPr>
                </m:ctrlPr>
              </m:sSubPr>
              <m:e>
                <m:r>
                  <w:rPr>
                    <w:rFonts w:ascii="Cambria Math" w:eastAsia="Aptos" w:hAnsi="Cambria Math"/>
                  </w:rPr>
                  <m:t>β</m:t>
                </m:r>
              </m:e>
              <m:sub>
                <m:r>
                  <w:rPr>
                    <w:rFonts w:ascii="Cambria Math" w:eastAsia="Aptos" w:hAnsi="Cambria Math"/>
                  </w:rPr>
                  <m:t>4</m:t>
                </m:r>
              </m:sub>
            </m:sSub>
            <m:r>
              <w:rPr>
                <w:rFonts w:ascii="Cambria Math" w:eastAsia="Aptos" w:hAnsi="Cambria Math"/>
              </w:rPr>
              <m:t>TurnoverEmployees+</m:t>
            </m:r>
            <m:sSub>
              <m:sSubPr>
                <m:ctrlPr>
                  <w:rPr>
                    <w:rFonts w:ascii="Cambria Math" w:eastAsia="Aptos" w:hAnsi="Cambria Math"/>
                    <w:i/>
                  </w:rPr>
                </m:ctrlPr>
              </m:sSubPr>
              <m:e>
                <m:r>
                  <w:rPr>
                    <w:rFonts w:ascii="Cambria Math" w:eastAsia="Aptos" w:hAnsi="Cambria Math"/>
                  </w:rPr>
                  <m:t>β</m:t>
                </m:r>
              </m:e>
              <m:sub>
                <m:r>
                  <w:rPr>
                    <w:rFonts w:ascii="Cambria Math" w:eastAsia="Aptos" w:hAnsi="Cambria Math"/>
                  </w:rPr>
                  <m:t>5</m:t>
                </m:r>
              </m:sub>
            </m:sSub>
            <m:r>
              <w:rPr>
                <w:rFonts w:ascii="Cambria Math" w:eastAsia="Aptos" w:hAnsi="Cambria Math"/>
              </w:rPr>
              <m:t>InternalPromotion+β</m:t>
            </m:r>
          </m:e>
          <m:sub>
            <m:r>
              <w:rPr>
                <w:rFonts w:ascii="Cambria Math" w:eastAsia="Aptos" w:hAnsi="Cambria Math"/>
              </w:rPr>
              <m:t>6</m:t>
            </m:r>
          </m:sub>
        </m:sSub>
        <m:r>
          <w:rPr>
            <w:rFonts w:ascii="Cambria Math" w:eastAsia="Aptos" w:hAnsi="Cambria Math"/>
          </w:rPr>
          <m:t>NumberEmployees+</m:t>
        </m:r>
        <m:sSub>
          <m:sSubPr>
            <m:ctrlPr>
              <w:rPr>
                <w:rFonts w:ascii="Cambria Math" w:eastAsia="Aptos" w:hAnsi="Cambria Math"/>
                <w:i/>
              </w:rPr>
            </m:ctrlPr>
          </m:sSubPr>
          <m:e>
            <m:r>
              <w:rPr>
                <w:rFonts w:ascii="Cambria Math" w:eastAsia="Aptos" w:hAnsi="Cambria Math"/>
              </w:rPr>
              <m:t>β</m:t>
            </m:r>
          </m:e>
          <m:sub>
            <m:r>
              <w:rPr>
                <w:rFonts w:ascii="Cambria Math" w:eastAsia="Aptos" w:hAnsi="Cambria Math"/>
              </w:rPr>
              <m:t>7</m:t>
            </m:r>
          </m:sub>
        </m:sSub>
        <m:r>
          <w:rPr>
            <w:rFonts w:ascii="Cambria Math" w:eastAsia="Aptos" w:hAnsi="Cambria Math"/>
          </w:rPr>
          <m:t>ManagementTraining+</m:t>
        </m:r>
        <m:sSub>
          <m:sSubPr>
            <m:ctrlPr>
              <w:rPr>
                <w:rFonts w:ascii="Cambria Math" w:eastAsia="Aptos" w:hAnsi="Cambria Math"/>
                <w:i/>
              </w:rPr>
            </m:ctrlPr>
          </m:sSubPr>
          <m:e>
            <m:r>
              <w:rPr>
                <w:rFonts w:ascii="Cambria Math" w:eastAsia="Aptos" w:hAnsi="Cambria Math"/>
              </w:rPr>
              <m:t>β</m:t>
            </m:r>
          </m:e>
          <m:sub>
            <m:r>
              <w:rPr>
                <w:rFonts w:ascii="Cambria Math" w:eastAsia="Aptos" w:hAnsi="Cambria Math"/>
              </w:rPr>
              <m:t>8</m:t>
            </m:r>
          </m:sub>
        </m:sSub>
        <m:r>
          <w:rPr>
            <w:rFonts w:ascii="Cambria Math" w:eastAsia="Aptos" w:hAnsi="Cambria Math"/>
          </w:rPr>
          <m:t>ROA+</m:t>
        </m:r>
        <m:sSub>
          <m:sSubPr>
            <m:ctrlPr>
              <w:rPr>
                <w:rFonts w:ascii="Cambria Math" w:eastAsia="Aptos" w:hAnsi="Cambria Math"/>
                <w:i/>
              </w:rPr>
            </m:ctrlPr>
          </m:sSubPr>
          <m:e>
            <m:r>
              <w:rPr>
                <w:rFonts w:ascii="Cambria Math" w:eastAsia="Aptos" w:hAnsi="Cambria Math"/>
              </w:rPr>
              <m:t>β</m:t>
            </m:r>
          </m:e>
          <m:sub>
            <m:r>
              <w:rPr>
                <w:rFonts w:ascii="Cambria Math" w:eastAsia="Aptos" w:hAnsi="Cambria Math"/>
              </w:rPr>
              <m:t>9</m:t>
            </m:r>
          </m:sub>
        </m:sSub>
        <m:r>
          <w:rPr>
            <w:rFonts w:ascii="Cambria Math" w:eastAsia="Aptos" w:hAnsi="Cambria Math"/>
          </w:rPr>
          <m:t>CapEx+</m:t>
        </m:r>
        <m:sSub>
          <m:sSubPr>
            <m:ctrlPr>
              <w:rPr>
                <w:rFonts w:ascii="Cambria Math" w:eastAsia="Aptos" w:hAnsi="Cambria Math"/>
                <w:i/>
              </w:rPr>
            </m:ctrlPr>
          </m:sSubPr>
          <m:e>
            <m:r>
              <w:rPr>
                <w:rFonts w:ascii="Cambria Math" w:eastAsia="Aptos" w:hAnsi="Cambria Math"/>
              </w:rPr>
              <m:t>β</m:t>
            </m:r>
          </m:e>
          <m:sub>
            <m:r>
              <w:rPr>
                <w:rFonts w:ascii="Cambria Math" w:eastAsia="Aptos" w:hAnsi="Cambria Math"/>
              </w:rPr>
              <m:t>10</m:t>
            </m:r>
          </m:sub>
        </m:sSub>
        <m:r>
          <w:rPr>
            <w:rFonts w:ascii="Cambria Math" w:eastAsia="Aptos" w:hAnsi="Cambria Math"/>
          </w:rPr>
          <m:t>BoardSize+</m:t>
        </m:r>
        <m:sSub>
          <m:sSubPr>
            <m:ctrlPr>
              <w:rPr>
                <w:rFonts w:ascii="Cambria Math" w:eastAsia="Aptos" w:hAnsi="Cambria Math"/>
                <w:i/>
              </w:rPr>
            </m:ctrlPr>
          </m:sSubPr>
          <m:e>
            <m:r>
              <w:rPr>
                <w:rFonts w:ascii="Cambria Math" w:eastAsia="Aptos" w:hAnsi="Cambria Math"/>
              </w:rPr>
              <m:t>β</m:t>
            </m:r>
          </m:e>
          <m:sub>
            <m:r>
              <w:rPr>
                <w:rFonts w:ascii="Cambria Math" w:eastAsia="Aptos" w:hAnsi="Cambria Math"/>
              </w:rPr>
              <m:t>11</m:t>
            </m:r>
          </m:sub>
        </m:sSub>
        <m:r>
          <w:rPr>
            <w:rFonts w:ascii="Cambria Math" w:eastAsia="Aptos" w:hAnsi="Cambria Math"/>
          </w:rPr>
          <m:t>BoardInd+ε</m:t>
        </m:r>
      </m:oMath>
    </w:p>
    <w:p w14:paraId="1D2AE1EE" w14:textId="77777777" w:rsidR="00DB4D5B" w:rsidRPr="00B0319E" w:rsidRDefault="00DB4D5B" w:rsidP="005D5987"/>
    <w:p w14:paraId="1C34E2DD" w14:textId="68F70819" w:rsidR="00DB4D5B" w:rsidRPr="00B0319E" w:rsidRDefault="00DB4D5B" w:rsidP="005D5987">
      <w:r w:rsidRPr="00B0319E">
        <w:t>The model for testing hypothesis three in</w:t>
      </w:r>
      <w:r w:rsidR="007E7AC6" w:rsidRPr="00B0319E">
        <w:t>corporates</w:t>
      </w:r>
      <w:r w:rsidRPr="00B0319E">
        <w:t xml:space="preserve"> variables that research has </w:t>
      </w:r>
      <w:r w:rsidR="007E7AC6" w:rsidRPr="00B0319E">
        <w:t>demonstrated</w:t>
      </w:r>
      <w:r w:rsidRPr="00B0319E">
        <w:t xml:space="preserve"> to influence employee satisfaction and, as hypothesis three suggests, employee turnover </w:t>
      </w:r>
      <w:r w:rsidR="003A5CCA" w:rsidRPr="00B0319E">
        <w:fldChar w:fldCharType="begin" w:fldLock="1"/>
      </w:r>
      <w:r w:rsidR="00E14E5F" w:rsidRPr="00B0319E">
        <w:instrText>ADDIN CSL_CITATION {"citationItems":[{"id":"ITEM-1","itemData":{"DOI":"https://doi.org/10.1108/978-1-78973-483-620201006","author":[{"dropping-particle":"","family":"Lim","given":"Paul","non-dropping-particle":"","parse-names":false,"suffix":""},{"dropping-particle":"","family":"Parker","given":"Andrew","non-dropping-particle":"","parse-names":false,"suffix":""}],"container-title":"Mentoring Millennials in an Asian Context","id":"ITEM-1","issued":{"date-parts":[["2020"]]},"page":"35-43","title":"Employee Turnover","type":"article-journal"},"uris":["http://www.mendeley.com/documents/?uuid=e2ce82bb-8e4a-4db9-98bc-0f1452ce3ae2"]},{"id":"ITEM-2","itemData":{"author":[{"dropping-particle":"","family":"Rogelberg","given":"Steven G.","non-dropping-particle":"","parse-names":false,"suffix":""},{"dropping-particle":"","family":"Allen","given":"Joseph A.","non-dropping-particle":"","parse-names":false,"suffix":""},{"dropping-particle":"","family":"Shanock","given":"Linda","non-dropping-particle":"","parse-names":false,"suffix":""},{"dropping-particle":"","family":"Scott","given":"Cliff","non-dropping-particle":"","parse-names":false,"suffix":""},{"dropping-particle":"","family":"Shuffler","given":"Marissa","non-dropping-particle":"","parse-names":false,"suffix":""}],"container-title":"Human Resource Management","id":"ITEM-2","issue":"2","issued":{"date-parts":[["2010"]]},"page":"149-172","title":"Employee satisfaction with meetings: A contemporary facet of job satisfaction","type":"article-journal","volume":"49"},"uris":["http://www.mendeley.com/documents/?uuid=0cf099e0-5cbd-4317-b135-a436b2d4cfc2"]},{"id":"ITEM-3","itemData":{"DOI":"10.1108/MD-05-2016-0308","ISSN":"00251747","abstract":"Purpose: The purpose of this paper is to examine the association between corporate social responsibility (CSR) and employee satisfaction. The study proposes and empirically tests two hypotheses: that CSR is positively associated with employee satisfaction, and that organizational image mediates the relationship between CSR and employee satisfaction. Design/methodology/approach: The hypotheses were tested through regression analyses, using data from 85,167 questionnaires completed by employees at 381 Brazilian companies, as well as data pertaining to the “breadth” of CSR engagement of those same companies. Findings: The results of this study provide evidence that CSR-oriented actions undertaken by companies will lead to a better organizational image, and this, in turn, will lead to greater employee satisfaction. Practical implications: Because employee behaviour influences organizational outcomes and higher job satisfaction may lead to greater employee commitment to organizational goals and values, understanding the impact of CSR on employee satisfaction is relevant to corporate performance. Originality/value: The study contributes to the body of empirical research on CSR by investigating the underlying mechanisms linking CSR with employee behaviour. Scholars in the area of CSR regularly explore the outcomes and impacts of CSR actions on internal and external stakeholders. However, the impacts of CSR for a critical group of stakeholders – namely, employees – and its underlying mechanisms are understudied in the CSR literature.","author":[{"dropping-particle":"","family":"Barakat","given":"Simone R.","non-dropping-particle":"","parse-names":false,"suffix":""},{"dropping-particle":"","family":"Isabella","given":"Giuliana","non-dropping-particle":"","parse-names":false,"suffix":""},{"dropping-particle":"","family":"Boaventura","given":"João Maurício Gama","non-dropping-particle":"","parse-names":false,"suffix":""},{"dropping-particle":"","family":"Mazzon","given":"José Afonso","non-dropping-particle":"","parse-names":false,"suffix":""}],"container-title":"Management Decision","id":"ITEM-3","issue":"9","issued":{"date-parts":[["2016"]]},"page":"2325-2339","title":"The influence of corporate social responsibility on employee satisfaction","type":"article-journal","volume":"54"},"uris":["http://www.mendeley.com/documents/?uuid=be4cd7d1-8fa2-482c-a285-b7d1fefd6a68"]}],"mendeley":{"formattedCitation":"(Barakat et al., 2016; Lim &amp; Parker, 2020; Rogelberg et al., 2010)","plainTextFormattedCitation":"(Barakat et al., 2016; Lim &amp; Parker, 2020; Rogelberg et al., 2010)","previouslyFormattedCitation":"(Barakat et al., 2016; Lim &amp; Parker, 2020; Rogelberg et al., 2010)"},"properties":{"noteIndex":0},"schema":"https://github.com/citation-style-language/schema/raw/master/csl-citation.json"}</w:instrText>
      </w:r>
      <w:r w:rsidR="003A5CCA" w:rsidRPr="00B0319E">
        <w:fldChar w:fldCharType="separate"/>
      </w:r>
      <w:r w:rsidR="003A5CCA" w:rsidRPr="00A55043">
        <w:rPr>
          <w:noProof/>
        </w:rPr>
        <w:t>(Barakat et al., 2016; Lim &amp; Parker, 2020; Rogelberg et al., 2010)</w:t>
      </w:r>
      <w:r w:rsidR="003A5CCA" w:rsidRPr="00B0319E">
        <w:fldChar w:fldCharType="end"/>
      </w:r>
      <w:r w:rsidR="003A5CCA" w:rsidRPr="00B0319E">
        <w:t xml:space="preserve">. </w:t>
      </w:r>
      <w:r w:rsidRPr="00B0319E">
        <w:t xml:space="preserve">The model for hypothesis three </w:t>
      </w:r>
      <w:r w:rsidR="007E7AC6" w:rsidRPr="00B0319E">
        <w:t>is structured</w:t>
      </w:r>
      <w:r w:rsidRPr="00B0319E">
        <w:t xml:space="preserve"> as follows:</w:t>
      </w:r>
    </w:p>
    <w:p w14:paraId="18EEEA17" w14:textId="77777777" w:rsidR="00DB4D5B" w:rsidRPr="00B0319E" w:rsidRDefault="00DB4D5B" w:rsidP="005D5987"/>
    <w:p w14:paraId="64F0A106" w14:textId="772CBDBB" w:rsidR="00DB4D5B" w:rsidRPr="00B0319E" w:rsidRDefault="00DB4D5B" w:rsidP="00DB4D5B">
      <w:pPr>
        <w:spacing w:line="279" w:lineRule="auto"/>
        <w:ind w:left="567" w:right="567" w:firstLine="0"/>
        <w:jc w:val="left"/>
        <w:rPr>
          <w:rFonts w:ascii="Times New Roman" w:eastAsia="MS Mincho" w:hAnsi="Times New Roman"/>
        </w:rPr>
      </w:pPr>
      <w:r w:rsidRPr="00B0319E">
        <w:rPr>
          <w:rFonts w:ascii="Times New Roman" w:eastAsia="Aptos" w:hAnsi="Times New Roman"/>
        </w:rPr>
        <w:t xml:space="preserve">H3: </w:t>
      </w:r>
      <m:oMath>
        <m:r>
          <w:rPr>
            <w:rFonts w:ascii="Cambria Math" w:eastAsia="Aptos" w:hAnsi="Cambria Math"/>
          </w:rPr>
          <m:t>TurnoverOfEmployees=</m:t>
        </m:r>
        <m:sSub>
          <m:sSubPr>
            <m:ctrlPr>
              <w:rPr>
                <w:rFonts w:ascii="Cambria Math" w:eastAsia="Aptos" w:hAnsi="Cambria Math"/>
                <w:i/>
              </w:rPr>
            </m:ctrlPr>
          </m:sSubPr>
          <m:e>
            <m:r>
              <w:rPr>
                <w:rFonts w:ascii="Cambria Math" w:eastAsia="Aptos" w:hAnsi="Cambria Math"/>
              </w:rPr>
              <m:t>β</m:t>
            </m:r>
          </m:e>
          <m:sub>
            <m:r>
              <w:rPr>
                <w:rFonts w:ascii="Cambria Math" w:eastAsia="Aptos" w:hAnsi="Cambria Math"/>
              </w:rPr>
              <m:t>0</m:t>
            </m:r>
          </m:sub>
        </m:sSub>
        <m:r>
          <w:rPr>
            <w:rFonts w:ascii="Cambria Math" w:eastAsia="Aptos" w:hAnsi="Cambria Math"/>
          </w:rPr>
          <m:t>+</m:t>
        </m:r>
        <m:sSub>
          <m:sSubPr>
            <m:ctrlPr>
              <w:rPr>
                <w:rFonts w:ascii="Cambria Math" w:eastAsia="Aptos" w:hAnsi="Cambria Math"/>
                <w:i/>
              </w:rPr>
            </m:ctrlPr>
          </m:sSubPr>
          <m:e>
            <m:r>
              <w:rPr>
                <w:rFonts w:ascii="Cambria Math" w:eastAsia="Aptos" w:hAnsi="Cambria Math"/>
              </w:rPr>
              <m:t>β</m:t>
            </m:r>
          </m:e>
          <m:sub>
            <m:r>
              <w:rPr>
                <w:rFonts w:ascii="Cambria Math" w:eastAsia="Aptos" w:hAnsi="Cambria Math"/>
              </w:rPr>
              <m:t>1</m:t>
            </m:r>
          </m:sub>
        </m:sSub>
        <m:r>
          <w:rPr>
            <w:rFonts w:ascii="Cambria Math" w:eastAsia="Aptos" w:hAnsi="Cambria Math"/>
          </w:rPr>
          <m:t>FlexibleWorkingHours+</m:t>
        </m:r>
        <m:sSub>
          <m:sSubPr>
            <m:ctrlPr>
              <w:rPr>
                <w:rFonts w:ascii="Cambria Math" w:eastAsia="Aptos" w:hAnsi="Cambria Math"/>
                <w:i/>
              </w:rPr>
            </m:ctrlPr>
          </m:sSubPr>
          <m:e>
            <m:r>
              <w:rPr>
                <w:rFonts w:ascii="Cambria Math" w:eastAsia="Aptos" w:hAnsi="Cambria Math"/>
              </w:rPr>
              <m:t>β</m:t>
            </m:r>
          </m:e>
          <m:sub>
            <m:r>
              <w:rPr>
                <w:rFonts w:ascii="Cambria Math" w:eastAsia="Aptos" w:hAnsi="Cambria Math"/>
              </w:rPr>
              <m:t>2</m:t>
            </m:r>
          </m:sub>
        </m:sSub>
        <m:r>
          <w:rPr>
            <w:rFonts w:ascii="Cambria Math" w:eastAsia="Aptos" w:hAnsi="Cambria Math"/>
          </w:rPr>
          <m:t>PolicyCareerDevelopment+</m:t>
        </m:r>
        <m:sSub>
          <m:sSubPr>
            <m:ctrlPr>
              <w:rPr>
                <w:rFonts w:ascii="Cambria Math" w:eastAsia="Aptos" w:hAnsi="Cambria Math"/>
                <w:i/>
              </w:rPr>
            </m:ctrlPr>
          </m:sSubPr>
          <m:e>
            <m:sSub>
              <m:sSubPr>
                <m:ctrlPr>
                  <w:rPr>
                    <w:rFonts w:ascii="Cambria Math" w:eastAsia="Aptos" w:hAnsi="Cambria Math"/>
                    <w:i/>
                  </w:rPr>
                </m:ctrlPr>
              </m:sSubPr>
              <m:e>
                <m:r>
                  <w:rPr>
                    <w:rFonts w:ascii="Cambria Math" w:eastAsia="Aptos" w:hAnsi="Cambria Math"/>
                  </w:rPr>
                  <m:t>β</m:t>
                </m:r>
              </m:e>
              <m:sub>
                <m:r>
                  <w:rPr>
                    <w:rFonts w:ascii="Cambria Math" w:eastAsia="Aptos" w:hAnsi="Cambria Math"/>
                  </w:rPr>
                  <m:t>3</m:t>
                </m:r>
              </m:sub>
            </m:sSub>
            <m:r>
              <w:rPr>
                <w:rFonts w:ascii="Cambria Math" w:eastAsia="Aptos" w:hAnsi="Cambria Math"/>
              </w:rPr>
              <m:t>PolicySkillsTraining+</m:t>
            </m:r>
            <m:sSub>
              <m:sSubPr>
                <m:ctrlPr>
                  <w:rPr>
                    <w:rFonts w:ascii="Cambria Math" w:eastAsia="Aptos" w:hAnsi="Cambria Math"/>
                    <w:i/>
                  </w:rPr>
                </m:ctrlPr>
              </m:sSubPr>
              <m:e>
                <m:r>
                  <w:rPr>
                    <w:rFonts w:ascii="Cambria Math" w:eastAsia="Aptos" w:hAnsi="Cambria Math"/>
                  </w:rPr>
                  <m:t>β</m:t>
                </m:r>
              </m:e>
              <m:sub>
                <m:r>
                  <w:rPr>
                    <w:rFonts w:ascii="Cambria Math" w:eastAsia="Aptos" w:hAnsi="Cambria Math"/>
                  </w:rPr>
                  <m:t>4</m:t>
                </m:r>
              </m:sub>
            </m:sSub>
            <m:r>
              <w:rPr>
                <w:rFonts w:ascii="Cambria Math" w:eastAsia="Aptos" w:hAnsi="Cambria Math"/>
              </w:rPr>
              <m:t>InternalPromotion+β</m:t>
            </m:r>
          </m:e>
          <m:sub>
            <m:r>
              <w:rPr>
                <w:rFonts w:ascii="Cambria Math" w:eastAsia="Aptos" w:hAnsi="Cambria Math"/>
              </w:rPr>
              <m:t>5</m:t>
            </m:r>
          </m:sub>
        </m:sSub>
        <m:r>
          <w:rPr>
            <w:rFonts w:ascii="Cambria Math" w:eastAsia="Aptos" w:hAnsi="Cambria Math"/>
          </w:rPr>
          <m:t xml:space="preserve">NumberEmployees+ </m:t>
        </m:r>
        <m:sSub>
          <m:sSubPr>
            <m:ctrlPr>
              <w:rPr>
                <w:rFonts w:ascii="Cambria Math" w:eastAsia="Aptos" w:hAnsi="Cambria Math"/>
                <w:i/>
              </w:rPr>
            </m:ctrlPr>
          </m:sSubPr>
          <m:e>
            <m:r>
              <w:rPr>
                <w:rFonts w:ascii="Cambria Math" w:eastAsia="Aptos" w:hAnsi="Cambria Math"/>
              </w:rPr>
              <m:t>β</m:t>
            </m:r>
          </m:e>
          <m:sub>
            <m:r>
              <w:rPr>
                <w:rFonts w:ascii="Cambria Math" w:eastAsia="Aptos" w:hAnsi="Cambria Math"/>
              </w:rPr>
              <m:t>6</m:t>
            </m:r>
          </m:sub>
        </m:sSub>
        <m:r>
          <w:rPr>
            <w:rFonts w:ascii="Cambria Math" w:eastAsia="Aptos" w:hAnsi="Cambria Math"/>
          </w:rPr>
          <m:t>ManagementTraining+ε</m:t>
        </m:r>
      </m:oMath>
    </w:p>
    <w:p w14:paraId="1C386F62" w14:textId="77777777" w:rsidR="00DB4D5B" w:rsidRPr="00B0319E" w:rsidRDefault="00DB4D5B" w:rsidP="005D5987"/>
    <w:p w14:paraId="654506C9" w14:textId="1F556A7B" w:rsidR="00B87FA0" w:rsidRPr="004A2A48" w:rsidRDefault="007968F7" w:rsidP="00B87FA0">
      <w:r w:rsidRPr="004A2A48">
        <w:t xml:space="preserve">The variables additionally included in the models are covariates. </w:t>
      </w:r>
      <w:r w:rsidR="00B87FA0" w:rsidRPr="004A2A48">
        <w:t>Covariates are variables that are not of primary interest but are included in the analysis to account for their potential impact on the dependent variable. These covariates were selected based on their relevance to the research question and their potential influence on the dependent variables.</w:t>
      </w:r>
    </w:p>
    <w:p w14:paraId="4DCF10DE" w14:textId="62147F80" w:rsidR="00B87FA0" w:rsidRPr="00B0319E" w:rsidRDefault="00B87FA0" w:rsidP="00B87FA0">
      <w:r w:rsidRPr="004A2A48">
        <w:t>For hypothesis one, the covariates include Number of Employees, Dividends, Revenue, and Assets. These independent variables were selected due to their established influence on the dependent variables, ROA and ROE. For hypothesis two, the covariates include Number of Employees, ROA, Capital Expenditures, Board Size, and Board Independence. These independent variables were selected due to their known influence on Dividends, with particular emphasis on Board Size and Board Independence, which are also considered ESG variables. For hypothesis three, the covariate is Number of Employees. The independent variable Number_Employees was selected to control for the size of the firm in relation to employee turnover and the other independent variable, employee satisfaction.</w:t>
      </w:r>
      <w:r w:rsidR="007968F7">
        <w:t xml:space="preserve"> </w:t>
      </w:r>
      <w:r w:rsidRPr="004A2A48">
        <w:t xml:space="preserve">Each of these covariates is included to isolate the specific impact of each predictor on employee satisfaction while controlling for other influencing factors. </w:t>
      </w:r>
    </w:p>
    <w:p w14:paraId="051C9D2F" w14:textId="13251881" w:rsidR="00DB4D5B" w:rsidRPr="00B0319E" w:rsidRDefault="00DB4D5B" w:rsidP="00DB4D5B">
      <w:r w:rsidRPr="00B0319E">
        <w:t xml:space="preserve">The </w:t>
      </w:r>
      <w:r w:rsidR="007E7AC6" w:rsidRPr="00B0319E">
        <w:t>inclusion</w:t>
      </w:r>
      <w:r w:rsidRPr="00B0319E">
        <w:t xml:space="preserve"> of additional relevant independent variables </w:t>
      </w:r>
      <w:r w:rsidR="007E7AC6" w:rsidRPr="00B0319E">
        <w:t>offers several</w:t>
      </w:r>
      <w:r w:rsidRPr="00B0319E">
        <w:t xml:space="preserve"> advantages. Firstly, </w:t>
      </w:r>
      <w:r w:rsidR="007E7AC6" w:rsidRPr="00B0319E">
        <w:t xml:space="preserve">it reduces </w:t>
      </w:r>
      <w:r w:rsidRPr="00B0319E">
        <w:t>the occurrence of omitted variable bias</w:t>
      </w:r>
      <w:r w:rsidR="007E7AC6" w:rsidRPr="00B0319E">
        <w:t>.</w:t>
      </w:r>
      <w:r w:rsidRPr="00B0319E">
        <w:t xml:space="preserve"> </w:t>
      </w:r>
      <w:r w:rsidR="007E7AC6" w:rsidRPr="00B0319E">
        <w:t>S</w:t>
      </w:r>
      <w:r w:rsidRPr="00B0319E">
        <w:t>econdly, the</w:t>
      </w:r>
      <w:r w:rsidR="007E7AC6" w:rsidRPr="00B0319E">
        <w:t>se</w:t>
      </w:r>
      <w:r w:rsidRPr="00B0319E">
        <w:t xml:space="preserve"> additional variables can </w:t>
      </w:r>
      <w:r w:rsidR="007E7AC6" w:rsidRPr="00B0319E">
        <w:t>serve</w:t>
      </w:r>
      <w:r w:rsidRPr="00B0319E">
        <w:t xml:space="preserve"> as controls</w:t>
      </w:r>
      <w:r w:rsidR="007E7AC6" w:rsidRPr="00B0319E">
        <w:t>, thereby enhancing the model’s fit by directly accounting for potential influences</w:t>
      </w:r>
      <w:r w:rsidRPr="00B0319E">
        <w:t xml:space="preserve">. </w:t>
      </w:r>
      <w:r w:rsidR="007968F7" w:rsidRPr="00631F22">
        <w:t xml:space="preserve">The comprehensive approach ensures that the regression model accurately captures the relationships between the </w:t>
      </w:r>
      <w:r w:rsidR="007968F7">
        <w:t>variables</w:t>
      </w:r>
      <w:r w:rsidR="007968F7" w:rsidRPr="00631F22">
        <w:t xml:space="preserve"> and the dependent variable</w:t>
      </w:r>
      <w:r w:rsidR="007968F7" w:rsidRPr="007968F7">
        <w:t>.</w:t>
      </w:r>
      <w:r w:rsidRPr="00B0319E">
        <w:t xml:space="preserve"> </w:t>
      </w:r>
    </w:p>
    <w:p w14:paraId="27F3261A" w14:textId="6F5D045F" w:rsidR="00DB4D5B" w:rsidRPr="00B0319E" w:rsidRDefault="003B7A6E" w:rsidP="00044C05">
      <w:r w:rsidRPr="004A2A48">
        <w:t>The data for the study are quantitative and w</w:t>
      </w:r>
      <w:r w:rsidR="00B9423E" w:rsidRPr="004A2A48">
        <w:t>as compile</w:t>
      </w:r>
      <w:r w:rsidR="00122B15" w:rsidRPr="004A2A48">
        <w:t>d</w:t>
      </w:r>
      <w:r w:rsidRPr="004A2A48">
        <w:t xml:space="preserve"> using LSEG Workspace</w:t>
      </w:r>
      <w:r w:rsidR="004A7638" w:rsidRPr="004A2A48">
        <w:t xml:space="preserve">. The required variables were downloaded and assembled into specific models for the hypotheses. </w:t>
      </w:r>
      <w:r w:rsidR="00044C05">
        <w:t>I</w:t>
      </w:r>
      <w:r w:rsidR="004A7638" w:rsidRPr="004A2A48">
        <w:t>nclude</w:t>
      </w:r>
      <w:r w:rsidR="00287F97">
        <w:t>d are</w:t>
      </w:r>
      <w:r w:rsidR="004A7638" w:rsidRPr="004A2A48">
        <w:t xml:space="preserve"> the dependent variables ROA, ROE, Dividend and Employee Turnover, a</w:t>
      </w:r>
      <w:r w:rsidR="00287F97">
        <w:t>long with</w:t>
      </w:r>
      <w:r w:rsidR="004A7638" w:rsidRPr="004A2A48">
        <w:t xml:space="preserve"> the various independent variables</w:t>
      </w:r>
      <w:r w:rsidR="00325AD5" w:rsidRPr="004A2A48">
        <w:t xml:space="preserve"> that represent employee satisfaction</w:t>
      </w:r>
      <w:r w:rsidR="004A7638" w:rsidRPr="004A2A48">
        <w:t xml:space="preserve">. </w:t>
      </w:r>
      <w:r w:rsidR="00325AD5" w:rsidRPr="00B0319E">
        <w:t>For the analysis, o</w:t>
      </w:r>
      <w:r w:rsidR="00DB4D5B" w:rsidRPr="00B0319E">
        <w:t>nly companies operating in the real estate sector were selected</w:t>
      </w:r>
      <w:r w:rsidR="00122B15" w:rsidRPr="00B0319E">
        <w:t>,</w:t>
      </w:r>
      <w:r w:rsidR="00DB4D5B" w:rsidRPr="00B0319E">
        <w:t xml:space="preserve"> and</w:t>
      </w:r>
      <w:r w:rsidR="00122B15" w:rsidRPr="00B0319E">
        <w:t xml:space="preserve"> therefore,</w:t>
      </w:r>
      <w:r w:rsidR="00DB4D5B" w:rsidRPr="00B0319E">
        <w:t xml:space="preserve"> the research results in the next chapter </w:t>
      </w:r>
      <w:r w:rsidR="00122B15" w:rsidRPr="00B0319E">
        <w:t>pertain</w:t>
      </w:r>
      <w:r w:rsidR="00DB4D5B" w:rsidRPr="00B0319E">
        <w:t xml:space="preserve"> to</w:t>
      </w:r>
      <w:r w:rsidR="00122B15" w:rsidRPr="00B0319E">
        <w:t xml:space="preserve"> this</w:t>
      </w:r>
      <w:r w:rsidR="00DB4D5B" w:rsidRPr="00B0319E">
        <w:t xml:space="preserve"> specific industry. Both the dependent and independent variables were selected and applied </w:t>
      </w:r>
      <w:r w:rsidR="00122B15" w:rsidRPr="00B0319E">
        <w:t>based on</w:t>
      </w:r>
      <w:r w:rsidR="00DB4D5B" w:rsidRPr="00B0319E">
        <w:t xml:space="preserve"> previous studies. Th</w:t>
      </w:r>
      <w:r w:rsidR="00931F15">
        <w:t>e</w:t>
      </w:r>
      <w:r w:rsidR="00DB4D5B" w:rsidRPr="00B0319E">
        <w:t xml:space="preserve"> approach </w:t>
      </w:r>
      <w:r w:rsidR="00122B15" w:rsidRPr="00B0319E">
        <w:t>aims</w:t>
      </w:r>
      <w:r w:rsidR="00DB4D5B" w:rsidRPr="00B0319E">
        <w:t xml:space="preserve"> to </w:t>
      </w:r>
      <w:r w:rsidR="00122B15" w:rsidRPr="00B0319E">
        <w:t>enhance</w:t>
      </w:r>
      <w:r w:rsidR="00DB4D5B" w:rsidRPr="00B0319E">
        <w:t xml:space="preserve"> the validity of the results b</w:t>
      </w:r>
      <w:r w:rsidR="00122B15" w:rsidRPr="00B0319E">
        <w:t>y integrating</w:t>
      </w:r>
      <w:r w:rsidR="00DB4D5B" w:rsidRPr="00B0319E">
        <w:t xml:space="preserve"> the most important variables </w:t>
      </w:r>
      <w:r w:rsidR="00122B15" w:rsidRPr="00B0319E">
        <w:t>identified in</w:t>
      </w:r>
      <w:r w:rsidR="00DB4D5B" w:rsidRPr="00B0319E">
        <w:t xml:space="preserve"> previous research. The </w:t>
      </w:r>
      <w:r w:rsidR="00122B15" w:rsidRPr="00B0319E">
        <w:t>dataset comprises</w:t>
      </w:r>
      <w:r w:rsidR="00DB4D5B" w:rsidRPr="00B0319E">
        <w:t xml:space="preserve"> a total of </w:t>
      </w:r>
      <w:r w:rsidR="004E6945" w:rsidRPr="00B0319E">
        <w:t>ten</w:t>
      </w:r>
      <w:r w:rsidR="00DB4D5B" w:rsidRPr="00B0319E">
        <w:t xml:space="preserve"> variables available through the recording of the ESG score and </w:t>
      </w:r>
      <w:r w:rsidR="00122B15" w:rsidRPr="00B0319E">
        <w:t>six</w:t>
      </w:r>
      <w:r w:rsidR="00DB4D5B" w:rsidRPr="00B0319E">
        <w:t xml:space="preserve"> variables of a financial nature</w:t>
      </w:r>
      <w:r w:rsidR="00122B15" w:rsidRPr="00B0319E">
        <w:t>, which</w:t>
      </w:r>
      <w:r w:rsidR="00DB4D5B" w:rsidRPr="00B0319E">
        <w:t xml:space="preserve"> can be found in financial reports. The data is from 2022, provid</w:t>
      </w:r>
      <w:r w:rsidR="007E30D3" w:rsidRPr="00B0319E">
        <w:t>ing</w:t>
      </w:r>
      <w:r w:rsidR="00DB4D5B" w:rsidRPr="00B0319E">
        <w:t xml:space="preserve"> the most recent results and </w:t>
      </w:r>
      <w:r w:rsidR="007E30D3" w:rsidRPr="00B0319E">
        <w:t xml:space="preserve">ensuring the availability of comprehensive data </w:t>
      </w:r>
      <w:r w:rsidR="00DB4D5B" w:rsidRPr="00B0319E">
        <w:t xml:space="preserve">for the ESG variables </w:t>
      </w:r>
      <w:r w:rsidR="007E30D3" w:rsidRPr="00B0319E">
        <w:t>for</w:t>
      </w:r>
      <w:r w:rsidR="00DB4D5B" w:rsidRPr="00B0319E">
        <w:t xml:space="preserve"> th</w:t>
      </w:r>
      <w:r w:rsidR="007E30D3" w:rsidRPr="00B0319E">
        <w:t>at</w:t>
      </w:r>
      <w:r w:rsidR="00DB4D5B" w:rsidRPr="00B0319E">
        <w:t xml:space="preserve"> year.</w:t>
      </w:r>
    </w:p>
    <w:p w14:paraId="10DC4DE3" w14:textId="1755C91F" w:rsidR="00B960A5" w:rsidRDefault="00DB4D5B" w:rsidP="00B960A5">
      <w:r w:rsidRPr="00B0319E">
        <w:t xml:space="preserve">Of a total of 973 companies that meet the criterion of </w:t>
      </w:r>
      <w:r w:rsidR="00EF6BD6" w:rsidRPr="00B0319E">
        <w:t>being</w:t>
      </w:r>
      <w:r w:rsidRPr="00B0319E">
        <w:t xml:space="preserve"> in the real estate sector, only 146 companies </w:t>
      </w:r>
      <w:r w:rsidR="00EF6BD6" w:rsidRPr="00B0319E">
        <w:t>reported</w:t>
      </w:r>
      <w:r w:rsidRPr="00B0319E">
        <w:t xml:space="preserve"> employee satisfaction. O</w:t>
      </w:r>
      <w:r w:rsidR="00EF6BD6" w:rsidRPr="00B0319E">
        <w:t>ut o</w:t>
      </w:r>
      <w:r w:rsidRPr="00B0319E">
        <w:t xml:space="preserve">f these 146 companies, only </w:t>
      </w:r>
      <w:r w:rsidR="00346B46" w:rsidRPr="00B0319E">
        <w:t>108</w:t>
      </w:r>
      <w:r w:rsidRPr="00B0319E">
        <w:t xml:space="preserve"> companies provided </w:t>
      </w:r>
      <w:r w:rsidR="00EF6BD6" w:rsidRPr="00B0319E">
        <w:t>complete</w:t>
      </w:r>
      <w:r w:rsidRPr="00B0319E">
        <w:t xml:space="preserve"> data sets for the other </w:t>
      </w:r>
      <w:r w:rsidR="00EF6BD6" w:rsidRPr="00B0319E">
        <w:t xml:space="preserve">necessary </w:t>
      </w:r>
      <w:r w:rsidRPr="00B0319E">
        <w:t xml:space="preserve">variables. </w:t>
      </w:r>
      <w:bookmarkStart w:id="10" w:name="_Hlk173681228"/>
      <w:r w:rsidR="00B960A5">
        <w:t xml:space="preserve">Missing values can lead to biased estimates and reduce the statistical power of the analysis. To avoid this, listwise deletion was used. Companies with missing data for key variables (either dependent or independent) were excluded from the analysis. Using listwise deletion ensures that each regression model is based on the same set of cases. </w:t>
      </w:r>
      <w:r w:rsidR="00B960A5" w:rsidRPr="00B960A5">
        <w:t>Maintaining this consistency is essential for accurately comparing coefficients and comprehending the relationships between variables</w:t>
      </w:r>
      <w:r w:rsidR="00B960A5">
        <w:t xml:space="preserve">. Although this method resulted in reducing the sample size from 146 to 108 companies, it was deemed necessary to ensure the integrity and robustness of the analysis. </w:t>
      </w:r>
      <w:r w:rsidR="00B960A5" w:rsidRPr="00B960A5">
        <w:t>The approach employed prevents potential biases and inconsistencies, thereby enhancing the reliability of the regression results.</w:t>
      </w:r>
    </w:p>
    <w:p w14:paraId="63487FA6" w14:textId="6E73CCCE" w:rsidR="00D261C0" w:rsidRPr="00B0319E" w:rsidRDefault="0000411F" w:rsidP="00B960A5">
      <w:r w:rsidRPr="00B0319E">
        <w:t>In preparation for the regression</w:t>
      </w:r>
      <w:r w:rsidR="00EF6BD6" w:rsidRPr="00B0319E">
        <w:t xml:space="preserve"> analysis</w:t>
      </w:r>
      <w:r w:rsidRPr="00B0319E">
        <w:t xml:space="preserve">, outliers were </w:t>
      </w:r>
      <w:r w:rsidR="00EF6BD6" w:rsidRPr="00B0319E">
        <w:t xml:space="preserve">identified and </w:t>
      </w:r>
      <w:r w:rsidRPr="00B0319E">
        <w:t>removed</w:t>
      </w:r>
      <w:r w:rsidR="00EF6BD6" w:rsidRPr="00B0319E">
        <w:t xml:space="preserve"> using the interquartile range (IQR) method</w:t>
      </w:r>
      <w:r w:rsidRPr="00B0319E">
        <w:t xml:space="preserve">. </w:t>
      </w:r>
      <w:r w:rsidR="00EF6BD6" w:rsidRPr="00B0319E">
        <w:rPr>
          <w:rFonts w:eastAsiaTheme="minorEastAsia" w:cstheme="minorBidi"/>
          <w:color w:val="FF0000"/>
          <w:kern w:val="2"/>
          <w:sz w:val="22"/>
          <w:szCs w:val="22"/>
          <w:lang w:eastAsia="ja-JP"/>
          <w14:ligatures w14:val="standardContextual"/>
        </w:rPr>
        <w:t xml:space="preserve"> </w:t>
      </w:r>
      <w:r w:rsidR="00EF6BD6" w:rsidRPr="00B0319E">
        <w:t>Specifically, any data points that were more than 1.5 times the IQR above the third quartile or below the first quartile were considered outliers.</w:t>
      </w:r>
      <w:r w:rsidRPr="00B0319E">
        <w:t xml:space="preserve"> </w:t>
      </w:r>
      <w:r w:rsidR="00EF6BD6" w:rsidRPr="00B0319E">
        <w:t>During this process, i</w:t>
      </w:r>
      <w:r w:rsidRPr="00B0319E">
        <w:t xml:space="preserve">t was noted that </w:t>
      </w:r>
      <w:r w:rsidR="00D261C0" w:rsidRPr="00B0319E">
        <w:t>several</w:t>
      </w:r>
      <w:r w:rsidRPr="00B0319E">
        <w:t xml:space="preserve"> outliers had </w:t>
      </w:r>
      <w:r w:rsidR="00D261C0" w:rsidRPr="00B0319E">
        <w:t xml:space="preserve">values </w:t>
      </w:r>
      <w:r w:rsidRPr="00B0319E">
        <w:t xml:space="preserve">at least twice </w:t>
      </w:r>
      <w:r w:rsidR="00D261C0" w:rsidRPr="00B0319E">
        <w:t xml:space="preserve">as large as </w:t>
      </w:r>
      <w:r w:rsidRPr="00B0319E">
        <w:t xml:space="preserve">the </w:t>
      </w:r>
      <w:r w:rsidR="00D261C0" w:rsidRPr="00B0319E">
        <w:t xml:space="preserve">next highest </w:t>
      </w:r>
      <w:r w:rsidRPr="00B0319E">
        <w:t xml:space="preserve">value </w:t>
      </w:r>
      <w:r w:rsidR="00D261C0" w:rsidRPr="00B0319E">
        <w:t>within the non-outlier range, indicating significant deviations from the rest of the data</w:t>
      </w:r>
      <w:r w:rsidRPr="00B0319E">
        <w:t>.</w:t>
      </w:r>
      <w:r w:rsidR="00116E0D" w:rsidRPr="00B0319E">
        <w:t xml:space="preserve"> </w:t>
      </w:r>
      <w:r w:rsidR="00D261C0" w:rsidRPr="00B0319E">
        <w:t>These extreme outliers were removed to enhance the accuracy and reliability of the regression analysis. The rationale behind removing these outliers is to prevent them from disproportionately influencing the model's results. Extreme outliers can skew the distribution of residuals, leading to violations of key regression assumptions such as normality of errors and homos</w:t>
      </w:r>
      <w:r w:rsidR="00533701" w:rsidRPr="00B0319E">
        <w:t>k</w:t>
      </w:r>
      <w:r w:rsidR="00D261C0" w:rsidRPr="00B0319E">
        <w:t>edasticity.</w:t>
      </w:r>
      <w:r w:rsidR="007E30D3" w:rsidRPr="00B0319E">
        <w:t xml:space="preserve"> </w:t>
      </w:r>
      <w:r w:rsidR="00D261C0" w:rsidRPr="00B0319E">
        <w:t>By ensuring that the residuals are more normally distributed, and homos</w:t>
      </w:r>
      <w:r w:rsidR="00533701" w:rsidRPr="00B0319E">
        <w:t>k</w:t>
      </w:r>
      <w:r w:rsidR="00D261C0" w:rsidRPr="00B0319E">
        <w:t xml:space="preserve">edasticity is maintained, the regression model's estimates and statistical tests remain valid and reliable. </w:t>
      </w:r>
      <w:r w:rsidR="005520AE">
        <w:t>C</w:t>
      </w:r>
      <w:r w:rsidR="00D261C0" w:rsidRPr="00B0319E">
        <w:t>areful handling of outliers helps in producing a model that accurately reflects the underlying data patterns without being distorted by anomalous values.</w:t>
      </w:r>
      <w:r w:rsidR="007E30D3" w:rsidRPr="00B0319E">
        <w:t xml:space="preserve"> In the end 97 companies remained.</w:t>
      </w:r>
    </w:p>
    <w:bookmarkEnd w:id="10"/>
    <w:p w14:paraId="297934C7" w14:textId="55EDD513" w:rsidR="00DB4D5B" w:rsidRPr="00B0319E" w:rsidRDefault="00DB4D5B" w:rsidP="00700F60">
      <w:r w:rsidRPr="00B0319E">
        <w:t xml:space="preserve">To assign the data to specific </w:t>
      </w:r>
      <w:r w:rsidR="007E30D3" w:rsidRPr="00B0319E">
        <w:t>entities</w:t>
      </w:r>
      <w:r w:rsidRPr="00B0319E">
        <w:t>, the ISIN codes of the respective companies were u</w:t>
      </w:r>
      <w:r w:rsidR="007E30D3" w:rsidRPr="00B0319E">
        <w:t>tilized</w:t>
      </w:r>
      <w:r w:rsidRPr="00B0319E">
        <w:t xml:space="preserve">. </w:t>
      </w:r>
      <w:r w:rsidR="005520AE">
        <w:t>I</w:t>
      </w:r>
      <w:r w:rsidRPr="00B0319E">
        <w:t xml:space="preserve">ndividual data records </w:t>
      </w:r>
      <w:r w:rsidR="007E30D3" w:rsidRPr="00B0319E">
        <w:t xml:space="preserve">are </w:t>
      </w:r>
      <w:r w:rsidR="005520AE">
        <w:t xml:space="preserve">then </w:t>
      </w:r>
      <w:r w:rsidR="007E30D3" w:rsidRPr="00B0319E">
        <w:t>accurately attributed</w:t>
      </w:r>
      <w:r w:rsidRPr="00B0319E">
        <w:t xml:space="preserve"> to the correct company</w:t>
      </w:r>
      <w:r w:rsidR="007E30D3" w:rsidRPr="00B0319E">
        <w:t>,</w:t>
      </w:r>
      <w:r w:rsidRPr="00B0319E">
        <w:t xml:space="preserve"> </w:t>
      </w:r>
      <w:r w:rsidR="007E30D3" w:rsidRPr="00B0319E">
        <w:t>thereby</w:t>
      </w:r>
      <w:r w:rsidRPr="00B0319E">
        <w:t xml:space="preserve"> facilitat</w:t>
      </w:r>
      <w:r w:rsidR="007E30D3" w:rsidRPr="00B0319E">
        <w:t>ing</w:t>
      </w:r>
      <w:r w:rsidRPr="00B0319E">
        <w:t xml:space="preserve"> the reproducibility of the results</w:t>
      </w:r>
      <w:r w:rsidR="007E30D3" w:rsidRPr="00B0319E">
        <w:t xml:space="preserve"> through clear</w:t>
      </w:r>
      <w:r w:rsidRPr="00B0319E">
        <w:t xml:space="preserve"> </w:t>
      </w:r>
      <w:r w:rsidR="007E30D3" w:rsidRPr="00B0319E">
        <w:t>company</w:t>
      </w:r>
      <w:r w:rsidRPr="00B0319E">
        <w:t xml:space="preserve"> identifi</w:t>
      </w:r>
      <w:r w:rsidR="007E30D3" w:rsidRPr="00B0319E">
        <w:t>cation</w:t>
      </w:r>
      <w:r w:rsidRPr="00B0319E">
        <w:t>.</w:t>
      </w:r>
    </w:p>
    <w:p w14:paraId="29EA7695" w14:textId="7ED2C809" w:rsidR="00DB4D5B" w:rsidRPr="00B0319E" w:rsidRDefault="00DB4D5B" w:rsidP="00DB4D5B">
      <w:r w:rsidRPr="00B0319E">
        <w:tab/>
        <w:t xml:space="preserve">A multivariate regression </w:t>
      </w:r>
      <w:r w:rsidR="007E30D3" w:rsidRPr="00B0319E">
        <w:t xml:space="preserve">analysis, </w:t>
      </w:r>
      <w:r w:rsidRPr="00B0319E">
        <w:t>based on the previously mentioned models</w:t>
      </w:r>
      <w:r w:rsidR="007E30D3" w:rsidRPr="00B0319E">
        <w:t>,</w:t>
      </w:r>
      <w:r w:rsidRPr="00B0319E">
        <w:t xml:space="preserve"> was </w:t>
      </w:r>
      <w:r w:rsidR="007E30D3" w:rsidRPr="00B0319E">
        <w:t>conducted</w:t>
      </w:r>
      <w:r w:rsidRPr="00B0319E">
        <w:t xml:space="preserve"> using data from these </w:t>
      </w:r>
      <w:r w:rsidR="00452CC7" w:rsidRPr="00B0319E">
        <w:t>97</w:t>
      </w:r>
      <w:r w:rsidRPr="00B0319E">
        <w:t xml:space="preserve"> companies. </w:t>
      </w:r>
      <w:r w:rsidR="006E24E5" w:rsidRPr="00B0319E">
        <w:t>The advantage of employing a</w:t>
      </w:r>
      <w:r w:rsidRPr="00B0319E">
        <w:t xml:space="preserve"> multivariate regression </w:t>
      </w:r>
      <w:r w:rsidR="006E24E5" w:rsidRPr="00B0319E">
        <w:t>is that it allows for the inclusion of multiple</w:t>
      </w:r>
      <w:r w:rsidRPr="00B0319E">
        <w:t xml:space="preserve"> independent variables in the model. This </w:t>
      </w:r>
      <w:r w:rsidR="006E24E5" w:rsidRPr="00B0319E">
        <w:t xml:space="preserve">enables the examination of the influences of other potentially significant </w:t>
      </w:r>
      <w:r w:rsidRPr="00B0319E">
        <w:t xml:space="preserve">independent variables on the dependent variable. </w:t>
      </w:r>
      <w:r w:rsidR="006E24E5" w:rsidRPr="00B0319E">
        <w:t>For instance, it is essential to consider</w:t>
      </w:r>
      <w:r w:rsidRPr="00B0319E">
        <w:t xml:space="preserve"> that ROA</w:t>
      </w:r>
      <w:r w:rsidR="006E24E5" w:rsidRPr="00B0319E">
        <w:t xml:space="preserve"> may be</w:t>
      </w:r>
      <w:r w:rsidRPr="00B0319E">
        <w:t xml:space="preserve"> influenced</w:t>
      </w:r>
      <w:r w:rsidR="006E24E5" w:rsidRPr="00B0319E">
        <w:t xml:space="preserve"> not only</w:t>
      </w:r>
      <w:r w:rsidRPr="00B0319E">
        <w:t xml:space="preserve"> by employee satisfaction but also by other variables such as </w:t>
      </w:r>
      <w:r w:rsidR="00B960A5">
        <w:t>R</w:t>
      </w:r>
      <w:r w:rsidRPr="00B0319E">
        <w:t xml:space="preserve">evenue. </w:t>
      </w:r>
    </w:p>
    <w:p w14:paraId="4EC50D34" w14:textId="758BBC0B" w:rsidR="00AB0D87" w:rsidRPr="00B0319E" w:rsidRDefault="00A30CC8" w:rsidP="004A2A48">
      <w:r w:rsidRPr="00A30CC8">
        <w:t>To validate the models, as previously mentioned, various robustness tests were conducted.</w:t>
      </w:r>
      <w:r w:rsidRPr="00A30CC8" w:rsidDel="00A30CC8">
        <w:t xml:space="preserve"> </w:t>
      </w:r>
      <w:r w:rsidR="00DB4D5B" w:rsidRPr="00B0319E">
        <w:t>The results of these tests indicated that there are no underlying problems with the models</w:t>
      </w:r>
      <w:r w:rsidR="006E24E5" w:rsidRPr="00B0319E">
        <w:t xml:space="preserve">, thereby validating the feasibility of conducting </w:t>
      </w:r>
      <w:r w:rsidR="00DB4D5B" w:rsidRPr="00B0319E">
        <w:t xml:space="preserve">a multivariate regression. In the </w:t>
      </w:r>
      <w:r w:rsidR="006E24E5" w:rsidRPr="00B0319E">
        <w:t>subsequent</w:t>
      </w:r>
      <w:r w:rsidR="00DB4D5B" w:rsidRPr="00B0319E">
        <w:t xml:space="preserve"> section, the results of the regression </w:t>
      </w:r>
      <w:r w:rsidR="006E24E5" w:rsidRPr="00B0319E">
        <w:t>analysis are presented,</w:t>
      </w:r>
      <w:r w:rsidR="00DB4D5B" w:rsidRPr="00B0319E">
        <w:t xml:space="preserve"> and the</w:t>
      </w:r>
      <w:r w:rsidR="006E24E5" w:rsidRPr="00B0319E">
        <w:t>ir</w:t>
      </w:r>
      <w:r w:rsidR="00DB4D5B" w:rsidRPr="00B0319E">
        <w:t xml:space="preserve"> significance is explained.</w:t>
      </w:r>
      <w:r w:rsidR="00AB0D87" w:rsidRPr="00B0319E">
        <w:br w:type="page"/>
      </w:r>
    </w:p>
    <w:p w14:paraId="0ACEC3E6" w14:textId="1EF8D06C" w:rsidR="00AB0D87" w:rsidRPr="004A2A48" w:rsidRDefault="00AB0D87" w:rsidP="00394B30">
      <w:pPr>
        <w:pStyle w:val="Kop1"/>
        <w:rPr>
          <w:lang w:val="en-GB"/>
        </w:rPr>
      </w:pPr>
      <w:bookmarkStart w:id="11" w:name="_Toc174210213"/>
      <w:r w:rsidRPr="004A2A48">
        <w:rPr>
          <w:lang w:val="en-GB"/>
        </w:rPr>
        <w:t>Results</w:t>
      </w:r>
      <w:bookmarkEnd w:id="11"/>
    </w:p>
    <w:p w14:paraId="4E6EF18D" w14:textId="024CF2E3" w:rsidR="00044C05" w:rsidRPr="00044C05" w:rsidRDefault="00B65E9E" w:rsidP="0074246E">
      <w:pPr>
        <w:ind w:firstLine="0"/>
      </w:pPr>
      <w:bookmarkStart w:id="12" w:name="_Hlk174028736"/>
      <w:r w:rsidRPr="00B0319E">
        <w:t>The results of the multivariate regression</w:t>
      </w:r>
      <w:r w:rsidR="00D07602" w:rsidRPr="00B0319E">
        <w:t xml:space="preserve"> analysis</w:t>
      </w:r>
      <w:r w:rsidRPr="00B0319E">
        <w:t xml:space="preserve"> are presented in</w:t>
      </w:r>
      <w:r w:rsidR="00B0319E" w:rsidRPr="00B0319E">
        <w:t xml:space="preserve"> </w:t>
      </w:r>
      <w:r w:rsidR="00B0319E" w:rsidRPr="00B0319E">
        <w:rPr>
          <w:rFonts w:cstheme="minorHAnsi"/>
          <w:smallCaps/>
          <w:color w:val="000000"/>
          <w:spacing w:val="-1"/>
          <w:szCs w:val="16"/>
          <w:lang w:val="en-US"/>
        </w:rPr>
        <w:fldChar w:fldCharType="begin"/>
      </w:r>
      <w:r w:rsidR="00B0319E" w:rsidRPr="00B0319E">
        <w:instrText xml:space="preserve"> REF _Ref174191276 \h </w:instrText>
      </w:r>
      <w:r w:rsidR="00044C05">
        <w:instrText xml:space="preserve"> \* MERGEFORMAT </w:instrText>
      </w:r>
      <w:r w:rsidR="00B0319E" w:rsidRPr="00B0319E">
        <w:rPr>
          <w:rFonts w:cstheme="minorHAnsi"/>
          <w:smallCaps/>
          <w:color w:val="000000"/>
          <w:spacing w:val="-1"/>
          <w:szCs w:val="16"/>
          <w:lang w:val="en-US"/>
        </w:rPr>
      </w:r>
      <w:r w:rsidR="00B0319E" w:rsidRPr="00B0319E">
        <w:rPr>
          <w:rFonts w:cstheme="minorHAnsi"/>
          <w:smallCaps/>
          <w:color w:val="000000"/>
          <w:spacing w:val="-1"/>
          <w:szCs w:val="16"/>
          <w:lang w:val="en-US"/>
        </w:rPr>
        <w:fldChar w:fldCharType="separate"/>
      </w:r>
      <w:r w:rsidR="004A2A48" w:rsidRPr="004A2A48">
        <w:rPr>
          <w:rStyle w:val="Subtieleverwijzing"/>
          <w:i/>
          <w:iCs/>
          <w:noProof/>
        </w:rPr>
        <w:t>Table</w:t>
      </w:r>
      <w:r w:rsidR="004A2A48" w:rsidRPr="004A2A48">
        <w:rPr>
          <w:rStyle w:val="Subtieleverwijzing"/>
          <w:rFonts w:cstheme="minorHAnsi"/>
          <w:i/>
          <w:iCs/>
          <w:spacing w:val="-1"/>
          <w:szCs w:val="16"/>
          <w:lang w:val="en-US"/>
        </w:rPr>
        <w:t xml:space="preserve"> </w:t>
      </w:r>
      <w:r w:rsidR="004A2A48">
        <w:rPr>
          <w:rStyle w:val="Subtieleverwijzing"/>
          <w:i/>
          <w:iCs/>
          <w:noProof/>
        </w:rPr>
        <w:t>2</w:t>
      </w:r>
      <w:r w:rsidR="00B0319E" w:rsidRPr="00B0319E">
        <w:rPr>
          <w:rFonts w:cstheme="minorHAnsi"/>
          <w:color w:val="000000"/>
          <w:spacing w:val="-1"/>
          <w:szCs w:val="16"/>
          <w:lang w:val="en-US"/>
        </w:rPr>
        <w:fldChar w:fldCharType="end"/>
      </w:r>
      <w:r w:rsidRPr="00B0319E">
        <w:t xml:space="preserve"> and </w:t>
      </w:r>
      <w:r w:rsidR="00BB7D6E" w:rsidRPr="004A2A48">
        <w:rPr>
          <w:rFonts w:cstheme="minorHAnsi"/>
          <w:i/>
          <w:iCs/>
          <w:color w:val="000000"/>
          <w:spacing w:val="-1"/>
          <w:szCs w:val="16"/>
        </w:rPr>
        <w:fldChar w:fldCharType="begin"/>
      </w:r>
      <w:r w:rsidR="00BB7D6E" w:rsidRPr="004A2A48">
        <w:rPr>
          <w:rFonts w:cstheme="minorHAnsi"/>
          <w:i/>
          <w:iCs/>
          <w:color w:val="000000"/>
          <w:spacing w:val="-1"/>
          <w:szCs w:val="16"/>
        </w:rPr>
        <w:instrText xml:space="preserve"> REF _Ref174124279 \h </w:instrText>
      </w:r>
      <w:r w:rsidR="00BB7D6E" w:rsidRPr="00B0319E">
        <w:rPr>
          <w:i/>
          <w:iCs/>
        </w:rPr>
        <w:instrText xml:space="preserve"> \* MERGEFORMAT </w:instrText>
      </w:r>
      <w:r w:rsidR="00BB7D6E" w:rsidRPr="004A2A48">
        <w:rPr>
          <w:rFonts w:cstheme="minorHAnsi"/>
          <w:i/>
          <w:iCs/>
          <w:color w:val="000000"/>
          <w:spacing w:val="-1"/>
          <w:szCs w:val="16"/>
        </w:rPr>
      </w:r>
      <w:r w:rsidR="00BB7D6E" w:rsidRPr="004A2A48">
        <w:rPr>
          <w:rFonts w:cstheme="minorHAnsi"/>
          <w:i/>
          <w:iCs/>
          <w:color w:val="000000"/>
          <w:spacing w:val="-1"/>
          <w:szCs w:val="16"/>
        </w:rPr>
        <w:fldChar w:fldCharType="separate"/>
      </w:r>
      <w:r w:rsidR="004A2A48" w:rsidRPr="004A2A48">
        <w:rPr>
          <w:rStyle w:val="Subtieleverwijzing"/>
        </w:rPr>
        <w:t>Table 3</w:t>
      </w:r>
      <w:r w:rsidR="00BB7D6E" w:rsidRPr="004A2A48">
        <w:rPr>
          <w:rFonts w:cstheme="minorHAnsi"/>
          <w:i/>
          <w:iCs/>
          <w:color w:val="000000"/>
          <w:spacing w:val="-1"/>
          <w:szCs w:val="16"/>
        </w:rPr>
        <w:fldChar w:fldCharType="end"/>
      </w:r>
      <w:r w:rsidRPr="004A2A48">
        <w:rPr>
          <w:rFonts w:cstheme="minorHAnsi"/>
          <w:i/>
          <w:iCs/>
          <w:color w:val="000000"/>
          <w:spacing w:val="-1"/>
          <w:szCs w:val="16"/>
        </w:rPr>
        <w:t>.</w:t>
      </w:r>
      <w:r w:rsidR="00F46E30" w:rsidRPr="00B0319E">
        <w:t xml:space="preserve"> </w:t>
      </w:r>
      <w:r w:rsidR="00A7270B" w:rsidRPr="00B0319E">
        <w:t xml:space="preserve">Table </w:t>
      </w:r>
      <w:r w:rsidR="00AA1F86" w:rsidRPr="00B0319E">
        <w:t>2</w:t>
      </w:r>
      <w:r w:rsidR="00A7270B" w:rsidRPr="00B0319E">
        <w:t xml:space="preserve"> </w:t>
      </w:r>
      <w:r w:rsidR="006824D9" w:rsidRPr="00B0319E">
        <w:t>displays</w:t>
      </w:r>
      <w:r w:rsidR="00A7270B" w:rsidRPr="00B0319E">
        <w:t xml:space="preserve"> the regression </w:t>
      </w:r>
      <w:r w:rsidR="006824D9" w:rsidRPr="00B0319E">
        <w:t>outcomes</w:t>
      </w:r>
      <w:r w:rsidR="00A7270B" w:rsidRPr="00B0319E">
        <w:t xml:space="preserve"> for models one and two, while Table </w:t>
      </w:r>
      <w:r w:rsidR="00A32148" w:rsidRPr="00B0319E">
        <w:t>3</w:t>
      </w:r>
      <w:r w:rsidR="00A7270B" w:rsidRPr="00B0319E">
        <w:t xml:space="preserve"> presents the results for model 3</w:t>
      </w:r>
      <w:r w:rsidR="006B31E0" w:rsidRPr="00B0319E">
        <w:t>.</w:t>
      </w:r>
      <w:r w:rsidR="004D494E" w:rsidRPr="00B0319E">
        <w:t xml:space="preserve"> The descriptive statistics of all variables can be found in</w:t>
      </w:r>
      <w:r w:rsidR="00BB7D6E" w:rsidRPr="00B0319E">
        <w:t xml:space="preserve"> </w:t>
      </w:r>
      <w:r w:rsidR="00D76C91" w:rsidRPr="00B0319E">
        <w:rPr>
          <w:rFonts w:cstheme="minorHAnsi"/>
          <w:color w:val="000000"/>
          <w:spacing w:val="-1"/>
          <w:szCs w:val="16"/>
          <w:lang w:val="en-US"/>
        </w:rPr>
        <w:fldChar w:fldCharType="begin"/>
      </w:r>
      <w:r w:rsidR="00D76C91" w:rsidRPr="00B0319E">
        <w:instrText xml:space="preserve"> REF _Ref174124297 \h </w:instrText>
      </w:r>
      <w:r w:rsidR="00044C05">
        <w:instrText xml:space="preserve"> \* MERGEFORMAT </w:instrText>
      </w:r>
      <w:r w:rsidR="00D76C91" w:rsidRPr="00B0319E">
        <w:rPr>
          <w:rFonts w:cstheme="minorHAnsi"/>
          <w:color w:val="000000"/>
          <w:spacing w:val="-1"/>
          <w:szCs w:val="16"/>
          <w:lang w:val="en-US"/>
        </w:rPr>
      </w:r>
      <w:r w:rsidR="00D76C91" w:rsidRPr="00B0319E">
        <w:rPr>
          <w:rFonts w:cstheme="minorHAnsi"/>
          <w:color w:val="000000"/>
          <w:spacing w:val="-1"/>
          <w:szCs w:val="16"/>
          <w:lang w:val="en-US"/>
        </w:rPr>
        <w:fldChar w:fldCharType="separate"/>
      </w:r>
      <w:r w:rsidR="004A2A48" w:rsidRPr="004A2A48">
        <w:rPr>
          <w:rStyle w:val="Subtieleverwijzing"/>
          <w:i/>
          <w:iCs/>
        </w:rPr>
        <w:t xml:space="preserve">Table </w:t>
      </w:r>
      <w:r w:rsidR="004A2A48">
        <w:rPr>
          <w:rStyle w:val="Subtieleverwijzing"/>
          <w:i/>
          <w:iCs/>
        </w:rPr>
        <w:t>1</w:t>
      </w:r>
      <w:r w:rsidR="00D76C91" w:rsidRPr="00B0319E">
        <w:rPr>
          <w:rFonts w:cstheme="minorHAnsi"/>
          <w:color w:val="000000"/>
          <w:spacing w:val="-1"/>
          <w:szCs w:val="16"/>
          <w:lang w:val="en-US"/>
        </w:rPr>
        <w:fldChar w:fldCharType="end"/>
      </w:r>
      <w:r w:rsidR="004D494E" w:rsidRPr="00B0319E">
        <w:t>.</w:t>
      </w:r>
    </w:p>
    <w:p w14:paraId="48E117EB" w14:textId="74F083A7" w:rsidR="00AA1F86" w:rsidRPr="004A2A48" w:rsidRDefault="00AA1F86" w:rsidP="004A2A48">
      <w:pPr>
        <w:pStyle w:val="Bijschrift"/>
        <w:keepNext/>
        <w:spacing w:before="240" w:line="240" w:lineRule="auto"/>
        <w:jc w:val="left"/>
        <w:rPr>
          <w:rStyle w:val="Subtieleverwijzing"/>
          <w:i/>
          <w:iCs/>
        </w:rPr>
      </w:pPr>
      <w:bookmarkStart w:id="13" w:name="_Ref174124297"/>
      <w:r w:rsidRPr="004A2A48">
        <w:rPr>
          <w:rStyle w:val="Subtieleverwijzing"/>
          <w:i/>
          <w:iCs/>
        </w:rPr>
        <w:t xml:space="preserve">Table </w:t>
      </w:r>
      <w:r w:rsidRPr="004A2A48">
        <w:rPr>
          <w:rStyle w:val="Subtieleverwijzing"/>
          <w:i/>
          <w:iCs/>
        </w:rPr>
        <w:fldChar w:fldCharType="begin"/>
      </w:r>
      <w:r w:rsidRPr="004A2A48">
        <w:rPr>
          <w:rStyle w:val="Subtieleverwijzing"/>
          <w:i/>
          <w:iCs/>
        </w:rPr>
        <w:instrText xml:space="preserve"> SEQ Table \* ARABIC </w:instrText>
      </w:r>
      <w:r w:rsidRPr="004A2A48">
        <w:rPr>
          <w:rStyle w:val="Subtieleverwijzing"/>
          <w:i/>
          <w:iCs/>
        </w:rPr>
        <w:fldChar w:fldCharType="separate"/>
      </w:r>
      <w:r w:rsidR="004A2A48">
        <w:rPr>
          <w:rStyle w:val="Subtieleverwijzing"/>
          <w:i/>
          <w:iCs/>
          <w:noProof/>
        </w:rPr>
        <w:t>1</w:t>
      </w:r>
      <w:r w:rsidRPr="004A2A48">
        <w:rPr>
          <w:rStyle w:val="Subtieleverwijzing"/>
          <w:i/>
          <w:iCs/>
        </w:rPr>
        <w:fldChar w:fldCharType="end"/>
      </w:r>
      <w:bookmarkEnd w:id="13"/>
      <w:r w:rsidRPr="004A2A48">
        <w:rPr>
          <w:rStyle w:val="Subtieleverwijzing"/>
          <w:i/>
          <w:iCs/>
          <w:lang w:val="en-GB"/>
        </w:rPr>
        <w:t xml:space="preserve">. Descriptive </w:t>
      </w:r>
      <w:r w:rsidR="00200717" w:rsidRPr="004A2A48">
        <w:rPr>
          <w:rStyle w:val="Subtieleverwijzing"/>
          <w:i/>
          <w:iCs/>
          <w:lang w:val="en-GB"/>
        </w:rPr>
        <w:t>S</w:t>
      </w:r>
      <w:r w:rsidRPr="004A2A48">
        <w:rPr>
          <w:rStyle w:val="Subtieleverwijzing"/>
          <w:i/>
          <w:iCs/>
          <w:lang w:val="en-GB"/>
        </w:rPr>
        <w:t>tatistics</w:t>
      </w:r>
    </w:p>
    <w:tbl>
      <w:tblPr>
        <w:tblStyle w:val="Tabellenraster2"/>
        <w:tblW w:w="0" w:type="auto"/>
        <w:jc w:val="center"/>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97"/>
        <w:gridCol w:w="1843"/>
        <w:gridCol w:w="2693"/>
      </w:tblGrid>
      <w:tr w:rsidR="00AA1F86" w:rsidRPr="00B0319E" w14:paraId="24D99E28" w14:textId="77777777" w:rsidTr="0087214A">
        <w:trPr>
          <w:jc w:val="center"/>
        </w:trPr>
        <w:tc>
          <w:tcPr>
            <w:tcW w:w="3397" w:type="dxa"/>
            <w:tcBorders>
              <w:top w:val="single" w:sz="4" w:space="0" w:color="auto"/>
              <w:bottom w:val="single" w:sz="4" w:space="0" w:color="auto"/>
            </w:tcBorders>
          </w:tcPr>
          <w:p w14:paraId="5888CB45" w14:textId="77777777" w:rsidR="00AA1F86" w:rsidRPr="00B0319E" w:rsidRDefault="00AA1F86" w:rsidP="0087214A">
            <w:pPr>
              <w:tabs>
                <w:tab w:val="left" w:pos="1134"/>
              </w:tabs>
              <w:spacing w:before="120" w:after="120" w:line="240" w:lineRule="auto"/>
              <w:ind w:firstLine="0"/>
              <w:jc w:val="left"/>
              <w:rPr>
                <w:rFonts w:ascii="Times New Roman" w:hAnsi="Times New Roman" w:cs="Times New Roman"/>
                <w:b/>
                <w:bCs/>
                <w:sz w:val="20"/>
                <w:szCs w:val="20"/>
                <w:lang w:eastAsia="ja-JP"/>
              </w:rPr>
            </w:pPr>
            <w:r w:rsidRPr="00B0319E">
              <w:rPr>
                <w:rFonts w:ascii="Times New Roman" w:hAnsi="Times New Roman" w:cs="Times New Roman"/>
                <w:b/>
                <w:bCs/>
                <w:sz w:val="20"/>
                <w:szCs w:val="20"/>
                <w:lang w:eastAsia="ja-JP"/>
              </w:rPr>
              <w:t>Variable</w:t>
            </w:r>
          </w:p>
        </w:tc>
        <w:tc>
          <w:tcPr>
            <w:tcW w:w="1843" w:type="dxa"/>
            <w:tcBorders>
              <w:top w:val="single" w:sz="4" w:space="0" w:color="auto"/>
              <w:bottom w:val="single" w:sz="4" w:space="0" w:color="auto"/>
            </w:tcBorders>
          </w:tcPr>
          <w:p w14:paraId="12EB0C9B" w14:textId="77777777" w:rsidR="00AA1F86" w:rsidRPr="00B0319E" w:rsidRDefault="00AA1F86" w:rsidP="0087214A">
            <w:pPr>
              <w:tabs>
                <w:tab w:val="left" w:pos="1134"/>
              </w:tabs>
              <w:spacing w:before="120" w:after="120" w:line="240" w:lineRule="auto"/>
              <w:ind w:firstLine="0"/>
              <w:jc w:val="right"/>
              <w:rPr>
                <w:rFonts w:ascii="Times New Roman" w:hAnsi="Times New Roman" w:cs="Times New Roman"/>
                <w:b/>
                <w:bCs/>
                <w:sz w:val="20"/>
                <w:szCs w:val="20"/>
                <w:lang w:eastAsia="ja-JP"/>
              </w:rPr>
            </w:pPr>
            <w:r w:rsidRPr="00B0319E">
              <w:rPr>
                <w:rFonts w:ascii="Times New Roman" w:hAnsi="Times New Roman" w:cs="Times New Roman"/>
                <w:b/>
                <w:bCs/>
                <w:sz w:val="20"/>
                <w:szCs w:val="20"/>
                <w:lang w:eastAsia="ja-JP"/>
              </w:rPr>
              <w:t>Mean</w:t>
            </w:r>
          </w:p>
        </w:tc>
        <w:tc>
          <w:tcPr>
            <w:tcW w:w="2693" w:type="dxa"/>
            <w:tcBorders>
              <w:top w:val="single" w:sz="4" w:space="0" w:color="auto"/>
              <w:bottom w:val="single" w:sz="4" w:space="0" w:color="auto"/>
            </w:tcBorders>
          </w:tcPr>
          <w:p w14:paraId="5E4F576B" w14:textId="77777777" w:rsidR="00AA1F86" w:rsidRPr="00B0319E" w:rsidRDefault="00AA1F86" w:rsidP="0087214A">
            <w:pPr>
              <w:tabs>
                <w:tab w:val="left" w:pos="1134"/>
              </w:tabs>
              <w:spacing w:before="120" w:after="120" w:line="240" w:lineRule="auto"/>
              <w:ind w:firstLine="0"/>
              <w:jc w:val="right"/>
              <w:rPr>
                <w:rFonts w:ascii="Times New Roman" w:hAnsi="Times New Roman" w:cs="Times New Roman"/>
                <w:b/>
                <w:bCs/>
                <w:sz w:val="20"/>
                <w:szCs w:val="20"/>
                <w:lang w:eastAsia="ja-JP"/>
              </w:rPr>
            </w:pPr>
            <w:r w:rsidRPr="00B0319E">
              <w:rPr>
                <w:rFonts w:ascii="Times New Roman" w:hAnsi="Times New Roman" w:cs="Times New Roman"/>
                <w:b/>
                <w:bCs/>
                <w:sz w:val="20"/>
                <w:szCs w:val="20"/>
                <w:lang w:eastAsia="ja-JP"/>
              </w:rPr>
              <w:t>Standard Deviation</w:t>
            </w:r>
          </w:p>
        </w:tc>
      </w:tr>
      <w:tr w:rsidR="00AA1F86" w:rsidRPr="00B0319E" w14:paraId="0F447110" w14:textId="77777777" w:rsidTr="0087214A">
        <w:trPr>
          <w:jc w:val="center"/>
        </w:trPr>
        <w:tc>
          <w:tcPr>
            <w:tcW w:w="3397" w:type="dxa"/>
            <w:tcBorders>
              <w:top w:val="single" w:sz="4" w:space="0" w:color="auto"/>
            </w:tcBorders>
          </w:tcPr>
          <w:p w14:paraId="4B9528CA" w14:textId="77777777" w:rsidR="00AA1F86" w:rsidRPr="00B0319E" w:rsidRDefault="00AA1F86" w:rsidP="0087214A">
            <w:pPr>
              <w:tabs>
                <w:tab w:val="left" w:pos="1134"/>
              </w:tabs>
              <w:spacing w:before="120"/>
              <w:ind w:firstLine="0"/>
              <w:jc w:val="lef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Employee_Satisfaction   </w:t>
            </w:r>
          </w:p>
        </w:tc>
        <w:tc>
          <w:tcPr>
            <w:tcW w:w="1843" w:type="dxa"/>
            <w:tcBorders>
              <w:top w:val="single" w:sz="4" w:space="0" w:color="auto"/>
            </w:tcBorders>
          </w:tcPr>
          <w:p w14:paraId="344AB96E" w14:textId="77777777" w:rsidR="00AA1F86" w:rsidRPr="00B0319E" w:rsidRDefault="00AA1F86" w:rsidP="0087214A">
            <w:pPr>
              <w:tabs>
                <w:tab w:val="left" w:pos="1134"/>
              </w:tabs>
              <w:spacing w:before="120"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82.4276289          </w:t>
            </w:r>
          </w:p>
        </w:tc>
        <w:tc>
          <w:tcPr>
            <w:tcW w:w="2693" w:type="dxa"/>
            <w:tcBorders>
              <w:top w:val="single" w:sz="4" w:space="0" w:color="auto"/>
            </w:tcBorders>
          </w:tcPr>
          <w:p w14:paraId="31B887F4" w14:textId="77777777" w:rsidR="00AA1F86" w:rsidRPr="00B0319E" w:rsidRDefault="00AA1F86" w:rsidP="0087214A">
            <w:pPr>
              <w:tabs>
                <w:tab w:val="left" w:pos="1134"/>
              </w:tabs>
              <w:spacing w:before="120"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8.7443359</w:t>
            </w:r>
          </w:p>
        </w:tc>
      </w:tr>
      <w:tr w:rsidR="00AA1F86" w:rsidRPr="00B0319E" w14:paraId="3AAFB7F1" w14:textId="77777777" w:rsidTr="0087214A">
        <w:trPr>
          <w:jc w:val="center"/>
        </w:trPr>
        <w:tc>
          <w:tcPr>
            <w:tcW w:w="3397" w:type="dxa"/>
          </w:tcPr>
          <w:p w14:paraId="4FB228FC" w14:textId="77777777" w:rsidR="00AA1F86" w:rsidRPr="00B0319E" w:rsidRDefault="00AA1F86" w:rsidP="0087214A">
            <w:pPr>
              <w:tabs>
                <w:tab w:val="left" w:pos="1134"/>
              </w:tabs>
              <w:ind w:firstLine="0"/>
              <w:jc w:val="left"/>
              <w:rPr>
                <w:rFonts w:ascii="Times New Roman" w:hAnsi="Times New Roman" w:cs="Times New Roman"/>
                <w:sz w:val="20"/>
                <w:szCs w:val="20"/>
                <w:lang w:eastAsia="ja-JP"/>
              </w:rPr>
            </w:pPr>
            <w:r w:rsidRPr="00B0319E">
              <w:rPr>
                <w:rFonts w:ascii="Times New Roman" w:hAnsi="Times New Roman" w:cs="Times New Roman"/>
                <w:sz w:val="20"/>
                <w:szCs w:val="20"/>
                <w:lang w:eastAsia="ja-JP"/>
              </w:rPr>
              <w:t>Flex_Work_Hours (Dummy)</w:t>
            </w:r>
          </w:p>
        </w:tc>
        <w:tc>
          <w:tcPr>
            <w:tcW w:w="1843" w:type="dxa"/>
          </w:tcPr>
          <w:p w14:paraId="00DB31E7"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0.6391753          </w:t>
            </w:r>
          </w:p>
        </w:tc>
        <w:tc>
          <w:tcPr>
            <w:tcW w:w="2693" w:type="dxa"/>
          </w:tcPr>
          <w:p w14:paraId="74162309"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0.4827346</w:t>
            </w:r>
          </w:p>
        </w:tc>
      </w:tr>
      <w:tr w:rsidR="00AA1F86" w:rsidRPr="00B0319E" w14:paraId="23D7C606" w14:textId="77777777" w:rsidTr="0087214A">
        <w:trPr>
          <w:jc w:val="center"/>
        </w:trPr>
        <w:tc>
          <w:tcPr>
            <w:tcW w:w="3397" w:type="dxa"/>
          </w:tcPr>
          <w:p w14:paraId="2B0BABF0" w14:textId="77777777" w:rsidR="00AA1F86" w:rsidRPr="00B0319E" w:rsidRDefault="00AA1F86" w:rsidP="0087214A">
            <w:pPr>
              <w:tabs>
                <w:tab w:val="left" w:pos="1134"/>
              </w:tabs>
              <w:ind w:firstLine="0"/>
              <w:jc w:val="left"/>
              <w:rPr>
                <w:rFonts w:ascii="Times New Roman" w:hAnsi="Times New Roman" w:cs="Times New Roman"/>
                <w:sz w:val="20"/>
                <w:szCs w:val="20"/>
                <w:lang w:eastAsia="ja-JP"/>
              </w:rPr>
            </w:pPr>
            <w:r w:rsidRPr="00B0319E">
              <w:rPr>
                <w:rFonts w:ascii="Times New Roman" w:hAnsi="Times New Roman" w:cs="Times New Roman"/>
                <w:sz w:val="20"/>
                <w:szCs w:val="20"/>
                <w:lang w:eastAsia="ja-JP"/>
              </w:rPr>
              <w:t>Policy_Career_Dev (Dummy)</w:t>
            </w:r>
          </w:p>
        </w:tc>
        <w:tc>
          <w:tcPr>
            <w:tcW w:w="1843" w:type="dxa"/>
          </w:tcPr>
          <w:p w14:paraId="79CFD43A"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0.9587629          </w:t>
            </w:r>
          </w:p>
        </w:tc>
        <w:tc>
          <w:tcPr>
            <w:tcW w:w="2693" w:type="dxa"/>
          </w:tcPr>
          <w:p w14:paraId="350D9E32"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0.1998711</w:t>
            </w:r>
          </w:p>
        </w:tc>
      </w:tr>
      <w:tr w:rsidR="00AA1F86" w:rsidRPr="00B0319E" w14:paraId="3048969A" w14:textId="77777777" w:rsidTr="0087214A">
        <w:trPr>
          <w:jc w:val="center"/>
        </w:trPr>
        <w:tc>
          <w:tcPr>
            <w:tcW w:w="3397" w:type="dxa"/>
          </w:tcPr>
          <w:p w14:paraId="0CF20862" w14:textId="77777777" w:rsidR="00AA1F86" w:rsidRPr="00B0319E" w:rsidRDefault="00AA1F86" w:rsidP="0087214A">
            <w:pPr>
              <w:tabs>
                <w:tab w:val="left" w:pos="1134"/>
              </w:tabs>
              <w:ind w:firstLine="0"/>
              <w:jc w:val="left"/>
              <w:rPr>
                <w:rFonts w:ascii="Times New Roman" w:hAnsi="Times New Roman" w:cs="Times New Roman"/>
                <w:sz w:val="20"/>
                <w:szCs w:val="20"/>
                <w:lang w:eastAsia="ja-JP"/>
              </w:rPr>
            </w:pPr>
            <w:r w:rsidRPr="00B0319E">
              <w:rPr>
                <w:rFonts w:ascii="Times New Roman" w:hAnsi="Times New Roman" w:cs="Times New Roman"/>
                <w:sz w:val="20"/>
                <w:szCs w:val="20"/>
                <w:lang w:eastAsia="ja-JP"/>
              </w:rPr>
              <w:t>Policy_Skills (Dummy)</w:t>
            </w:r>
          </w:p>
        </w:tc>
        <w:tc>
          <w:tcPr>
            <w:tcW w:w="1843" w:type="dxa"/>
          </w:tcPr>
          <w:p w14:paraId="3C386168"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0.9587629          </w:t>
            </w:r>
          </w:p>
        </w:tc>
        <w:tc>
          <w:tcPr>
            <w:tcW w:w="2693" w:type="dxa"/>
          </w:tcPr>
          <w:p w14:paraId="59FDA966"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0.1998711</w:t>
            </w:r>
          </w:p>
        </w:tc>
      </w:tr>
      <w:tr w:rsidR="00AA1F86" w:rsidRPr="00B0319E" w14:paraId="6A9BA27F" w14:textId="77777777" w:rsidTr="0087214A">
        <w:trPr>
          <w:jc w:val="center"/>
        </w:trPr>
        <w:tc>
          <w:tcPr>
            <w:tcW w:w="3397" w:type="dxa"/>
          </w:tcPr>
          <w:p w14:paraId="263FAF6B" w14:textId="77777777" w:rsidR="00AA1F86" w:rsidRPr="00B0319E" w:rsidRDefault="00AA1F86" w:rsidP="0087214A">
            <w:pPr>
              <w:tabs>
                <w:tab w:val="left" w:pos="1134"/>
              </w:tabs>
              <w:ind w:firstLine="0"/>
              <w:jc w:val="left"/>
              <w:rPr>
                <w:rFonts w:ascii="Times New Roman" w:hAnsi="Times New Roman" w:cs="Times New Roman"/>
                <w:sz w:val="20"/>
                <w:szCs w:val="20"/>
                <w:lang w:eastAsia="ja-JP"/>
              </w:rPr>
            </w:pPr>
            <w:r w:rsidRPr="00B0319E">
              <w:rPr>
                <w:rFonts w:ascii="Times New Roman" w:hAnsi="Times New Roman" w:cs="Times New Roman"/>
                <w:sz w:val="20"/>
                <w:szCs w:val="20"/>
                <w:lang w:eastAsia="ja-JP"/>
              </w:rPr>
              <w:t>Internal_Promotion (Dummy)</w:t>
            </w:r>
          </w:p>
        </w:tc>
        <w:tc>
          <w:tcPr>
            <w:tcW w:w="1843" w:type="dxa"/>
          </w:tcPr>
          <w:p w14:paraId="74395A22"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0.4948454          </w:t>
            </w:r>
          </w:p>
        </w:tc>
        <w:tc>
          <w:tcPr>
            <w:tcW w:w="2693" w:type="dxa"/>
          </w:tcPr>
          <w:p w14:paraId="5743C861"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0.5025707</w:t>
            </w:r>
          </w:p>
        </w:tc>
      </w:tr>
      <w:tr w:rsidR="00AA1F86" w:rsidRPr="00B0319E" w14:paraId="34EF6F30" w14:textId="77777777" w:rsidTr="0087214A">
        <w:trPr>
          <w:jc w:val="center"/>
        </w:trPr>
        <w:tc>
          <w:tcPr>
            <w:tcW w:w="3397" w:type="dxa"/>
          </w:tcPr>
          <w:p w14:paraId="4E972D47" w14:textId="77777777" w:rsidR="00AA1F86" w:rsidRPr="00B0319E" w:rsidRDefault="00AA1F86" w:rsidP="0087214A">
            <w:pPr>
              <w:tabs>
                <w:tab w:val="left" w:pos="1134"/>
              </w:tabs>
              <w:ind w:firstLine="0"/>
              <w:jc w:val="left"/>
              <w:rPr>
                <w:rFonts w:ascii="Times New Roman" w:hAnsi="Times New Roman" w:cs="Times New Roman"/>
                <w:sz w:val="20"/>
                <w:szCs w:val="20"/>
                <w:lang w:eastAsia="ja-JP"/>
              </w:rPr>
            </w:pPr>
            <w:r w:rsidRPr="00B0319E">
              <w:rPr>
                <w:rFonts w:ascii="Times New Roman" w:hAnsi="Times New Roman" w:cs="Times New Roman"/>
                <w:sz w:val="20"/>
                <w:szCs w:val="20"/>
                <w:lang w:eastAsia="ja-JP"/>
              </w:rPr>
              <w:t>Turnover_Employees</w:t>
            </w:r>
          </w:p>
        </w:tc>
        <w:tc>
          <w:tcPr>
            <w:tcW w:w="1843" w:type="dxa"/>
          </w:tcPr>
          <w:p w14:paraId="18B0DE47"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18.8560825         </w:t>
            </w:r>
          </w:p>
        </w:tc>
        <w:tc>
          <w:tcPr>
            <w:tcW w:w="2693" w:type="dxa"/>
          </w:tcPr>
          <w:p w14:paraId="544C0955"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10.0340576</w:t>
            </w:r>
          </w:p>
        </w:tc>
      </w:tr>
      <w:tr w:rsidR="00AA1F86" w:rsidRPr="00B0319E" w14:paraId="67EA2DD2" w14:textId="77777777" w:rsidTr="0087214A">
        <w:trPr>
          <w:jc w:val="center"/>
        </w:trPr>
        <w:tc>
          <w:tcPr>
            <w:tcW w:w="3397" w:type="dxa"/>
          </w:tcPr>
          <w:p w14:paraId="493DF172" w14:textId="77777777" w:rsidR="00AA1F86" w:rsidRPr="00B0319E" w:rsidRDefault="00AA1F86" w:rsidP="0087214A">
            <w:pPr>
              <w:tabs>
                <w:tab w:val="left" w:pos="1134"/>
              </w:tabs>
              <w:ind w:firstLine="0"/>
              <w:jc w:val="left"/>
              <w:rPr>
                <w:rFonts w:ascii="Times New Roman" w:hAnsi="Times New Roman" w:cs="Times New Roman"/>
                <w:sz w:val="20"/>
                <w:szCs w:val="20"/>
                <w:lang w:eastAsia="ja-JP"/>
              </w:rPr>
            </w:pPr>
            <w:r w:rsidRPr="00B0319E">
              <w:rPr>
                <w:rFonts w:ascii="Times New Roman" w:hAnsi="Times New Roman" w:cs="Times New Roman"/>
                <w:sz w:val="20"/>
                <w:szCs w:val="20"/>
                <w:lang w:eastAsia="ja-JP"/>
              </w:rPr>
              <w:t>Div</w:t>
            </w:r>
          </w:p>
        </w:tc>
        <w:tc>
          <w:tcPr>
            <w:tcW w:w="1843" w:type="dxa"/>
          </w:tcPr>
          <w:p w14:paraId="68648697"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4.2944330          </w:t>
            </w:r>
          </w:p>
        </w:tc>
        <w:tc>
          <w:tcPr>
            <w:tcW w:w="2693" w:type="dxa"/>
          </w:tcPr>
          <w:p w14:paraId="738C496F"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2.4224432</w:t>
            </w:r>
          </w:p>
        </w:tc>
      </w:tr>
      <w:tr w:rsidR="00AA1F86" w:rsidRPr="00B0319E" w14:paraId="38D8E01D" w14:textId="77777777" w:rsidTr="0087214A">
        <w:trPr>
          <w:jc w:val="center"/>
        </w:trPr>
        <w:tc>
          <w:tcPr>
            <w:tcW w:w="3397" w:type="dxa"/>
          </w:tcPr>
          <w:p w14:paraId="1DECACEE" w14:textId="77777777" w:rsidR="00AA1F86" w:rsidRPr="00B0319E" w:rsidRDefault="00AA1F86" w:rsidP="0087214A">
            <w:pPr>
              <w:tabs>
                <w:tab w:val="left" w:pos="1134"/>
              </w:tabs>
              <w:ind w:firstLine="0"/>
              <w:jc w:val="left"/>
              <w:rPr>
                <w:rFonts w:ascii="Times New Roman" w:hAnsi="Times New Roman" w:cs="Times New Roman"/>
                <w:sz w:val="20"/>
                <w:szCs w:val="20"/>
                <w:lang w:eastAsia="ja-JP"/>
              </w:rPr>
            </w:pPr>
            <w:r w:rsidRPr="00B0319E">
              <w:rPr>
                <w:rFonts w:ascii="Times New Roman" w:hAnsi="Times New Roman" w:cs="Times New Roman"/>
                <w:sz w:val="20"/>
                <w:szCs w:val="20"/>
                <w:lang w:eastAsia="ja-JP"/>
              </w:rPr>
              <w:t>Revenue</w:t>
            </w:r>
          </w:p>
        </w:tc>
        <w:tc>
          <w:tcPr>
            <w:tcW w:w="1843" w:type="dxa"/>
          </w:tcPr>
          <w:p w14:paraId="1BB2DF8F"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44.0682889        </w:t>
            </w:r>
          </w:p>
        </w:tc>
        <w:tc>
          <w:tcPr>
            <w:tcW w:w="2693" w:type="dxa"/>
          </w:tcPr>
          <w:p w14:paraId="38373429"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132.4247744</w:t>
            </w:r>
          </w:p>
        </w:tc>
      </w:tr>
      <w:tr w:rsidR="00AA1F86" w:rsidRPr="00B0319E" w14:paraId="3A275C02" w14:textId="77777777" w:rsidTr="0087214A">
        <w:trPr>
          <w:jc w:val="center"/>
        </w:trPr>
        <w:tc>
          <w:tcPr>
            <w:tcW w:w="3397" w:type="dxa"/>
          </w:tcPr>
          <w:p w14:paraId="731A7C7E" w14:textId="77777777" w:rsidR="00AA1F86" w:rsidRPr="00B0319E" w:rsidRDefault="00AA1F86" w:rsidP="0087214A">
            <w:pPr>
              <w:tabs>
                <w:tab w:val="left" w:pos="1134"/>
              </w:tabs>
              <w:ind w:firstLine="0"/>
              <w:jc w:val="left"/>
              <w:rPr>
                <w:rFonts w:ascii="Times New Roman" w:hAnsi="Times New Roman" w:cs="Times New Roman"/>
                <w:sz w:val="20"/>
                <w:szCs w:val="20"/>
                <w:lang w:eastAsia="ja-JP"/>
              </w:rPr>
            </w:pPr>
            <w:r w:rsidRPr="00B0319E">
              <w:rPr>
                <w:rFonts w:ascii="Times New Roman" w:hAnsi="Times New Roman" w:cs="Times New Roman"/>
                <w:sz w:val="20"/>
                <w:szCs w:val="20"/>
                <w:lang w:eastAsia="ja-JP"/>
              </w:rPr>
              <w:t>Assets</w:t>
            </w:r>
          </w:p>
        </w:tc>
        <w:tc>
          <w:tcPr>
            <w:tcW w:w="1843" w:type="dxa"/>
          </w:tcPr>
          <w:p w14:paraId="5A26E44F"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7.9476922         </w:t>
            </w:r>
          </w:p>
        </w:tc>
        <w:tc>
          <w:tcPr>
            <w:tcW w:w="2693" w:type="dxa"/>
          </w:tcPr>
          <w:p w14:paraId="21119254"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10.3568732</w:t>
            </w:r>
          </w:p>
        </w:tc>
      </w:tr>
      <w:tr w:rsidR="00AA1F86" w:rsidRPr="00B0319E" w14:paraId="7897591A" w14:textId="77777777" w:rsidTr="0087214A">
        <w:trPr>
          <w:jc w:val="center"/>
        </w:trPr>
        <w:tc>
          <w:tcPr>
            <w:tcW w:w="3397" w:type="dxa"/>
          </w:tcPr>
          <w:p w14:paraId="13019B1C" w14:textId="77777777" w:rsidR="00AA1F86" w:rsidRPr="00B0319E" w:rsidRDefault="00AA1F86" w:rsidP="0087214A">
            <w:pPr>
              <w:tabs>
                <w:tab w:val="left" w:pos="1134"/>
              </w:tabs>
              <w:ind w:firstLine="0"/>
              <w:jc w:val="lef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Number_Employees      </w:t>
            </w:r>
          </w:p>
        </w:tc>
        <w:tc>
          <w:tcPr>
            <w:tcW w:w="1843" w:type="dxa"/>
          </w:tcPr>
          <w:p w14:paraId="3FA8479B"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2793.0309278       </w:t>
            </w:r>
          </w:p>
        </w:tc>
        <w:tc>
          <w:tcPr>
            <w:tcW w:w="2693" w:type="dxa"/>
          </w:tcPr>
          <w:p w14:paraId="35CFD542"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6917.1979748</w:t>
            </w:r>
          </w:p>
        </w:tc>
      </w:tr>
      <w:tr w:rsidR="00AA1F86" w:rsidRPr="00B0319E" w14:paraId="6BBF894B" w14:textId="77777777" w:rsidTr="0087214A">
        <w:trPr>
          <w:jc w:val="center"/>
        </w:trPr>
        <w:tc>
          <w:tcPr>
            <w:tcW w:w="3397" w:type="dxa"/>
          </w:tcPr>
          <w:p w14:paraId="6CD53624" w14:textId="77777777" w:rsidR="00AA1F86" w:rsidRPr="00B0319E" w:rsidRDefault="00AA1F86" w:rsidP="0087214A">
            <w:pPr>
              <w:tabs>
                <w:tab w:val="left" w:pos="1134"/>
              </w:tabs>
              <w:ind w:firstLine="0"/>
              <w:jc w:val="left"/>
              <w:rPr>
                <w:rFonts w:ascii="Times New Roman" w:hAnsi="Times New Roman" w:cs="Times New Roman"/>
                <w:sz w:val="20"/>
                <w:szCs w:val="20"/>
                <w:lang w:eastAsia="ja-JP"/>
              </w:rPr>
            </w:pPr>
            <w:r w:rsidRPr="00B0319E">
              <w:rPr>
                <w:rFonts w:ascii="Times New Roman" w:hAnsi="Times New Roman" w:cs="Times New Roman"/>
                <w:sz w:val="20"/>
                <w:szCs w:val="20"/>
                <w:lang w:eastAsia="ja-JP"/>
              </w:rPr>
              <w:t>Management_Training (Dummy)</w:t>
            </w:r>
          </w:p>
        </w:tc>
        <w:tc>
          <w:tcPr>
            <w:tcW w:w="1843" w:type="dxa"/>
          </w:tcPr>
          <w:p w14:paraId="4A8AEC94"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0.7628866          </w:t>
            </w:r>
          </w:p>
        </w:tc>
        <w:tc>
          <w:tcPr>
            <w:tcW w:w="2693" w:type="dxa"/>
          </w:tcPr>
          <w:p w14:paraId="4EA2C58D"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0.4275218</w:t>
            </w:r>
          </w:p>
        </w:tc>
      </w:tr>
      <w:tr w:rsidR="00AA1F86" w:rsidRPr="00B0319E" w14:paraId="5A6DAB11" w14:textId="77777777" w:rsidTr="0087214A">
        <w:trPr>
          <w:jc w:val="center"/>
        </w:trPr>
        <w:tc>
          <w:tcPr>
            <w:tcW w:w="3397" w:type="dxa"/>
          </w:tcPr>
          <w:p w14:paraId="68D551BA" w14:textId="77777777" w:rsidR="00AA1F86" w:rsidRPr="00B0319E" w:rsidRDefault="00AA1F86" w:rsidP="0087214A">
            <w:pPr>
              <w:tabs>
                <w:tab w:val="left" w:pos="1134"/>
              </w:tabs>
              <w:ind w:firstLine="0"/>
              <w:jc w:val="left"/>
              <w:rPr>
                <w:rFonts w:ascii="Times New Roman" w:hAnsi="Times New Roman" w:cs="Times New Roman"/>
                <w:sz w:val="20"/>
                <w:szCs w:val="20"/>
                <w:lang w:eastAsia="ja-JP"/>
              </w:rPr>
            </w:pPr>
            <w:r w:rsidRPr="00B0319E">
              <w:rPr>
                <w:rFonts w:ascii="Times New Roman" w:hAnsi="Times New Roman" w:cs="Times New Roman"/>
                <w:sz w:val="20"/>
                <w:szCs w:val="20"/>
                <w:lang w:eastAsia="ja-JP"/>
              </w:rPr>
              <w:t>ROA</w:t>
            </w:r>
          </w:p>
        </w:tc>
        <w:tc>
          <w:tcPr>
            <w:tcW w:w="1843" w:type="dxa"/>
          </w:tcPr>
          <w:p w14:paraId="5AAD4AE6"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5.6120619          </w:t>
            </w:r>
          </w:p>
        </w:tc>
        <w:tc>
          <w:tcPr>
            <w:tcW w:w="2693" w:type="dxa"/>
          </w:tcPr>
          <w:p w14:paraId="451F3CD6"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7.9453456</w:t>
            </w:r>
          </w:p>
        </w:tc>
      </w:tr>
      <w:tr w:rsidR="00AA1F86" w:rsidRPr="00B0319E" w14:paraId="7AF7A3B8" w14:textId="77777777" w:rsidTr="0087214A">
        <w:trPr>
          <w:jc w:val="center"/>
        </w:trPr>
        <w:tc>
          <w:tcPr>
            <w:tcW w:w="3397" w:type="dxa"/>
          </w:tcPr>
          <w:p w14:paraId="3C489666" w14:textId="77777777" w:rsidR="00AA1F86" w:rsidRPr="00B0319E" w:rsidRDefault="00AA1F86" w:rsidP="0087214A">
            <w:pPr>
              <w:tabs>
                <w:tab w:val="left" w:pos="1134"/>
              </w:tabs>
              <w:ind w:firstLine="0"/>
              <w:jc w:val="left"/>
              <w:rPr>
                <w:rFonts w:ascii="Times New Roman" w:hAnsi="Times New Roman" w:cs="Times New Roman"/>
                <w:sz w:val="20"/>
                <w:szCs w:val="20"/>
                <w:lang w:eastAsia="ja-JP"/>
              </w:rPr>
            </w:pPr>
            <w:r w:rsidRPr="00B0319E">
              <w:rPr>
                <w:rFonts w:ascii="Times New Roman" w:hAnsi="Times New Roman" w:cs="Times New Roman"/>
                <w:sz w:val="20"/>
                <w:szCs w:val="20"/>
                <w:lang w:eastAsia="ja-JP"/>
              </w:rPr>
              <w:t>ROE</w:t>
            </w:r>
          </w:p>
        </w:tc>
        <w:tc>
          <w:tcPr>
            <w:tcW w:w="1843" w:type="dxa"/>
          </w:tcPr>
          <w:p w14:paraId="47BE9E1F"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9.1312371         </w:t>
            </w:r>
          </w:p>
        </w:tc>
        <w:tc>
          <w:tcPr>
            <w:tcW w:w="2693" w:type="dxa"/>
          </w:tcPr>
          <w:p w14:paraId="76C4E7A5"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15.4989023</w:t>
            </w:r>
          </w:p>
        </w:tc>
      </w:tr>
      <w:tr w:rsidR="00AA1F86" w:rsidRPr="00B0319E" w14:paraId="476A72EF" w14:textId="77777777" w:rsidTr="0087214A">
        <w:trPr>
          <w:jc w:val="center"/>
        </w:trPr>
        <w:tc>
          <w:tcPr>
            <w:tcW w:w="3397" w:type="dxa"/>
          </w:tcPr>
          <w:p w14:paraId="0950B093" w14:textId="77777777" w:rsidR="00AA1F86" w:rsidRPr="00B0319E" w:rsidRDefault="00AA1F86" w:rsidP="0087214A">
            <w:pPr>
              <w:tabs>
                <w:tab w:val="left" w:pos="1134"/>
              </w:tabs>
              <w:ind w:firstLine="0"/>
              <w:jc w:val="left"/>
              <w:rPr>
                <w:rFonts w:ascii="Times New Roman" w:hAnsi="Times New Roman" w:cs="Times New Roman"/>
                <w:sz w:val="20"/>
                <w:szCs w:val="20"/>
                <w:lang w:eastAsia="ja-JP"/>
              </w:rPr>
            </w:pPr>
            <w:r w:rsidRPr="00B0319E">
              <w:rPr>
                <w:rFonts w:ascii="Times New Roman" w:hAnsi="Times New Roman" w:cs="Times New Roman"/>
                <w:sz w:val="20"/>
                <w:szCs w:val="20"/>
                <w:lang w:eastAsia="ja-JP"/>
              </w:rPr>
              <w:t>Cap_Ex</w:t>
            </w:r>
          </w:p>
        </w:tc>
        <w:tc>
          <w:tcPr>
            <w:tcW w:w="1843" w:type="dxa"/>
          </w:tcPr>
          <w:p w14:paraId="7792AC13"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30.9839751         </w:t>
            </w:r>
          </w:p>
        </w:tc>
        <w:tc>
          <w:tcPr>
            <w:tcW w:w="2693" w:type="dxa"/>
          </w:tcPr>
          <w:p w14:paraId="50E04957"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74.6437931</w:t>
            </w:r>
          </w:p>
        </w:tc>
      </w:tr>
      <w:tr w:rsidR="00AA1F86" w:rsidRPr="00B0319E" w14:paraId="24E1CDEB" w14:textId="77777777" w:rsidTr="0087214A">
        <w:trPr>
          <w:jc w:val="center"/>
        </w:trPr>
        <w:tc>
          <w:tcPr>
            <w:tcW w:w="3397" w:type="dxa"/>
          </w:tcPr>
          <w:p w14:paraId="59C81CFB" w14:textId="77777777" w:rsidR="00AA1F86" w:rsidRPr="00B0319E" w:rsidRDefault="00AA1F86" w:rsidP="0087214A">
            <w:pPr>
              <w:tabs>
                <w:tab w:val="left" w:pos="1134"/>
              </w:tabs>
              <w:ind w:firstLine="0"/>
              <w:jc w:val="lef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Board_Size               </w:t>
            </w:r>
          </w:p>
        </w:tc>
        <w:tc>
          <w:tcPr>
            <w:tcW w:w="1843" w:type="dxa"/>
          </w:tcPr>
          <w:p w14:paraId="6D0CA112"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8.7319588          </w:t>
            </w:r>
          </w:p>
        </w:tc>
        <w:tc>
          <w:tcPr>
            <w:tcW w:w="2693" w:type="dxa"/>
          </w:tcPr>
          <w:p w14:paraId="188C3237"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2.1530766</w:t>
            </w:r>
          </w:p>
        </w:tc>
      </w:tr>
      <w:tr w:rsidR="00AA1F86" w:rsidRPr="00B0319E" w14:paraId="482CA79E" w14:textId="77777777" w:rsidTr="0087214A">
        <w:trPr>
          <w:jc w:val="center"/>
        </w:trPr>
        <w:tc>
          <w:tcPr>
            <w:tcW w:w="3397" w:type="dxa"/>
          </w:tcPr>
          <w:p w14:paraId="26FAF572" w14:textId="77777777" w:rsidR="00AA1F86" w:rsidRPr="00B0319E" w:rsidRDefault="00AA1F86" w:rsidP="0087214A">
            <w:pPr>
              <w:tabs>
                <w:tab w:val="left" w:pos="1134"/>
              </w:tabs>
              <w:ind w:firstLine="0"/>
              <w:jc w:val="lef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Board_Indep             </w:t>
            </w:r>
          </w:p>
        </w:tc>
        <w:tc>
          <w:tcPr>
            <w:tcW w:w="1843" w:type="dxa"/>
          </w:tcPr>
          <w:p w14:paraId="04A6F102" w14:textId="77777777" w:rsidR="00AA1F86" w:rsidRPr="00B0319E" w:rsidRDefault="00AA1F86" w:rsidP="0087214A">
            <w:pPr>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 xml:space="preserve">64.8858763         </w:t>
            </w:r>
          </w:p>
        </w:tc>
        <w:tc>
          <w:tcPr>
            <w:tcW w:w="2693" w:type="dxa"/>
          </w:tcPr>
          <w:p w14:paraId="13787DFF" w14:textId="77777777" w:rsidR="00AA1F86" w:rsidRPr="00B0319E" w:rsidRDefault="00AA1F86" w:rsidP="0087214A">
            <w:pPr>
              <w:keepNext/>
              <w:tabs>
                <w:tab w:val="left" w:pos="1134"/>
              </w:tabs>
              <w:spacing w:line="240" w:lineRule="auto"/>
              <w:ind w:firstLine="0"/>
              <w:jc w:val="right"/>
              <w:rPr>
                <w:rFonts w:ascii="Times New Roman" w:hAnsi="Times New Roman" w:cs="Times New Roman"/>
                <w:sz w:val="20"/>
                <w:szCs w:val="20"/>
                <w:lang w:eastAsia="ja-JP"/>
              </w:rPr>
            </w:pPr>
            <w:r w:rsidRPr="00B0319E">
              <w:rPr>
                <w:rFonts w:ascii="Times New Roman" w:hAnsi="Times New Roman" w:cs="Times New Roman"/>
                <w:sz w:val="20"/>
                <w:szCs w:val="20"/>
                <w:lang w:eastAsia="ja-JP"/>
              </w:rPr>
              <w:t>20.5271137</w:t>
            </w:r>
          </w:p>
        </w:tc>
      </w:tr>
    </w:tbl>
    <w:p w14:paraId="0BB0D6E7" w14:textId="77777777" w:rsidR="00AA1F86" w:rsidRPr="00B0319E" w:rsidRDefault="00AA1F86" w:rsidP="00AA1F86"/>
    <w:p w14:paraId="690EB91B" w14:textId="5CE5B22A" w:rsidR="009951AF" w:rsidRPr="00B0319E" w:rsidRDefault="0081551C" w:rsidP="003350FF">
      <w:r w:rsidRPr="00B0319E">
        <w:t xml:space="preserve">To test hypothesis one, both a single regression and a multivariate regression were conducted. </w:t>
      </w:r>
      <w:r w:rsidR="004064F4" w:rsidRPr="00B0319E">
        <w:t xml:space="preserve">Contrary to expectations, </w:t>
      </w:r>
      <w:r w:rsidR="00E54724" w:rsidRPr="00B0319E">
        <w:t xml:space="preserve">the single regression of </w:t>
      </w:r>
      <w:r w:rsidR="004064F4" w:rsidRPr="00B0319E">
        <w:t xml:space="preserve">Employee_Satisfaction </w:t>
      </w:r>
      <w:r w:rsidR="006824D9" w:rsidRPr="00B0319E">
        <w:t>exhibits</w:t>
      </w:r>
      <w:r w:rsidR="004064F4" w:rsidRPr="00B0319E">
        <w:t xml:space="preserve"> a small negative effect on both ROA (-0.025) and ROE (-0.173), as </w:t>
      </w:r>
      <w:r w:rsidR="006824D9" w:rsidRPr="00B0319E">
        <w:t>illustrated</w:t>
      </w:r>
      <w:r w:rsidR="004064F4" w:rsidRPr="00B0319E">
        <w:t xml:space="preserve"> in</w:t>
      </w:r>
      <w:r w:rsidR="00D76C91" w:rsidRPr="00B0319E">
        <w:t xml:space="preserve"> table 2</w:t>
      </w:r>
      <w:r w:rsidR="004064F4" w:rsidRPr="00B0319E">
        <w:t>.</w:t>
      </w:r>
      <w:r w:rsidR="003E76D6" w:rsidRPr="00B0319E">
        <w:t xml:space="preserve"> </w:t>
      </w:r>
      <w:r w:rsidR="005520AE">
        <w:t>A</w:t>
      </w:r>
      <w:r w:rsidR="009951AF" w:rsidRPr="00B0319E">
        <w:t xml:space="preserve"> one-unit increase in the Employee_Satisfaction score is associated with a 0.025 unit decrease in ROA and a 0.173 unit decrease in ROE. Th</w:t>
      </w:r>
      <w:r w:rsidR="005520AE">
        <w:t>e</w:t>
      </w:r>
      <w:r w:rsidR="009951AF" w:rsidRPr="00B0319E">
        <w:t xml:space="preserve"> negative relationship </w:t>
      </w:r>
      <w:r w:rsidR="005520AE">
        <w:t xml:space="preserve">found here </w:t>
      </w:r>
      <w:r w:rsidR="009951AF" w:rsidRPr="00B0319E">
        <w:t>is unexpected, as literature suggests a positive link between employee satisfaction and firm performance</w:t>
      </w:r>
      <w:r w:rsidR="006824D9" w:rsidRPr="00B0319E">
        <w:t>.</w:t>
      </w:r>
    </w:p>
    <w:p w14:paraId="414B8570" w14:textId="0E324A47" w:rsidR="009951AF" w:rsidRPr="00B0319E" w:rsidRDefault="00E54724" w:rsidP="003350FF">
      <w:r w:rsidRPr="00B0319E">
        <w:t xml:space="preserve">The multivariate regression analysis reveals a greater variety of outcomes. </w:t>
      </w:r>
      <w:r w:rsidR="000377EE" w:rsidRPr="00B0319E">
        <w:t xml:space="preserve">For instance, Flex_Work_Hours shows a small positive relationship with both ROA (0.474) and ROE (2.207). </w:t>
      </w:r>
      <w:r w:rsidR="009951AF" w:rsidRPr="00B0319E">
        <w:t>Th</w:t>
      </w:r>
      <w:r w:rsidR="005520AE">
        <w:t>e</w:t>
      </w:r>
      <w:r w:rsidR="009951AF" w:rsidRPr="00B0319E">
        <w:t xml:space="preserve"> coefficient indicates that companies offering flexible working hours, on average, </w:t>
      </w:r>
      <w:r w:rsidR="0081551C" w:rsidRPr="00B0319E">
        <w:t xml:space="preserve">have </w:t>
      </w:r>
      <w:r w:rsidR="009951AF" w:rsidRPr="00B0319E">
        <w:t xml:space="preserve">a 0.474 unit higher ROA and a 2.207 unit higher ROE compared to companies not offering flexible working hours. </w:t>
      </w:r>
      <w:r w:rsidR="000377EE" w:rsidRPr="00B0319E">
        <w:t>Th</w:t>
      </w:r>
      <w:r w:rsidR="005520AE">
        <w:t>e</w:t>
      </w:r>
      <w:r w:rsidR="000377EE" w:rsidRPr="00B0319E">
        <w:t xml:space="preserve"> </w:t>
      </w:r>
      <w:r w:rsidR="006824D9" w:rsidRPr="00B0319E">
        <w:t>finding</w:t>
      </w:r>
      <w:r w:rsidR="005520AE">
        <w:t xml:space="preserve"> is consistent</w:t>
      </w:r>
      <w:r w:rsidR="000377EE" w:rsidRPr="00B0319E">
        <w:t xml:space="preserve"> with the literature, which suggests that flexible working hours contribute to employee satisfaction</w:t>
      </w:r>
      <w:r w:rsidR="009951AF" w:rsidRPr="00B0319E">
        <w:t>,</w:t>
      </w:r>
      <w:r w:rsidR="000377EE" w:rsidRPr="00B0319E">
        <w:t xml:space="preserve"> </w:t>
      </w:r>
      <w:r w:rsidR="009951AF" w:rsidRPr="00B0319E">
        <w:t>thereby</w:t>
      </w:r>
      <w:r w:rsidR="000377EE" w:rsidRPr="00B0319E">
        <w:t xml:space="preserve"> enhanc</w:t>
      </w:r>
      <w:r w:rsidR="009951AF" w:rsidRPr="00B0319E">
        <w:t>ing</w:t>
      </w:r>
      <w:r w:rsidR="000377EE" w:rsidRPr="00B0319E">
        <w:t xml:space="preserve"> company performance as employees work more productive</w:t>
      </w:r>
      <w:r w:rsidR="009156D9" w:rsidRPr="00B0319E">
        <w:t>ly</w:t>
      </w:r>
      <w:r w:rsidR="000377EE" w:rsidRPr="00B0319E">
        <w:t>.</w:t>
      </w:r>
      <w:r w:rsidR="00B5185F" w:rsidRPr="00B0319E">
        <w:t xml:space="preserve"> </w:t>
      </w:r>
    </w:p>
    <w:p w14:paraId="7F74316B" w14:textId="4BD2E0C5" w:rsidR="003350FF" w:rsidRPr="00B0319E" w:rsidRDefault="00B5185F" w:rsidP="003350FF">
      <w:r w:rsidRPr="00B0319E">
        <w:t>Turnover_Employees shows a small positive relationship with both ROA (0.094) and ROE (0.131), contra</w:t>
      </w:r>
      <w:r w:rsidR="00F0729A" w:rsidRPr="00B0319E">
        <w:t>ry</w:t>
      </w:r>
      <w:r w:rsidRPr="00B0319E">
        <w:t xml:space="preserve"> </w:t>
      </w:r>
      <w:r w:rsidR="00F0729A" w:rsidRPr="00B0319E">
        <w:t xml:space="preserve">to </w:t>
      </w:r>
      <w:r w:rsidRPr="00B0319E">
        <w:t xml:space="preserve">the expected negative value. </w:t>
      </w:r>
      <w:r w:rsidR="005520AE">
        <w:t>A</w:t>
      </w:r>
      <w:r w:rsidR="00F0729A" w:rsidRPr="00B0319E">
        <w:t>n increase in employee turnover is associated with a slight increase in financial performance, possibly due to the positive influence of new hires bringing fresh perspectives and skills.</w:t>
      </w:r>
      <w:r w:rsidR="00630C68">
        <w:t xml:space="preserve"> </w:t>
      </w:r>
      <w:r w:rsidR="00630C68" w:rsidRPr="00630C68">
        <w:t>This contradicts the results of other studies.</w:t>
      </w:r>
      <w:r w:rsidR="00630C68" w:rsidRPr="00630C68" w:rsidDel="00F0729A">
        <w:t xml:space="preserve"> </w:t>
      </w:r>
    </w:p>
    <w:p w14:paraId="1AEAC19F" w14:textId="1F380A06" w:rsidR="006F0EA7" w:rsidRPr="00B0319E" w:rsidRDefault="00F0729A" w:rsidP="0091678E">
      <w:r w:rsidRPr="00B0319E">
        <w:t>T</w:t>
      </w:r>
      <w:r w:rsidR="003350FF" w:rsidRPr="00B0319E">
        <w:t>he variables Policy_Career_Dev, Policy_Skills</w:t>
      </w:r>
      <w:r w:rsidR="00765691" w:rsidRPr="00B0319E">
        <w:t xml:space="preserve"> (</w:t>
      </w:r>
      <w:r w:rsidR="00582269" w:rsidRPr="00B0319E">
        <w:t>ROA -4.992 and ROE -6.409)</w:t>
      </w:r>
      <w:r w:rsidR="003350FF" w:rsidRPr="00B0319E">
        <w:t>, and Management_Training</w:t>
      </w:r>
      <w:r w:rsidR="00CF501E" w:rsidRPr="00B0319E">
        <w:t xml:space="preserve"> (ROA -0.473 and ROE -2.422)</w:t>
      </w:r>
      <w:r w:rsidR="003350FF" w:rsidRPr="00B0319E">
        <w:t xml:space="preserve"> show a negative relationship with both ROA and ROE</w:t>
      </w:r>
      <w:r w:rsidR="00630C68">
        <w:t>.</w:t>
      </w:r>
      <w:r w:rsidR="0083751B" w:rsidRPr="00B0319E">
        <w:t xml:space="preserve"> The coefficient for Policy_Career_Dev is -10.849 for ROA (significant at the 0.01 level) and -17.056 for ROE (significant at the 0.05 level). </w:t>
      </w:r>
      <w:r w:rsidR="005520AE">
        <w:t>It indicates</w:t>
      </w:r>
      <w:r w:rsidR="0083751B" w:rsidRPr="00B0319E">
        <w:t xml:space="preserve"> that for each unit increase in Policy_Career_Dev, ROA decreases by 10.849 units and ROE by 17.056 units. The same negative impact is observed for Policy_Skills and Management_Training, as indicated by their respective coefficients. Th</w:t>
      </w:r>
      <w:r w:rsidR="005520AE">
        <w:t>e findings imply</w:t>
      </w:r>
      <w:r w:rsidR="0083751B" w:rsidRPr="00B0319E">
        <w:t xml:space="preserve"> that, contrary to </w:t>
      </w:r>
      <w:r w:rsidR="00630C68">
        <w:t>previous research</w:t>
      </w:r>
      <w:r w:rsidR="0083751B" w:rsidRPr="00B0319E">
        <w:t>, these policies may be associated with lower financial performance in terms of asset and equity returns. The relationship between Internal_Promotion and the financial performance metrics is multifaceted. Specifically, Internal_Promotion exhibits a coefficient of -1.004 with ROA,</w:t>
      </w:r>
      <w:r w:rsidR="00C44824" w:rsidRPr="00B0319E">
        <w:t xml:space="preserve"> and a coefficient of </w:t>
      </w:r>
      <w:r w:rsidR="0083751B" w:rsidRPr="00B0319E">
        <w:t>0.388</w:t>
      </w:r>
      <w:r w:rsidR="00C44824" w:rsidRPr="00B0319E">
        <w:t xml:space="preserve"> for ROE. The positive outcome for ROE aligns with the hypothesis, whereas the outcome for ROA does not.</w:t>
      </w:r>
      <w:r w:rsidR="00C44824" w:rsidRPr="00B0319E" w:rsidDel="0083751B">
        <w:t xml:space="preserve"> </w:t>
      </w:r>
      <w:bookmarkStart w:id="14" w:name="_Hlk174028623"/>
    </w:p>
    <w:p w14:paraId="66014B2B" w14:textId="116B5DA0" w:rsidR="00D03BC8" w:rsidRPr="00B0319E" w:rsidRDefault="005C4AD2" w:rsidP="00A32148">
      <w:r w:rsidRPr="00B0319E">
        <w:t>Other</w:t>
      </w:r>
      <w:r w:rsidR="00E828AC" w:rsidRPr="00B0319E">
        <w:t xml:space="preserve"> variable</w:t>
      </w:r>
      <w:r w:rsidR="00CF58F6" w:rsidRPr="00B0319E">
        <w:t>s</w:t>
      </w:r>
      <w:r w:rsidR="00E828AC" w:rsidRPr="00B0319E">
        <w:t xml:space="preserve"> </w:t>
      </w:r>
      <w:r w:rsidRPr="00B0319E">
        <w:t xml:space="preserve">such as </w:t>
      </w:r>
      <w:r w:rsidR="00E828AC" w:rsidRPr="00B0319E">
        <w:t>Div</w:t>
      </w:r>
      <w:r w:rsidRPr="00B0319E">
        <w:t>idends</w:t>
      </w:r>
      <w:r w:rsidR="00E828AC" w:rsidRPr="00B0319E">
        <w:t>, Revenue</w:t>
      </w:r>
      <w:r w:rsidRPr="00B0319E">
        <w:t>,</w:t>
      </w:r>
      <w:r w:rsidR="00E828AC" w:rsidRPr="00B0319E">
        <w:t xml:space="preserve"> and Assets display the </w:t>
      </w:r>
      <w:r w:rsidR="00757B7D" w:rsidRPr="00B0319E">
        <w:t>anticipated</w:t>
      </w:r>
      <w:r w:rsidR="00E828AC" w:rsidRPr="00B0319E">
        <w:t xml:space="preserve"> results. </w:t>
      </w:r>
      <w:r w:rsidR="00D03BC8" w:rsidRPr="00B0319E">
        <w:t xml:space="preserve">Dividends </w:t>
      </w:r>
      <w:r w:rsidR="00757B7D" w:rsidRPr="00B0319E">
        <w:t>demonstrate</w:t>
      </w:r>
      <w:r w:rsidR="00D03BC8" w:rsidRPr="00B0319E">
        <w:t xml:space="preserve"> a negative relationship with ROA</w:t>
      </w:r>
      <w:r w:rsidR="00757B7D" w:rsidRPr="00B0319E">
        <w:t xml:space="preserve">, with a coefficient of </w:t>
      </w:r>
      <w:r w:rsidR="00D03BC8" w:rsidRPr="00B0319E">
        <w:t>-0.687, significant at</w:t>
      </w:r>
      <w:r w:rsidR="000C0357" w:rsidRPr="00B0319E">
        <w:t xml:space="preserve"> the</w:t>
      </w:r>
      <w:r w:rsidR="00D03BC8" w:rsidRPr="00B0319E">
        <w:t xml:space="preserve"> 0.05 level</w:t>
      </w:r>
      <w:r w:rsidR="00757B7D" w:rsidRPr="00B0319E">
        <w:t>, and a coefficient of -1.065 for ROE.</w:t>
      </w:r>
      <w:r w:rsidR="00D03BC8" w:rsidRPr="00B0319E">
        <w:t xml:space="preserve"> Assets </w:t>
      </w:r>
      <w:r w:rsidR="00757B7D" w:rsidRPr="00B0319E">
        <w:t xml:space="preserve">also show a negative relationship with ROA, with a coefficient of -0.119, and a coefficient of </w:t>
      </w:r>
      <w:r w:rsidR="00D03BC8" w:rsidRPr="00B0319E">
        <w:t>-0.342</w:t>
      </w:r>
      <w:r w:rsidR="00757B7D" w:rsidRPr="00B0319E">
        <w:t xml:space="preserve"> for ROE</w:t>
      </w:r>
      <w:r w:rsidR="00D03BC8" w:rsidRPr="00B0319E">
        <w:t>, significant at</w:t>
      </w:r>
      <w:r w:rsidR="000C0357" w:rsidRPr="00B0319E">
        <w:t xml:space="preserve"> the</w:t>
      </w:r>
      <w:r w:rsidR="00D03BC8" w:rsidRPr="00B0319E">
        <w:t xml:space="preserve"> 0.1 level.</w:t>
      </w:r>
      <w:r w:rsidR="00757B7D" w:rsidRPr="00B0319E">
        <w:t xml:space="preserve"> </w:t>
      </w:r>
      <w:r w:rsidR="00630C68" w:rsidRPr="00630C68">
        <w:t>A one-unit increase in these independent variables leads to a decrease in the dependent variable, as indicated by their coefficients.</w:t>
      </w:r>
      <w:r w:rsidR="00630C68">
        <w:t xml:space="preserve"> </w:t>
      </w:r>
      <w:r w:rsidR="00757B7D" w:rsidRPr="00B0319E">
        <w:t>Conversely, Revenue displays a coefficient of 0.0002 for ROA and 0.001 for ROE, indicating that an increase in Revenue leads to an increase in both ROA and ROE.</w:t>
      </w:r>
      <w:bookmarkEnd w:id="14"/>
    </w:p>
    <w:p w14:paraId="7FA775F7" w14:textId="77777777" w:rsidR="00044C05" w:rsidRDefault="00044C05">
      <w:pPr>
        <w:spacing w:line="240" w:lineRule="auto"/>
        <w:ind w:firstLine="0"/>
        <w:jc w:val="left"/>
        <w:rPr>
          <w:rStyle w:val="Subtieleverwijzing"/>
          <w:rFonts w:cstheme="minorHAnsi"/>
          <w:i/>
          <w:iCs/>
          <w:smallCaps w:val="0"/>
          <w:spacing w:val="-1"/>
          <w:szCs w:val="16"/>
        </w:rPr>
      </w:pPr>
      <w:bookmarkStart w:id="15" w:name="_Ref174191276"/>
      <w:r>
        <w:rPr>
          <w:rStyle w:val="Subtieleverwijzing"/>
          <w:i/>
          <w:iCs/>
        </w:rPr>
        <w:br w:type="page"/>
      </w:r>
    </w:p>
    <w:p w14:paraId="15CDA81A" w14:textId="339D2873" w:rsidR="00B0319E" w:rsidRPr="004A2A48" w:rsidRDefault="00B0319E" w:rsidP="004A2A48">
      <w:pPr>
        <w:pStyle w:val="Bijschrift"/>
        <w:keepNext/>
        <w:spacing w:before="240" w:line="240" w:lineRule="auto"/>
        <w:jc w:val="left"/>
        <w:rPr>
          <w:rStyle w:val="Subtieleverwijzing"/>
          <w:i/>
          <w:iCs/>
        </w:rPr>
      </w:pPr>
      <w:r w:rsidRPr="004A2A48">
        <w:rPr>
          <w:rStyle w:val="Subtieleverwijzing"/>
          <w:i/>
          <w:iCs/>
        </w:rPr>
        <w:t xml:space="preserve">Table </w:t>
      </w:r>
      <w:r w:rsidRPr="004A2A48">
        <w:rPr>
          <w:rStyle w:val="Subtieleverwijzing"/>
          <w:i/>
          <w:iCs/>
        </w:rPr>
        <w:fldChar w:fldCharType="begin"/>
      </w:r>
      <w:r w:rsidRPr="004A2A48">
        <w:rPr>
          <w:rStyle w:val="Subtieleverwijzing"/>
          <w:i/>
          <w:iCs/>
        </w:rPr>
        <w:instrText xml:space="preserve"> SEQ Table \* ARABIC </w:instrText>
      </w:r>
      <w:r w:rsidRPr="004A2A48">
        <w:rPr>
          <w:rStyle w:val="Subtieleverwijzing"/>
          <w:i/>
          <w:iCs/>
        </w:rPr>
        <w:fldChar w:fldCharType="separate"/>
      </w:r>
      <w:r w:rsidR="004A2A48">
        <w:rPr>
          <w:rStyle w:val="Subtieleverwijzing"/>
          <w:i/>
          <w:iCs/>
          <w:noProof/>
        </w:rPr>
        <w:t>2</w:t>
      </w:r>
      <w:r w:rsidRPr="004A2A48">
        <w:rPr>
          <w:rStyle w:val="Subtieleverwijzing"/>
          <w:i/>
          <w:iCs/>
        </w:rPr>
        <w:fldChar w:fldCharType="end"/>
      </w:r>
      <w:bookmarkEnd w:id="15"/>
      <w:r w:rsidRPr="004A2A48">
        <w:rPr>
          <w:rStyle w:val="Subtieleverwijzing"/>
          <w:i/>
          <w:iCs/>
          <w:lang w:val="en-GB"/>
        </w:rPr>
        <w:t>. The Relationship between Employee Satisfaction and Performance Measures</w:t>
      </w: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1038"/>
        <w:gridCol w:w="1238"/>
        <w:gridCol w:w="1093"/>
        <w:gridCol w:w="1205"/>
        <w:gridCol w:w="1093"/>
        <w:gridCol w:w="1209"/>
        <w:gridCol w:w="1093"/>
        <w:gridCol w:w="1437"/>
      </w:tblGrid>
      <w:tr w:rsidR="005C20C2" w:rsidRPr="00024966" w14:paraId="5CAA41B0" w14:textId="77777777" w:rsidTr="004A2A48">
        <w:trPr>
          <w:cantSplit/>
          <w:trHeight w:val="371"/>
          <w:tblCellSpacing w:w="15" w:type="dxa"/>
        </w:trPr>
        <w:tc>
          <w:tcPr>
            <w:tcW w:w="1193" w:type="pct"/>
            <w:gridSpan w:val="2"/>
            <w:tcBorders>
              <w:top w:val="single" w:sz="4" w:space="0" w:color="auto"/>
            </w:tcBorders>
            <w:hideMark/>
          </w:tcPr>
          <w:p w14:paraId="3F73DB08"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bookmarkStart w:id="16" w:name="_Hlk174125674"/>
          </w:p>
        </w:tc>
        <w:tc>
          <w:tcPr>
            <w:tcW w:w="1213" w:type="pct"/>
            <w:gridSpan w:val="2"/>
            <w:tcBorders>
              <w:top w:val="single" w:sz="4" w:space="0" w:color="auto"/>
            </w:tcBorders>
            <w:vAlign w:val="center"/>
            <w:hideMark/>
          </w:tcPr>
          <w:p w14:paraId="5AA6AAA8"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ROA</w:t>
            </w:r>
          </w:p>
        </w:tc>
        <w:tc>
          <w:tcPr>
            <w:tcW w:w="1215" w:type="pct"/>
            <w:gridSpan w:val="2"/>
            <w:tcBorders>
              <w:top w:val="single" w:sz="4" w:space="0" w:color="auto"/>
            </w:tcBorders>
            <w:vAlign w:val="center"/>
            <w:hideMark/>
          </w:tcPr>
          <w:p w14:paraId="46EDD4B5"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ROE</w:t>
            </w:r>
          </w:p>
        </w:tc>
        <w:tc>
          <w:tcPr>
            <w:tcW w:w="1299" w:type="pct"/>
            <w:gridSpan w:val="2"/>
            <w:tcBorders>
              <w:top w:val="single" w:sz="4" w:space="0" w:color="auto"/>
            </w:tcBorders>
            <w:vAlign w:val="center"/>
            <w:hideMark/>
          </w:tcPr>
          <w:p w14:paraId="2D061040"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Div</w:t>
            </w:r>
          </w:p>
        </w:tc>
      </w:tr>
      <w:tr w:rsidR="005C20C2" w:rsidRPr="00024966" w14:paraId="0C3B9A7A" w14:textId="77777777" w:rsidTr="004A2A48">
        <w:trPr>
          <w:cantSplit/>
          <w:tblCellSpacing w:w="15" w:type="dxa"/>
        </w:trPr>
        <w:tc>
          <w:tcPr>
            <w:tcW w:w="1193" w:type="pct"/>
            <w:gridSpan w:val="2"/>
            <w:hideMark/>
          </w:tcPr>
          <w:p w14:paraId="0AA6DFFF"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576" w:type="pct"/>
            <w:tcBorders>
              <w:bottom w:val="single" w:sz="4" w:space="0" w:color="auto"/>
            </w:tcBorders>
            <w:vAlign w:val="center"/>
            <w:hideMark/>
          </w:tcPr>
          <w:p w14:paraId="3EEBF20F"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(1)</w:t>
            </w:r>
          </w:p>
        </w:tc>
        <w:tc>
          <w:tcPr>
            <w:tcW w:w="621" w:type="pct"/>
            <w:tcBorders>
              <w:bottom w:val="single" w:sz="4" w:space="0" w:color="auto"/>
            </w:tcBorders>
            <w:vAlign w:val="center"/>
            <w:hideMark/>
          </w:tcPr>
          <w:p w14:paraId="7CB1FAAB"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(2)</w:t>
            </w:r>
          </w:p>
        </w:tc>
        <w:tc>
          <w:tcPr>
            <w:tcW w:w="576" w:type="pct"/>
            <w:tcBorders>
              <w:bottom w:val="single" w:sz="4" w:space="0" w:color="auto"/>
            </w:tcBorders>
            <w:vAlign w:val="center"/>
            <w:hideMark/>
          </w:tcPr>
          <w:p w14:paraId="52EA6E6D"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(3)</w:t>
            </w:r>
          </w:p>
        </w:tc>
        <w:tc>
          <w:tcPr>
            <w:tcW w:w="622" w:type="pct"/>
            <w:tcBorders>
              <w:bottom w:val="single" w:sz="4" w:space="0" w:color="auto"/>
            </w:tcBorders>
            <w:vAlign w:val="center"/>
            <w:hideMark/>
          </w:tcPr>
          <w:p w14:paraId="069B32A1"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(4)</w:t>
            </w:r>
          </w:p>
        </w:tc>
        <w:tc>
          <w:tcPr>
            <w:tcW w:w="576" w:type="pct"/>
            <w:tcBorders>
              <w:bottom w:val="single" w:sz="4" w:space="0" w:color="auto"/>
            </w:tcBorders>
            <w:vAlign w:val="center"/>
            <w:hideMark/>
          </w:tcPr>
          <w:p w14:paraId="0AF1F49A"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(5)</w:t>
            </w:r>
          </w:p>
        </w:tc>
        <w:tc>
          <w:tcPr>
            <w:tcW w:w="707" w:type="pct"/>
            <w:tcBorders>
              <w:bottom w:val="single" w:sz="4" w:space="0" w:color="auto"/>
            </w:tcBorders>
            <w:vAlign w:val="center"/>
            <w:hideMark/>
          </w:tcPr>
          <w:p w14:paraId="7F416E91"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(6)</w:t>
            </w:r>
          </w:p>
        </w:tc>
      </w:tr>
      <w:tr w:rsidR="005C20C2" w:rsidRPr="00024966" w14:paraId="458B7461" w14:textId="77777777" w:rsidTr="004A2A48">
        <w:trPr>
          <w:cantSplit/>
          <w:tblCellSpacing w:w="15" w:type="dxa"/>
        </w:trPr>
        <w:tc>
          <w:tcPr>
            <w:tcW w:w="1193" w:type="pct"/>
            <w:gridSpan w:val="2"/>
            <w:vMerge w:val="restart"/>
            <w:hideMark/>
          </w:tcPr>
          <w:p w14:paraId="65A20014"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Employee_Satisfaction</w:t>
            </w:r>
          </w:p>
        </w:tc>
        <w:tc>
          <w:tcPr>
            <w:tcW w:w="576" w:type="pct"/>
            <w:vAlign w:val="center"/>
            <w:hideMark/>
          </w:tcPr>
          <w:p w14:paraId="12E9DD3B" w14:textId="473C1D1C"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-0.025</w:t>
            </w:r>
          </w:p>
        </w:tc>
        <w:tc>
          <w:tcPr>
            <w:tcW w:w="621" w:type="pct"/>
            <w:vAlign w:val="center"/>
            <w:hideMark/>
          </w:tcPr>
          <w:p w14:paraId="30D8CB5E"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07FEB210"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-0.173</w:t>
            </w:r>
          </w:p>
        </w:tc>
        <w:tc>
          <w:tcPr>
            <w:tcW w:w="622" w:type="pct"/>
            <w:vAlign w:val="center"/>
            <w:hideMark/>
          </w:tcPr>
          <w:p w14:paraId="5101CC47"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4D06B009" w14:textId="0B2FE3A0"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-0.011</w:t>
            </w:r>
          </w:p>
        </w:tc>
        <w:tc>
          <w:tcPr>
            <w:tcW w:w="707" w:type="pct"/>
            <w:vAlign w:val="center"/>
            <w:hideMark/>
          </w:tcPr>
          <w:p w14:paraId="149C26DC"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r>
      <w:tr w:rsidR="005C20C2" w:rsidRPr="00024966" w14:paraId="07560932" w14:textId="77777777" w:rsidTr="004A2A48">
        <w:trPr>
          <w:cantSplit/>
          <w:tblCellSpacing w:w="15" w:type="dxa"/>
        </w:trPr>
        <w:tc>
          <w:tcPr>
            <w:tcW w:w="1193" w:type="pct"/>
            <w:gridSpan w:val="2"/>
            <w:vMerge/>
            <w:hideMark/>
          </w:tcPr>
          <w:p w14:paraId="11FC7865"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576" w:type="pct"/>
            <w:vAlign w:val="center"/>
            <w:hideMark/>
          </w:tcPr>
          <w:p w14:paraId="1DA3754A"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(0.093)</w:t>
            </w:r>
          </w:p>
        </w:tc>
        <w:tc>
          <w:tcPr>
            <w:tcW w:w="621" w:type="pct"/>
            <w:vAlign w:val="center"/>
            <w:hideMark/>
          </w:tcPr>
          <w:p w14:paraId="22D74D02"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38B21740"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(0.181)</w:t>
            </w:r>
          </w:p>
        </w:tc>
        <w:tc>
          <w:tcPr>
            <w:tcW w:w="622" w:type="pct"/>
            <w:vAlign w:val="center"/>
            <w:hideMark/>
          </w:tcPr>
          <w:p w14:paraId="2332BDB4"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6CA478DB"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(0.028)</w:t>
            </w:r>
          </w:p>
        </w:tc>
        <w:tc>
          <w:tcPr>
            <w:tcW w:w="707" w:type="pct"/>
            <w:vAlign w:val="center"/>
            <w:hideMark/>
          </w:tcPr>
          <w:p w14:paraId="7CBD5AEC"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r>
      <w:tr w:rsidR="005C20C2" w:rsidRPr="00024966" w14:paraId="041504DA" w14:textId="77777777" w:rsidTr="004A2A48">
        <w:trPr>
          <w:cantSplit/>
          <w:tblCellSpacing w:w="15" w:type="dxa"/>
        </w:trPr>
        <w:tc>
          <w:tcPr>
            <w:tcW w:w="1193" w:type="pct"/>
            <w:gridSpan w:val="2"/>
            <w:vMerge w:val="restart"/>
            <w:hideMark/>
          </w:tcPr>
          <w:p w14:paraId="0AAB8794"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Flex_Work_Hours</w:t>
            </w:r>
          </w:p>
        </w:tc>
        <w:tc>
          <w:tcPr>
            <w:tcW w:w="576" w:type="pct"/>
            <w:vAlign w:val="center"/>
            <w:hideMark/>
          </w:tcPr>
          <w:p w14:paraId="717CE605"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5F9142ED"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0.474</w:t>
            </w:r>
          </w:p>
        </w:tc>
        <w:tc>
          <w:tcPr>
            <w:tcW w:w="576" w:type="pct"/>
            <w:vAlign w:val="center"/>
            <w:hideMark/>
          </w:tcPr>
          <w:p w14:paraId="62C17AB4"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622" w:type="pct"/>
            <w:vAlign w:val="center"/>
            <w:hideMark/>
          </w:tcPr>
          <w:p w14:paraId="338D27DA"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2.207</w:t>
            </w:r>
          </w:p>
        </w:tc>
        <w:tc>
          <w:tcPr>
            <w:tcW w:w="576" w:type="pct"/>
            <w:vAlign w:val="center"/>
            <w:hideMark/>
          </w:tcPr>
          <w:p w14:paraId="493EB594"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707" w:type="pct"/>
            <w:vAlign w:val="center"/>
            <w:hideMark/>
          </w:tcPr>
          <w:p w14:paraId="05C8D160"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0.390</w:t>
            </w:r>
          </w:p>
        </w:tc>
      </w:tr>
      <w:tr w:rsidR="005C20C2" w:rsidRPr="00024966" w14:paraId="0E2E97C4" w14:textId="77777777" w:rsidTr="004A2A48">
        <w:trPr>
          <w:cantSplit/>
          <w:tblCellSpacing w:w="15" w:type="dxa"/>
        </w:trPr>
        <w:tc>
          <w:tcPr>
            <w:tcW w:w="1193" w:type="pct"/>
            <w:gridSpan w:val="2"/>
            <w:vMerge/>
            <w:hideMark/>
          </w:tcPr>
          <w:p w14:paraId="3567E2C8"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576" w:type="pct"/>
            <w:vAlign w:val="center"/>
            <w:hideMark/>
          </w:tcPr>
          <w:p w14:paraId="6D73E659"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1258E06B"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(1.648)</w:t>
            </w:r>
          </w:p>
        </w:tc>
        <w:tc>
          <w:tcPr>
            <w:tcW w:w="576" w:type="pct"/>
            <w:vAlign w:val="center"/>
            <w:hideMark/>
          </w:tcPr>
          <w:p w14:paraId="76A6148D"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622" w:type="pct"/>
            <w:vAlign w:val="center"/>
            <w:hideMark/>
          </w:tcPr>
          <w:p w14:paraId="5C6F6174"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(3.335)</w:t>
            </w:r>
          </w:p>
        </w:tc>
        <w:tc>
          <w:tcPr>
            <w:tcW w:w="576" w:type="pct"/>
            <w:vAlign w:val="center"/>
            <w:hideMark/>
          </w:tcPr>
          <w:p w14:paraId="37FA7F46"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707" w:type="pct"/>
            <w:vAlign w:val="center"/>
            <w:hideMark/>
          </w:tcPr>
          <w:p w14:paraId="1FF17BFF"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(0.541)</w:t>
            </w:r>
          </w:p>
        </w:tc>
      </w:tr>
      <w:tr w:rsidR="005C20C2" w:rsidRPr="00024966" w14:paraId="3F580E0A" w14:textId="77777777" w:rsidTr="004A2A48">
        <w:trPr>
          <w:cantSplit/>
          <w:tblCellSpacing w:w="15" w:type="dxa"/>
        </w:trPr>
        <w:tc>
          <w:tcPr>
            <w:tcW w:w="1193" w:type="pct"/>
            <w:gridSpan w:val="2"/>
            <w:vMerge w:val="restart"/>
            <w:hideMark/>
          </w:tcPr>
          <w:p w14:paraId="2C810189"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Policy_Career_Dev</w:t>
            </w:r>
          </w:p>
        </w:tc>
        <w:tc>
          <w:tcPr>
            <w:tcW w:w="576" w:type="pct"/>
            <w:vAlign w:val="center"/>
            <w:hideMark/>
          </w:tcPr>
          <w:p w14:paraId="6C24BB9C"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583E3D84" w14:textId="41265DC1"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-10.849</w:t>
            </w:r>
            <w:r w:rsidRPr="00024966">
              <w:rPr>
                <w:rFonts w:ascii="Times New Roman" w:eastAsia="Times New Roman" w:hAnsi="Times New Roman"/>
                <w:b/>
                <w:sz w:val="20"/>
                <w:szCs w:val="20"/>
                <w:vertAlign w:val="superscript"/>
                <w:lang w:eastAsia="ja-JP"/>
              </w:rPr>
              <w:t>***</w:t>
            </w:r>
          </w:p>
        </w:tc>
        <w:tc>
          <w:tcPr>
            <w:tcW w:w="576" w:type="pct"/>
            <w:vAlign w:val="center"/>
            <w:hideMark/>
          </w:tcPr>
          <w:p w14:paraId="66CAD5E1"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622" w:type="pct"/>
            <w:vAlign w:val="center"/>
            <w:hideMark/>
          </w:tcPr>
          <w:p w14:paraId="0E7C0C48"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-17.056</w:t>
            </w:r>
            <w:r w:rsidRPr="00024966">
              <w:rPr>
                <w:rFonts w:ascii="Times New Roman" w:eastAsia="Times New Roman" w:hAnsi="Times New Roman"/>
                <w:b/>
                <w:sz w:val="20"/>
                <w:szCs w:val="20"/>
                <w:vertAlign w:val="superscript"/>
                <w:lang w:eastAsia="ja-JP"/>
              </w:rPr>
              <w:t>**</w:t>
            </w:r>
          </w:p>
        </w:tc>
        <w:tc>
          <w:tcPr>
            <w:tcW w:w="576" w:type="pct"/>
            <w:vAlign w:val="center"/>
            <w:hideMark/>
          </w:tcPr>
          <w:p w14:paraId="47EFDD14"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707" w:type="pct"/>
            <w:vAlign w:val="center"/>
            <w:hideMark/>
          </w:tcPr>
          <w:p w14:paraId="58012793"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1.145</w:t>
            </w:r>
          </w:p>
        </w:tc>
      </w:tr>
      <w:tr w:rsidR="005C20C2" w:rsidRPr="00024966" w14:paraId="1B025291" w14:textId="77777777" w:rsidTr="004A2A48">
        <w:trPr>
          <w:cantSplit/>
          <w:tblCellSpacing w:w="15" w:type="dxa"/>
        </w:trPr>
        <w:tc>
          <w:tcPr>
            <w:tcW w:w="1193" w:type="pct"/>
            <w:gridSpan w:val="2"/>
            <w:vMerge/>
            <w:hideMark/>
          </w:tcPr>
          <w:p w14:paraId="301F7518"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576" w:type="pct"/>
            <w:vAlign w:val="center"/>
            <w:hideMark/>
          </w:tcPr>
          <w:p w14:paraId="41DBDCEE"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2AB76DAE"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(4.071)</w:t>
            </w:r>
          </w:p>
        </w:tc>
        <w:tc>
          <w:tcPr>
            <w:tcW w:w="576" w:type="pct"/>
            <w:vAlign w:val="center"/>
            <w:hideMark/>
          </w:tcPr>
          <w:p w14:paraId="59F7702B"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622" w:type="pct"/>
            <w:vAlign w:val="center"/>
            <w:hideMark/>
          </w:tcPr>
          <w:p w14:paraId="04971829"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(8.235)</w:t>
            </w:r>
          </w:p>
        </w:tc>
        <w:tc>
          <w:tcPr>
            <w:tcW w:w="576" w:type="pct"/>
            <w:vAlign w:val="center"/>
            <w:hideMark/>
          </w:tcPr>
          <w:p w14:paraId="33869E02"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707" w:type="pct"/>
            <w:vAlign w:val="center"/>
            <w:hideMark/>
          </w:tcPr>
          <w:p w14:paraId="4E6886A5"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(1.423)</w:t>
            </w:r>
          </w:p>
        </w:tc>
      </w:tr>
      <w:tr w:rsidR="005C20C2" w:rsidRPr="00024966" w14:paraId="39C7F5EB" w14:textId="77777777" w:rsidTr="004A2A48">
        <w:trPr>
          <w:cantSplit/>
          <w:tblCellSpacing w:w="15" w:type="dxa"/>
        </w:trPr>
        <w:tc>
          <w:tcPr>
            <w:tcW w:w="1193" w:type="pct"/>
            <w:gridSpan w:val="2"/>
            <w:vMerge w:val="restart"/>
            <w:hideMark/>
          </w:tcPr>
          <w:p w14:paraId="43264A5C"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Policy_Skills</w:t>
            </w:r>
          </w:p>
        </w:tc>
        <w:tc>
          <w:tcPr>
            <w:tcW w:w="576" w:type="pct"/>
            <w:vAlign w:val="center"/>
            <w:hideMark/>
          </w:tcPr>
          <w:p w14:paraId="2EFF826A"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1B3AF1EE" w14:textId="3F086C0F"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-4.992</w:t>
            </w:r>
          </w:p>
        </w:tc>
        <w:tc>
          <w:tcPr>
            <w:tcW w:w="576" w:type="pct"/>
            <w:vAlign w:val="center"/>
            <w:hideMark/>
          </w:tcPr>
          <w:p w14:paraId="3F5FEDA2"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622" w:type="pct"/>
            <w:vAlign w:val="center"/>
            <w:hideMark/>
          </w:tcPr>
          <w:p w14:paraId="5E2C4634"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-6.409</w:t>
            </w:r>
          </w:p>
        </w:tc>
        <w:tc>
          <w:tcPr>
            <w:tcW w:w="576" w:type="pct"/>
            <w:vAlign w:val="center"/>
            <w:hideMark/>
          </w:tcPr>
          <w:p w14:paraId="638E1760"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707" w:type="pct"/>
            <w:vAlign w:val="center"/>
            <w:hideMark/>
          </w:tcPr>
          <w:p w14:paraId="5D239996" w14:textId="77E79AF0"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-0.355</w:t>
            </w:r>
          </w:p>
        </w:tc>
      </w:tr>
      <w:tr w:rsidR="005C20C2" w:rsidRPr="00024966" w14:paraId="582808EA" w14:textId="77777777" w:rsidTr="004A2A48">
        <w:trPr>
          <w:cantSplit/>
          <w:tblCellSpacing w:w="15" w:type="dxa"/>
        </w:trPr>
        <w:tc>
          <w:tcPr>
            <w:tcW w:w="1193" w:type="pct"/>
            <w:gridSpan w:val="2"/>
            <w:vMerge/>
            <w:hideMark/>
          </w:tcPr>
          <w:p w14:paraId="47321DD3"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576" w:type="pct"/>
            <w:vAlign w:val="center"/>
            <w:hideMark/>
          </w:tcPr>
          <w:p w14:paraId="68AEFF3E"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1C82D454"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(3.862)</w:t>
            </w:r>
          </w:p>
        </w:tc>
        <w:tc>
          <w:tcPr>
            <w:tcW w:w="576" w:type="pct"/>
            <w:vAlign w:val="center"/>
            <w:hideMark/>
          </w:tcPr>
          <w:p w14:paraId="62185615"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622" w:type="pct"/>
            <w:vAlign w:val="center"/>
            <w:hideMark/>
          </w:tcPr>
          <w:p w14:paraId="5AAB4CFA"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(7.812)</w:t>
            </w:r>
          </w:p>
        </w:tc>
        <w:tc>
          <w:tcPr>
            <w:tcW w:w="576" w:type="pct"/>
            <w:vAlign w:val="center"/>
            <w:hideMark/>
          </w:tcPr>
          <w:p w14:paraId="78B4FB7E"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707" w:type="pct"/>
            <w:vAlign w:val="center"/>
            <w:hideMark/>
          </w:tcPr>
          <w:p w14:paraId="52210776"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(1.288)</w:t>
            </w:r>
          </w:p>
        </w:tc>
      </w:tr>
      <w:tr w:rsidR="005C20C2" w:rsidRPr="00024966" w14:paraId="408B9E5F" w14:textId="77777777" w:rsidTr="004A2A48">
        <w:trPr>
          <w:cantSplit/>
          <w:tblCellSpacing w:w="15" w:type="dxa"/>
        </w:trPr>
        <w:tc>
          <w:tcPr>
            <w:tcW w:w="1193" w:type="pct"/>
            <w:gridSpan w:val="2"/>
            <w:vMerge w:val="restart"/>
            <w:hideMark/>
          </w:tcPr>
          <w:p w14:paraId="12EAEB0D"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Internal_Promotion</w:t>
            </w:r>
          </w:p>
        </w:tc>
        <w:tc>
          <w:tcPr>
            <w:tcW w:w="576" w:type="pct"/>
            <w:vAlign w:val="center"/>
            <w:hideMark/>
          </w:tcPr>
          <w:p w14:paraId="594816BB"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3D9CE8F0" w14:textId="469436D5"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-1.004</w:t>
            </w:r>
          </w:p>
        </w:tc>
        <w:tc>
          <w:tcPr>
            <w:tcW w:w="576" w:type="pct"/>
            <w:vAlign w:val="center"/>
            <w:hideMark/>
          </w:tcPr>
          <w:p w14:paraId="47A11355"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622" w:type="pct"/>
            <w:vAlign w:val="center"/>
            <w:hideMark/>
          </w:tcPr>
          <w:p w14:paraId="096F7D0C"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0.388</w:t>
            </w:r>
          </w:p>
        </w:tc>
        <w:tc>
          <w:tcPr>
            <w:tcW w:w="576" w:type="pct"/>
            <w:vAlign w:val="center"/>
            <w:hideMark/>
          </w:tcPr>
          <w:p w14:paraId="151CEEAF"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707" w:type="pct"/>
            <w:vAlign w:val="center"/>
            <w:hideMark/>
          </w:tcPr>
          <w:p w14:paraId="11FD6154" w14:textId="33510BE4"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-0.243</w:t>
            </w:r>
          </w:p>
        </w:tc>
      </w:tr>
      <w:tr w:rsidR="005C20C2" w:rsidRPr="00024966" w14:paraId="21370B17" w14:textId="77777777" w:rsidTr="004A2A48">
        <w:trPr>
          <w:cantSplit/>
          <w:tblCellSpacing w:w="15" w:type="dxa"/>
        </w:trPr>
        <w:tc>
          <w:tcPr>
            <w:tcW w:w="1193" w:type="pct"/>
            <w:gridSpan w:val="2"/>
            <w:vMerge/>
            <w:hideMark/>
          </w:tcPr>
          <w:p w14:paraId="47476798"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576" w:type="pct"/>
            <w:vAlign w:val="center"/>
            <w:hideMark/>
          </w:tcPr>
          <w:p w14:paraId="195E1E31"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4AB90DD3"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(1.658)</w:t>
            </w:r>
          </w:p>
        </w:tc>
        <w:tc>
          <w:tcPr>
            <w:tcW w:w="576" w:type="pct"/>
            <w:vAlign w:val="center"/>
            <w:hideMark/>
          </w:tcPr>
          <w:p w14:paraId="38543131"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622" w:type="pct"/>
            <w:vAlign w:val="center"/>
            <w:hideMark/>
          </w:tcPr>
          <w:p w14:paraId="10F000F7"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(3.353)</w:t>
            </w:r>
          </w:p>
        </w:tc>
        <w:tc>
          <w:tcPr>
            <w:tcW w:w="576" w:type="pct"/>
            <w:vAlign w:val="center"/>
            <w:hideMark/>
          </w:tcPr>
          <w:p w14:paraId="6261C73D"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707" w:type="pct"/>
            <w:vAlign w:val="center"/>
            <w:hideMark/>
          </w:tcPr>
          <w:p w14:paraId="5C256240"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(0.531)</w:t>
            </w:r>
          </w:p>
        </w:tc>
      </w:tr>
      <w:tr w:rsidR="005C20C2" w:rsidRPr="00024966" w14:paraId="438FF9AC" w14:textId="77777777" w:rsidTr="004A2A48">
        <w:trPr>
          <w:cantSplit/>
          <w:tblCellSpacing w:w="15" w:type="dxa"/>
        </w:trPr>
        <w:tc>
          <w:tcPr>
            <w:tcW w:w="1193" w:type="pct"/>
            <w:gridSpan w:val="2"/>
            <w:vMerge w:val="restart"/>
            <w:hideMark/>
          </w:tcPr>
          <w:p w14:paraId="57B14307"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Turnover_Employees</w:t>
            </w:r>
          </w:p>
        </w:tc>
        <w:tc>
          <w:tcPr>
            <w:tcW w:w="576" w:type="pct"/>
            <w:vAlign w:val="center"/>
            <w:hideMark/>
          </w:tcPr>
          <w:p w14:paraId="46653CEF"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34DF6B0D" w14:textId="4741E8FE"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0.094</w:t>
            </w:r>
          </w:p>
        </w:tc>
        <w:tc>
          <w:tcPr>
            <w:tcW w:w="576" w:type="pct"/>
            <w:vAlign w:val="center"/>
            <w:hideMark/>
          </w:tcPr>
          <w:p w14:paraId="7A1A9D79"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622" w:type="pct"/>
            <w:vAlign w:val="center"/>
            <w:hideMark/>
          </w:tcPr>
          <w:p w14:paraId="6A181D4C"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0.131</w:t>
            </w:r>
          </w:p>
        </w:tc>
        <w:tc>
          <w:tcPr>
            <w:tcW w:w="576" w:type="pct"/>
            <w:vAlign w:val="center"/>
            <w:hideMark/>
          </w:tcPr>
          <w:p w14:paraId="3A28CDA4"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707" w:type="pct"/>
            <w:vAlign w:val="center"/>
            <w:hideMark/>
          </w:tcPr>
          <w:p w14:paraId="4A65EF09" w14:textId="5F6EA8DD"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0.006</w:t>
            </w:r>
          </w:p>
        </w:tc>
      </w:tr>
      <w:tr w:rsidR="005C20C2" w:rsidRPr="00024966" w14:paraId="2848198B" w14:textId="77777777" w:rsidTr="004A2A48">
        <w:trPr>
          <w:cantSplit/>
          <w:tblCellSpacing w:w="15" w:type="dxa"/>
        </w:trPr>
        <w:tc>
          <w:tcPr>
            <w:tcW w:w="1193" w:type="pct"/>
            <w:gridSpan w:val="2"/>
            <w:vMerge/>
            <w:hideMark/>
          </w:tcPr>
          <w:p w14:paraId="056A0751"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576" w:type="pct"/>
            <w:vAlign w:val="center"/>
            <w:hideMark/>
          </w:tcPr>
          <w:p w14:paraId="4FA75B02"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625B387C"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(0.083)</w:t>
            </w:r>
          </w:p>
        </w:tc>
        <w:tc>
          <w:tcPr>
            <w:tcW w:w="576" w:type="pct"/>
            <w:vAlign w:val="center"/>
            <w:hideMark/>
          </w:tcPr>
          <w:p w14:paraId="6092E84D"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622" w:type="pct"/>
            <w:vAlign w:val="center"/>
            <w:hideMark/>
          </w:tcPr>
          <w:p w14:paraId="7EE6CA74"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(0.168)</w:t>
            </w:r>
          </w:p>
        </w:tc>
        <w:tc>
          <w:tcPr>
            <w:tcW w:w="576" w:type="pct"/>
            <w:vAlign w:val="center"/>
            <w:hideMark/>
          </w:tcPr>
          <w:p w14:paraId="76F1C756"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707" w:type="pct"/>
            <w:vAlign w:val="center"/>
            <w:hideMark/>
          </w:tcPr>
          <w:p w14:paraId="3479308B"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(0.028)</w:t>
            </w:r>
          </w:p>
        </w:tc>
      </w:tr>
      <w:tr w:rsidR="005C20C2" w:rsidRPr="00024966" w14:paraId="4AB20FB9" w14:textId="77777777" w:rsidTr="004A2A48">
        <w:trPr>
          <w:cantSplit/>
          <w:tblCellSpacing w:w="15" w:type="dxa"/>
        </w:trPr>
        <w:tc>
          <w:tcPr>
            <w:tcW w:w="1193" w:type="pct"/>
            <w:gridSpan w:val="2"/>
            <w:hideMark/>
          </w:tcPr>
          <w:p w14:paraId="7108A330"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Div</w:t>
            </w:r>
          </w:p>
        </w:tc>
        <w:tc>
          <w:tcPr>
            <w:tcW w:w="576" w:type="pct"/>
            <w:vAlign w:val="center"/>
            <w:hideMark/>
          </w:tcPr>
          <w:p w14:paraId="73696364"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2D16F661"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-0.687</w:t>
            </w:r>
            <w:r w:rsidRPr="00024966">
              <w:rPr>
                <w:rFonts w:ascii="Times New Roman" w:eastAsia="Times New Roman" w:hAnsi="Times New Roman"/>
                <w:b/>
                <w:sz w:val="20"/>
                <w:szCs w:val="20"/>
                <w:vertAlign w:val="superscript"/>
                <w:lang w:eastAsia="ja-JP"/>
              </w:rPr>
              <w:t>**</w:t>
            </w:r>
          </w:p>
        </w:tc>
        <w:tc>
          <w:tcPr>
            <w:tcW w:w="576" w:type="pct"/>
            <w:vAlign w:val="center"/>
            <w:hideMark/>
          </w:tcPr>
          <w:p w14:paraId="64F6B53D"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622" w:type="pct"/>
            <w:vAlign w:val="center"/>
            <w:hideMark/>
          </w:tcPr>
          <w:p w14:paraId="6793C25E"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-1.065</w:t>
            </w:r>
          </w:p>
        </w:tc>
        <w:tc>
          <w:tcPr>
            <w:tcW w:w="576" w:type="pct"/>
            <w:vAlign w:val="center"/>
            <w:hideMark/>
          </w:tcPr>
          <w:p w14:paraId="2A948EDB"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707" w:type="pct"/>
            <w:vAlign w:val="center"/>
            <w:hideMark/>
          </w:tcPr>
          <w:p w14:paraId="203920F5"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r>
      <w:tr w:rsidR="005C20C2" w:rsidRPr="00024966" w14:paraId="5404F9A0" w14:textId="77777777" w:rsidTr="004A2A48">
        <w:trPr>
          <w:cantSplit/>
          <w:tblCellSpacing w:w="15" w:type="dxa"/>
        </w:trPr>
        <w:tc>
          <w:tcPr>
            <w:tcW w:w="1193" w:type="pct"/>
            <w:gridSpan w:val="2"/>
            <w:hideMark/>
          </w:tcPr>
          <w:p w14:paraId="2C12194E"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576" w:type="pct"/>
            <w:vAlign w:val="center"/>
            <w:hideMark/>
          </w:tcPr>
          <w:p w14:paraId="4D618ACB"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32167633"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(0.326)</w:t>
            </w:r>
          </w:p>
        </w:tc>
        <w:tc>
          <w:tcPr>
            <w:tcW w:w="576" w:type="pct"/>
            <w:vAlign w:val="center"/>
            <w:hideMark/>
          </w:tcPr>
          <w:p w14:paraId="22C13DF3"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622" w:type="pct"/>
            <w:vAlign w:val="center"/>
            <w:hideMark/>
          </w:tcPr>
          <w:p w14:paraId="6A724853"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(0.659)</w:t>
            </w:r>
          </w:p>
        </w:tc>
        <w:tc>
          <w:tcPr>
            <w:tcW w:w="576" w:type="pct"/>
            <w:vAlign w:val="center"/>
            <w:hideMark/>
          </w:tcPr>
          <w:p w14:paraId="3D4D8912"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707" w:type="pct"/>
            <w:vAlign w:val="center"/>
            <w:hideMark/>
          </w:tcPr>
          <w:p w14:paraId="6290471C"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r>
      <w:tr w:rsidR="005C20C2" w:rsidRPr="00024966" w14:paraId="6F323BE8" w14:textId="77777777" w:rsidTr="004A2A48">
        <w:trPr>
          <w:cantSplit/>
          <w:tblCellSpacing w:w="15" w:type="dxa"/>
        </w:trPr>
        <w:tc>
          <w:tcPr>
            <w:tcW w:w="1193" w:type="pct"/>
            <w:gridSpan w:val="2"/>
            <w:hideMark/>
          </w:tcPr>
          <w:p w14:paraId="5DE96403"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Revenue</w:t>
            </w:r>
          </w:p>
        </w:tc>
        <w:tc>
          <w:tcPr>
            <w:tcW w:w="576" w:type="pct"/>
            <w:vAlign w:val="center"/>
            <w:hideMark/>
          </w:tcPr>
          <w:p w14:paraId="5DAEAEB7"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11718457"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0.0002</w:t>
            </w:r>
          </w:p>
        </w:tc>
        <w:tc>
          <w:tcPr>
            <w:tcW w:w="576" w:type="pct"/>
            <w:vAlign w:val="center"/>
            <w:hideMark/>
          </w:tcPr>
          <w:p w14:paraId="4AEEB99F"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622" w:type="pct"/>
            <w:vAlign w:val="center"/>
            <w:hideMark/>
          </w:tcPr>
          <w:p w14:paraId="4353F58F"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0.001</w:t>
            </w:r>
          </w:p>
        </w:tc>
        <w:tc>
          <w:tcPr>
            <w:tcW w:w="576" w:type="pct"/>
            <w:vAlign w:val="center"/>
            <w:hideMark/>
          </w:tcPr>
          <w:p w14:paraId="07003EE7"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707" w:type="pct"/>
            <w:vAlign w:val="center"/>
            <w:hideMark/>
          </w:tcPr>
          <w:p w14:paraId="2F79D021"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r>
      <w:tr w:rsidR="005C20C2" w:rsidRPr="00024966" w14:paraId="3AA82919" w14:textId="77777777" w:rsidTr="004A2A48">
        <w:trPr>
          <w:cantSplit/>
          <w:tblCellSpacing w:w="15" w:type="dxa"/>
        </w:trPr>
        <w:tc>
          <w:tcPr>
            <w:tcW w:w="1193" w:type="pct"/>
            <w:gridSpan w:val="2"/>
            <w:hideMark/>
          </w:tcPr>
          <w:p w14:paraId="75311CC7"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576" w:type="pct"/>
            <w:vAlign w:val="center"/>
            <w:hideMark/>
          </w:tcPr>
          <w:p w14:paraId="7829F4E7"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7CA5306F"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(0.006)</w:t>
            </w:r>
          </w:p>
        </w:tc>
        <w:tc>
          <w:tcPr>
            <w:tcW w:w="576" w:type="pct"/>
            <w:vAlign w:val="center"/>
            <w:hideMark/>
          </w:tcPr>
          <w:p w14:paraId="68400F87"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622" w:type="pct"/>
            <w:vAlign w:val="center"/>
            <w:hideMark/>
          </w:tcPr>
          <w:p w14:paraId="7CA09BF6"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(0.012)</w:t>
            </w:r>
          </w:p>
        </w:tc>
        <w:tc>
          <w:tcPr>
            <w:tcW w:w="576" w:type="pct"/>
            <w:vAlign w:val="center"/>
            <w:hideMark/>
          </w:tcPr>
          <w:p w14:paraId="388C181D"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707" w:type="pct"/>
            <w:vAlign w:val="center"/>
            <w:hideMark/>
          </w:tcPr>
          <w:p w14:paraId="7185F22A"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r>
      <w:tr w:rsidR="005C20C2" w:rsidRPr="00024966" w14:paraId="6F7B9ABA" w14:textId="77777777" w:rsidTr="004A2A48">
        <w:trPr>
          <w:cantSplit/>
          <w:tblCellSpacing w:w="15" w:type="dxa"/>
        </w:trPr>
        <w:tc>
          <w:tcPr>
            <w:tcW w:w="1193" w:type="pct"/>
            <w:gridSpan w:val="2"/>
            <w:hideMark/>
          </w:tcPr>
          <w:p w14:paraId="603D7707"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Assets</w:t>
            </w:r>
          </w:p>
        </w:tc>
        <w:tc>
          <w:tcPr>
            <w:tcW w:w="576" w:type="pct"/>
            <w:vAlign w:val="center"/>
            <w:hideMark/>
          </w:tcPr>
          <w:p w14:paraId="310C244E"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39D9993B"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-0.119</w:t>
            </w:r>
          </w:p>
        </w:tc>
        <w:tc>
          <w:tcPr>
            <w:tcW w:w="576" w:type="pct"/>
            <w:vAlign w:val="center"/>
            <w:hideMark/>
          </w:tcPr>
          <w:p w14:paraId="6BD83E8D"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622" w:type="pct"/>
            <w:vAlign w:val="center"/>
            <w:hideMark/>
          </w:tcPr>
          <w:p w14:paraId="61E4AA6C"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-0.342</w:t>
            </w:r>
            <w:r w:rsidRPr="00024966">
              <w:rPr>
                <w:rFonts w:ascii="Times New Roman" w:eastAsia="Times New Roman" w:hAnsi="Times New Roman"/>
                <w:b/>
                <w:sz w:val="20"/>
                <w:szCs w:val="20"/>
                <w:vertAlign w:val="superscript"/>
                <w:lang w:eastAsia="ja-JP"/>
              </w:rPr>
              <w:t>*</w:t>
            </w:r>
          </w:p>
        </w:tc>
        <w:tc>
          <w:tcPr>
            <w:tcW w:w="576" w:type="pct"/>
            <w:vAlign w:val="center"/>
            <w:hideMark/>
          </w:tcPr>
          <w:p w14:paraId="1C6ACD2D"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707" w:type="pct"/>
            <w:vAlign w:val="center"/>
            <w:hideMark/>
          </w:tcPr>
          <w:p w14:paraId="484DE5F4"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r>
      <w:tr w:rsidR="005C20C2" w:rsidRPr="00024966" w14:paraId="1D7F9DC9" w14:textId="77777777" w:rsidTr="004A2A48">
        <w:trPr>
          <w:cantSplit/>
          <w:tblCellSpacing w:w="15" w:type="dxa"/>
        </w:trPr>
        <w:tc>
          <w:tcPr>
            <w:tcW w:w="1193" w:type="pct"/>
            <w:gridSpan w:val="2"/>
            <w:hideMark/>
          </w:tcPr>
          <w:p w14:paraId="73EBD0A5"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576" w:type="pct"/>
            <w:vAlign w:val="center"/>
            <w:hideMark/>
          </w:tcPr>
          <w:p w14:paraId="38B04C8B"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5E753B0C"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(0.087)</w:t>
            </w:r>
          </w:p>
        </w:tc>
        <w:tc>
          <w:tcPr>
            <w:tcW w:w="576" w:type="pct"/>
            <w:vAlign w:val="center"/>
            <w:hideMark/>
          </w:tcPr>
          <w:p w14:paraId="5267314C"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622" w:type="pct"/>
            <w:vAlign w:val="center"/>
            <w:hideMark/>
          </w:tcPr>
          <w:p w14:paraId="5BDB06B3"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(0.175)</w:t>
            </w:r>
          </w:p>
        </w:tc>
        <w:tc>
          <w:tcPr>
            <w:tcW w:w="576" w:type="pct"/>
            <w:vAlign w:val="center"/>
            <w:hideMark/>
          </w:tcPr>
          <w:p w14:paraId="7C9CF5E9"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707" w:type="pct"/>
            <w:vAlign w:val="center"/>
            <w:hideMark/>
          </w:tcPr>
          <w:p w14:paraId="2C92F9A3"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r>
      <w:tr w:rsidR="005C20C2" w:rsidRPr="00024966" w14:paraId="3EDC06D6" w14:textId="77777777" w:rsidTr="004A2A48">
        <w:trPr>
          <w:cantSplit/>
          <w:tblCellSpacing w:w="15" w:type="dxa"/>
        </w:trPr>
        <w:tc>
          <w:tcPr>
            <w:tcW w:w="1193" w:type="pct"/>
            <w:gridSpan w:val="2"/>
            <w:vMerge w:val="restart"/>
            <w:hideMark/>
          </w:tcPr>
          <w:p w14:paraId="43D4EB01"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Number_Employees</w:t>
            </w:r>
          </w:p>
        </w:tc>
        <w:tc>
          <w:tcPr>
            <w:tcW w:w="576" w:type="pct"/>
            <w:vAlign w:val="center"/>
            <w:hideMark/>
          </w:tcPr>
          <w:p w14:paraId="5A486E09"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27B245F5"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-0.0001</w:t>
            </w:r>
          </w:p>
        </w:tc>
        <w:tc>
          <w:tcPr>
            <w:tcW w:w="576" w:type="pct"/>
            <w:vAlign w:val="center"/>
            <w:hideMark/>
          </w:tcPr>
          <w:p w14:paraId="7D32970D"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622" w:type="pct"/>
            <w:vAlign w:val="center"/>
            <w:hideMark/>
          </w:tcPr>
          <w:p w14:paraId="18D9BFC4"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0.0003</w:t>
            </w:r>
          </w:p>
        </w:tc>
        <w:tc>
          <w:tcPr>
            <w:tcW w:w="576" w:type="pct"/>
            <w:vAlign w:val="center"/>
            <w:hideMark/>
          </w:tcPr>
          <w:p w14:paraId="749E875C"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707" w:type="pct"/>
            <w:vAlign w:val="center"/>
            <w:hideMark/>
          </w:tcPr>
          <w:p w14:paraId="00BBC75E"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-0.0001</w:t>
            </w:r>
            <w:r w:rsidRPr="00024966">
              <w:rPr>
                <w:rFonts w:ascii="Times New Roman" w:eastAsia="Times New Roman" w:hAnsi="Times New Roman"/>
                <w:b/>
                <w:sz w:val="20"/>
                <w:szCs w:val="20"/>
                <w:vertAlign w:val="superscript"/>
                <w:lang w:eastAsia="ja-JP"/>
              </w:rPr>
              <w:t>*</w:t>
            </w:r>
          </w:p>
        </w:tc>
      </w:tr>
      <w:tr w:rsidR="005C20C2" w:rsidRPr="00024966" w14:paraId="46BD4140" w14:textId="77777777" w:rsidTr="004A2A48">
        <w:trPr>
          <w:cantSplit/>
          <w:tblCellSpacing w:w="15" w:type="dxa"/>
        </w:trPr>
        <w:tc>
          <w:tcPr>
            <w:tcW w:w="1193" w:type="pct"/>
            <w:gridSpan w:val="2"/>
            <w:vMerge/>
            <w:hideMark/>
          </w:tcPr>
          <w:p w14:paraId="19FF2799"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576" w:type="pct"/>
            <w:vAlign w:val="center"/>
            <w:hideMark/>
          </w:tcPr>
          <w:p w14:paraId="6C9ECE14"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2354C9A2"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(0.0001)</w:t>
            </w:r>
          </w:p>
        </w:tc>
        <w:tc>
          <w:tcPr>
            <w:tcW w:w="576" w:type="pct"/>
            <w:vAlign w:val="center"/>
            <w:hideMark/>
          </w:tcPr>
          <w:p w14:paraId="06C802C7"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622" w:type="pct"/>
            <w:vAlign w:val="center"/>
            <w:hideMark/>
          </w:tcPr>
          <w:p w14:paraId="421F453D"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(0.0003)</w:t>
            </w:r>
          </w:p>
        </w:tc>
        <w:tc>
          <w:tcPr>
            <w:tcW w:w="576" w:type="pct"/>
            <w:vAlign w:val="center"/>
            <w:hideMark/>
          </w:tcPr>
          <w:p w14:paraId="44B010CC"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707" w:type="pct"/>
            <w:vAlign w:val="center"/>
            <w:hideMark/>
          </w:tcPr>
          <w:p w14:paraId="31814192"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(0.00004)</w:t>
            </w:r>
          </w:p>
        </w:tc>
      </w:tr>
      <w:tr w:rsidR="005C20C2" w:rsidRPr="00024966" w14:paraId="3BE6C9FC" w14:textId="77777777" w:rsidTr="004A2A48">
        <w:trPr>
          <w:cantSplit/>
          <w:tblCellSpacing w:w="15" w:type="dxa"/>
        </w:trPr>
        <w:tc>
          <w:tcPr>
            <w:tcW w:w="1193" w:type="pct"/>
            <w:gridSpan w:val="2"/>
            <w:vMerge w:val="restart"/>
            <w:hideMark/>
          </w:tcPr>
          <w:p w14:paraId="657D0B77"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Management_Training</w:t>
            </w:r>
          </w:p>
        </w:tc>
        <w:tc>
          <w:tcPr>
            <w:tcW w:w="576" w:type="pct"/>
            <w:vAlign w:val="center"/>
            <w:hideMark/>
          </w:tcPr>
          <w:p w14:paraId="092DBE8F"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3AF41DC3" w14:textId="4CC75968"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-0.473</w:t>
            </w:r>
          </w:p>
        </w:tc>
        <w:tc>
          <w:tcPr>
            <w:tcW w:w="576" w:type="pct"/>
            <w:vAlign w:val="center"/>
            <w:hideMark/>
          </w:tcPr>
          <w:p w14:paraId="422682F4"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622" w:type="pct"/>
            <w:vAlign w:val="center"/>
            <w:hideMark/>
          </w:tcPr>
          <w:p w14:paraId="5A7A9E8F"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-2.422</w:t>
            </w:r>
          </w:p>
        </w:tc>
        <w:tc>
          <w:tcPr>
            <w:tcW w:w="576" w:type="pct"/>
            <w:vAlign w:val="center"/>
            <w:hideMark/>
          </w:tcPr>
          <w:p w14:paraId="2D21BE93"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p>
        </w:tc>
        <w:tc>
          <w:tcPr>
            <w:tcW w:w="707" w:type="pct"/>
            <w:vAlign w:val="center"/>
            <w:hideMark/>
          </w:tcPr>
          <w:p w14:paraId="0298D317" w14:textId="512DA70E"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-0.431</w:t>
            </w:r>
          </w:p>
        </w:tc>
      </w:tr>
      <w:tr w:rsidR="005C20C2" w:rsidRPr="00024966" w14:paraId="542AA17B" w14:textId="77777777" w:rsidTr="004A2A48">
        <w:trPr>
          <w:cantSplit/>
          <w:tblCellSpacing w:w="15" w:type="dxa"/>
        </w:trPr>
        <w:tc>
          <w:tcPr>
            <w:tcW w:w="1193" w:type="pct"/>
            <w:gridSpan w:val="2"/>
            <w:vMerge/>
            <w:hideMark/>
          </w:tcPr>
          <w:p w14:paraId="1FDF9DF8"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576" w:type="pct"/>
            <w:vAlign w:val="center"/>
            <w:hideMark/>
          </w:tcPr>
          <w:p w14:paraId="60BC0045"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2763345B"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(1.968)</w:t>
            </w:r>
          </w:p>
        </w:tc>
        <w:tc>
          <w:tcPr>
            <w:tcW w:w="576" w:type="pct"/>
            <w:vAlign w:val="center"/>
            <w:hideMark/>
          </w:tcPr>
          <w:p w14:paraId="23DC4002"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622" w:type="pct"/>
            <w:vAlign w:val="center"/>
            <w:hideMark/>
          </w:tcPr>
          <w:p w14:paraId="53904200"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(3.982)</w:t>
            </w:r>
          </w:p>
        </w:tc>
        <w:tc>
          <w:tcPr>
            <w:tcW w:w="576" w:type="pct"/>
            <w:vAlign w:val="center"/>
            <w:hideMark/>
          </w:tcPr>
          <w:p w14:paraId="6040D975"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707" w:type="pct"/>
            <w:vAlign w:val="center"/>
            <w:hideMark/>
          </w:tcPr>
          <w:p w14:paraId="32E34714"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(0.641)</w:t>
            </w:r>
          </w:p>
        </w:tc>
      </w:tr>
      <w:tr w:rsidR="005C20C2" w:rsidRPr="00024966" w14:paraId="47E49CC3" w14:textId="77777777" w:rsidTr="004A2A48">
        <w:trPr>
          <w:cantSplit/>
          <w:tblCellSpacing w:w="15" w:type="dxa"/>
        </w:trPr>
        <w:tc>
          <w:tcPr>
            <w:tcW w:w="1193" w:type="pct"/>
            <w:gridSpan w:val="2"/>
            <w:hideMark/>
          </w:tcPr>
          <w:p w14:paraId="0281D603"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ROA</w:t>
            </w:r>
          </w:p>
        </w:tc>
        <w:tc>
          <w:tcPr>
            <w:tcW w:w="576" w:type="pct"/>
            <w:vAlign w:val="center"/>
            <w:hideMark/>
          </w:tcPr>
          <w:p w14:paraId="49FBDAE6"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5E099108"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300DCAD5"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622" w:type="pct"/>
            <w:vAlign w:val="center"/>
            <w:hideMark/>
          </w:tcPr>
          <w:p w14:paraId="1C2B0893"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39F4B5E9"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707" w:type="pct"/>
            <w:vAlign w:val="center"/>
            <w:hideMark/>
          </w:tcPr>
          <w:p w14:paraId="7BF3828F"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-0.078</w:t>
            </w:r>
            <w:r w:rsidRPr="00024966">
              <w:rPr>
                <w:rFonts w:ascii="Times New Roman" w:eastAsia="Times New Roman" w:hAnsi="Times New Roman"/>
                <w:b/>
                <w:sz w:val="20"/>
                <w:szCs w:val="20"/>
                <w:vertAlign w:val="superscript"/>
                <w:lang w:eastAsia="ja-JP"/>
              </w:rPr>
              <w:t>**</w:t>
            </w:r>
          </w:p>
        </w:tc>
      </w:tr>
      <w:tr w:rsidR="005C20C2" w:rsidRPr="00024966" w14:paraId="152FA89C" w14:textId="77777777" w:rsidTr="004A2A48">
        <w:trPr>
          <w:cantSplit/>
          <w:tblCellSpacing w:w="15" w:type="dxa"/>
        </w:trPr>
        <w:tc>
          <w:tcPr>
            <w:tcW w:w="1193" w:type="pct"/>
            <w:gridSpan w:val="2"/>
            <w:hideMark/>
          </w:tcPr>
          <w:p w14:paraId="285EC593"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576" w:type="pct"/>
            <w:vAlign w:val="center"/>
            <w:hideMark/>
          </w:tcPr>
          <w:p w14:paraId="56CE5EFC"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461EC76F"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25D5B7A8"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622" w:type="pct"/>
            <w:vAlign w:val="center"/>
            <w:hideMark/>
          </w:tcPr>
          <w:p w14:paraId="12F362B4"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1E1E4F7C"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707" w:type="pct"/>
            <w:vAlign w:val="center"/>
            <w:hideMark/>
          </w:tcPr>
          <w:p w14:paraId="0BDC1574"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(0.034)</w:t>
            </w:r>
          </w:p>
        </w:tc>
      </w:tr>
      <w:tr w:rsidR="005C20C2" w:rsidRPr="00024966" w14:paraId="5CD4E8F7" w14:textId="77777777" w:rsidTr="004A2A48">
        <w:trPr>
          <w:cantSplit/>
          <w:tblCellSpacing w:w="15" w:type="dxa"/>
        </w:trPr>
        <w:tc>
          <w:tcPr>
            <w:tcW w:w="1193" w:type="pct"/>
            <w:gridSpan w:val="2"/>
            <w:hideMark/>
          </w:tcPr>
          <w:p w14:paraId="60641541"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Cap_Ex</w:t>
            </w:r>
          </w:p>
        </w:tc>
        <w:tc>
          <w:tcPr>
            <w:tcW w:w="576" w:type="pct"/>
            <w:vAlign w:val="center"/>
            <w:hideMark/>
          </w:tcPr>
          <w:p w14:paraId="7A903B5F"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0A42A6C6"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3A04A5C3"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622" w:type="pct"/>
            <w:vAlign w:val="center"/>
            <w:hideMark/>
          </w:tcPr>
          <w:p w14:paraId="5F580DA5"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50104AAF"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707" w:type="pct"/>
            <w:vAlign w:val="center"/>
            <w:hideMark/>
          </w:tcPr>
          <w:p w14:paraId="1C0DE9F4" w14:textId="77777777"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-0.002</w:t>
            </w:r>
          </w:p>
        </w:tc>
      </w:tr>
      <w:tr w:rsidR="005C20C2" w:rsidRPr="00024966" w14:paraId="58F5A5DB" w14:textId="77777777" w:rsidTr="004A2A48">
        <w:trPr>
          <w:cantSplit/>
          <w:tblCellSpacing w:w="15" w:type="dxa"/>
        </w:trPr>
        <w:tc>
          <w:tcPr>
            <w:tcW w:w="1193" w:type="pct"/>
            <w:gridSpan w:val="2"/>
            <w:hideMark/>
          </w:tcPr>
          <w:p w14:paraId="6EFA35D4"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576" w:type="pct"/>
            <w:vAlign w:val="center"/>
            <w:hideMark/>
          </w:tcPr>
          <w:p w14:paraId="0FEFE7A7"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019698DC"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0972E354"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622" w:type="pct"/>
            <w:vAlign w:val="center"/>
            <w:hideMark/>
          </w:tcPr>
          <w:p w14:paraId="1787B1DC" w14:textId="16BDC346"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4BBF0792"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707" w:type="pct"/>
            <w:vAlign w:val="center"/>
            <w:hideMark/>
          </w:tcPr>
          <w:p w14:paraId="7A924889"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(0.003)</w:t>
            </w:r>
          </w:p>
        </w:tc>
      </w:tr>
      <w:tr w:rsidR="005C20C2" w:rsidRPr="00024966" w14:paraId="16E2C35C" w14:textId="77777777" w:rsidTr="004A2A48">
        <w:trPr>
          <w:cantSplit/>
          <w:tblCellSpacing w:w="15" w:type="dxa"/>
        </w:trPr>
        <w:tc>
          <w:tcPr>
            <w:tcW w:w="1193" w:type="pct"/>
            <w:gridSpan w:val="2"/>
            <w:hideMark/>
          </w:tcPr>
          <w:p w14:paraId="62E8A696"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Board_Size</w:t>
            </w:r>
          </w:p>
        </w:tc>
        <w:tc>
          <w:tcPr>
            <w:tcW w:w="576" w:type="pct"/>
            <w:vAlign w:val="center"/>
            <w:hideMark/>
          </w:tcPr>
          <w:p w14:paraId="124BB524"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7D70E816"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6F84952A"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622" w:type="pct"/>
            <w:vAlign w:val="center"/>
            <w:hideMark/>
          </w:tcPr>
          <w:p w14:paraId="4C5B7227"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6B3732C8"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707" w:type="pct"/>
            <w:vAlign w:val="center"/>
            <w:hideMark/>
          </w:tcPr>
          <w:p w14:paraId="3FA42315" w14:textId="08F91BC4"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-0.046</w:t>
            </w:r>
          </w:p>
        </w:tc>
      </w:tr>
      <w:tr w:rsidR="005C20C2" w:rsidRPr="00024966" w14:paraId="72B72B1E" w14:textId="77777777" w:rsidTr="004A2A48">
        <w:trPr>
          <w:cantSplit/>
          <w:tblCellSpacing w:w="15" w:type="dxa"/>
        </w:trPr>
        <w:tc>
          <w:tcPr>
            <w:tcW w:w="1193" w:type="pct"/>
            <w:gridSpan w:val="2"/>
            <w:hideMark/>
          </w:tcPr>
          <w:p w14:paraId="146D5506"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576" w:type="pct"/>
            <w:vAlign w:val="center"/>
            <w:hideMark/>
          </w:tcPr>
          <w:p w14:paraId="41638E49"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23566ED2"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45E64222"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622" w:type="pct"/>
            <w:vAlign w:val="center"/>
            <w:hideMark/>
          </w:tcPr>
          <w:p w14:paraId="2D83F602"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3A817488"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707" w:type="pct"/>
            <w:vAlign w:val="center"/>
            <w:hideMark/>
          </w:tcPr>
          <w:p w14:paraId="13605C07"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(0.122)</w:t>
            </w:r>
          </w:p>
        </w:tc>
      </w:tr>
      <w:tr w:rsidR="005C20C2" w:rsidRPr="00024966" w14:paraId="26C62182" w14:textId="77777777" w:rsidTr="004A2A48">
        <w:trPr>
          <w:cantSplit/>
          <w:tblCellSpacing w:w="15" w:type="dxa"/>
        </w:trPr>
        <w:tc>
          <w:tcPr>
            <w:tcW w:w="1193" w:type="pct"/>
            <w:gridSpan w:val="2"/>
            <w:hideMark/>
          </w:tcPr>
          <w:p w14:paraId="77FE0F09"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Board_Indep</w:t>
            </w:r>
          </w:p>
        </w:tc>
        <w:tc>
          <w:tcPr>
            <w:tcW w:w="576" w:type="pct"/>
            <w:vAlign w:val="center"/>
            <w:hideMark/>
          </w:tcPr>
          <w:p w14:paraId="6893D742"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0AB5FD16"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02BADD02"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622" w:type="pct"/>
            <w:vAlign w:val="center"/>
            <w:hideMark/>
          </w:tcPr>
          <w:p w14:paraId="55BD490D"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59A861D2"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707" w:type="pct"/>
            <w:vAlign w:val="center"/>
            <w:hideMark/>
          </w:tcPr>
          <w:p w14:paraId="2BBDADED" w14:textId="57AADEAE" w:rsidR="005C20C2" w:rsidRPr="00024966" w:rsidRDefault="005C20C2" w:rsidP="005C20C2">
            <w:pPr>
              <w:spacing w:line="240" w:lineRule="auto"/>
              <w:ind w:firstLine="0"/>
              <w:jc w:val="center"/>
              <w:rPr>
                <w:rFonts w:ascii="Times New Roman" w:eastAsia="Times New Roman" w:hAnsi="Times New Roman"/>
                <w:b/>
                <w:sz w:val="20"/>
                <w:szCs w:val="20"/>
                <w:lang w:eastAsia="ja-JP"/>
              </w:rPr>
            </w:pPr>
            <w:r w:rsidRPr="00024966">
              <w:rPr>
                <w:rFonts w:ascii="Times New Roman" w:eastAsia="Times New Roman" w:hAnsi="Times New Roman"/>
                <w:b/>
                <w:sz w:val="20"/>
                <w:szCs w:val="20"/>
                <w:lang w:eastAsia="ja-JP"/>
              </w:rPr>
              <w:t>-0.0002</w:t>
            </w:r>
          </w:p>
        </w:tc>
      </w:tr>
      <w:tr w:rsidR="005C20C2" w:rsidRPr="00024966" w14:paraId="00B51730" w14:textId="77777777" w:rsidTr="004A2A48">
        <w:trPr>
          <w:cantSplit/>
          <w:tblCellSpacing w:w="15" w:type="dxa"/>
        </w:trPr>
        <w:tc>
          <w:tcPr>
            <w:tcW w:w="1193" w:type="pct"/>
            <w:gridSpan w:val="2"/>
            <w:hideMark/>
          </w:tcPr>
          <w:p w14:paraId="1A004BD9"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576" w:type="pct"/>
            <w:vAlign w:val="center"/>
            <w:hideMark/>
          </w:tcPr>
          <w:p w14:paraId="186A9296"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621" w:type="pct"/>
            <w:vAlign w:val="center"/>
            <w:hideMark/>
          </w:tcPr>
          <w:p w14:paraId="4B86344C"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76911D19"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622" w:type="pct"/>
            <w:vAlign w:val="center"/>
            <w:hideMark/>
          </w:tcPr>
          <w:p w14:paraId="381651F3"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576" w:type="pct"/>
            <w:vAlign w:val="center"/>
            <w:hideMark/>
          </w:tcPr>
          <w:p w14:paraId="4B52B982"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p>
        </w:tc>
        <w:tc>
          <w:tcPr>
            <w:tcW w:w="707" w:type="pct"/>
            <w:vAlign w:val="center"/>
            <w:hideMark/>
          </w:tcPr>
          <w:p w14:paraId="3FA38F16"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(0.013)</w:t>
            </w:r>
          </w:p>
        </w:tc>
      </w:tr>
      <w:tr w:rsidR="005C20C2" w:rsidRPr="00024966" w14:paraId="6A282C69" w14:textId="77777777" w:rsidTr="004A2A48">
        <w:trPr>
          <w:cantSplit/>
          <w:tblCellSpacing w:w="15" w:type="dxa"/>
        </w:trPr>
        <w:tc>
          <w:tcPr>
            <w:tcW w:w="1193" w:type="pct"/>
            <w:gridSpan w:val="2"/>
            <w:hideMark/>
          </w:tcPr>
          <w:p w14:paraId="3E4737E5"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Constant</w:t>
            </w:r>
          </w:p>
        </w:tc>
        <w:tc>
          <w:tcPr>
            <w:tcW w:w="576" w:type="pct"/>
            <w:vAlign w:val="center"/>
            <w:hideMark/>
          </w:tcPr>
          <w:p w14:paraId="4D383385"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7.662</w:t>
            </w:r>
          </w:p>
        </w:tc>
        <w:tc>
          <w:tcPr>
            <w:tcW w:w="621" w:type="pct"/>
            <w:vAlign w:val="center"/>
            <w:hideMark/>
          </w:tcPr>
          <w:p w14:paraId="001D46C5"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23.677</w:t>
            </w:r>
            <w:r w:rsidRPr="00024966">
              <w:rPr>
                <w:rFonts w:ascii="Times New Roman" w:eastAsia="Times New Roman" w:hAnsi="Times New Roman"/>
                <w:sz w:val="20"/>
                <w:szCs w:val="20"/>
                <w:vertAlign w:val="superscript"/>
                <w:lang w:eastAsia="ja-JP"/>
              </w:rPr>
              <w:t>***</w:t>
            </w:r>
          </w:p>
        </w:tc>
        <w:tc>
          <w:tcPr>
            <w:tcW w:w="576" w:type="pct"/>
            <w:vAlign w:val="center"/>
            <w:hideMark/>
          </w:tcPr>
          <w:p w14:paraId="7E3091AF"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23.359</w:t>
            </w:r>
          </w:p>
        </w:tc>
        <w:tc>
          <w:tcPr>
            <w:tcW w:w="622" w:type="pct"/>
            <w:vAlign w:val="center"/>
            <w:hideMark/>
          </w:tcPr>
          <w:p w14:paraId="2851E787"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35.955</w:t>
            </w:r>
            <w:r w:rsidRPr="00024966">
              <w:rPr>
                <w:rFonts w:ascii="Times New Roman" w:eastAsia="Times New Roman" w:hAnsi="Times New Roman"/>
                <w:sz w:val="20"/>
                <w:szCs w:val="20"/>
                <w:vertAlign w:val="superscript"/>
                <w:lang w:eastAsia="ja-JP"/>
              </w:rPr>
              <w:t>***</w:t>
            </w:r>
          </w:p>
        </w:tc>
        <w:tc>
          <w:tcPr>
            <w:tcW w:w="576" w:type="pct"/>
            <w:vAlign w:val="center"/>
            <w:hideMark/>
          </w:tcPr>
          <w:p w14:paraId="692BFF21"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5.189</w:t>
            </w:r>
            <w:r w:rsidRPr="00024966">
              <w:rPr>
                <w:rFonts w:ascii="Times New Roman" w:eastAsia="Times New Roman" w:hAnsi="Times New Roman"/>
                <w:sz w:val="20"/>
                <w:szCs w:val="20"/>
                <w:vertAlign w:val="superscript"/>
                <w:lang w:eastAsia="ja-JP"/>
              </w:rPr>
              <w:t>**</w:t>
            </w:r>
          </w:p>
        </w:tc>
        <w:tc>
          <w:tcPr>
            <w:tcW w:w="707" w:type="pct"/>
            <w:vAlign w:val="center"/>
            <w:hideMark/>
          </w:tcPr>
          <w:p w14:paraId="57E79411"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4.746</w:t>
            </w:r>
            <w:r w:rsidRPr="00024966">
              <w:rPr>
                <w:rFonts w:ascii="Times New Roman" w:eastAsia="Times New Roman" w:hAnsi="Times New Roman"/>
                <w:sz w:val="20"/>
                <w:szCs w:val="20"/>
                <w:vertAlign w:val="superscript"/>
                <w:lang w:eastAsia="ja-JP"/>
              </w:rPr>
              <w:t>**</w:t>
            </w:r>
          </w:p>
        </w:tc>
      </w:tr>
      <w:tr w:rsidR="005C20C2" w:rsidRPr="00024966" w14:paraId="37C14A79" w14:textId="77777777" w:rsidTr="004A2A48">
        <w:trPr>
          <w:cantSplit/>
          <w:tblCellSpacing w:w="15" w:type="dxa"/>
        </w:trPr>
        <w:tc>
          <w:tcPr>
            <w:tcW w:w="1193" w:type="pct"/>
            <w:gridSpan w:val="2"/>
            <w:hideMark/>
          </w:tcPr>
          <w:p w14:paraId="223CA8FD"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p>
        </w:tc>
        <w:tc>
          <w:tcPr>
            <w:tcW w:w="576" w:type="pct"/>
            <w:vAlign w:val="center"/>
            <w:hideMark/>
          </w:tcPr>
          <w:p w14:paraId="0C2BBA85"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(7.724)</w:t>
            </w:r>
          </w:p>
        </w:tc>
        <w:tc>
          <w:tcPr>
            <w:tcW w:w="621" w:type="pct"/>
            <w:vAlign w:val="center"/>
            <w:hideMark/>
          </w:tcPr>
          <w:p w14:paraId="049F342C"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(4.920)</w:t>
            </w:r>
          </w:p>
        </w:tc>
        <w:tc>
          <w:tcPr>
            <w:tcW w:w="576" w:type="pct"/>
            <w:vAlign w:val="center"/>
            <w:hideMark/>
          </w:tcPr>
          <w:p w14:paraId="6AA123C5"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(15.001)</w:t>
            </w:r>
          </w:p>
        </w:tc>
        <w:tc>
          <w:tcPr>
            <w:tcW w:w="622" w:type="pct"/>
            <w:vAlign w:val="center"/>
            <w:hideMark/>
          </w:tcPr>
          <w:p w14:paraId="42E627B7"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(9.954)</w:t>
            </w:r>
          </w:p>
        </w:tc>
        <w:tc>
          <w:tcPr>
            <w:tcW w:w="576" w:type="pct"/>
            <w:vAlign w:val="center"/>
            <w:hideMark/>
          </w:tcPr>
          <w:p w14:paraId="128E6795"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(2.354)</w:t>
            </w:r>
          </w:p>
        </w:tc>
        <w:tc>
          <w:tcPr>
            <w:tcW w:w="707" w:type="pct"/>
            <w:vAlign w:val="center"/>
            <w:hideMark/>
          </w:tcPr>
          <w:p w14:paraId="7C287945"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(2.215)</w:t>
            </w:r>
          </w:p>
        </w:tc>
      </w:tr>
      <w:tr w:rsidR="005C20C2" w:rsidRPr="00024966" w14:paraId="66937F7C" w14:textId="77777777" w:rsidTr="004A2A48">
        <w:trPr>
          <w:cantSplit/>
          <w:tblCellSpacing w:w="15" w:type="dxa"/>
        </w:trPr>
        <w:tc>
          <w:tcPr>
            <w:tcW w:w="1193" w:type="pct"/>
            <w:gridSpan w:val="2"/>
            <w:hideMark/>
          </w:tcPr>
          <w:p w14:paraId="0D52C7EC"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Observations</w:t>
            </w:r>
          </w:p>
        </w:tc>
        <w:tc>
          <w:tcPr>
            <w:tcW w:w="576" w:type="pct"/>
            <w:vAlign w:val="center"/>
            <w:hideMark/>
          </w:tcPr>
          <w:p w14:paraId="3BCC528C"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97</w:t>
            </w:r>
          </w:p>
        </w:tc>
        <w:tc>
          <w:tcPr>
            <w:tcW w:w="621" w:type="pct"/>
            <w:vAlign w:val="center"/>
            <w:hideMark/>
          </w:tcPr>
          <w:p w14:paraId="288785F9"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97</w:t>
            </w:r>
          </w:p>
        </w:tc>
        <w:tc>
          <w:tcPr>
            <w:tcW w:w="576" w:type="pct"/>
            <w:vAlign w:val="center"/>
            <w:hideMark/>
          </w:tcPr>
          <w:p w14:paraId="722B7560"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97</w:t>
            </w:r>
          </w:p>
        </w:tc>
        <w:tc>
          <w:tcPr>
            <w:tcW w:w="622" w:type="pct"/>
            <w:vAlign w:val="center"/>
            <w:hideMark/>
          </w:tcPr>
          <w:p w14:paraId="0842CE80"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97</w:t>
            </w:r>
          </w:p>
        </w:tc>
        <w:tc>
          <w:tcPr>
            <w:tcW w:w="576" w:type="pct"/>
            <w:vAlign w:val="center"/>
            <w:hideMark/>
          </w:tcPr>
          <w:p w14:paraId="05F8CA43"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97</w:t>
            </w:r>
          </w:p>
        </w:tc>
        <w:tc>
          <w:tcPr>
            <w:tcW w:w="707" w:type="pct"/>
            <w:vAlign w:val="center"/>
            <w:hideMark/>
          </w:tcPr>
          <w:p w14:paraId="347423F0"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97</w:t>
            </w:r>
          </w:p>
        </w:tc>
      </w:tr>
      <w:tr w:rsidR="005C20C2" w:rsidRPr="00024966" w14:paraId="35A9E406" w14:textId="77777777" w:rsidTr="004A2A48">
        <w:trPr>
          <w:cantSplit/>
          <w:tblCellSpacing w:w="15" w:type="dxa"/>
        </w:trPr>
        <w:tc>
          <w:tcPr>
            <w:tcW w:w="1193" w:type="pct"/>
            <w:gridSpan w:val="2"/>
            <w:hideMark/>
          </w:tcPr>
          <w:p w14:paraId="438E94F5"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Adjusted R</w:t>
            </w:r>
            <w:r w:rsidRPr="00024966">
              <w:rPr>
                <w:rFonts w:ascii="Times New Roman" w:eastAsia="Times New Roman" w:hAnsi="Times New Roman"/>
                <w:sz w:val="20"/>
                <w:szCs w:val="20"/>
                <w:vertAlign w:val="superscript"/>
                <w:lang w:eastAsia="ja-JP"/>
              </w:rPr>
              <w:t>2</w:t>
            </w:r>
          </w:p>
        </w:tc>
        <w:tc>
          <w:tcPr>
            <w:tcW w:w="576" w:type="pct"/>
            <w:vAlign w:val="center"/>
            <w:hideMark/>
          </w:tcPr>
          <w:p w14:paraId="4FF55DD5"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-0.010</w:t>
            </w:r>
          </w:p>
        </w:tc>
        <w:tc>
          <w:tcPr>
            <w:tcW w:w="621" w:type="pct"/>
            <w:vAlign w:val="center"/>
            <w:hideMark/>
          </w:tcPr>
          <w:p w14:paraId="131DA4A0"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0.149</w:t>
            </w:r>
          </w:p>
        </w:tc>
        <w:tc>
          <w:tcPr>
            <w:tcW w:w="576" w:type="pct"/>
            <w:vAlign w:val="center"/>
            <w:hideMark/>
          </w:tcPr>
          <w:p w14:paraId="73414558"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-0.001</w:t>
            </w:r>
          </w:p>
        </w:tc>
        <w:tc>
          <w:tcPr>
            <w:tcW w:w="622" w:type="pct"/>
            <w:vAlign w:val="center"/>
            <w:hideMark/>
          </w:tcPr>
          <w:p w14:paraId="2A0E3C27"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0.084</w:t>
            </w:r>
          </w:p>
        </w:tc>
        <w:tc>
          <w:tcPr>
            <w:tcW w:w="576" w:type="pct"/>
            <w:vAlign w:val="center"/>
            <w:hideMark/>
          </w:tcPr>
          <w:p w14:paraId="7F266F51"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-0.009</w:t>
            </w:r>
          </w:p>
        </w:tc>
        <w:tc>
          <w:tcPr>
            <w:tcW w:w="707" w:type="pct"/>
            <w:vAlign w:val="center"/>
            <w:hideMark/>
          </w:tcPr>
          <w:p w14:paraId="00897DC0" w14:textId="77777777" w:rsidR="005C20C2" w:rsidRPr="00024966" w:rsidRDefault="005C20C2" w:rsidP="005C20C2">
            <w:pPr>
              <w:spacing w:line="240" w:lineRule="auto"/>
              <w:ind w:firstLine="0"/>
              <w:jc w:val="center"/>
              <w:rPr>
                <w:rFonts w:ascii="Times New Roman" w:eastAsia="Times New Roman" w:hAnsi="Times New Roman"/>
                <w:sz w:val="20"/>
                <w:szCs w:val="20"/>
                <w:lang w:eastAsia="ja-JP"/>
              </w:rPr>
            </w:pPr>
            <w:r w:rsidRPr="00024966">
              <w:rPr>
                <w:rFonts w:ascii="Times New Roman" w:eastAsia="Times New Roman" w:hAnsi="Times New Roman"/>
                <w:sz w:val="20"/>
                <w:szCs w:val="20"/>
                <w:lang w:eastAsia="ja-JP"/>
              </w:rPr>
              <w:t>0.028</w:t>
            </w:r>
          </w:p>
        </w:tc>
      </w:tr>
      <w:tr w:rsidR="005C20C2" w:rsidRPr="00024966" w14:paraId="19E947D1" w14:textId="77777777" w:rsidTr="004A2A48">
        <w:trPr>
          <w:cantSplit/>
          <w:tblCellSpacing w:w="15" w:type="dxa"/>
        </w:trPr>
        <w:tc>
          <w:tcPr>
            <w:tcW w:w="538" w:type="pct"/>
            <w:tcBorders>
              <w:top w:val="single" w:sz="4" w:space="0" w:color="auto"/>
            </w:tcBorders>
            <w:hideMark/>
          </w:tcPr>
          <w:p w14:paraId="519D99A4" w14:textId="77777777" w:rsidR="005C20C2" w:rsidRPr="00024966" w:rsidRDefault="005C20C2" w:rsidP="005C20C2">
            <w:pPr>
              <w:spacing w:line="240" w:lineRule="auto"/>
              <w:ind w:firstLine="0"/>
              <w:jc w:val="left"/>
              <w:rPr>
                <w:rFonts w:ascii="Times New Roman" w:eastAsia="Times New Roman" w:hAnsi="Times New Roman"/>
                <w:sz w:val="20"/>
                <w:szCs w:val="20"/>
                <w:lang w:eastAsia="ja-JP"/>
              </w:rPr>
            </w:pPr>
            <w:r w:rsidRPr="00024966">
              <w:rPr>
                <w:rFonts w:ascii="Times New Roman" w:eastAsia="Times New Roman" w:hAnsi="Times New Roman"/>
                <w:i/>
                <w:iCs/>
                <w:sz w:val="20"/>
                <w:szCs w:val="20"/>
                <w:lang w:eastAsia="ja-JP"/>
              </w:rPr>
              <w:t>Note:</w:t>
            </w:r>
          </w:p>
        </w:tc>
        <w:tc>
          <w:tcPr>
            <w:tcW w:w="4414" w:type="pct"/>
            <w:gridSpan w:val="7"/>
            <w:tcBorders>
              <w:top w:val="single" w:sz="4" w:space="0" w:color="auto"/>
            </w:tcBorders>
            <w:vAlign w:val="bottom"/>
            <w:hideMark/>
          </w:tcPr>
          <w:p w14:paraId="261BF741" w14:textId="77777777" w:rsidR="005C20C2" w:rsidRPr="00024966" w:rsidRDefault="005C20C2" w:rsidP="005120B5">
            <w:pPr>
              <w:keepNext/>
              <w:spacing w:line="240" w:lineRule="auto"/>
              <w:ind w:firstLine="0"/>
              <w:jc w:val="right"/>
              <w:rPr>
                <w:rFonts w:ascii="Times New Roman" w:eastAsia="Times New Roman" w:hAnsi="Times New Roman"/>
                <w:sz w:val="20"/>
                <w:szCs w:val="20"/>
                <w:vertAlign w:val="superscript"/>
                <w:lang w:eastAsia="ja-JP"/>
              </w:rPr>
            </w:pPr>
            <w:r w:rsidRPr="00024966">
              <w:rPr>
                <w:rFonts w:ascii="Times New Roman" w:eastAsia="Times New Roman" w:hAnsi="Times New Roman"/>
                <w:sz w:val="20"/>
                <w:szCs w:val="20"/>
                <w:vertAlign w:val="superscript"/>
                <w:lang w:eastAsia="ja-JP"/>
              </w:rPr>
              <w:t>*</w:t>
            </w:r>
            <w:r w:rsidRPr="00024966">
              <w:rPr>
                <w:rFonts w:ascii="Times New Roman" w:eastAsia="Times New Roman" w:hAnsi="Times New Roman"/>
                <w:sz w:val="20"/>
                <w:szCs w:val="20"/>
                <w:lang w:eastAsia="ja-JP"/>
              </w:rPr>
              <w:t xml:space="preserve">p&lt;0.1, </w:t>
            </w:r>
            <w:r w:rsidRPr="00024966">
              <w:rPr>
                <w:rFonts w:ascii="Times New Roman" w:eastAsia="Times New Roman" w:hAnsi="Times New Roman"/>
                <w:sz w:val="20"/>
                <w:szCs w:val="20"/>
                <w:vertAlign w:val="superscript"/>
                <w:lang w:eastAsia="ja-JP"/>
              </w:rPr>
              <w:t>**</w:t>
            </w:r>
            <w:r w:rsidRPr="00024966">
              <w:rPr>
                <w:rFonts w:ascii="Times New Roman" w:eastAsia="Times New Roman" w:hAnsi="Times New Roman"/>
                <w:sz w:val="20"/>
                <w:szCs w:val="20"/>
                <w:lang w:eastAsia="ja-JP"/>
              </w:rPr>
              <w:t xml:space="preserve">p&lt;0.05, </w:t>
            </w:r>
            <w:r w:rsidRPr="00024966">
              <w:rPr>
                <w:rFonts w:ascii="Times New Roman" w:eastAsia="Times New Roman" w:hAnsi="Times New Roman"/>
                <w:sz w:val="20"/>
                <w:szCs w:val="20"/>
                <w:vertAlign w:val="superscript"/>
                <w:lang w:eastAsia="ja-JP"/>
              </w:rPr>
              <w:t>***</w:t>
            </w:r>
            <w:r w:rsidRPr="00024966">
              <w:rPr>
                <w:rFonts w:ascii="Times New Roman" w:eastAsia="Times New Roman" w:hAnsi="Times New Roman"/>
                <w:sz w:val="20"/>
                <w:szCs w:val="20"/>
                <w:lang w:eastAsia="ja-JP"/>
              </w:rPr>
              <w:t>p&lt;0.01</w:t>
            </w:r>
          </w:p>
        </w:tc>
      </w:tr>
      <w:bookmarkEnd w:id="16"/>
    </w:tbl>
    <w:p w14:paraId="11130A0B" w14:textId="77777777" w:rsidR="00075AD2" w:rsidRPr="00024966" w:rsidRDefault="00075AD2" w:rsidP="00AF1408"/>
    <w:p w14:paraId="47B692A5" w14:textId="55D654EA" w:rsidR="000C2E5A" w:rsidRPr="00B0319E" w:rsidRDefault="006A0D03" w:rsidP="000C2E5A">
      <w:r w:rsidRPr="00024966">
        <w:t>The majority</w:t>
      </w:r>
      <w:r w:rsidR="000C2E5A" w:rsidRPr="00024966">
        <w:t xml:space="preserve"> of the variables in the regression</w:t>
      </w:r>
      <w:r w:rsidR="000C2E5A" w:rsidRPr="00B0319E">
        <w:t xml:space="preserve"> </w:t>
      </w:r>
      <w:r w:rsidRPr="00B0319E">
        <w:t xml:space="preserve">analysis </w:t>
      </w:r>
      <w:r w:rsidR="000C2E5A" w:rsidRPr="00B0319E">
        <w:t xml:space="preserve">were not </w:t>
      </w:r>
      <w:r w:rsidRPr="00B0319E">
        <w:t xml:space="preserve">statistically </w:t>
      </w:r>
      <w:r w:rsidR="000C2E5A" w:rsidRPr="00B0319E">
        <w:t xml:space="preserve">significant, indicating that the observed relationships </w:t>
      </w:r>
      <w:r w:rsidRPr="00B0319E">
        <w:t>may lack</w:t>
      </w:r>
      <w:r w:rsidR="000C2E5A" w:rsidRPr="00B0319E">
        <w:t xml:space="preserve"> robust</w:t>
      </w:r>
      <w:r w:rsidRPr="00B0319E">
        <w:t>ness</w:t>
      </w:r>
      <w:r w:rsidR="000C2E5A" w:rsidRPr="00B0319E">
        <w:t xml:space="preserve">. </w:t>
      </w:r>
      <w:r w:rsidRPr="00B0319E">
        <w:t>Th</w:t>
      </w:r>
      <w:r w:rsidR="00684357">
        <w:t>e</w:t>
      </w:r>
      <w:r w:rsidRPr="00B0319E">
        <w:t xml:space="preserve"> observation holds true for both the single regression analysis and the multivariate regression analysis.</w:t>
      </w:r>
    </w:p>
    <w:p w14:paraId="4224AA25" w14:textId="47D03E3A" w:rsidR="000C2E5A" w:rsidRPr="00B0319E" w:rsidRDefault="006A0D03" w:rsidP="000C2E5A">
      <w:r w:rsidRPr="00B0319E">
        <w:t>Although some relationships were consistent</w:t>
      </w:r>
      <w:r w:rsidR="000C2E5A" w:rsidRPr="00B0319E">
        <w:t xml:space="preserve"> with </w:t>
      </w:r>
      <w:r w:rsidRPr="00B0319E">
        <w:t xml:space="preserve">the </w:t>
      </w:r>
      <w:r w:rsidR="000C2E5A" w:rsidRPr="00B0319E">
        <w:t xml:space="preserve">hypotheses, the lack of significance </w:t>
      </w:r>
      <w:r w:rsidRPr="00B0319E">
        <w:t>implies that</w:t>
      </w:r>
      <w:r w:rsidR="000C2E5A" w:rsidRPr="00B0319E">
        <w:t xml:space="preserve"> hypotheses 1A and 1B</w:t>
      </w:r>
      <w:r w:rsidR="000C0357" w:rsidRPr="00B0319E">
        <w:t xml:space="preserve"> cannot be fully supported</w:t>
      </w:r>
      <w:r w:rsidR="000C2E5A" w:rsidRPr="00B0319E">
        <w:t>. The adjusted R-square</w:t>
      </w:r>
      <w:r w:rsidRPr="00B0319E">
        <w:t>d</w:t>
      </w:r>
      <w:r w:rsidR="000C2E5A" w:rsidRPr="00B0319E">
        <w:t xml:space="preserve"> values for the models are 14.9 percent </w:t>
      </w:r>
      <w:r w:rsidR="00630C68">
        <w:t xml:space="preserve">(ROA ) </w:t>
      </w:r>
      <w:r w:rsidR="000C2E5A" w:rsidRPr="00B0319E">
        <w:t>and 8.4 percent</w:t>
      </w:r>
      <w:r w:rsidR="00630C68">
        <w:t xml:space="preserve"> (ROE)</w:t>
      </w:r>
      <w:r w:rsidRPr="00B0319E">
        <w:t xml:space="preserve"> for the multivariate regression</w:t>
      </w:r>
      <w:r w:rsidR="000C2E5A" w:rsidRPr="00B0319E">
        <w:t>,</w:t>
      </w:r>
      <w:r w:rsidRPr="00B0319E">
        <w:t xml:space="preserve"> while the single regression adjusted R-squared results are negative. The variables used in the model explain </w:t>
      </w:r>
      <w:r w:rsidR="000C2E5A" w:rsidRPr="00B0319E">
        <w:t>only a limited p</w:t>
      </w:r>
      <w:r w:rsidRPr="00B0319E">
        <w:t xml:space="preserve">ortion of the </w:t>
      </w:r>
      <w:r w:rsidR="000C2E5A" w:rsidRPr="00B0319E">
        <w:t>dependent variable.</w:t>
      </w:r>
    </w:p>
    <w:bookmarkEnd w:id="12"/>
    <w:p w14:paraId="26CD9AD6" w14:textId="20656589" w:rsidR="000E583E" w:rsidRPr="00B0319E" w:rsidRDefault="009804A8" w:rsidP="00AF1408">
      <w:r w:rsidRPr="00B0319E">
        <w:t xml:space="preserve">The results for the dependent variable </w:t>
      </w:r>
      <w:r w:rsidR="001A2532" w:rsidRPr="00B0319E">
        <w:t>Dividend</w:t>
      </w:r>
      <w:r w:rsidR="00AB11F7" w:rsidRPr="00B0319E">
        <w:t>s, presented in</w:t>
      </w:r>
      <w:r w:rsidR="001A2532" w:rsidRPr="00B0319E">
        <w:t xml:space="preserve"> </w:t>
      </w:r>
      <w:r w:rsidR="00C23882">
        <w:t>Table 2</w:t>
      </w:r>
      <w:r w:rsidR="00957F07" w:rsidRPr="00B0319E">
        <w:t xml:space="preserve"> </w:t>
      </w:r>
      <w:r w:rsidR="001A2532" w:rsidRPr="00B0319E">
        <w:t xml:space="preserve">under </w:t>
      </w:r>
      <w:r w:rsidR="000E583E" w:rsidRPr="00B0319E">
        <w:t xml:space="preserve">columns </w:t>
      </w:r>
      <w:r w:rsidR="001A2532" w:rsidRPr="00B0319E">
        <w:t>5 and 6</w:t>
      </w:r>
      <w:r w:rsidR="000E583E" w:rsidRPr="00B0319E">
        <w:t>,</w:t>
      </w:r>
      <w:r w:rsidR="00326264" w:rsidRPr="00B0319E">
        <w:t xml:space="preserve"> also show unexpected </w:t>
      </w:r>
      <w:r w:rsidR="000E583E" w:rsidRPr="00B0319E">
        <w:t>outcomes</w:t>
      </w:r>
      <w:r w:rsidR="001A2532" w:rsidRPr="00B0319E">
        <w:t>.</w:t>
      </w:r>
      <w:r w:rsidR="00A1354F" w:rsidRPr="00B0319E">
        <w:t xml:space="preserve"> </w:t>
      </w:r>
      <w:r w:rsidR="00C11D51" w:rsidRPr="00B0319E">
        <w:t>The single regression with the variable Employee</w:t>
      </w:r>
      <w:r w:rsidR="000D795B" w:rsidRPr="00B0319E">
        <w:t>_</w:t>
      </w:r>
      <w:r w:rsidR="00C11D51" w:rsidRPr="00B0319E">
        <w:t xml:space="preserve">Satisfaction </w:t>
      </w:r>
      <w:r w:rsidR="000E583E" w:rsidRPr="00B0319E">
        <w:t>reveals</w:t>
      </w:r>
      <w:r w:rsidR="00C11D51" w:rsidRPr="00B0319E">
        <w:t xml:space="preserve"> a small negative </w:t>
      </w:r>
      <w:r w:rsidR="000E583E" w:rsidRPr="00B0319E">
        <w:t>coefficient (-0.011)</w:t>
      </w:r>
      <w:r w:rsidR="00C11D51" w:rsidRPr="00B0319E">
        <w:t xml:space="preserve">, which </w:t>
      </w:r>
      <w:r w:rsidR="00686D4E" w:rsidRPr="00B0319E">
        <w:t>is not in line with hypothesis two.</w:t>
      </w:r>
      <w:r w:rsidR="00C11D51" w:rsidRPr="00B0319E">
        <w:t xml:space="preserve"> </w:t>
      </w:r>
      <w:r w:rsidR="000E583E" w:rsidRPr="00B0319E">
        <w:t>Th</w:t>
      </w:r>
      <w:r w:rsidR="00684357">
        <w:t>e</w:t>
      </w:r>
      <w:r w:rsidR="000E583E" w:rsidRPr="00B0319E">
        <w:t xml:space="preserve"> indicat</w:t>
      </w:r>
      <w:r w:rsidR="00684357">
        <w:t>ion is</w:t>
      </w:r>
      <w:r w:rsidR="000E583E" w:rsidRPr="00B0319E">
        <w:t xml:space="preserve"> that a one-unit increase in the Employee_Satisfaction score is associated with a 0.011 unit decrease in Dividends.</w:t>
      </w:r>
      <w:r w:rsidR="00630C68">
        <w:t xml:space="preserve"> </w:t>
      </w:r>
      <w:r w:rsidR="00630C68" w:rsidRPr="00630C68">
        <w:t>Based on the results of previous research, this relationship should be positive.</w:t>
      </w:r>
    </w:p>
    <w:p w14:paraId="65ABD71C" w14:textId="0E59990F" w:rsidR="000E583E" w:rsidRPr="00B0319E" w:rsidRDefault="00F55C47" w:rsidP="000E583E">
      <w:r w:rsidRPr="00B0319E">
        <w:t>In the multivariate regression</w:t>
      </w:r>
      <w:r w:rsidR="000E583E" w:rsidRPr="00B0319E">
        <w:t>,</w:t>
      </w:r>
      <w:r w:rsidRPr="00B0319E">
        <w:t xml:space="preserve"> the variables Policy_Skills, Internal_Promotion</w:t>
      </w:r>
      <w:r w:rsidR="00EF3722" w:rsidRPr="00B0319E">
        <w:t xml:space="preserve"> and </w:t>
      </w:r>
      <w:r w:rsidRPr="00B0319E">
        <w:t xml:space="preserve">Management_Training also show </w:t>
      </w:r>
      <w:r w:rsidR="006002D8" w:rsidRPr="00B0319E">
        <w:t>unexpected results</w:t>
      </w:r>
      <w:r w:rsidR="000E583E" w:rsidRPr="00B0319E">
        <w:t>,</w:t>
      </w:r>
      <w:r w:rsidR="006002D8" w:rsidRPr="00B0319E">
        <w:t xml:space="preserve"> </w:t>
      </w:r>
      <w:r w:rsidRPr="00B0319E">
        <w:t>contrary to</w:t>
      </w:r>
      <w:r w:rsidR="006002D8" w:rsidRPr="00B0319E">
        <w:t xml:space="preserve"> the </w:t>
      </w:r>
      <w:r w:rsidRPr="00B0319E">
        <w:t>expectation</w:t>
      </w:r>
      <w:r w:rsidR="002B584D" w:rsidRPr="00B0319E">
        <w:t xml:space="preserve"> that employee satisfaction increases the amount of dividends distributed</w:t>
      </w:r>
      <w:r w:rsidRPr="00B0319E">
        <w:t>.</w:t>
      </w:r>
      <w:r w:rsidR="00EB5CA9" w:rsidRPr="00B0319E">
        <w:t xml:space="preserve"> </w:t>
      </w:r>
      <w:r w:rsidR="000E583E" w:rsidRPr="00B0319E">
        <w:t>Specifically, Policy_Skills has a coefficient of -0.355, Internal_Promotion has a coefficient of -0.243, and </w:t>
      </w:r>
      <w:r w:rsidR="000E583E" w:rsidRPr="004A2A48">
        <w:t>Management_Training</w:t>
      </w:r>
      <w:r w:rsidR="000E583E" w:rsidRPr="00B0319E">
        <w:t> has a coefficient of -0.431. These negative coefficients suggest that these factors may not be contributing positively to employee satisfaction or that there might be underlying issues not captured by the model.</w:t>
      </w:r>
    </w:p>
    <w:p w14:paraId="5D15EE30" w14:textId="2DEDF731" w:rsidR="001C069E" w:rsidRPr="00B0319E" w:rsidRDefault="00EE4368" w:rsidP="00BD42C2">
      <w:r w:rsidRPr="00B0319E">
        <w:t>The variable Turnover_Employees shows a small positive effect</w:t>
      </w:r>
      <w:r w:rsidR="000E583E" w:rsidRPr="00B0319E">
        <w:t xml:space="preserve"> (0.006)</w:t>
      </w:r>
      <w:r w:rsidRPr="00B0319E">
        <w:t>, which also contradicts expectations.</w:t>
      </w:r>
      <w:r w:rsidR="000E583E" w:rsidRPr="00B0319E">
        <w:t xml:space="preserve"> </w:t>
      </w:r>
      <w:r w:rsidR="00684357">
        <w:t>A</w:t>
      </w:r>
      <w:r w:rsidR="000E583E" w:rsidRPr="00B0319E">
        <w:t>n increase in employee turnover is associated with a slight increase in dividends, possibly due to the positive influence of new hires bringing fresh perspectives and skills.</w:t>
      </w:r>
      <w:r w:rsidRPr="00B0319E">
        <w:t xml:space="preserve"> </w:t>
      </w:r>
      <w:r w:rsidR="00563432" w:rsidRPr="00B0319E">
        <w:t xml:space="preserve">Only the variables </w:t>
      </w:r>
      <w:r w:rsidR="00235879" w:rsidRPr="00B0319E">
        <w:t>Flex_Work_Hours and Policy_Career_Dev</w:t>
      </w:r>
      <w:r w:rsidR="006067A2" w:rsidRPr="00B0319E">
        <w:t xml:space="preserve"> are in line with the hypothesis and </w:t>
      </w:r>
      <w:r w:rsidR="00235879" w:rsidRPr="00B0319E">
        <w:t xml:space="preserve">show positive </w:t>
      </w:r>
      <w:r w:rsidR="000E583E" w:rsidRPr="00B0319E">
        <w:t>coefficients</w:t>
      </w:r>
      <w:r w:rsidR="00235879" w:rsidRPr="00B0319E">
        <w:t xml:space="preserve"> of 0.390 and 1.145</w:t>
      </w:r>
      <w:r w:rsidR="000E583E" w:rsidRPr="00B0319E">
        <w:t>, respectively</w:t>
      </w:r>
      <w:r w:rsidR="00002133" w:rsidRPr="00B0319E">
        <w:t>.</w:t>
      </w:r>
      <w:r w:rsidR="000E583E" w:rsidRPr="00B0319E">
        <w:t xml:space="preserve"> Th</w:t>
      </w:r>
      <w:r w:rsidR="00040BC7" w:rsidRPr="00B0319E">
        <w:t>e findings suggest</w:t>
      </w:r>
      <w:r w:rsidR="000E583E" w:rsidRPr="00B0319E">
        <w:t xml:space="preserve"> that companies </w:t>
      </w:r>
      <w:r w:rsidR="00040BC7" w:rsidRPr="00B0319E">
        <w:t>providing</w:t>
      </w:r>
      <w:r w:rsidR="000E583E" w:rsidRPr="00B0319E">
        <w:t xml:space="preserve"> flexible working hours and </w:t>
      </w:r>
      <w:r w:rsidR="00040BC7" w:rsidRPr="00B0319E">
        <w:t>implementing</w:t>
      </w:r>
      <w:r w:rsidR="000E583E" w:rsidRPr="00B0319E">
        <w:t xml:space="preserve"> career development policies tend to distribute higher dividends.</w:t>
      </w:r>
      <w:r w:rsidR="00002133" w:rsidRPr="00B0319E">
        <w:t xml:space="preserve"> </w:t>
      </w:r>
      <w:r w:rsidR="0042594B" w:rsidRPr="00B0319E">
        <w:t xml:space="preserve">These results are consistent with the hypothesis that increased employee satisfaction is associated with </w:t>
      </w:r>
      <w:r w:rsidR="00040BC7" w:rsidRPr="00B0319E">
        <w:t>higher</w:t>
      </w:r>
      <w:r w:rsidR="0042594B" w:rsidRPr="00B0319E">
        <w:t xml:space="preserve"> dividends.</w:t>
      </w:r>
      <w:r w:rsidR="00040BC7" w:rsidRPr="00B0319E">
        <w:t xml:space="preserve"> However, the variables measuring employee satisfaction are not statistically significant and lack robustness.</w:t>
      </w:r>
    </w:p>
    <w:p w14:paraId="227AEB81" w14:textId="233C6954" w:rsidR="00BD42C2" w:rsidRDefault="00040BC7" w:rsidP="00BD42C2">
      <w:r w:rsidRPr="00B0319E">
        <w:t>T</w:t>
      </w:r>
      <w:r w:rsidR="00D313DD" w:rsidRPr="00B0319E">
        <w:t xml:space="preserve">he </w:t>
      </w:r>
      <w:r w:rsidR="007C0CAC" w:rsidRPr="00B0319E">
        <w:t>R-squa</w:t>
      </w:r>
      <w:r w:rsidRPr="00B0319E">
        <w:t>re</w:t>
      </w:r>
      <w:r w:rsidR="007C0CAC" w:rsidRPr="00B0319E">
        <w:t xml:space="preserve">d values ​​of -0.9 percent </w:t>
      </w:r>
      <w:r w:rsidRPr="00B0319E">
        <w:t xml:space="preserve">for the single regression </w:t>
      </w:r>
      <w:r w:rsidR="007C0CAC" w:rsidRPr="00B0319E">
        <w:t>and 2.8 percent</w:t>
      </w:r>
      <w:r w:rsidRPr="00B0319E">
        <w:t xml:space="preserve"> for the multivariate regression</w:t>
      </w:r>
      <w:r w:rsidR="007C0CAC" w:rsidRPr="00B0319E">
        <w:t xml:space="preserve"> are very low</w:t>
      </w:r>
      <w:r w:rsidR="000E583E" w:rsidRPr="00B0319E">
        <w:t>,</w:t>
      </w:r>
      <w:r w:rsidR="007C0CAC" w:rsidRPr="00B0319E">
        <w:t xml:space="preserve"> strongly indicat</w:t>
      </w:r>
      <w:r w:rsidRPr="00B0319E">
        <w:t>ing</w:t>
      </w:r>
      <w:r w:rsidR="007C0CAC" w:rsidRPr="00B0319E">
        <w:t xml:space="preserve"> that the </w:t>
      </w:r>
      <w:r w:rsidR="00C27791" w:rsidRPr="00B0319E">
        <w:t>value</w:t>
      </w:r>
      <w:r w:rsidR="007C0CAC" w:rsidRPr="00B0319E">
        <w:t xml:space="preserve"> of dividend</w:t>
      </w:r>
      <w:r w:rsidR="00D313DD" w:rsidRPr="00B0319E">
        <w:t>s</w:t>
      </w:r>
      <w:r w:rsidR="007C0CAC" w:rsidRPr="00B0319E">
        <w:t xml:space="preserve"> cannot be accurately represented </w:t>
      </w:r>
      <w:r w:rsidRPr="00B0319E">
        <w:t>by</w:t>
      </w:r>
      <w:r w:rsidR="007C0CAC" w:rsidRPr="00B0319E">
        <w:t xml:space="preserve"> the variables </w:t>
      </w:r>
      <w:r w:rsidR="008D42F7" w:rsidRPr="00B0319E">
        <w:t>used in the regression</w:t>
      </w:r>
      <w:r w:rsidR="007C0CAC" w:rsidRPr="00B0319E">
        <w:t>.</w:t>
      </w:r>
      <w:r w:rsidR="001C069E" w:rsidRPr="00B0319E">
        <w:t xml:space="preserve"> </w:t>
      </w:r>
      <w:r w:rsidRPr="00B0319E">
        <w:t>Consequently, d</w:t>
      </w:r>
      <w:r w:rsidR="004520BA" w:rsidRPr="00B0319E">
        <w:t xml:space="preserve">ue to the </w:t>
      </w:r>
      <w:r w:rsidR="0066054B" w:rsidRPr="00B0319E">
        <w:t>differing</w:t>
      </w:r>
      <w:r w:rsidR="004520BA" w:rsidRPr="00B0319E">
        <w:t xml:space="preserve"> results</w:t>
      </w:r>
      <w:r w:rsidRPr="00B0319E">
        <w:t xml:space="preserve"> and the lack of robustness</w:t>
      </w:r>
      <w:r w:rsidR="004520BA" w:rsidRPr="00B0319E">
        <w:t>, it is not possible to support hypothesis 2</w:t>
      </w:r>
      <w:r w:rsidR="00A21CAE" w:rsidRPr="00B0319E">
        <w:t xml:space="preserve">. </w:t>
      </w:r>
      <w:r w:rsidR="00CA29B4" w:rsidRPr="00B0319E">
        <w:t xml:space="preserve">The regression results for the dependent variable Turnover_Employees </w:t>
      </w:r>
      <w:r w:rsidR="000E583E" w:rsidRPr="00B0319E">
        <w:t>will be</w:t>
      </w:r>
      <w:r w:rsidR="00CA29B4" w:rsidRPr="00B0319E">
        <w:t xml:space="preserve"> examined </w:t>
      </w:r>
      <w:r w:rsidR="00C63E16" w:rsidRPr="00B0319E">
        <w:t>next</w:t>
      </w:r>
      <w:r w:rsidR="000E583E" w:rsidRPr="00B0319E">
        <w:t>.</w:t>
      </w:r>
      <w:r w:rsidR="006E24E5" w:rsidRPr="00B0319E">
        <w:t xml:space="preserve"> </w:t>
      </w:r>
    </w:p>
    <w:p w14:paraId="2AB42147" w14:textId="37B384DE" w:rsidR="00DC2341" w:rsidRPr="00B0319E" w:rsidRDefault="000E583E" w:rsidP="004A2A48">
      <w:bookmarkStart w:id="17" w:name="_Hlk174033169"/>
      <w:r w:rsidRPr="00B0319E">
        <w:t xml:space="preserve">As </w:t>
      </w:r>
      <w:r w:rsidR="00BD42C2">
        <w:t>illustrated</w:t>
      </w:r>
      <w:r w:rsidRPr="00B0319E">
        <w:t xml:space="preserve"> in table 3</w:t>
      </w:r>
      <w:r w:rsidR="00982893" w:rsidRPr="00B0319E">
        <w:t>,</w:t>
      </w:r>
      <w:r w:rsidRPr="00B0319E">
        <w:t xml:space="preserve"> t</w:t>
      </w:r>
      <w:r w:rsidR="00635E5B" w:rsidRPr="00B0319E">
        <w:t xml:space="preserve">he single regression of the variable Employee_Satisfaction </w:t>
      </w:r>
      <w:r w:rsidR="00A268F5" w:rsidRPr="00B0319E">
        <w:t>shows</w:t>
      </w:r>
      <w:r w:rsidR="00635E5B" w:rsidRPr="00B0319E">
        <w:t xml:space="preserve"> a </w:t>
      </w:r>
      <w:r w:rsidR="00982893" w:rsidRPr="00B0319E">
        <w:t>coefficient</w:t>
      </w:r>
      <w:r w:rsidR="00635E5B" w:rsidRPr="00B0319E">
        <w:t xml:space="preserve"> of -0.072</w:t>
      </w:r>
      <w:r w:rsidR="00982893" w:rsidRPr="00B0319E">
        <w:t xml:space="preserve">, which </w:t>
      </w:r>
      <w:r w:rsidR="00635E5B" w:rsidRPr="00B0319E">
        <w:t>is in line with hypothesis</w:t>
      </w:r>
      <w:r w:rsidR="00FF232D" w:rsidRPr="00B0319E">
        <w:t xml:space="preserve"> 3</w:t>
      </w:r>
      <w:r w:rsidR="00635E5B" w:rsidRPr="00B0319E">
        <w:t>.</w:t>
      </w:r>
      <w:r w:rsidR="00982893" w:rsidRPr="00B0319E">
        <w:t xml:space="preserve"> Th</w:t>
      </w:r>
      <w:r w:rsidR="00684357">
        <w:t>e</w:t>
      </w:r>
      <w:r w:rsidR="00982893" w:rsidRPr="00B0319E">
        <w:t xml:space="preserve"> indicat</w:t>
      </w:r>
      <w:r w:rsidR="00684357">
        <w:t>ion is</w:t>
      </w:r>
      <w:r w:rsidR="00982893" w:rsidRPr="00B0319E">
        <w:t xml:space="preserve"> that a one-unit increase in Employee_Satisfaction is associated with a 0.072 unit decrease in </w:t>
      </w:r>
      <w:r w:rsidR="00350524" w:rsidRPr="00B0319E">
        <w:t>T</w:t>
      </w:r>
      <w:r w:rsidR="00982893" w:rsidRPr="00B0319E">
        <w:t xml:space="preserve">urnover_Employees. </w:t>
      </w:r>
      <w:r w:rsidR="00350524" w:rsidRPr="00B0319E">
        <w:t xml:space="preserve">For the </w:t>
      </w:r>
      <w:r w:rsidR="00B17C5E" w:rsidRPr="00B0319E">
        <w:t>multivariate</w:t>
      </w:r>
      <w:r w:rsidR="00350524" w:rsidRPr="00B0319E">
        <w:t xml:space="preserve"> regression, </w:t>
      </w:r>
      <w:r w:rsidR="00040BC7" w:rsidRPr="00B0319E">
        <w:t>the</w:t>
      </w:r>
      <w:r w:rsidR="00967D2C" w:rsidRPr="00B0319E">
        <w:t xml:space="preserve"> variables Flex_Work_Hours</w:t>
      </w:r>
      <w:r w:rsidR="00B17C5E" w:rsidRPr="00B0319E">
        <w:t>,</w:t>
      </w:r>
      <w:r w:rsidR="00967D2C" w:rsidRPr="00B0319E">
        <w:t xml:space="preserve"> </w:t>
      </w:r>
      <w:r w:rsidR="00FF232D" w:rsidRPr="00B0319E">
        <w:t xml:space="preserve">with </w:t>
      </w:r>
      <w:r w:rsidR="00B17C5E" w:rsidRPr="00B0319E">
        <w:t>a</w:t>
      </w:r>
      <w:r w:rsidR="00DC2341" w:rsidRPr="00B0319E">
        <w:t xml:space="preserve"> regression result of</w:t>
      </w:r>
      <w:r w:rsidR="00FF232D" w:rsidRPr="00B0319E">
        <w:t xml:space="preserve"> -1.174</w:t>
      </w:r>
      <w:r w:rsidR="00B17C5E" w:rsidRPr="00B0319E">
        <w:t>,</w:t>
      </w:r>
      <w:r w:rsidR="00FF232D" w:rsidRPr="00B0319E">
        <w:t xml:space="preserve"> </w:t>
      </w:r>
      <w:r w:rsidR="00967D2C" w:rsidRPr="00B0319E">
        <w:t>and Internal_Promotion</w:t>
      </w:r>
      <w:r w:rsidR="00B17C5E" w:rsidRPr="00B0319E">
        <w:t>,</w:t>
      </w:r>
      <w:r w:rsidR="00967D2C" w:rsidRPr="00B0319E">
        <w:t xml:space="preserve"> </w:t>
      </w:r>
      <w:r w:rsidR="00FF232D" w:rsidRPr="00B0319E">
        <w:t xml:space="preserve">with </w:t>
      </w:r>
      <w:r w:rsidR="00B17C5E" w:rsidRPr="00B0319E">
        <w:t xml:space="preserve">a regression result of </w:t>
      </w:r>
      <w:r w:rsidR="00DC2341" w:rsidRPr="00B0319E">
        <w:t>-3.100</w:t>
      </w:r>
      <w:r w:rsidR="00B17C5E" w:rsidRPr="00B0319E">
        <w:t>,</w:t>
      </w:r>
      <w:r w:rsidR="00DC2341" w:rsidRPr="00B0319E">
        <w:t xml:space="preserve"> </w:t>
      </w:r>
      <w:r w:rsidR="00967D2C" w:rsidRPr="00B0319E">
        <w:t xml:space="preserve">are </w:t>
      </w:r>
      <w:r w:rsidR="00B17C5E" w:rsidRPr="00B0319E">
        <w:t>consistent</w:t>
      </w:r>
      <w:r w:rsidR="00967D2C" w:rsidRPr="00B0319E">
        <w:t xml:space="preserve"> with the hypothesis</w:t>
      </w:r>
      <w:r w:rsidR="00DC2341" w:rsidRPr="00B0319E">
        <w:t xml:space="preserve">. </w:t>
      </w:r>
      <w:r w:rsidR="00350524" w:rsidRPr="00B0319E">
        <w:t xml:space="preserve">The coefficient of -1.174 for Flex_Work_Hours indicates that an increase in the availability of flexible working hours is associated with a reduction in employee turnover by 1.174 units. Similarly, the coefficient of -3.100 for Internal_Promotion suggests that increased opportunities for internal promotion significantly reduce employee turnover by 3.100 units. </w:t>
      </w:r>
      <w:r w:rsidR="009C5985" w:rsidRPr="00B0319E">
        <w:t xml:space="preserve">Although the coefficients are not statistically significant, the results indicate that Flex_Work_Hours and Internal_Promotion contribute to reducing </w:t>
      </w:r>
      <w:r w:rsidR="00343E79" w:rsidRPr="00B0319E">
        <w:t>employee turnover.</w:t>
      </w:r>
    </w:p>
    <w:p w14:paraId="1DEFD055" w14:textId="6E100FAE" w:rsidR="00494FE9" w:rsidRPr="00B0319E" w:rsidRDefault="001E692C" w:rsidP="004A2A48">
      <w:pPr>
        <w:ind w:firstLine="0"/>
        <w:rPr>
          <w:rStyle w:val="Subtieleverwijzing"/>
          <w:smallCaps w:val="0"/>
          <w:color w:val="auto"/>
        </w:rPr>
      </w:pPr>
      <w:r w:rsidRPr="00B0319E">
        <w:t xml:space="preserve"> </w:t>
      </w:r>
      <w:r w:rsidR="00F32C42" w:rsidRPr="00B0319E">
        <w:t>However, t</w:t>
      </w:r>
      <w:r w:rsidRPr="00B0319E">
        <w:t>he variable</w:t>
      </w:r>
      <w:r w:rsidR="00F32C42" w:rsidRPr="00B0319E">
        <w:t>s</w:t>
      </w:r>
      <w:r w:rsidRPr="00B0319E">
        <w:t xml:space="preserve"> Policy_Career_Dev </w:t>
      </w:r>
      <w:r w:rsidR="00F32C42" w:rsidRPr="00B0319E">
        <w:t>with</w:t>
      </w:r>
      <w:r w:rsidRPr="00B0319E">
        <w:t xml:space="preserve"> a </w:t>
      </w:r>
      <w:r w:rsidR="00982893" w:rsidRPr="00B0319E">
        <w:t>coefficient</w:t>
      </w:r>
      <w:r w:rsidRPr="00B0319E">
        <w:t xml:space="preserve"> of 5.746, Policy_Skills </w:t>
      </w:r>
      <w:r w:rsidR="00F32C42" w:rsidRPr="00B0319E">
        <w:t>with a</w:t>
      </w:r>
      <w:r w:rsidRPr="00B0319E">
        <w:t xml:space="preserve"> </w:t>
      </w:r>
      <w:r w:rsidR="00982893" w:rsidRPr="00B0319E">
        <w:t>coefficient</w:t>
      </w:r>
      <w:r w:rsidRPr="00B0319E">
        <w:t xml:space="preserve"> of 0.876 and Management_Training </w:t>
      </w:r>
      <w:r w:rsidR="00F32C42" w:rsidRPr="00B0319E">
        <w:t>with</w:t>
      </w:r>
      <w:r w:rsidRPr="00B0319E">
        <w:t xml:space="preserve"> a </w:t>
      </w:r>
      <w:r w:rsidR="00982893" w:rsidRPr="00B0319E">
        <w:t>coefficient</w:t>
      </w:r>
      <w:r w:rsidRPr="00B0319E">
        <w:t xml:space="preserve"> of 4.451 </w:t>
      </w:r>
      <w:r w:rsidR="00982893" w:rsidRPr="00B0319E">
        <w:t>(</w:t>
      </w:r>
      <w:r w:rsidRPr="00B0319E">
        <w:t>significan</w:t>
      </w:r>
      <w:r w:rsidR="00982893" w:rsidRPr="00B0319E">
        <w:t>t at the</w:t>
      </w:r>
      <w:r w:rsidRPr="00B0319E">
        <w:t xml:space="preserve"> 0.1</w:t>
      </w:r>
      <w:r w:rsidR="00982893" w:rsidRPr="00B0319E">
        <w:t xml:space="preserve"> level)</w:t>
      </w:r>
      <w:r w:rsidR="00F32C42" w:rsidRPr="00B0319E">
        <w:t>, are not in line with the hypothesis</w:t>
      </w:r>
      <w:r w:rsidRPr="00B0319E">
        <w:t>.</w:t>
      </w:r>
      <w:r w:rsidR="00106344" w:rsidRPr="00B0319E">
        <w:t xml:space="preserve"> Contrary to expectations, the results of the regression analysis </w:t>
      </w:r>
      <w:r w:rsidR="00982893" w:rsidRPr="00B0319E">
        <w:t>are</w:t>
      </w:r>
      <w:r w:rsidR="00106344" w:rsidRPr="00B0319E">
        <w:t xml:space="preserve"> positive.</w:t>
      </w:r>
      <w:r w:rsidR="00CA07D9" w:rsidRPr="00B0319E">
        <w:t xml:space="preserve"> </w:t>
      </w:r>
      <w:r w:rsidR="00684357">
        <w:t>It is indicated t</w:t>
      </w:r>
      <w:r w:rsidR="00982893" w:rsidRPr="00B0319E">
        <w:t>hat a</w:t>
      </w:r>
      <w:r w:rsidR="00534FBA" w:rsidRPr="00B0319E">
        <w:t xml:space="preserve">n improvement in </w:t>
      </w:r>
      <w:r w:rsidR="00350524" w:rsidRPr="00B0319E">
        <w:t>these variables</w:t>
      </w:r>
      <w:r w:rsidR="00534FBA" w:rsidRPr="00B0319E">
        <w:t xml:space="preserve"> would have a positive effect on turnover</w:t>
      </w:r>
      <w:r w:rsidR="00982893" w:rsidRPr="00B0319E">
        <w:t>, suggesting that</w:t>
      </w:r>
      <w:r w:rsidR="00534FBA" w:rsidRPr="00B0319E">
        <w:t xml:space="preserve"> </w:t>
      </w:r>
      <w:r w:rsidR="00982893" w:rsidRPr="00B0319E">
        <w:t>s</w:t>
      </w:r>
      <w:r w:rsidR="00534FBA" w:rsidRPr="00B0319E">
        <w:t xml:space="preserve">atisfied employees are more likely to change employers. </w:t>
      </w:r>
      <w:r w:rsidR="00BD42C2" w:rsidRPr="00BD42C2">
        <w:t>This contradicts past research.</w:t>
      </w:r>
      <w:r w:rsidR="00BD42C2">
        <w:t xml:space="preserve"> E</w:t>
      </w:r>
      <w:r w:rsidR="001C2E27" w:rsidRPr="00B0319E">
        <w:t xml:space="preserve">mployee satisfaction can </w:t>
      </w:r>
      <w:r w:rsidR="002F3E9C" w:rsidRPr="00B0319E">
        <w:t xml:space="preserve">only predict </w:t>
      </w:r>
      <w:r w:rsidR="001C2E27" w:rsidRPr="00B0319E">
        <w:t>10.9 percent</w:t>
      </w:r>
      <w:r w:rsidR="00F23CAB" w:rsidRPr="00B0319E">
        <w:t xml:space="preserve"> </w:t>
      </w:r>
      <w:r w:rsidR="002F3E9C" w:rsidRPr="00B0319E">
        <w:t xml:space="preserve">of the variation in </w:t>
      </w:r>
      <w:r w:rsidR="009C5985" w:rsidRPr="00B0319E">
        <w:t>the</w:t>
      </w:r>
      <w:r w:rsidR="002F3E9C" w:rsidRPr="00B0319E">
        <w:t xml:space="preserve"> </w:t>
      </w:r>
      <w:r w:rsidR="00B17C5E" w:rsidRPr="00B0319E">
        <w:t xml:space="preserve">multivariate regression </w:t>
      </w:r>
      <w:r w:rsidR="002F3E9C" w:rsidRPr="00B0319E">
        <w:t>model</w:t>
      </w:r>
      <w:r w:rsidR="00D0690E" w:rsidRPr="00B0319E">
        <w:t xml:space="preserve">, </w:t>
      </w:r>
      <w:r w:rsidR="001C2E27" w:rsidRPr="00B0319E">
        <w:t>or -0.7 percent</w:t>
      </w:r>
      <w:r w:rsidR="00F23CAB" w:rsidRPr="00B0319E">
        <w:t xml:space="preserve"> </w:t>
      </w:r>
      <w:r w:rsidR="00D0690E" w:rsidRPr="00B0319E">
        <w:t xml:space="preserve">in the case of </w:t>
      </w:r>
      <w:r w:rsidR="00F23CAB" w:rsidRPr="00B0319E">
        <w:t xml:space="preserve">the single regression. </w:t>
      </w:r>
      <w:r w:rsidR="00BD42C2">
        <w:t>The v</w:t>
      </w:r>
      <w:r w:rsidR="00BD42C2" w:rsidRPr="00BD42C2">
        <w:t xml:space="preserve">ariable </w:t>
      </w:r>
      <w:r w:rsidR="00BD42C2">
        <w:t>e</w:t>
      </w:r>
      <w:r w:rsidR="00BD42C2" w:rsidRPr="00BD42C2">
        <w:t xml:space="preserve">mployee satisfaction can only explain a small part of </w:t>
      </w:r>
      <w:r w:rsidR="00BD42C2">
        <w:t xml:space="preserve">the </w:t>
      </w:r>
      <w:r w:rsidR="00BD42C2" w:rsidRPr="00BD42C2">
        <w:t>changes in turnover employees.</w:t>
      </w:r>
      <w:r w:rsidR="00BD42C2">
        <w:t xml:space="preserve"> </w:t>
      </w:r>
      <w:r w:rsidR="00F23CAB" w:rsidRPr="00B0319E">
        <w:t>I</w:t>
      </w:r>
      <w:r w:rsidR="00D45892" w:rsidRPr="00B0319E">
        <w:t xml:space="preserve">n summary, the results of the </w:t>
      </w:r>
      <w:r w:rsidR="00B17C5E" w:rsidRPr="00B0319E">
        <w:t xml:space="preserve">multivariate </w:t>
      </w:r>
      <w:r w:rsidR="00D45892" w:rsidRPr="00B0319E">
        <w:t xml:space="preserve">regression </w:t>
      </w:r>
      <w:r w:rsidR="00B17C5E" w:rsidRPr="00B0319E">
        <w:t xml:space="preserve">suggest that the variables employed to measure employee satisfaction do not unequivocally </w:t>
      </w:r>
      <w:r w:rsidR="00D45892" w:rsidRPr="00B0319E">
        <w:t>lead to lower employee turnover</w:t>
      </w:r>
      <w:r w:rsidR="00B17C5E" w:rsidRPr="00B0319E">
        <w:t>,</w:t>
      </w:r>
      <w:r w:rsidR="00075AD2" w:rsidRPr="00B0319E">
        <w:t xml:space="preserve"> </w:t>
      </w:r>
      <w:r w:rsidR="00B17C5E" w:rsidRPr="00B0319E">
        <w:t>indicating</w:t>
      </w:r>
      <w:r w:rsidR="00075AD2" w:rsidRPr="00B0319E">
        <w:t xml:space="preserve"> that other factors m</w:t>
      </w:r>
      <w:r w:rsidR="00B17C5E" w:rsidRPr="00B0319E">
        <w:t>ay</w:t>
      </w:r>
      <w:r w:rsidR="00075AD2" w:rsidRPr="00B0319E">
        <w:t xml:space="preserve"> be influencing the outcome</w:t>
      </w:r>
      <w:r w:rsidR="00D45892" w:rsidRPr="00B0319E">
        <w:t xml:space="preserve">. </w:t>
      </w:r>
      <w:r w:rsidR="00B17C5E" w:rsidRPr="00B0319E">
        <w:t>While the outcome of the single regression analysis aligns with the hypothesis, it lacks statistical significance. Consequently</w:t>
      </w:r>
      <w:r w:rsidR="00D45892" w:rsidRPr="00B0319E">
        <w:t xml:space="preserve">, hypothesis 3 </w:t>
      </w:r>
      <w:r w:rsidR="009E405A" w:rsidRPr="00B0319E">
        <w:t>must</w:t>
      </w:r>
      <w:r w:rsidR="00D45892" w:rsidRPr="00B0319E">
        <w:t xml:space="preserve"> be rejected.</w:t>
      </w:r>
    </w:p>
    <w:p w14:paraId="73745DF8" w14:textId="30C916C9" w:rsidR="00200717" w:rsidRPr="004A2A48" w:rsidRDefault="00200717" w:rsidP="004A2A48">
      <w:pPr>
        <w:spacing w:before="240" w:after="240" w:line="240" w:lineRule="auto"/>
        <w:ind w:firstLine="204"/>
        <w:rPr>
          <w:rStyle w:val="Subtielebenadrukking"/>
        </w:rPr>
      </w:pPr>
      <w:bookmarkStart w:id="18" w:name="_Ref174124279"/>
      <w:r w:rsidRPr="004A2A48">
        <w:rPr>
          <w:rStyle w:val="Subtielebenadrukking"/>
        </w:rPr>
        <w:t xml:space="preserve">Table </w:t>
      </w:r>
      <w:r w:rsidRPr="004A2A48">
        <w:rPr>
          <w:rStyle w:val="Subtielebenadrukking"/>
        </w:rPr>
        <w:fldChar w:fldCharType="begin"/>
      </w:r>
      <w:r w:rsidRPr="004A2A48">
        <w:rPr>
          <w:rStyle w:val="Subtielebenadrukking"/>
        </w:rPr>
        <w:instrText xml:space="preserve"> SEQ Table \* ARABIC </w:instrText>
      </w:r>
      <w:r w:rsidRPr="004A2A48">
        <w:rPr>
          <w:rStyle w:val="Subtielebenadrukking"/>
        </w:rPr>
        <w:fldChar w:fldCharType="separate"/>
      </w:r>
      <w:r w:rsidR="004A2A48">
        <w:rPr>
          <w:rStyle w:val="Subtielebenadrukking"/>
          <w:noProof/>
        </w:rPr>
        <w:t>3</w:t>
      </w:r>
      <w:r w:rsidRPr="004A2A48">
        <w:rPr>
          <w:rStyle w:val="Subtielebenadrukking"/>
        </w:rPr>
        <w:fldChar w:fldCharType="end"/>
      </w:r>
      <w:bookmarkEnd w:id="18"/>
      <w:r w:rsidRPr="004A2A48">
        <w:rPr>
          <w:rStyle w:val="Subtielebenadrukking"/>
        </w:rPr>
        <w:t xml:space="preserve">. The Relation of Employee </w:t>
      </w:r>
      <w:bookmarkStart w:id="19" w:name="_Hlk174123787"/>
      <w:r w:rsidRPr="004A2A48">
        <w:rPr>
          <w:rStyle w:val="Subtielebenadrukking"/>
        </w:rPr>
        <w:t>Turnover and</w:t>
      </w:r>
      <w:bookmarkStart w:id="20" w:name="_Hlk174123896"/>
      <w:r w:rsidRPr="004A2A48">
        <w:rPr>
          <w:rStyle w:val="Subtielebenadrukking"/>
        </w:rPr>
        <w:t xml:space="preserve"> Employee </w:t>
      </w:r>
      <w:bookmarkEnd w:id="20"/>
      <w:r w:rsidRPr="004A2A48">
        <w:rPr>
          <w:rStyle w:val="Subtielebenadrukking"/>
        </w:rPr>
        <w:t>Satisfaction</w:t>
      </w:r>
      <w:bookmarkEnd w:id="19"/>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2268"/>
        <w:gridCol w:w="2268"/>
        <w:gridCol w:w="2162"/>
        <w:gridCol w:w="106"/>
      </w:tblGrid>
      <w:tr w:rsidR="00500F7A" w:rsidRPr="00B0319E" w14:paraId="43F401F7" w14:textId="77777777" w:rsidTr="00613972">
        <w:trPr>
          <w:cantSplit/>
          <w:tblCellSpacing w:w="15" w:type="dxa"/>
          <w:jc w:val="center"/>
        </w:trPr>
        <w:tc>
          <w:tcPr>
            <w:tcW w:w="6744" w:type="dxa"/>
            <w:gridSpan w:val="4"/>
            <w:tcBorders>
              <w:bottom w:val="single" w:sz="6" w:space="0" w:color="000000"/>
            </w:tcBorders>
            <w:vAlign w:val="center"/>
            <w:hideMark/>
          </w:tcPr>
          <w:p w14:paraId="04016107" w14:textId="77777777" w:rsidR="00500F7A" w:rsidRPr="00B0319E" w:rsidRDefault="00500F7A" w:rsidP="00500F7A">
            <w:pPr>
              <w:spacing w:line="240" w:lineRule="auto"/>
              <w:ind w:firstLine="0"/>
              <w:jc w:val="left"/>
              <w:rPr>
                <w:rFonts w:ascii="Times New Roman" w:eastAsia="Yu Mincho" w:hAnsi="Times New Roman"/>
                <w:sz w:val="20"/>
                <w:szCs w:val="20"/>
                <w:lang w:eastAsia="ja-JP"/>
              </w:rPr>
            </w:pPr>
          </w:p>
        </w:tc>
      </w:tr>
      <w:tr w:rsidR="00613972" w:rsidRPr="00B0319E" w14:paraId="56173CFD" w14:textId="77777777" w:rsidTr="007331BB">
        <w:trPr>
          <w:gridAfter w:val="1"/>
          <w:wAfter w:w="61" w:type="dxa"/>
          <w:cantSplit/>
          <w:trHeight w:val="65"/>
          <w:tblCellSpacing w:w="15" w:type="dxa"/>
          <w:jc w:val="center"/>
        </w:trPr>
        <w:tc>
          <w:tcPr>
            <w:tcW w:w="2223" w:type="dxa"/>
            <w:vAlign w:val="center"/>
            <w:hideMark/>
          </w:tcPr>
          <w:p w14:paraId="15EA8024"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p>
        </w:tc>
        <w:tc>
          <w:tcPr>
            <w:tcW w:w="4400" w:type="dxa"/>
            <w:gridSpan w:val="2"/>
            <w:vAlign w:val="center"/>
            <w:hideMark/>
          </w:tcPr>
          <w:p w14:paraId="604296C1"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Turnover_Employees</w:t>
            </w:r>
          </w:p>
        </w:tc>
      </w:tr>
      <w:tr w:rsidR="00613972" w:rsidRPr="00B0319E" w14:paraId="4EA32445" w14:textId="77777777" w:rsidTr="00613972">
        <w:trPr>
          <w:cantSplit/>
          <w:trHeight w:val="65"/>
          <w:tblCellSpacing w:w="15" w:type="dxa"/>
          <w:jc w:val="center"/>
        </w:trPr>
        <w:tc>
          <w:tcPr>
            <w:tcW w:w="2223" w:type="dxa"/>
            <w:vAlign w:val="center"/>
            <w:hideMark/>
          </w:tcPr>
          <w:p w14:paraId="548BA195"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p>
        </w:tc>
        <w:tc>
          <w:tcPr>
            <w:tcW w:w="2238" w:type="dxa"/>
            <w:tcBorders>
              <w:bottom w:val="single" w:sz="4" w:space="0" w:color="auto"/>
            </w:tcBorders>
            <w:vAlign w:val="center"/>
            <w:hideMark/>
          </w:tcPr>
          <w:p w14:paraId="0BC2ABA5"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(1)</w:t>
            </w:r>
          </w:p>
        </w:tc>
        <w:tc>
          <w:tcPr>
            <w:tcW w:w="2223" w:type="dxa"/>
            <w:gridSpan w:val="2"/>
            <w:tcBorders>
              <w:bottom w:val="single" w:sz="4" w:space="0" w:color="auto"/>
            </w:tcBorders>
            <w:vAlign w:val="center"/>
            <w:hideMark/>
          </w:tcPr>
          <w:p w14:paraId="463F9C9A"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(2)</w:t>
            </w:r>
          </w:p>
        </w:tc>
      </w:tr>
      <w:tr w:rsidR="00613972" w:rsidRPr="00B0319E" w14:paraId="673B5E50" w14:textId="77777777" w:rsidTr="00613972">
        <w:trPr>
          <w:cantSplit/>
          <w:tblCellSpacing w:w="15" w:type="dxa"/>
          <w:jc w:val="center"/>
        </w:trPr>
        <w:tc>
          <w:tcPr>
            <w:tcW w:w="2223" w:type="dxa"/>
            <w:vAlign w:val="center"/>
            <w:hideMark/>
          </w:tcPr>
          <w:p w14:paraId="63B33D7C"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Employee_Satisfaction</w:t>
            </w:r>
          </w:p>
        </w:tc>
        <w:tc>
          <w:tcPr>
            <w:tcW w:w="2238" w:type="dxa"/>
            <w:vAlign w:val="center"/>
            <w:hideMark/>
          </w:tcPr>
          <w:p w14:paraId="6E4AB6C1" w14:textId="77777777" w:rsidR="00613972" w:rsidRPr="00B0319E" w:rsidRDefault="00613972" w:rsidP="00500F7A">
            <w:pPr>
              <w:spacing w:line="240" w:lineRule="auto"/>
              <w:ind w:firstLine="0"/>
              <w:jc w:val="center"/>
              <w:rPr>
                <w:rFonts w:ascii="Times New Roman" w:eastAsia="Times New Roman" w:hAnsi="Times New Roman"/>
                <w:b/>
                <w:sz w:val="20"/>
                <w:szCs w:val="20"/>
                <w:lang w:eastAsia="ja-JP"/>
              </w:rPr>
            </w:pPr>
            <w:r w:rsidRPr="00B0319E">
              <w:rPr>
                <w:rFonts w:ascii="Times New Roman" w:eastAsia="Times New Roman" w:hAnsi="Times New Roman"/>
                <w:b/>
                <w:sz w:val="20"/>
                <w:szCs w:val="20"/>
                <w:lang w:eastAsia="ja-JP"/>
              </w:rPr>
              <w:t>-0.072</w:t>
            </w:r>
          </w:p>
        </w:tc>
        <w:tc>
          <w:tcPr>
            <w:tcW w:w="2223" w:type="dxa"/>
            <w:gridSpan w:val="2"/>
            <w:vAlign w:val="center"/>
            <w:hideMark/>
          </w:tcPr>
          <w:p w14:paraId="4351FBDB"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p>
        </w:tc>
      </w:tr>
      <w:tr w:rsidR="00613972" w:rsidRPr="00B0319E" w14:paraId="31B2275A" w14:textId="77777777" w:rsidTr="00613972">
        <w:trPr>
          <w:cantSplit/>
          <w:trHeight w:val="65"/>
          <w:tblCellSpacing w:w="15" w:type="dxa"/>
          <w:jc w:val="center"/>
        </w:trPr>
        <w:tc>
          <w:tcPr>
            <w:tcW w:w="2223" w:type="dxa"/>
            <w:vAlign w:val="center"/>
            <w:hideMark/>
          </w:tcPr>
          <w:p w14:paraId="6B9E13D4"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p>
        </w:tc>
        <w:tc>
          <w:tcPr>
            <w:tcW w:w="2238" w:type="dxa"/>
            <w:vAlign w:val="center"/>
            <w:hideMark/>
          </w:tcPr>
          <w:p w14:paraId="2A6B9405"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(0.118)</w:t>
            </w:r>
          </w:p>
        </w:tc>
        <w:tc>
          <w:tcPr>
            <w:tcW w:w="2223" w:type="dxa"/>
            <w:gridSpan w:val="2"/>
            <w:vAlign w:val="center"/>
            <w:hideMark/>
          </w:tcPr>
          <w:p w14:paraId="7C1A3BC9"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p>
        </w:tc>
      </w:tr>
      <w:tr w:rsidR="00613972" w:rsidRPr="00B0319E" w14:paraId="701FE8C1" w14:textId="77777777" w:rsidTr="00613972">
        <w:trPr>
          <w:cantSplit/>
          <w:tblCellSpacing w:w="15" w:type="dxa"/>
          <w:jc w:val="center"/>
        </w:trPr>
        <w:tc>
          <w:tcPr>
            <w:tcW w:w="2223" w:type="dxa"/>
            <w:vAlign w:val="center"/>
            <w:hideMark/>
          </w:tcPr>
          <w:p w14:paraId="1A9C73FA"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Flex_Work_Hours</w:t>
            </w:r>
          </w:p>
        </w:tc>
        <w:tc>
          <w:tcPr>
            <w:tcW w:w="2238" w:type="dxa"/>
            <w:vAlign w:val="center"/>
            <w:hideMark/>
          </w:tcPr>
          <w:p w14:paraId="7F19EDD9"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p>
        </w:tc>
        <w:tc>
          <w:tcPr>
            <w:tcW w:w="2223" w:type="dxa"/>
            <w:gridSpan w:val="2"/>
            <w:vAlign w:val="center"/>
            <w:hideMark/>
          </w:tcPr>
          <w:p w14:paraId="20C6883C" w14:textId="77777777" w:rsidR="00613972" w:rsidRPr="00B0319E" w:rsidRDefault="00613972" w:rsidP="00500F7A">
            <w:pPr>
              <w:spacing w:line="240" w:lineRule="auto"/>
              <w:ind w:firstLine="0"/>
              <w:jc w:val="center"/>
              <w:rPr>
                <w:rFonts w:ascii="Times New Roman" w:eastAsia="Times New Roman" w:hAnsi="Times New Roman"/>
                <w:b/>
                <w:sz w:val="20"/>
                <w:szCs w:val="20"/>
                <w:lang w:eastAsia="ja-JP"/>
              </w:rPr>
            </w:pPr>
            <w:r w:rsidRPr="00B0319E">
              <w:rPr>
                <w:rFonts w:ascii="Times New Roman" w:eastAsia="Times New Roman" w:hAnsi="Times New Roman"/>
                <w:b/>
                <w:sz w:val="20"/>
                <w:szCs w:val="20"/>
                <w:lang w:eastAsia="ja-JP"/>
              </w:rPr>
              <w:t>-1.174</w:t>
            </w:r>
          </w:p>
        </w:tc>
      </w:tr>
      <w:tr w:rsidR="00613972" w:rsidRPr="00B0319E" w14:paraId="083C5977" w14:textId="77777777" w:rsidTr="00613972">
        <w:trPr>
          <w:cantSplit/>
          <w:tblCellSpacing w:w="15" w:type="dxa"/>
          <w:jc w:val="center"/>
        </w:trPr>
        <w:tc>
          <w:tcPr>
            <w:tcW w:w="2223" w:type="dxa"/>
            <w:vAlign w:val="center"/>
            <w:hideMark/>
          </w:tcPr>
          <w:p w14:paraId="13312EEC"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p>
        </w:tc>
        <w:tc>
          <w:tcPr>
            <w:tcW w:w="2238" w:type="dxa"/>
            <w:vAlign w:val="center"/>
            <w:hideMark/>
          </w:tcPr>
          <w:p w14:paraId="60E1E27B"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p>
        </w:tc>
        <w:tc>
          <w:tcPr>
            <w:tcW w:w="2223" w:type="dxa"/>
            <w:gridSpan w:val="2"/>
            <w:vAlign w:val="center"/>
            <w:hideMark/>
          </w:tcPr>
          <w:p w14:paraId="54BA8537"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(2.067)</w:t>
            </w:r>
          </w:p>
        </w:tc>
      </w:tr>
      <w:tr w:rsidR="00613972" w:rsidRPr="00B0319E" w14:paraId="4BFE3BAA" w14:textId="77777777" w:rsidTr="00613972">
        <w:trPr>
          <w:cantSplit/>
          <w:tblCellSpacing w:w="15" w:type="dxa"/>
          <w:jc w:val="center"/>
        </w:trPr>
        <w:tc>
          <w:tcPr>
            <w:tcW w:w="2223" w:type="dxa"/>
            <w:vAlign w:val="center"/>
            <w:hideMark/>
          </w:tcPr>
          <w:p w14:paraId="0E40E61A"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Policy_Career_Dev</w:t>
            </w:r>
          </w:p>
        </w:tc>
        <w:tc>
          <w:tcPr>
            <w:tcW w:w="2238" w:type="dxa"/>
            <w:vAlign w:val="center"/>
            <w:hideMark/>
          </w:tcPr>
          <w:p w14:paraId="6AC82BF0"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p>
        </w:tc>
        <w:tc>
          <w:tcPr>
            <w:tcW w:w="2223" w:type="dxa"/>
            <w:gridSpan w:val="2"/>
            <w:vAlign w:val="center"/>
            <w:hideMark/>
          </w:tcPr>
          <w:p w14:paraId="1C4A94BE" w14:textId="38F5E7B8" w:rsidR="00613972" w:rsidRPr="00B0319E" w:rsidRDefault="00613972" w:rsidP="00500F7A">
            <w:pPr>
              <w:spacing w:line="240" w:lineRule="auto"/>
              <w:ind w:firstLine="0"/>
              <w:jc w:val="center"/>
              <w:rPr>
                <w:rFonts w:ascii="Times New Roman" w:eastAsia="Times New Roman" w:hAnsi="Times New Roman"/>
                <w:b/>
                <w:sz w:val="20"/>
                <w:szCs w:val="20"/>
                <w:lang w:eastAsia="ja-JP"/>
              </w:rPr>
            </w:pPr>
            <w:r w:rsidRPr="00B0319E">
              <w:rPr>
                <w:rFonts w:ascii="Times New Roman" w:eastAsia="Times New Roman" w:hAnsi="Times New Roman"/>
                <w:b/>
                <w:sz w:val="20"/>
                <w:szCs w:val="20"/>
                <w:lang w:eastAsia="ja-JP"/>
              </w:rPr>
              <w:t>5.746</w:t>
            </w:r>
          </w:p>
        </w:tc>
      </w:tr>
      <w:tr w:rsidR="00613972" w:rsidRPr="00B0319E" w14:paraId="4AC0173C" w14:textId="77777777" w:rsidTr="00613972">
        <w:trPr>
          <w:cantSplit/>
          <w:tblCellSpacing w:w="15" w:type="dxa"/>
          <w:jc w:val="center"/>
        </w:trPr>
        <w:tc>
          <w:tcPr>
            <w:tcW w:w="2223" w:type="dxa"/>
            <w:vAlign w:val="center"/>
            <w:hideMark/>
          </w:tcPr>
          <w:p w14:paraId="7343D0FB"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p>
        </w:tc>
        <w:tc>
          <w:tcPr>
            <w:tcW w:w="2238" w:type="dxa"/>
            <w:vAlign w:val="center"/>
            <w:hideMark/>
          </w:tcPr>
          <w:p w14:paraId="0BB5206D"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p>
        </w:tc>
        <w:tc>
          <w:tcPr>
            <w:tcW w:w="2223" w:type="dxa"/>
            <w:gridSpan w:val="2"/>
            <w:vAlign w:val="center"/>
            <w:hideMark/>
          </w:tcPr>
          <w:p w14:paraId="3EA9B729"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(5.143)</w:t>
            </w:r>
          </w:p>
        </w:tc>
      </w:tr>
      <w:tr w:rsidR="00613972" w:rsidRPr="00B0319E" w14:paraId="0D0AE683" w14:textId="77777777" w:rsidTr="00613972">
        <w:trPr>
          <w:cantSplit/>
          <w:tblCellSpacing w:w="15" w:type="dxa"/>
          <w:jc w:val="center"/>
        </w:trPr>
        <w:tc>
          <w:tcPr>
            <w:tcW w:w="2223" w:type="dxa"/>
            <w:vAlign w:val="center"/>
            <w:hideMark/>
          </w:tcPr>
          <w:p w14:paraId="46484717"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Policy_Skills</w:t>
            </w:r>
          </w:p>
        </w:tc>
        <w:tc>
          <w:tcPr>
            <w:tcW w:w="2238" w:type="dxa"/>
            <w:vAlign w:val="center"/>
            <w:hideMark/>
          </w:tcPr>
          <w:p w14:paraId="5DDC2594"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p>
        </w:tc>
        <w:tc>
          <w:tcPr>
            <w:tcW w:w="2223" w:type="dxa"/>
            <w:gridSpan w:val="2"/>
            <w:vAlign w:val="center"/>
            <w:hideMark/>
          </w:tcPr>
          <w:p w14:paraId="619A9201" w14:textId="1866C08F" w:rsidR="00613972" w:rsidRPr="00B0319E" w:rsidRDefault="00613972" w:rsidP="00500F7A">
            <w:pPr>
              <w:spacing w:line="240" w:lineRule="auto"/>
              <w:ind w:firstLine="0"/>
              <w:jc w:val="center"/>
              <w:rPr>
                <w:rFonts w:ascii="Times New Roman" w:eastAsia="Times New Roman" w:hAnsi="Times New Roman"/>
                <w:b/>
                <w:sz w:val="20"/>
                <w:szCs w:val="20"/>
                <w:lang w:eastAsia="ja-JP"/>
              </w:rPr>
            </w:pPr>
            <w:r w:rsidRPr="00B0319E">
              <w:rPr>
                <w:rFonts w:ascii="Times New Roman" w:eastAsia="Times New Roman" w:hAnsi="Times New Roman"/>
                <w:b/>
                <w:sz w:val="20"/>
                <w:szCs w:val="20"/>
                <w:lang w:eastAsia="ja-JP"/>
              </w:rPr>
              <w:t>0.876</w:t>
            </w:r>
          </w:p>
        </w:tc>
      </w:tr>
      <w:tr w:rsidR="00613972" w:rsidRPr="00B0319E" w14:paraId="761C8A75" w14:textId="77777777" w:rsidTr="00613972">
        <w:trPr>
          <w:cantSplit/>
          <w:tblCellSpacing w:w="15" w:type="dxa"/>
          <w:jc w:val="center"/>
        </w:trPr>
        <w:tc>
          <w:tcPr>
            <w:tcW w:w="2223" w:type="dxa"/>
            <w:vAlign w:val="center"/>
            <w:hideMark/>
          </w:tcPr>
          <w:p w14:paraId="7639E35D"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p>
        </w:tc>
        <w:tc>
          <w:tcPr>
            <w:tcW w:w="2238" w:type="dxa"/>
            <w:vAlign w:val="center"/>
            <w:hideMark/>
          </w:tcPr>
          <w:p w14:paraId="25D46B53"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p>
        </w:tc>
        <w:tc>
          <w:tcPr>
            <w:tcW w:w="2223" w:type="dxa"/>
            <w:gridSpan w:val="2"/>
            <w:vAlign w:val="center"/>
            <w:hideMark/>
          </w:tcPr>
          <w:p w14:paraId="61262624"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(4.987)</w:t>
            </w:r>
          </w:p>
        </w:tc>
      </w:tr>
      <w:tr w:rsidR="00613972" w:rsidRPr="00B0319E" w14:paraId="27FCE1A5" w14:textId="77777777" w:rsidTr="00613972">
        <w:trPr>
          <w:cantSplit/>
          <w:tblCellSpacing w:w="15" w:type="dxa"/>
          <w:jc w:val="center"/>
        </w:trPr>
        <w:tc>
          <w:tcPr>
            <w:tcW w:w="2223" w:type="dxa"/>
            <w:vAlign w:val="center"/>
            <w:hideMark/>
          </w:tcPr>
          <w:p w14:paraId="3FF890DB"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Internal_Promotion</w:t>
            </w:r>
          </w:p>
        </w:tc>
        <w:tc>
          <w:tcPr>
            <w:tcW w:w="2238" w:type="dxa"/>
            <w:vAlign w:val="center"/>
            <w:hideMark/>
          </w:tcPr>
          <w:p w14:paraId="3DDA0032"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p>
        </w:tc>
        <w:tc>
          <w:tcPr>
            <w:tcW w:w="2223" w:type="dxa"/>
            <w:gridSpan w:val="2"/>
            <w:vAlign w:val="center"/>
            <w:hideMark/>
          </w:tcPr>
          <w:p w14:paraId="6F464172" w14:textId="77777777" w:rsidR="00613972" w:rsidRPr="00B0319E" w:rsidRDefault="00613972" w:rsidP="00500F7A">
            <w:pPr>
              <w:spacing w:line="240" w:lineRule="auto"/>
              <w:ind w:firstLine="0"/>
              <w:jc w:val="center"/>
              <w:rPr>
                <w:rFonts w:ascii="Times New Roman" w:eastAsia="Times New Roman" w:hAnsi="Times New Roman"/>
                <w:b/>
                <w:sz w:val="20"/>
                <w:szCs w:val="20"/>
                <w:lang w:eastAsia="ja-JP"/>
              </w:rPr>
            </w:pPr>
            <w:r w:rsidRPr="00B0319E">
              <w:rPr>
                <w:rFonts w:ascii="Times New Roman" w:eastAsia="Times New Roman" w:hAnsi="Times New Roman"/>
                <w:b/>
                <w:sz w:val="20"/>
                <w:szCs w:val="20"/>
                <w:lang w:eastAsia="ja-JP"/>
              </w:rPr>
              <w:t>-3.100</w:t>
            </w:r>
          </w:p>
        </w:tc>
      </w:tr>
      <w:tr w:rsidR="00613972" w:rsidRPr="00B0319E" w14:paraId="66F693FC" w14:textId="77777777" w:rsidTr="00613972">
        <w:trPr>
          <w:cantSplit/>
          <w:trHeight w:val="65"/>
          <w:tblCellSpacing w:w="15" w:type="dxa"/>
          <w:jc w:val="center"/>
        </w:trPr>
        <w:tc>
          <w:tcPr>
            <w:tcW w:w="2223" w:type="dxa"/>
            <w:vAlign w:val="center"/>
            <w:hideMark/>
          </w:tcPr>
          <w:p w14:paraId="2B694E89"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p>
        </w:tc>
        <w:tc>
          <w:tcPr>
            <w:tcW w:w="2238" w:type="dxa"/>
            <w:vAlign w:val="center"/>
            <w:hideMark/>
          </w:tcPr>
          <w:p w14:paraId="01F69E36"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p>
        </w:tc>
        <w:tc>
          <w:tcPr>
            <w:tcW w:w="2223" w:type="dxa"/>
            <w:gridSpan w:val="2"/>
            <w:vAlign w:val="center"/>
            <w:hideMark/>
          </w:tcPr>
          <w:p w14:paraId="6D20392F"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(2.062)</w:t>
            </w:r>
          </w:p>
        </w:tc>
      </w:tr>
      <w:tr w:rsidR="00613972" w:rsidRPr="00B0319E" w14:paraId="66600F41" w14:textId="77777777" w:rsidTr="00613972">
        <w:trPr>
          <w:cantSplit/>
          <w:tblCellSpacing w:w="15" w:type="dxa"/>
          <w:jc w:val="center"/>
        </w:trPr>
        <w:tc>
          <w:tcPr>
            <w:tcW w:w="2223" w:type="dxa"/>
            <w:vAlign w:val="center"/>
            <w:hideMark/>
          </w:tcPr>
          <w:p w14:paraId="1C981F23"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Turnover_Employees</w:t>
            </w:r>
          </w:p>
        </w:tc>
        <w:tc>
          <w:tcPr>
            <w:tcW w:w="2238" w:type="dxa"/>
            <w:vAlign w:val="center"/>
            <w:hideMark/>
          </w:tcPr>
          <w:p w14:paraId="12EF4D78"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p>
        </w:tc>
        <w:tc>
          <w:tcPr>
            <w:tcW w:w="2223" w:type="dxa"/>
            <w:gridSpan w:val="2"/>
            <w:vAlign w:val="center"/>
            <w:hideMark/>
          </w:tcPr>
          <w:p w14:paraId="017BC093"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p>
        </w:tc>
      </w:tr>
      <w:tr w:rsidR="00613972" w:rsidRPr="00B0319E" w14:paraId="400755A2" w14:textId="77777777" w:rsidTr="00613972">
        <w:trPr>
          <w:cantSplit/>
          <w:trHeight w:val="65"/>
          <w:tblCellSpacing w:w="15" w:type="dxa"/>
          <w:jc w:val="center"/>
        </w:trPr>
        <w:tc>
          <w:tcPr>
            <w:tcW w:w="2223" w:type="dxa"/>
            <w:vAlign w:val="center"/>
            <w:hideMark/>
          </w:tcPr>
          <w:p w14:paraId="0E3611C2"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p>
        </w:tc>
        <w:tc>
          <w:tcPr>
            <w:tcW w:w="2238" w:type="dxa"/>
            <w:vAlign w:val="center"/>
            <w:hideMark/>
          </w:tcPr>
          <w:p w14:paraId="4B53EB3C"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p>
        </w:tc>
        <w:tc>
          <w:tcPr>
            <w:tcW w:w="2223" w:type="dxa"/>
            <w:gridSpan w:val="2"/>
            <w:vAlign w:val="center"/>
            <w:hideMark/>
          </w:tcPr>
          <w:p w14:paraId="6D7439A1"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p>
        </w:tc>
      </w:tr>
      <w:tr w:rsidR="00613972" w:rsidRPr="00B0319E" w14:paraId="575AEA67" w14:textId="77777777" w:rsidTr="00613972">
        <w:trPr>
          <w:cantSplit/>
          <w:tblCellSpacing w:w="15" w:type="dxa"/>
          <w:jc w:val="center"/>
        </w:trPr>
        <w:tc>
          <w:tcPr>
            <w:tcW w:w="2223" w:type="dxa"/>
            <w:vAlign w:val="center"/>
            <w:hideMark/>
          </w:tcPr>
          <w:p w14:paraId="746CECA2"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Number_Employees</w:t>
            </w:r>
          </w:p>
        </w:tc>
        <w:tc>
          <w:tcPr>
            <w:tcW w:w="2238" w:type="dxa"/>
            <w:vAlign w:val="center"/>
            <w:hideMark/>
          </w:tcPr>
          <w:p w14:paraId="11BEF951"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p>
        </w:tc>
        <w:tc>
          <w:tcPr>
            <w:tcW w:w="2223" w:type="dxa"/>
            <w:gridSpan w:val="2"/>
            <w:vAlign w:val="center"/>
            <w:hideMark/>
          </w:tcPr>
          <w:p w14:paraId="666F52A5" w14:textId="77777777" w:rsidR="00613972" w:rsidRPr="00B0319E" w:rsidRDefault="00613972" w:rsidP="00500F7A">
            <w:pPr>
              <w:spacing w:line="240" w:lineRule="auto"/>
              <w:ind w:firstLine="0"/>
              <w:jc w:val="center"/>
              <w:rPr>
                <w:rFonts w:ascii="Times New Roman" w:eastAsia="Times New Roman" w:hAnsi="Times New Roman"/>
                <w:b/>
                <w:sz w:val="20"/>
                <w:szCs w:val="20"/>
                <w:lang w:eastAsia="ja-JP"/>
              </w:rPr>
            </w:pPr>
            <w:r w:rsidRPr="00B0319E">
              <w:rPr>
                <w:rFonts w:ascii="Times New Roman" w:eastAsia="Times New Roman" w:hAnsi="Times New Roman"/>
                <w:b/>
                <w:sz w:val="20"/>
                <w:szCs w:val="20"/>
                <w:lang w:eastAsia="ja-JP"/>
              </w:rPr>
              <w:t>0.0004</w:t>
            </w:r>
            <w:r w:rsidRPr="00B0319E">
              <w:rPr>
                <w:rFonts w:ascii="Times New Roman" w:eastAsia="Times New Roman" w:hAnsi="Times New Roman"/>
                <w:b/>
                <w:sz w:val="20"/>
                <w:szCs w:val="20"/>
                <w:vertAlign w:val="superscript"/>
                <w:lang w:eastAsia="ja-JP"/>
              </w:rPr>
              <w:t>***</w:t>
            </w:r>
          </w:p>
        </w:tc>
      </w:tr>
      <w:tr w:rsidR="00613972" w:rsidRPr="00B0319E" w14:paraId="6F807B6F" w14:textId="77777777" w:rsidTr="00613972">
        <w:trPr>
          <w:cantSplit/>
          <w:tblCellSpacing w:w="15" w:type="dxa"/>
          <w:jc w:val="center"/>
        </w:trPr>
        <w:tc>
          <w:tcPr>
            <w:tcW w:w="2223" w:type="dxa"/>
            <w:vAlign w:val="center"/>
            <w:hideMark/>
          </w:tcPr>
          <w:p w14:paraId="55DF615C"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p>
        </w:tc>
        <w:tc>
          <w:tcPr>
            <w:tcW w:w="2238" w:type="dxa"/>
            <w:vAlign w:val="center"/>
            <w:hideMark/>
          </w:tcPr>
          <w:p w14:paraId="75A6EE7F"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p>
        </w:tc>
        <w:tc>
          <w:tcPr>
            <w:tcW w:w="2223" w:type="dxa"/>
            <w:gridSpan w:val="2"/>
            <w:vAlign w:val="center"/>
            <w:hideMark/>
          </w:tcPr>
          <w:p w14:paraId="20186371"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(0.0001)</w:t>
            </w:r>
          </w:p>
        </w:tc>
      </w:tr>
      <w:tr w:rsidR="00613972" w:rsidRPr="00B0319E" w14:paraId="65C04B5A" w14:textId="77777777" w:rsidTr="00613972">
        <w:trPr>
          <w:cantSplit/>
          <w:tblCellSpacing w:w="15" w:type="dxa"/>
          <w:jc w:val="center"/>
        </w:trPr>
        <w:tc>
          <w:tcPr>
            <w:tcW w:w="2223" w:type="dxa"/>
            <w:vAlign w:val="center"/>
            <w:hideMark/>
          </w:tcPr>
          <w:p w14:paraId="2F0C3282"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Management_Training</w:t>
            </w:r>
          </w:p>
        </w:tc>
        <w:tc>
          <w:tcPr>
            <w:tcW w:w="2238" w:type="dxa"/>
            <w:vAlign w:val="center"/>
            <w:hideMark/>
          </w:tcPr>
          <w:p w14:paraId="01FA6F56"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p>
        </w:tc>
        <w:tc>
          <w:tcPr>
            <w:tcW w:w="2223" w:type="dxa"/>
            <w:gridSpan w:val="2"/>
            <w:vAlign w:val="center"/>
            <w:hideMark/>
          </w:tcPr>
          <w:p w14:paraId="7F8DDC01" w14:textId="31AB6C4E" w:rsidR="00613972" w:rsidRPr="00B0319E" w:rsidRDefault="00613972" w:rsidP="00500F7A">
            <w:pPr>
              <w:spacing w:line="240" w:lineRule="auto"/>
              <w:ind w:firstLine="0"/>
              <w:jc w:val="center"/>
              <w:rPr>
                <w:rFonts w:ascii="Times New Roman" w:eastAsia="Times New Roman" w:hAnsi="Times New Roman"/>
                <w:b/>
                <w:sz w:val="20"/>
                <w:szCs w:val="20"/>
                <w:lang w:eastAsia="ja-JP"/>
              </w:rPr>
            </w:pPr>
            <w:r w:rsidRPr="00B0319E">
              <w:rPr>
                <w:rFonts w:ascii="Times New Roman" w:eastAsia="Times New Roman" w:hAnsi="Times New Roman"/>
                <w:b/>
                <w:sz w:val="20"/>
                <w:szCs w:val="20"/>
                <w:lang w:eastAsia="ja-JP"/>
              </w:rPr>
              <w:t>4.451</w:t>
            </w:r>
            <w:r w:rsidRPr="00B0319E">
              <w:rPr>
                <w:rFonts w:ascii="Times New Roman" w:eastAsia="Times New Roman" w:hAnsi="Times New Roman"/>
                <w:b/>
                <w:sz w:val="20"/>
                <w:szCs w:val="20"/>
                <w:vertAlign w:val="superscript"/>
                <w:lang w:eastAsia="ja-JP"/>
              </w:rPr>
              <w:t>*</w:t>
            </w:r>
          </w:p>
        </w:tc>
      </w:tr>
      <w:tr w:rsidR="00613972" w:rsidRPr="00B0319E" w14:paraId="135DE7DC" w14:textId="77777777" w:rsidTr="00613972">
        <w:trPr>
          <w:cantSplit/>
          <w:tblCellSpacing w:w="15" w:type="dxa"/>
          <w:jc w:val="center"/>
        </w:trPr>
        <w:tc>
          <w:tcPr>
            <w:tcW w:w="2223" w:type="dxa"/>
            <w:vAlign w:val="center"/>
            <w:hideMark/>
          </w:tcPr>
          <w:p w14:paraId="1D17AF63"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p>
        </w:tc>
        <w:tc>
          <w:tcPr>
            <w:tcW w:w="2238" w:type="dxa"/>
            <w:vAlign w:val="center"/>
            <w:hideMark/>
          </w:tcPr>
          <w:p w14:paraId="30B03C36"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p>
        </w:tc>
        <w:tc>
          <w:tcPr>
            <w:tcW w:w="2223" w:type="dxa"/>
            <w:gridSpan w:val="2"/>
            <w:vAlign w:val="center"/>
            <w:hideMark/>
          </w:tcPr>
          <w:p w14:paraId="7402B5E3"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(2.470)</w:t>
            </w:r>
          </w:p>
        </w:tc>
      </w:tr>
      <w:tr w:rsidR="00613972" w:rsidRPr="00B0319E" w14:paraId="5957DCAD" w14:textId="77777777" w:rsidTr="00613972">
        <w:trPr>
          <w:cantSplit/>
          <w:tblCellSpacing w:w="15" w:type="dxa"/>
          <w:jc w:val="center"/>
        </w:trPr>
        <w:tc>
          <w:tcPr>
            <w:tcW w:w="2223" w:type="dxa"/>
            <w:vAlign w:val="center"/>
            <w:hideMark/>
          </w:tcPr>
          <w:p w14:paraId="14949248"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Constant</w:t>
            </w:r>
          </w:p>
        </w:tc>
        <w:tc>
          <w:tcPr>
            <w:tcW w:w="2238" w:type="dxa"/>
            <w:vAlign w:val="center"/>
            <w:hideMark/>
          </w:tcPr>
          <w:p w14:paraId="22BC7FD7"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24.761</w:t>
            </w:r>
            <w:r w:rsidRPr="00B0319E">
              <w:rPr>
                <w:rFonts w:ascii="Times New Roman" w:eastAsia="Times New Roman" w:hAnsi="Times New Roman"/>
                <w:sz w:val="20"/>
                <w:szCs w:val="20"/>
                <w:vertAlign w:val="superscript"/>
                <w:lang w:eastAsia="ja-JP"/>
              </w:rPr>
              <w:t>**</w:t>
            </w:r>
          </w:p>
        </w:tc>
        <w:tc>
          <w:tcPr>
            <w:tcW w:w="2223" w:type="dxa"/>
            <w:gridSpan w:val="2"/>
            <w:vAlign w:val="center"/>
            <w:hideMark/>
          </w:tcPr>
          <w:p w14:paraId="348130F9"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10.204</w:t>
            </w:r>
          </w:p>
        </w:tc>
      </w:tr>
      <w:tr w:rsidR="00613972" w:rsidRPr="00B0319E" w14:paraId="38A16655" w14:textId="77777777" w:rsidTr="00613972">
        <w:trPr>
          <w:cantSplit/>
          <w:trHeight w:val="65"/>
          <w:tblCellSpacing w:w="15" w:type="dxa"/>
          <w:jc w:val="center"/>
        </w:trPr>
        <w:tc>
          <w:tcPr>
            <w:tcW w:w="2223" w:type="dxa"/>
            <w:vAlign w:val="center"/>
            <w:hideMark/>
          </w:tcPr>
          <w:p w14:paraId="1AB9B995"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p>
        </w:tc>
        <w:tc>
          <w:tcPr>
            <w:tcW w:w="2238" w:type="dxa"/>
            <w:vAlign w:val="center"/>
            <w:hideMark/>
          </w:tcPr>
          <w:p w14:paraId="62114FB6"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(9.739)</w:t>
            </w:r>
          </w:p>
        </w:tc>
        <w:tc>
          <w:tcPr>
            <w:tcW w:w="2223" w:type="dxa"/>
            <w:gridSpan w:val="2"/>
            <w:vAlign w:val="center"/>
            <w:hideMark/>
          </w:tcPr>
          <w:p w14:paraId="4D2BD700"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(6.157)</w:t>
            </w:r>
          </w:p>
        </w:tc>
      </w:tr>
      <w:tr w:rsidR="00613972" w:rsidRPr="00B0319E" w14:paraId="4170905A" w14:textId="77777777" w:rsidTr="00613972">
        <w:trPr>
          <w:cantSplit/>
          <w:tblCellSpacing w:w="15" w:type="dxa"/>
          <w:jc w:val="center"/>
        </w:trPr>
        <w:tc>
          <w:tcPr>
            <w:tcW w:w="2223" w:type="dxa"/>
            <w:vAlign w:val="center"/>
            <w:hideMark/>
          </w:tcPr>
          <w:p w14:paraId="22DFAD56"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Observations</w:t>
            </w:r>
          </w:p>
        </w:tc>
        <w:tc>
          <w:tcPr>
            <w:tcW w:w="2238" w:type="dxa"/>
            <w:vAlign w:val="center"/>
            <w:hideMark/>
          </w:tcPr>
          <w:p w14:paraId="7A0989A4"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97</w:t>
            </w:r>
          </w:p>
        </w:tc>
        <w:tc>
          <w:tcPr>
            <w:tcW w:w="2223" w:type="dxa"/>
            <w:gridSpan w:val="2"/>
            <w:vAlign w:val="center"/>
            <w:hideMark/>
          </w:tcPr>
          <w:p w14:paraId="5AF24AC4"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97</w:t>
            </w:r>
          </w:p>
        </w:tc>
      </w:tr>
      <w:tr w:rsidR="00613972" w:rsidRPr="00B0319E" w14:paraId="30C3DD31" w14:textId="77777777" w:rsidTr="00613972">
        <w:trPr>
          <w:cantSplit/>
          <w:tblCellSpacing w:w="15" w:type="dxa"/>
          <w:jc w:val="center"/>
        </w:trPr>
        <w:tc>
          <w:tcPr>
            <w:tcW w:w="2223" w:type="dxa"/>
            <w:vAlign w:val="center"/>
            <w:hideMark/>
          </w:tcPr>
          <w:p w14:paraId="165EA198" w14:textId="77777777" w:rsidR="00613972" w:rsidRPr="00B0319E" w:rsidRDefault="00613972" w:rsidP="00500F7A">
            <w:pPr>
              <w:spacing w:line="240" w:lineRule="auto"/>
              <w:ind w:firstLine="0"/>
              <w:jc w:val="left"/>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Adjusted R</w:t>
            </w:r>
            <w:r w:rsidRPr="00B0319E">
              <w:rPr>
                <w:rFonts w:ascii="Times New Roman" w:eastAsia="Times New Roman" w:hAnsi="Times New Roman"/>
                <w:sz w:val="20"/>
                <w:szCs w:val="20"/>
                <w:vertAlign w:val="superscript"/>
                <w:lang w:eastAsia="ja-JP"/>
              </w:rPr>
              <w:t>2</w:t>
            </w:r>
          </w:p>
        </w:tc>
        <w:tc>
          <w:tcPr>
            <w:tcW w:w="2238" w:type="dxa"/>
            <w:vAlign w:val="center"/>
            <w:hideMark/>
          </w:tcPr>
          <w:p w14:paraId="4769EFFA"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-0.007</w:t>
            </w:r>
          </w:p>
        </w:tc>
        <w:tc>
          <w:tcPr>
            <w:tcW w:w="2223" w:type="dxa"/>
            <w:gridSpan w:val="2"/>
            <w:vAlign w:val="center"/>
            <w:hideMark/>
          </w:tcPr>
          <w:p w14:paraId="462826A8" w14:textId="77777777" w:rsidR="00613972" w:rsidRPr="00B0319E" w:rsidRDefault="00613972" w:rsidP="00500F7A">
            <w:pPr>
              <w:spacing w:line="240" w:lineRule="auto"/>
              <w:ind w:firstLine="0"/>
              <w:jc w:val="center"/>
              <w:rPr>
                <w:rFonts w:ascii="Times New Roman" w:eastAsia="Times New Roman" w:hAnsi="Times New Roman"/>
                <w:sz w:val="20"/>
                <w:szCs w:val="20"/>
                <w:lang w:eastAsia="ja-JP"/>
              </w:rPr>
            </w:pPr>
            <w:r w:rsidRPr="00B0319E">
              <w:rPr>
                <w:rFonts w:ascii="Times New Roman" w:eastAsia="Times New Roman" w:hAnsi="Times New Roman"/>
                <w:sz w:val="20"/>
                <w:szCs w:val="20"/>
                <w:lang w:eastAsia="ja-JP"/>
              </w:rPr>
              <w:t>0.109</w:t>
            </w:r>
          </w:p>
        </w:tc>
      </w:tr>
      <w:tr w:rsidR="000C67D8" w:rsidRPr="00B0319E" w14:paraId="408D88B8" w14:textId="77777777" w:rsidTr="00613972">
        <w:trPr>
          <w:cantSplit/>
          <w:tblCellSpacing w:w="15" w:type="dxa"/>
          <w:jc w:val="center"/>
        </w:trPr>
        <w:tc>
          <w:tcPr>
            <w:tcW w:w="2223" w:type="dxa"/>
            <w:tcBorders>
              <w:top w:val="single" w:sz="4" w:space="0" w:color="auto"/>
            </w:tcBorders>
            <w:vAlign w:val="center"/>
            <w:hideMark/>
          </w:tcPr>
          <w:p w14:paraId="65097E02" w14:textId="77777777" w:rsidR="00500F7A" w:rsidRPr="00B0319E" w:rsidRDefault="00500F7A" w:rsidP="00500F7A">
            <w:pPr>
              <w:spacing w:line="240" w:lineRule="auto"/>
              <w:ind w:firstLine="0"/>
              <w:jc w:val="left"/>
              <w:rPr>
                <w:rFonts w:ascii="Times New Roman" w:eastAsia="Times New Roman" w:hAnsi="Times New Roman"/>
                <w:sz w:val="20"/>
                <w:szCs w:val="20"/>
                <w:lang w:eastAsia="ja-JP"/>
              </w:rPr>
            </w:pPr>
            <w:r w:rsidRPr="00B0319E">
              <w:rPr>
                <w:rFonts w:ascii="Times New Roman" w:eastAsia="Times New Roman" w:hAnsi="Times New Roman"/>
                <w:i/>
                <w:iCs/>
                <w:sz w:val="20"/>
                <w:szCs w:val="20"/>
                <w:lang w:eastAsia="ja-JP"/>
              </w:rPr>
              <w:t>Note:</w:t>
            </w:r>
          </w:p>
        </w:tc>
        <w:tc>
          <w:tcPr>
            <w:tcW w:w="4491" w:type="dxa"/>
            <w:gridSpan w:val="3"/>
            <w:tcBorders>
              <w:top w:val="single" w:sz="4" w:space="0" w:color="auto"/>
            </w:tcBorders>
            <w:vAlign w:val="center"/>
            <w:hideMark/>
          </w:tcPr>
          <w:p w14:paraId="3834116E" w14:textId="77777777" w:rsidR="00500F7A" w:rsidRPr="00B0319E" w:rsidRDefault="00500F7A" w:rsidP="00500F7A">
            <w:pPr>
              <w:spacing w:line="240" w:lineRule="auto"/>
              <w:ind w:firstLine="0"/>
              <w:jc w:val="right"/>
              <w:rPr>
                <w:rFonts w:ascii="Times New Roman" w:eastAsia="Times New Roman" w:hAnsi="Times New Roman"/>
                <w:sz w:val="20"/>
                <w:szCs w:val="20"/>
                <w:lang w:eastAsia="ja-JP"/>
              </w:rPr>
            </w:pPr>
            <w:r w:rsidRPr="00B0319E">
              <w:rPr>
                <w:rFonts w:ascii="Times New Roman" w:eastAsia="Times New Roman" w:hAnsi="Times New Roman"/>
                <w:sz w:val="20"/>
                <w:szCs w:val="20"/>
                <w:vertAlign w:val="superscript"/>
                <w:lang w:eastAsia="ja-JP"/>
              </w:rPr>
              <w:t>*</w:t>
            </w:r>
            <w:r w:rsidRPr="00B0319E">
              <w:rPr>
                <w:rFonts w:ascii="Times New Roman" w:eastAsia="Times New Roman" w:hAnsi="Times New Roman"/>
                <w:sz w:val="20"/>
                <w:szCs w:val="20"/>
                <w:lang w:eastAsia="ja-JP"/>
              </w:rPr>
              <w:t xml:space="preserve">p&lt;0.1, </w:t>
            </w:r>
            <w:r w:rsidRPr="00B0319E">
              <w:rPr>
                <w:rFonts w:ascii="Times New Roman" w:eastAsia="Times New Roman" w:hAnsi="Times New Roman"/>
                <w:sz w:val="20"/>
                <w:szCs w:val="20"/>
                <w:vertAlign w:val="superscript"/>
                <w:lang w:eastAsia="ja-JP"/>
              </w:rPr>
              <w:t>**</w:t>
            </w:r>
            <w:r w:rsidRPr="00B0319E">
              <w:rPr>
                <w:rFonts w:ascii="Times New Roman" w:eastAsia="Times New Roman" w:hAnsi="Times New Roman"/>
                <w:sz w:val="20"/>
                <w:szCs w:val="20"/>
                <w:lang w:eastAsia="ja-JP"/>
              </w:rPr>
              <w:t xml:space="preserve">p&lt;0.05, </w:t>
            </w:r>
            <w:r w:rsidRPr="00B0319E">
              <w:rPr>
                <w:rFonts w:ascii="Times New Roman" w:eastAsia="Times New Roman" w:hAnsi="Times New Roman"/>
                <w:sz w:val="20"/>
                <w:szCs w:val="20"/>
                <w:vertAlign w:val="superscript"/>
                <w:lang w:eastAsia="ja-JP"/>
              </w:rPr>
              <w:t>***</w:t>
            </w:r>
            <w:r w:rsidRPr="00B0319E">
              <w:rPr>
                <w:rFonts w:ascii="Times New Roman" w:eastAsia="Times New Roman" w:hAnsi="Times New Roman"/>
                <w:sz w:val="20"/>
                <w:szCs w:val="20"/>
                <w:lang w:eastAsia="ja-JP"/>
              </w:rPr>
              <w:t>p&lt;0.01</w:t>
            </w:r>
          </w:p>
        </w:tc>
      </w:tr>
    </w:tbl>
    <w:p w14:paraId="20D5E4FD" w14:textId="77777777" w:rsidR="00070278" w:rsidRPr="00B0319E" w:rsidRDefault="00070278" w:rsidP="00D511F2"/>
    <w:p w14:paraId="13622CBE" w14:textId="31C8F7CE" w:rsidR="006D70F7" w:rsidRPr="00B0319E" w:rsidRDefault="006D70F7" w:rsidP="006D70F7">
      <w:r w:rsidRPr="00B0319E">
        <w:t xml:space="preserve">The scatter plot in </w:t>
      </w:r>
      <w:r w:rsidR="00F624FC">
        <w:fldChar w:fldCharType="begin"/>
      </w:r>
      <w:r w:rsidR="00F624FC">
        <w:instrText xml:space="preserve"> REF _Ref174192283 \h </w:instrText>
      </w:r>
      <w:r w:rsidR="00F624FC">
        <w:fldChar w:fldCharType="separate"/>
      </w:r>
      <w:r w:rsidR="004A2A48" w:rsidRPr="004A2A48">
        <w:rPr>
          <w:rStyle w:val="Subtielebenadrukking"/>
        </w:rPr>
        <w:t xml:space="preserve">Figure </w:t>
      </w:r>
      <w:r w:rsidR="004A2A48">
        <w:rPr>
          <w:rStyle w:val="Subtielebenadrukking"/>
          <w:noProof/>
        </w:rPr>
        <w:t>1</w:t>
      </w:r>
      <w:r w:rsidR="00F624FC">
        <w:fldChar w:fldCharType="end"/>
      </w:r>
      <w:r w:rsidRPr="00B0319E">
        <w:t>, titled “The Relationship between Employee Satisfaction and Performance Measures,” visually represents the empirical observations of the study. The x-axis denotes employee satisfaction, while the y-axis represents the value of performance measures. The plot is colour-coded for clarity: green for Dividends, blue for ROA (Return on Assets), and red for ROE (Return on Equity).</w:t>
      </w:r>
    </w:p>
    <w:p w14:paraId="385B2594" w14:textId="29580029" w:rsidR="006D70F7" w:rsidRPr="00B0319E" w:rsidRDefault="006D70F7" w:rsidP="006D70F7">
      <w:r w:rsidRPr="00B0319E">
        <w:t>It is evident that the observations for ROA and ROE exhibit a wider range compared to Dividends, which are exclusively found above zero and display less vertical variability. Th</w:t>
      </w:r>
      <w:r w:rsidR="00684357">
        <w:t>e</w:t>
      </w:r>
      <w:r w:rsidRPr="00B0319E">
        <w:t xml:space="preserve"> disparity is further influenced by the fact that dividends can only assume positive values, whereas ROA and ROE can also be negative, particularly in instances where the income used to calculate these metrics reflects a loss.</w:t>
      </w:r>
    </w:p>
    <w:p w14:paraId="71D8423C" w14:textId="4B9E33A9" w:rsidR="006D70F7" w:rsidRPr="004A2A48" w:rsidRDefault="006D70F7" w:rsidP="004A2A48">
      <w:pPr>
        <w:spacing w:after="240"/>
        <w:jc w:val="center"/>
      </w:pPr>
      <w:bookmarkStart w:id="21" w:name="_Ref174192283"/>
      <w:r w:rsidRPr="004A2A48">
        <w:rPr>
          <w:rStyle w:val="Subtielebenadrukking"/>
        </w:rPr>
        <w:t xml:space="preserve">Figure </w:t>
      </w:r>
      <w:r w:rsidRPr="004A2A48">
        <w:rPr>
          <w:rStyle w:val="Subtielebenadrukking"/>
        </w:rPr>
        <w:fldChar w:fldCharType="begin"/>
      </w:r>
      <w:r w:rsidRPr="004A2A48">
        <w:rPr>
          <w:rStyle w:val="Subtielebenadrukking"/>
        </w:rPr>
        <w:instrText xml:space="preserve"> SEQ Figure \* ARABIC </w:instrText>
      </w:r>
      <w:r w:rsidRPr="004A2A48">
        <w:rPr>
          <w:rStyle w:val="Subtielebenadrukking"/>
        </w:rPr>
        <w:fldChar w:fldCharType="separate"/>
      </w:r>
      <w:r w:rsidR="004A2A48">
        <w:rPr>
          <w:rStyle w:val="Subtielebenadrukking"/>
          <w:noProof/>
        </w:rPr>
        <w:t>1</w:t>
      </w:r>
      <w:r w:rsidRPr="004A2A48">
        <w:rPr>
          <w:rStyle w:val="Subtielebenadrukking"/>
        </w:rPr>
        <w:fldChar w:fldCharType="end"/>
      </w:r>
      <w:bookmarkEnd w:id="21"/>
      <w:r w:rsidRPr="004A2A48">
        <w:rPr>
          <w:rStyle w:val="Subtielebenadrukking"/>
        </w:rPr>
        <w:t xml:space="preserve">. The Relationship between Employee Satisfaction and Performance Measures </w:t>
      </w:r>
      <w:r w:rsidRPr="00CD3858">
        <w:rPr>
          <w:noProof/>
        </w:rPr>
        <w:drawing>
          <wp:inline distT="0" distB="0" distL="0" distR="0" wp14:anchorId="074FA22B" wp14:editId="150CF98E">
            <wp:extent cx="5570806" cy="3780401"/>
            <wp:effectExtent l="0" t="0" r="0" b="0"/>
            <wp:docPr id="217992730"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992730" name="Grafik 217992730"/>
                    <pic:cNvPicPr/>
                  </pic:nvPicPr>
                  <pic:blipFill>
                    <a:blip r:embed="rId17"/>
                    <a:stretch>
                      <a:fillRect/>
                    </a:stretch>
                  </pic:blipFill>
                  <pic:spPr>
                    <a:xfrm>
                      <a:off x="0" y="0"/>
                      <a:ext cx="5585630" cy="3790460"/>
                    </a:xfrm>
                    <a:prstGeom prst="rect">
                      <a:avLst/>
                    </a:prstGeom>
                  </pic:spPr>
                </pic:pic>
              </a:graphicData>
            </a:graphic>
          </wp:inline>
        </w:drawing>
      </w:r>
    </w:p>
    <w:p w14:paraId="1BBD6D38" w14:textId="3F67FC89" w:rsidR="006D70F7" w:rsidRPr="00B0319E" w:rsidRDefault="006D70F7" w:rsidP="006D70F7">
      <w:r w:rsidRPr="00B0319E">
        <w:t>The trend lines for each performance measure aim to highlight potential linear relationships between employee satisfaction and the corresponding performance metrics. For ROE, the red line indicates a slight negative effect with increasing employee satisfaction. Th</w:t>
      </w:r>
      <w:r w:rsidR="00684357">
        <w:t>e</w:t>
      </w:r>
      <w:r w:rsidRPr="00B0319E">
        <w:t xml:space="preserve"> suggest</w:t>
      </w:r>
      <w:r w:rsidR="00684357">
        <w:t>ion is</w:t>
      </w:r>
      <w:r w:rsidRPr="00B0319E">
        <w:t xml:space="preserve"> that as employee satisfaction rises, ROE tends to decrease. Th</w:t>
      </w:r>
      <w:r w:rsidR="00684357">
        <w:t>e</w:t>
      </w:r>
      <w:r w:rsidRPr="00B0319E">
        <w:t xml:space="preserve"> result is contrary to expectations, which predicts a positive relationship based on previous research. Additionally, the data shows that ROE </w:t>
      </w:r>
      <w:r w:rsidR="00306A2D">
        <w:t>has</w:t>
      </w:r>
      <w:r w:rsidRPr="00B0319E">
        <w:t xml:space="preserve"> higher </w:t>
      </w:r>
      <w:r w:rsidR="00306A2D">
        <w:t xml:space="preserve">values </w:t>
      </w:r>
      <w:r w:rsidRPr="00B0319E">
        <w:t>than ROA, which suggests that firms in the real estate sector are effectively utilizing financial leverage to enhance returns for shareholders. For investors, this can be attractive, as it shows that the firm is efficiently using their capital to generate returns.</w:t>
      </w:r>
    </w:p>
    <w:p w14:paraId="4D13B7A3" w14:textId="4D23C7BB" w:rsidR="006D70F7" w:rsidRPr="00B0319E" w:rsidRDefault="006D70F7" w:rsidP="006D70F7">
      <w:r w:rsidRPr="00B0319E">
        <w:t>However, the relatively flat trend lines for ROA and Dividends indicate minimal correlation within the observed data range. Th</w:t>
      </w:r>
      <w:r w:rsidR="00684357">
        <w:t>e</w:t>
      </w:r>
      <w:r w:rsidRPr="00B0319E">
        <w:t xml:space="preserve"> visual representation underscores the study’s findings that employee satisfaction does not have a significant positive influence on company performance in the real estate sector. The scatter plot highlights the necessity for further investigation into other variables that may play a more substantial role in influencing performance outcomes.</w:t>
      </w:r>
    </w:p>
    <w:p w14:paraId="743AD422" w14:textId="6A6847DC" w:rsidR="006D70F7" w:rsidRPr="00B0319E" w:rsidRDefault="009C1952" w:rsidP="006D70F7">
      <w:pPr>
        <w:spacing w:before="240"/>
        <w:ind w:firstLine="204"/>
      </w:pPr>
      <w:r w:rsidRPr="00B0319E">
        <w:t>In conclusion, the regression results were not able to confirm the hypotheses.</w:t>
      </w:r>
      <w:r w:rsidR="00B44023" w:rsidRPr="00B0319E">
        <w:t xml:space="preserve"> It could not be clearly demonstrated that higher employee satisfaction leads to a higher </w:t>
      </w:r>
      <w:r w:rsidR="00306A2D">
        <w:t>R</w:t>
      </w:r>
      <w:r w:rsidR="00B44023" w:rsidRPr="00B0319E">
        <w:t xml:space="preserve">eturn on </w:t>
      </w:r>
      <w:r w:rsidR="00306A2D">
        <w:t>A</w:t>
      </w:r>
      <w:r w:rsidR="00B44023" w:rsidRPr="00B0319E">
        <w:t xml:space="preserve">ssets and </w:t>
      </w:r>
      <w:r w:rsidR="00306A2D">
        <w:t>R</w:t>
      </w:r>
      <w:r w:rsidR="00B44023" w:rsidRPr="00B0319E">
        <w:t xml:space="preserve">eturn on </w:t>
      </w:r>
      <w:r w:rsidR="00306A2D">
        <w:t>E</w:t>
      </w:r>
      <w:r w:rsidR="00B44023" w:rsidRPr="00B0319E">
        <w:t>quity. The</w:t>
      </w:r>
      <w:r w:rsidR="0011489A" w:rsidRPr="00B0319E">
        <w:t>refore,</w:t>
      </w:r>
      <w:r w:rsidR="00B44023" w:rsidRPr="00B0319E">
        <w:t xml:space="preserve"> hypotheses H1A and H1B must be rejected.</w:t>
      </w:r>
      <w:r w:rsidR="00954BB5" w:rsidRPr="00B0319E">
        <w:t xml:space="preserve"> The same applies to Hypothesis 2, as it was not possible to show unequivocally that higher employee satisfaction leads to higher dividends.</w:t>
      </w:r>
      <w:r w:rsidR="00980399" w:rsidRPr="00B0319E">
        <w:t xml:space="preserve"> Hypothesis 3 predicted that higher employee satisfaction would lead to lower employee turnover.</w:t>
      </w:r>
      <w:r w:rsidR="006668F8" w:rsidRPr="00B0319E">
        <w:t xml:space="preserve"> However, this hypothesis could not be accepted without doubt and must also be rejected.</w:t>
      </w:r>
      <w:r w:rsidR="008E2AD7" w:rsidRPr="00B0319E">
        <w:t xml:space="preserve"> In addition to the inconclusive results from the various regression analyses, the lack of robustness in most variables further contributes to the inability to confirm the hypotheses. Th</w:t>
      </w:r>
      <w:r w:rsidR="00684357">
        <w:t>e</w:t>
      </w:r>
      <w:r w:rsidR="008E2AD7" w:rsidRPr="00B0319E">
        <w:t xml:space="preserve"> issue warrants more detailed investigation in future research.</w:t>
      </w:r>
    </w:p>
    <w:p w14:paraId="3FF4FF58" w14:textId="780DB424" w:rsidR="009E1ED9" w:rsidRPr="00B0319E" w:rsidRDefault="006D70F7" w:rsidP="004A2A48">
      <w:pPr>
        <w:ind w:firstLine="204"/>
      </w:pPr>
      <w:r w:rsidRPr="00B0319E">
        <w:t>To summarize</w:t>
      </w:r>
      <w:r w:rsidR="00194418" w:rsidRPr="00B0319E">
        <w:t>, t</w:t>
      </w:r>
      <w:r w:rsidR="00476C36" w:rsidRPr="00B0319E">
        <w:t xml:space="preserve">hese findings </w:t>
      </w:r>
      <w:r w:rsidR="008E2AD7" w:rsidRPr="00B0319E">
        <w:t>indicate</w:t>
      </w:r>
      <w:r w:rsidR="00476C36" w:rsidRPr="00B0319E">
        <w:t xml:space="preserve"> that employee satisfaction in the real estate sector does not have a </w:t>
      </w:r>
      <w:r w:rsidRPr="00B0319E">
        <w:t>distinctly</w:t>
      </w:r>
      <w:r w:rsidR="008E2AD7" w:rsidRPr="00B0319E">
        <w:t xml:space="preserve"> significant</w:t>
      </w:r>
      <w:r w:rsidR="00476C36" w:rsidRPr="00B0319E">
        <w:t xml:space="preserve"> positive </w:t>
      </w:r>
      <w:r w:rsidR="008E2AD7" w:rsidRPr="00B0319E">
        <w:t>impact</w:t>
      </w:r>
      <w:r w:rsidR="00476C36" w:rsidRPr="00B0319E">
        <w:t xml:space="preserve"> on </w:t>
      </w:r>
      <w:r w:rsidR="008E2AD7" w:rsidRPr="00B0319E">
        <w:t xml:space="preserve">company </w:t>
      </w:r>
      <w:r w:rsidR="00476C36" w:rsidRPr="00B0319E">
        <w:t>performance</w:t>
      </w:r>
      <w:r w:rsidR="008E2AD7" w:rsidRPr="00B0319E">
        <w:t>.</w:t>
      </w:r>
      <w:r w:rsidR="00476C36" w:rsidRPr="00B0319E">
        <w:t xml:space="preserve"> </w:t>
      </w:r>
      <w:r w:rsidRPr="00B0319E">
        <w:t xml:space="preserve">Instead, </w:t>
      </w:r>
      <w:r w:rsidR="00476C36" w:rsidRPr="00B0319E">
        <w:t xml:space="preserve">other variables might </w:t>
      </w:r>
      <w:r w:rsidRPr="00B0319E">
        <w:t>have a more considerable influence</w:t>
      </w:r>
      <w:r w:rsidR="00476C36" w:rsidRPr="00B0319E">
        <w:t xml:space="preserve">. The next and final section will </w:t>
      </w:r>
      <w:r w:rsidRPr="00B0319E">
        <w:t>address</w:t>
      </w:r>
      <w:r w:rsidR="00476C36" w:rsidRPr="00B0319E">
        <w:t xml:space="preserve"> the limitations of this study and provide recommendations for future research</w:t>
      </w:r>
      <w:r w:rsidR="009E1ED9" w:rsidRPr="00B0319E">
        <w:t>.</w:t>
      </w:r>
    </w:p>
    <w:p w14:paraId="5EE4796D" w14:textId="24AC7AB1" w:rsidR="00494FE9" w:rsidRPr="00B0319E" w:rsidRDefault="00494FE9" w:rsidP="004A2A48">
      <w:pPr>
        <w:spacing w:before="240"/>
        <w:ind w:firstLine="204"/>
      </w:pPr>
    </w:p>
    <w:p w14:paraId="3651B523" w14:textId="77777777" w:rsidR="00494FE9" w:rsidRPr="00B0319E" w:rsidRDefault="00494FE9" w:rsidP="009E1ED9">
      <w:pPr>
        <w:spacing w:before="240"/>
        <w:ind w:firstLine="204"/>
        <w:jc w:val="center"/>
      </w:pPr>
    </w:p>
    <w:p w14:paraId="1CA919A9" w14:textId="28EE7D8A" w:rsidR="00963138" w:rsidRPr="00B0319E" w:rsidRDefault="00963138" w:rsidP="009E1ED9">
      <w:pPr>
        <w:spacing w:before="240"/>
        <w:ind w:firstLine="204"/>
        <w:jc w:val="center"/>
      </w:pPr>
    </w:p>
    <w:p w14:paraId="66D6C4D6" w14:textId="654CAED7" w:rsidR="00963138" w:rsidRPr="00B0319E" w:rsidRDefault="00963138" w:rsidP="009E1ED9">
      <w:pPr>
        <w:spacing w:before="240"/>
        <w:ind w:firstLine="204"/>
        <w:jc w:val="center"/>
      </w:pPr>
    </w:p>
    <w:p w14:paraId="2335C910" w14:textId="32FF72C1" w:rsidR="00520C49" w:rsidRPr="00B0319E" w:rsidRDefault="00EF61D7" w:rsidP="004A2A48">
      <w:pPr>
        <w:spacing w:before="240"/>
        <w:ind w:firstLine="204"/>
        <w:jc w:val="center"/>
      </w:pPr>
      <w:r w:rsidRPr="00B0319E">
        <w:br w:type="page"/>
      </w:r>
      <w:bookmarkEnd w:id="17"/>
    </w:p>
    <w:p w14:paraId="2CC4B24E" w14:textId="73710F5F" w:rsidR="005B077C" w:rsidRPr="004A2A48" w:rsidRDefault="00BA7C27" w:rsidP="00D10480">
      <w:pPr>
        <w:pStyle w:val="Kop1"/>
        <w:rPr>
          <w:lang w:val="en-GB"/>
        </w:rPr>
      </w:pPr>
      <w:bookmarkStart w:id="22" w:name="_Toc174210214"/>
      <w:r w:rsidRPr="004A2A48">
        <w:rPr>
          <w:lang w:val="en-GB"/>
        </w:rPr>
        <w:t>Discussion and Limitations</w:t>
      </w:r>
      <w:bookmarkEnd w:id="22"/>
      <w:r w:rsidRPr="004A2A48">
        <w:rPr>
          <w:lang w:val="en-GB"/>
        </w:rPr>
        <w:t xml:space="preserve"> </w:t>
      </w:r>
    </w:p>
    <w:p w14:paraId="23F07F22" w14:textId="77777777" w:rsidR="00BC1832" w:rsidRPr="004A2A48" w:rsidRDefault="00BC1832" w:rsidP="00707BBF">
      <w:r w:rsidRPr="004A2A48">
        <w:t>After discussing the results of the multivariate regression analysis in the last chapter, the limitations and recommendations for further research are now discussed.</w:t>
      </w:r>
    </w:p>
    <w:p w14:paraId="4095F050" w14:textId="055A0D10" w:rsidR="00615DED" w:rsidRPr="004A2A48" w:rsidRDefault="00A7427C" w:rsidP="00707BBF">
      <w:r w:rsidRPr="00B0319E">
        <w:t xml:space="preserve">The multivariate regression analysis performed in this study has a key limitation: the sample size. Due to the limited availability of company data, only 108 observations </w:t>
      </w:r>
      <w:r w:rsidR="00306A2D">
        <w:t xml:space="preserve">could be included </w:t>
      </w:r>
      <w:r w:rsidRPr="00B0319E">
        <w:t xml:space="preserve">in </w:t>
      </w:r>
      <w:r w:rsidR="000D3F14" w:rsidRPr="00B0319E">
        <w:t>the</w:t>
      </w:r>
      <w:r w:rsidRPr="00B0319E">
        <w:t xml:space="preserve"> analysis. After correcting for outliers, this number was further reduced to 97. Th</w:t>
      </w:r>
      <w:r w:rsidR="00931F15">
        <w:t>e</w:t>
      </w:r>
      <w:r w:rsidRPr="00B0319E">
        <w:t xml:space="preserve"> small sample size may limit the statistical power of </w:t>
      </w:r>
      <w:r w:rsidR="000D3F14" w:rsidRPr="00B0319E">
        <w:t xml:space="preserve">the </w:t>
      </w:r>
      <w:r w:rsidRPr="00B0319E">
        <w:t xml:space="preserve">analysis and the precision of </w:t>
      </w:r>
      <w:r w:rsidR="000D3F14" w:rsidRPr="00B0319E">
        <w:t>the</w:t>
      </w:r>
      <w:r w:rsidRPr="00B0319E">
        <w:t xml:space="preserve"> estimates, potentially affecting the generalizability of </w:t>
      </w:r>
      <w:r w:rsidR="000D3F14" w:rsidRPr="00B0319E">
        <w:t>the</w:t>
      </w:r>
      <w:r w:rsidRPr="00B0319E">
        <w:t xml:space="preserve"> findings. Despite this limitation, </w:t>
      </w:r>
      <w:r w:rsidR="00077B75" w:rsidRPr="00B0319E">
        <w:t xml:space="preserve">every effort was made </w:t>
      </w:r>
      <w:r w:rsidRPr="00B0319E">
        <w:t xml:space="preserve">to ensure that </w:t>
      </w:r>
      <w:r w:rsidR="00077B75" w:rsidRPr="00B0319E">
        <w:t>the</w:t>
      </w:r>
      <w:r w:rsidRPr="00B0319E">
        <w:t xml:space="preserve"> sample was as representative as possible, using the available data and appropriate statistical tests. For future research, </w:t>
      </w:r>
      <w:r w:rsidR="00077B75" w:rsidRPr="00B0319E">
        <w:t>it is</w:t>
      </w:r>
      <w:r w:rsidRPr="00B0319E">
        <w:t xml:space="preserve"> recommend</w:t>
      </w:r>
      <w:r w:rsidR="00077B75" w:rsidRPr="00B0319E">
        <w:t>ed</w:t>
      </w:r>
      <w:r w:rsidRPr="00B0319E">
        <w:t xml:space="preserve"> </w:t>
      </w:r>
      <w:r w:rsidR="00077B75" w:rsidRPr="00B0319E">
        <w:t xml:space="preserve">to </w:t>
      </w:r>
      <w:r w:rsidR="00DF4B6B" w:rsidRPr="00B0319E">
        <w:t>make use of</w:t>
      </w:r>
      <w:r w:rsidRPr="00B0319E">
        <w:t xml:space="preserve"> additional databases that could provide more relevant observations, thereby increasing the sample size and potentially enhancing the robustness and generalizability of the findings.</w:t>
      </w:r>
    </w:p>
    <w:p w14:paraId="61435A56" w14:textId="6AB3D2E3" w:rsidR="005E6127" w:rsidRPr="004A2A48" w:rsidRDefault="005E6127" w:rsidP="00707BBF">
      <w:r w:rsidRPr="00B0319E">
        <w:t xml:space="preserve">Another limitation of this study lies in the selection of independent variables that affect employee satisfaction. The following variables were </w:t>
      </w:r>
      <w:r w:rsidR="00306A2D">
        <w:t>selected for inclusion in the analysis</w:t>
      </w:r>
      <w:r w:rsidR="00263CC7" w:rsidRPr="00B0319E">
        <w:t>:</w:t>
      </w:r>
      <w:r w:rsidRPr="00B0319E">
        <w:t xml:space="preserve"> Employee Satisfaction, Flexible Working Hours, Policy Career Development, Policy Skills, Internal Promotion, Turnover Employees, and Management Training. These variables were selected based on their frequent mention in the literature in relation to employee satisfaction and the number of observations they provided. However, the selection of these specific variables may have influenced </w:t>
      </w:r>
      <w:r w:rsidR="00DA1299" w:rsidRPr="00B0319E">
        <w:t>the</w:t>
      </w:r>
      <w:r w:rsidRPr="00B0319E">
        <w:t xml:space="preserve"> findings. For instance, the exclusion of other potential variables could have led to a different outcome.</w:t>
      </w:r>
      <w:r w:rsidR="00FF5F93" w:rsidRPr="00B0319E">
        <w:t xml:space="preserve"> </w:t>
      </w:r>
      <w:r w:rsidR="00912033" w:rsidRPr="00B0319E">
        <w:t>Nevertheless</w:t>
      </w:r>
      <w:r w:rsidR="00FF5F93" w:rsidRPr="00B0319E">
        <w:t>, given the sample size and scope of this study, it was deemed correct to only include those variables in the models that are most important based on the literature.</w:t>
      </w:r>
      <w:r w:rsidR="0083724D" w:rsidRPr="00B0319E">
        <w:t xml:space="preserve"> Furthermore, the combination of a small sample size with a relatively large number of variables could lead to overfitting of the model, reducing its generalizability. Future research could address this limitation by including a broader range of variables or using a different variable selection method.</w:t>
      </w:r>
    </w:p>
    <w:p w14:paraId="46E1B9E7" w14:textId="3B971C7C" w:rsidR="0031665C" w:rsidRPr="00B0319E" w:rsidRDefault="003F2D1D" w:rsidP="0031665C">
      <w:r w:rsidRPr="004A2A48">
        <w:t>Furthermore, the relationship between employee satisfaction, performance measures and customer satisfaction must also be considered. Some authors</w:t>
      </w:r>
      <w:r w:rsidR="00D2645D" w:rsidRPr="004A2A48">
        <w:t>, as Chi and Gursoy (2009),</w:t>
      </w:r>
      <w:r w:rsidRPr="004A2A48">
        <w:t xml:space="preserve"> point out that customer satisfaction can be the crucial piece of the puzzle between employee satisfaction and performance measures</w:t>
      </w:r>
      <w:r w:rsidR="00A26C13" w:rsidRPr="004A2A48">
        <w:t>, and that the effect of satisfied employees on the performance measures only becomes apparent through customer satisfaction.</w:t>
      </w:r>
      <w:r w:rsidR="00240361" w:rsidRPr="004A2A48">
        <w:t xml:space="preserve"> </w:t>
      </w:r>
      <w:r w:rsidR="00B32B9E" w:rsidRPr="004A2A48">
        <w:t xml:space="preserve">The real estate sector could also be affected by this relationship, with customers having a major influence on companies in this area. </w:t>
      </w:r>
      <w:r w:rsidR="00306A2D" w:rsidRPr="00306A2D">
        <w:t>The real estate industry involves extensive customer interaction, whether it be with investors and buyers or with tenants</w:t>
      </w:r>
      <w:r w:rsidR="00F335F7" w:rsidRPr="004A2A48">
        <w:t xml:space="preserve">. It is therefore </w:t>
      </w:r>
      <w:r w:rsidR="00306A2D">
        <w:t>plausibl</w:t>
      </w:r>
      <w:r w:rsidR="00F335F7" w:rsidRPr="004A2A48">
        <w:t xml:space="preserve">e that satisfied employees </w:t>
      </w:r>
      <w:r w:rsidR="00306A2D">
        <w:t>produce</w:t>
      </w:r>
      <w:r w:rsidR="00F335F7" w:rsidRPr="004A2A48">
        <w:t xml:space="preserve"> higher quality work, positiv</w:t>
      </w:r>
      <w:r w:rsidR="00306A2D">
        <w:t>ely impacting</w:t>
      </w:r>
      <w:r w:rsidR="00F335F7" w:rsidRPr="004A2A48">
        <w:t xml:space="preserve"> customer satisfaction. </w:t>
      </w:r>
      <w:r w:rsidR="0031665C" w:rsidRPr="00B0319E">
        <w:t>Satisfied customers are more likely to stay with a company, thereby safeguarding the company’s reputation.</w:t>
      </w:r>
      <w:r w:rsidR="00856466" w:rsidRPr="004A2A48">
        <w:t xml:space="preserve"> </w:t>
      </w:r>
      <w:r w:rsidR="00931F15">
        <w:t>I</w:t>
      </w:r>
      <w:r w:rsidR="00856466" w:rsidRPr="004A2A48">
        <w:t>n turn</w:t>
      </w:r>
      <w:r w:rsidR="00931F15">
        <w:t>, this</w:t>
      </w:r>
      <w:r w:rsidR="00856466" w:rsidRPr="004A2A48">
        <w:t xml:space="preserve"> leads to more customer sales and better company performance.</w:t>
      </w:r>
      <w:r w:rsidR="00953CFD" w:rsidRPr="004A2A48">
        <w:t xml:space="preserve"> </w:t>
      </w:r>
      <w:r w:rsidR="0031665C" w:rsidRPr="00B0319E">
        <w:t>To validate this, further research examining the relationship between employee satisfaction, performance measures, and customer satisfaction is recommended. However, it is worth noting that data on customer satisfaction is even more limited than that on employee satisfaction, highlighting the need for more research in this area, which has yet to receive the attention it deserves.</w:t>
      </w:r>
    </w:p>
    <w:p w14:paraId="55DC1613" w14:textId="736D3162" w:rsidR="00BD60F0" w:rsidRPr="00B0319E" w:rsidRDefault="00BD60F0" w:rsidP="00BD60F0">
      <w:r w:rsidRPr="00B0319E">
        <w:t xml:space="preserve">Future research should consider the limited availability of ESG data, which can impact the sample size. </w:t>
      </w:r>
      <w:r w:rsidR="00931F15">
        <w:t>P</w:t>
      </w:r>
      <w:r w:rsidRPr="00B0319E">
        <w:t>articularly relevant</w:t>
      </w:r>
      <w:r w:rsidR="00931F15">
        <w:t xml:space="preserve"> is the fact that</w:t>
      </w:r>
      <w:r w:rsidRPr="00B0319E">
        <w:t xml:space="preserve"> data on employee satisfaction often needs to be self-collected by researchers or sourced from databases like LSEG Workspace, where ESG data related to employee satisfaction remains scarce. </w:t>
      </w:r>
      <w:r w:rsidR="00931F15">
        <w:t>Such an approach</w:t>
      </w:r>
      <w:r w:rsidRPr="00B0319E">
        <w:t xml:space="preserve"> could lead to limitations similar to those encountered in this study, including a potentially insufficient sample size for generalizable results.</w:t>
      </w:r>
    </w:p>
    <w:p w14:paraId="191EC021" w14:textId="77777777" w:rsidR="00630644" w:rsidRPr="004A2A48" w:rsidRDefault="00630644">
      <w:pPr>
        <w:spacing w:line="240" w:lineRule="auto"/>
        <w:ind w:firstLine="0"/>
        <w:jc w:val="left"/>
        <w:rPr>
          <w:rFonts w:eastAsia="Times New Roman"/>
          <w:b/>
          <w:bCs/>
          <w:color w:val="000000"/>
          <w:sz w:val="28"/>
          <w:szCs w:val="32"/>
        </w:rPr>
      </w:pPr>
      <w:r w:rsidRPr="00B0319E">
        <w:br w:type="page"/>
      </w:r>
    </w:p>
    <w:p w14:paraId="486C3559" w14:textId="32C70BDC" w:rsidR="00CE2AE7" w:rsidRPr="004A2A48" w:rsidRDefault="00CE2AE7" w:rsidP="00D10480">
      <w:pPr>
        <w:pStyle w:val="Kop1"/>
        <w:rPr>
          <w:lang w:val="en-GB"/>
        </w:rPr>
      </w:pPr>
      <w:bookmarkStart w:id="23" w:name="_Toc174210215"/>
      <w:r w:rsidRPr="004A2A48">
        <w:rPr>
          <w:lang w:val="en-GB"/>
        </w:rPr>
        <w:t>Conclusion</w:t>
      </w:r>
      <w:bookmarkEnd w:id="23"/>
    </w:p>
    <w:p w14:paraId="520A1EC5" w14:textId="2AFD2630" w:rsidR="009917A0" w:rsidRPr="004A2A48" w:rsidRDefault="009917A0" w:rsidP="009917A0">
      <w:r w:rsidRPr="004A2A48">
        <w:t xml:space="preserve">The </w:t>
      </w:r>
      <w:r w:rsidR="0049474C">
        <w:t>primary</w:t>
      </w:r>
      <w:r w:rsidRPr="004A2A48">
        <w:t xml:space="preserve"> objective of this study was to </w:t>
      </w:r>
      <w:r w:rsidR="0049474C">
        <w:t>examine</w:t>
      </w:r>
      <w:r w:rsidRPr="004A2A48">
        <w:t xml:space="preserve"> the influence of </w:t>
      </w:r>
      <w:r w:rsidR="0031665C">
        <w:t>E</w:t>
      </w:r>
      <w:r w:rsidRPr="004A2A48">
        <w:t xml:space="preserve">mployee </w:t>
      </w:r>
      <w:r w:rsidR="0031665C">
        <w:t>S</w:t>
      </w:r>
      <w:r w:rsidRPr="004A2A48">
        <w:t>atisfaction on the dependent variables Return on Assets</w:t>
      </w:r>
      <w:r w:rsidR="0049474C">
        <w:t xml:space="preserve"> (ROA)</w:t>
      </w:r>
      <w:r w:rsidRPr="004A2A48">
        <w:t>, Return on Equity</w:t>
      </w:r>
      <w:r w:rsidR="0049474C">
        <w:t xml:space="preserve"> (ROE)</w:t>
      </w:r>
      <w:r w:rsidRPr="004A2A48">
        <w:t>, Dividends and Employee Turnover.</w:t>
      </w:r>
      <w:r w:rsidR="006C74D5" w:rsidRPr="004A2A48">
        <w:t xml:space="preserve"> The aim was to determine whether employee satisfaction in the real estate industry </w:t>
      </w:r>
      <w:r w:rsidR="0049474C">
        <w:t>yields similar</w:t>
      </w:r>
      <w:r w:rsidR="006C74D5" w:rsidRPr="004A2A48">
        <w:t xml:space="preserve"> positive effects as </w:t>
      </w:r>
      <w:r w:rsidR="0049474C">
        <w:t>observed in</w:t>
      </w:r>
      <w:r w:rsidR="006C74D5" w:rsidRPr="004A2A48">
        <w:t xml:space="preserve"> other industries</w:t>
      </w:r>
      <w:r w:rsidR="0049474C">
        <w:t>,</w:t>
      </w:r>
      <w:r w:rsidR="006C74D5" w:rsidRPr="004A2A48">
        <w:t xml:space="preserve"> and to </w:t>
      </w:r>
      <w:r w:rsidR="0049474C">
        <w:t>assess the value of</w:t>
      </w:r>
      <w:r w:rsidR="006C74D5" w:rsidRPr="004A2A48">
        <w:t xml:space="preserve"> investments in employee satisfaction </w:t>
      </w:r>
      <w:r w:rsidR="0049474C">
        <w:t>for companies</w:t>
      </w:r>
      <w:r w:rsidR="006C74D5" w:rsidRPr="004A2A48">
        <w:t>.</w:t>
      </w:r>
      <w:r w:rsidR="00471722" w:rsidRPr="004A2A48">
        <w:t xml:space="preserve"> The </w:t>
      </w:r>
      <w:r w:rsidR="0049474C">
        <w:t xml:space="preserve">underlying </w:t>
      </w:r>
      <w:r w:rsidR="00471722" w:rsidRPr="004A2A48">
        <w:t xml:space="preserve">theory </w:t>
      </w:r>
      <w:r w:rsidR="0049474C">
        <w:t>posits that satisfied employees exhibit higher levels of concentration, productivity, and overall performance, which in turn should be reflected in improved ROA, ROE, and Dividends</w:t>
      </w:r>
      <w:r w:rsidR="00471722" w:rsidRPr="004A2A48">
        <w:t>.</w:t>
      </w:r>
      <w:r w:rsidR="00DA7680" w:rsidRPr="004A2A48">
        <w:t xml:space="preserve"> </w:t>
      </w:r>
      <w:r w:rsidR="0049474C">
        <w:t xml:space="preserve">Additionally, companies with satisfied employees are expected to have </w:t>
      </w:r>
      <w:r w:rsidR="00182646" w:rsidRPr="004A2A48">
        <w:t xml:space="preserve">lower employee turnover </w:t>
      </w:r>
      <w:r w:rsidR="0049474C">
        <w:t xml:space="preserve">rates, as </w:t>
      </w:r>
      <w:r w:rsidR="00182646" w:rsidRPr="004A2A48">
        <w:t xml:space="preserve">satisfied employees </w:t>
      </w:r>
      <w:r w:rsidR="0049474C">
        <w:t>are less inclined</w:t>
      </w:r>
      <w:r w:rsidR="00182646" w:rsidRPr="004A2A48">
        <w:t xml:space="preserve"> to change employers and are more likely to </w:t>
      </w:r>
      <w:r w:rsidR="00033428">
        <w:t xml:space="preserve">remain </w:t>
      </w:r>
      <w:r w:rsidR="00182646" w:rsidRPr="004A2A48">
        <w:t xml:space="preserve">with </w:t>
      </w:r>
      <w:r w:rsidR="00033428">
        <w:t>an</w:t>
      </w:r>
      <w:r w:rsidR="00182646" w:rsidRPr="004A2A48">
        <w:t xml:space="preserve"> employer who treats them well.</w:t>
      </w:r>
    </w:p>
    <w:p w14:paraId="109292E2" w14:textId="527C46A1" w:rsidR="00AB31B4" w:rsidRPr="004A2A48" w:rsidRDefault="00033428" w:rsidP="00033428">
      <w:r>
        <w:t>The f</w:t>
      </w:r>
      <w:r w:rsidR="00484FEA" w:rsidRPr="004A2A48">
        <w:t xml:space="preserve">indings </w:t>
      </w:r>
      <w:r>
        <w:t xml:space="preserve">of this study </w:t>
      </w:r>
      <w:r w:rsidR="00484FEA" w:rsidRPr="004A2A48">
        <w:t>suggest that a direct effect of employee</w:t>
      </w:r>
      <w:r>
        <w:t xml:space="preserve"> satisfaction</w:t>
      </w:r>
      <w:r w:rsidR="00484FEA" w:rsidRPr="004A2A48">
        <w:t xml:space="preserve"> on performance measures and </w:t>
      </w:r>
      <w:r>
        <w:t xml:space="preserve">employee </w:t>
      </w:r>
      <w:r w:rsidR="00484FEA" w:rsidRPr="004A2A48">
        <w:t>turnover in the real estate industry is unlikely.</w:t>
      </w:r>
      <w:r w:rsidR="0018314B" w:rsidRPr="004A2A48">
        <w:t xml:space="preserve"> </w:t>
      </w:r>
      <w:r w:rsidR="00885FE4" w:rsidRPr="00B0319E">
        <w:t xml:space="preserve">The regression results were partially contrary to expectations, </w:t>
      </w:r>
      <w:r>
        <w:t>indicating</w:t>
      </w:r>
      <w:r w:rsidR="00885FE4" w:rsidRPr="00B0319E">
        <w:t xml:space="preserve"> that employee satisfaction may not directly affect a company’s performance. </w:t>
      </w:r>
      <w:r w:rsidRPr="00033428">
        <w:t>Furthermore, most regression results were not significant, indicating a lack of robustness</w:t>
      </w:r>
      <w:r>
        <w:t xml:space="preserve">. </w:t>
      </w:r>
      <w:r w:rsidR="00F70687" w:rsidRPr="004A2A48">
        <w:t>A po</w:t>
      </w:r>
      <w:r>
        <w:t>tential</w:t>
      </w:r>
      <w:r w:rsidR="00F70687" w:rsidRPr="004A2A48">
        <w:t xml:space="preserve"> explanation for this could be the impact of customer satisfaction.</w:t>
      </w:r>
      <w:r>
        <w:t xml:space="preserve"> </w:t>
      </w:r>
      <w:r w:rsidRPr="00033428">
        <w:t xml:space="preserve">To better understand the influence of employee satisfaction on the performance of real estate companies, </w:t>
      </w:r>
      <w:r w:rsidR="00AB31B4" w:rsidRPr="004A2A48">
        <w:t>further research is needed that inc</w:t>
      </w:r>
      <w:r>
        <w:t>orporates</w:t>
      </w:r>
      <w:r w:rsidR="00AB31B4" w:rsidRPr="004A2A48">
        <w:t xml:space="preserve"> customer satisfaction. </w:t>
      </w:r>
      <w:r w:rsidRPr="00033428">
        <w:t>Additionally, attention must be paid to the robustness of results pertaining to employee satisfaction.</w:t>
      </w:r>
      <w:r>
        <w:t xml:space="preserve"> </w:t>
      </w:r>
      <w:r w:rsidR="006854F8" w:rsidRPr="00B0319E">
        <w:t xml:space="preserve">Despite the </w:t>
      </w:r>
      <w:r>
        <w:t>ambiguous</w:t>
      </w:r>
      <w:r w:rsidR="006854F8" w:rsidRPr="00B0319E">
        <w:t xml:space="preserve"> regression results</w:t>
      </w:r>
      <w:r>
        <w:t xml:space="preserve"> and lack of robustness</w:t>
      </w:r>
      <w:r w:rsidR="006854F8" w:rsidRPr="00B0319E">
        <w:t xml:space="preserve">, </w:t>
      </w:r>
      <w:r w:rsidR="00DD31D1" w:rsidRPr="00B0319E">
        <w:t>it can still be</w:t>
      </w:r>
      <w:r w:rsidR="006854F8" w:rsidRPr="00B0319E">
        <w:t xml:space="preserve"> consider</w:t>
      </w:r>
      <w:r w:rsidR="00DD31D1" w:rsidRPr="00B0319E">
        <w:t>ed</w:t>
      </w:r>
      <w:r w:rsidR="000534C5" w:rsidRPr="00B0319E">
        <w:t xml:space="preserve"> </w:t>
      </w:r>
      <w:r w:rsidR="006854F8" w:rsidRPr="00B0319E">
        <w:t>that employee satisfaction contributes positively to a company’s value</w:t>
      </w:r>
      <w:r w:rsidR="00E931EC">
        <w:t xml:space="preserve"> in the real estate industry</w:t>
      </w:r>
      <w:r>
        <w:t>, potentially in conjunction with customer satisfaction</w:t>
      </w:r>
      <w:r w:rsidR="006854F8" w:rsidRPr="00B0319E">
        <w:t>.</w:t>
      </w:r>
    </w:p>
    <w:p w14:paraId="1DFD90B5" w14:textId="77777777" w:rsidR="000534C5" w:rsidRPr="004A2A48" w:rsidRDefault="000534C5">
      <w:pPr>
        <w:spacing w:line="240" w:lineRule="auto"/>
        <w:ind w:firstLine="0"/>
        <w:jc w:val="left"/>
        <w:rPr>
          <w:rFonts w:eastAsia="Times New Roman"/>
          <w:b/>
          <w:bCs/>
          <w:color w:val="000000"/>
          <w:sz w:val="28"/>
          <w:szCs w:val="32"/>
        </w:rPr>
      </w:pPr>
      <w:r w:rsidRPr="00B0319E">
        <w:br w:type="page"/>
      </w:r>
    </w:p>
    <w:p w14:paraId="33CBB400" w14:textId="47F50640" w:rsidR="00916509" w:rsidRPr="004A2A48" w:rsidRDefault="00CE2AE7" w:rsidP="00CE2AE7">
      <w:pPr>
        <w:pStyle w:val="Kop1"/>
        <w:numPr>
          <w:ilvl w:val="0"/>
          <w:numId w:val="0"/>
        </w:numPr>
        <w:ind w:left="432"/>
        <w:rPr>
          <w:lang w:val="en-GB"/>
        </w:rPr>
      </w:pPr>
      <w:bookmarkStart w:id="24" w:name="_Toc174210216"/>
      <w:r w:rsidRPr="004A2A48">
        <w:rPr>
          <w:lang w:val="en-GB"/>
        </w:rPr>
        <w:t>References</w:t>
      </w:r>
      <w:bookmarkEnd w:id="24"/>
      <w:r w:rsidRPr="004A2A48">
        <w:rPr>
          <w:lang w:val="en-GB"/>
        </w:rPr>
        <w:t xml:space="preserve"> </w:t>
      </w:r>
    </w:p>
    <w:p w14:paraId="0D80FA2A" w14:textId="2D6D2513" w:rsidR="00977158" w:rsidRPr="00977158" w:rsidRDefault="002053F5" w:rsidP="00977158">
      <w:pPr>
        <w:widowControl w:val="0"/>
        <w:autoSpaceDE w:val="0"/>
        <w:autoSpaceDN w:val="0"/>
        <w:adjustRightInd w:val="0"/>
        <w:ind w:left="480" w:hanging="480"/>
        <w:rPr>
          <w:rFonts w:ascii="Times New Roman" w:hAnsi="Times New Roman"/>
          <w:noProof/>
        </w:rPr>
      </w:pPr>
      <w:r w:rsidRPr="004A2A48">
        <w:rPr>
          <w:rFonts w:ascii="Times New Roman" w:eastAsia="Aptos" w:hAnsi="Times New Roman"/>
        </w:rPr>
        <w:fldChar w:fldCharType="begin" w:fldLock="1"/>
      </w:r>
      <w:r w:rsidRPr="00B0319E">
        <w:rPr>
          <w:rFonts w:ascii="Times New Roman" w:eastAsia="Aptos" w:hAnsi="Times New Roman"/>
        </w:rPr>
        <w:instrText xml:space="preserve">ADDIN Mendeley Bibliography CSL_BIBLIOGRAPHY </w:instrText>
      </w:r>
      <w:r w:rsidRPr="004A2A48">
        <w:rPr>
          <w:rFonts w:ascii="Times New Roman" w:eastAsia="Aptos" w:hAnsi="Times New Roman"/>
        </w:rPr>
        <w:fldChar w:fldCharType="separate"/>
      </w:r>
      <w:r w:rsidR="00977158" w:rsidRPr="00977158">
        <w:rPr>
          <w:rFonts w:ascii="Times New Roman" w:hAnsi="Times New Roman"/>
          <w:noProof/>
        </w:rPr>
        <w:t xml:space="preserve">Akadiri, P. O., Chinyio, E. A., &amp; Olomolaiye, P. O. (2012). Design of A Sustainable Building: A Conceptual Framework for Implementing Sustainability in the Building Sector. </w:t>
      </w:r>
      <w:r w:rsidR="00977158" w:rsidRPr="00977158">
        <w:rPr>
          <w:rFonts w:ascii="Times New Roman" w:hAnsi="Times New Roman"/>
          <w:i/>
          <w:iCs/>
          <w:noProof/>
        </w:rPr>
        <w:t>Buildings</w:t>
      </w:r>
      <w:r w:rsidR="00977158" w:rsidRPr="00977158">
        <w:rPr>
          <w:rFonts w:ascii="Times New Roman" w:hAnsi="Times New Roman"/>
          <w:noProof/>
        </w:rPr>
        <w:t xml:space="preserve">, </w:t>
      </w:r>
      <w:r w:rsidR="00977158" w:rsidRPr="00977158">
        <w:rPr>
          <w:rFonts w:ascii="Times New Roman" w:hAnsi="Times New Roman"/>
          <w:i/>
          <w:iCs/>
          <w:noProof/>
        </w:rPr>
        <w:t>2</w:t>
      </w:r>
      <w:r w:rsidR="00977158" w:rsidRPr="00977158">
        <w:rPr>
          <w:rFonts w:ascii="Times New Roman" w:hAnsi="Times New Roman"/>
          <w:noProof/>
        </w:rPr>
        <w:t>, 126–152. https://doi.org/10.3390/buildings2020126</w:t>
      </w:r>
    </w:p>
    <w:p w14:paraId="2809E1AB"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Analyttica Datalab. (2021). </w:t>
      </w:r>
      <w:r w:rsidRPr="00977158">
        <w:rPr>
          <w:rFonts w:ascii="Times New Roman" w:hAnsi="Times New Roman"/>
          <w:i/>
          <w:iCs/>
          <w:noProof/>
        </w:rPr>
        <w:t>Understanding Durbin-Watson Test</w:t>
      </w:r>
      <w:r w:rsidRPr="00977158">
        <w:rPr>
          <w:rFonts w:ascii="Times New Roman" w:hAnsi="Times New Roman"/>
          <w:noProof/>
        </w:rPr>
        <w:t>. https://medium.com/@analyttica/durbin-watson-test-fde429f79203</w:t>
      </w:r>
    </w:p>
    <w:p w14:paraId="1E2330BE"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Aroul, R. R., Sabherwal, S., &amp; Villupuram, S. V. (2022). ESG, operational efficiency and operational performance: evidence from Real Estate Investment Trusts. </w:t>
      </w:r>
      <w:r w:rsidRPr="00977158">
        <w:rPr>
          <w:rFonts w:ascii="Times New Roman" w:hAnsi="Times New Roman"/>
          <w:i/>
          <w:iCs/>
          <w:noProof/>
        </w:rPr>
        <w:t>Managerial Finance</w:t>
      </w:r>
      <w:r w:rsidRPr="00977158">
        <w:rPr>
          <w:rFonts w:ascii="Times New Roman" w:hAnsi="Times New Roman"/>
          <w:noProof/>
        </w:rPr>
        <w:t xml:space="preserve">, </w:t>
      </w:r>
      <w:r w:rsidRPr="00977158">
        <w:rPr>
          <w:rFonts w:ascii="Times New Roman" w:hAnsi="Times New Roman"/>
          <w:i/>
          <w:iCs/>
          <w:noProof/>
        </w:rPr>
        <w:t>48</w:t>
      </w:r>
      <w:r w:rsidRPr="00977158">
        <w:rPr>
          <w:rFonts w:ascii="Times New Roman" w:hAnsi="Times New Roman"/>
          <w:noProof/>
        </w:rPr>
        <w:t>(8), 1206–1220. https://doi.org/10.1108/MF-12-2021-0593</w:t>
      </w:r>
    </w:p>
    <w:p w14:paraId="4711B7C6"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Balestra, C., &amp; Sultan, J. (2013). Home Sweet Home: The Determinants of Residential Satisfaction and its Relation with Well- being. In </w:t>
      </w:r>
      <w:r w:rsidRPr="00977158">
        <w:rPr>
          <w:rFonts w:ascii="Times New Roman" w:hAnsi="Times New Roman"/>
          <w:i/>
          <w:iCs/>
          <w:noProof/>
        </w:rPr>
        <w:t>OECD Statistics Working Papers</w:t>
      </w:r>
      <w:r w:rsidRPr="00977158">
        <w:rPr>
          <w:rFonts w:ascii="Times New Roman" w:hAnsi="Times New Roman"/>
          <w:noProof/>
        </w:rPr>
        <w:t xml:space="preserve"> (No. 54). https://doi.org/https://dx.doi.org/10.1787/5jzbcx0czc0x-en</w:t>
      </w:r>
    </w:p>
    <w:p w14:paraId="0DC3FD1A"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Barakat, S. R., Isabella, G., Boaventura, J. M. G., &amp; Mazzon, J. A. (2016). The influence of corporate social responsibility on employee satisfaction. </w:t>
      </w:r>
      <w:r w:rsidRPr="00977158">
        <w:rPr>
          <w:rFonts w:ascii="Times New Roman" w:hAnsi="Times New Roman"/>
          <w:i/>
          <w:iCs/>
          <w:noProof/>
        </w:rPr>
        <w:t>Management Decision</w:t>
      </w:r>
      <w:r w:rsidRPr="00977158">
        <w:rPr>
          <w:rFonts w:ascii="Times New Roman" w:hAnsi="Times New Roman"/>
          <w:noProof/>
        </w:rPr>
        <w:t xml:space="preserve">, </w:t>
      </w:r>
      <w:r w:rsidRPr="00977158">
        <w:rPr>
          <w:rFonts w:ascii="Times New Roman" w:hAnsi="Times New Roman"/>
          <w:i/>
          <w:iCs/>
          <w:noProof/>
        </w:rPr>
        <w:t>54</w:t>
      </w:r>
      <w:r w:rsidRPr="00977158">
        <w:rPr>
          <w:rFonts w:ascii="Times New Roman" w:hAnsi="Times New Roman"/>
          <w:noProof/>
        </w:rPr>
        <w:t>(9), 2325–2339. https://doi.org/10.1108/MD-05-2016-0308</w:t>
      </w:r>
    </w:p>
    <w:p w14:paraId="32D17D94"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4A2A48">
        <w:rPr>
          <w:rFonts w:ascii="Times New Roman" w:hAnsi="Times New Roman"/>
          <w:noProof/>
          <w:lang w:val="de-DE"/>
        </w:rPr>
        <w:t xml:space="preserve">Baumgartner, K. T., Ernst, C. A., &amp; Fischer, T. M. (2022). </w:t>
      </w:r>
      <w:r w:rsidRPr="00977158">
        <w:rPr>
          <w:rFonts w:ascii="Times New Roman" w:hAnsi="Times New Roman"/>
          <w:noProof/>
        </w:rPr>
        <w:t xml:space="preserve">How Corporate Reputation Disclosures Affect Stakeholders’ Behavioral Intentions: Mediating Mechanisms of Perceived Organizational Performance and Corporate Reputation. </w:t>
      </w:r>
      <w:r w:rsidRPr="00977158">
        <w:rPr>
          <w:rFonts w:ascii="Times New Roman" w:hAnsi="Times New Roman"/>
          <w:i/>
          <w:iCs/>
          <w:noProof/>
        </w:rPr>
        <w:t>Journal of Business Ethics</w:t>
      </w:r>
      <w:r w:rsidRPr="00977158">
        <w:rPr>
          <w:rFonts w:ascii="Times New Roman" w:hAnsi="Times New Roman"/>
          <w:noProof/>
        </w:rPr>
        <w:t xml:space="preserve">, </w:t>
      </w:r>
      <w:r w:rsidRPr="00977158">
        <w:rPr>
          <w:rFonts w:ascii="Times New Roman" w:hAnsi="Times New Roman"/>
          <w:i/>
          <w:iCs/>
          <w:noProof/>
        </w:rPr>
        <w:t>175</w:t>
      </w:r>
      <w:r w:rsidRPr="00977158">
        <w:rPr>
          <w:rFonts w:ascii="Times New Roman" w:hAnsi="Times New Roman"/>
          <w:noProof/>
        </w:rPr>
        <w:t>(2), 361–389. https://doi.org/10.1007/s10551-020-04642-x</w:t>
      </w:r>
    </w:p>
    <w:p w14:paraId="29CB53E9"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Beracha, E., Feng, Z., &amp; Hardin, W. G. (2019). REIT Operational Efficiency: Performance, Risk, and Return. </w:t>
      </w:r>
      <w:r w:rsidRPr="00977158">
        <w:rPr>
          <w:rFonts w:ascii="Times New Roman" w:hAnsi="Times New Roman"/>
          <w:i/>
          <w:iCs/>
          <w:noProof/>
        </w:rPr>
        <w:t>J Real Estate Finan Econ</w:t>
      </w:r>
      <w:r w:rsidRPr="00977158">
        <w:rPr>
          <w:rFonts w:ascii="Times New Roman" w:hAnsi="Times New Roman"/>
          <w:noProof/>
        </w:rPr>
        <w:t xml:space="preserve">, </w:t>
      </w:r>
      <w:r w:rsidRPr="00977158">
        <w:rPr>
          <w:rFonts w:ascii="Times New Roman" w:hAnsi="Times New Roman"/>
          <w:i/>
          <w:iCs/>
          <w:noProof/>
        </w:rPr>
        <w:t>58</w:t>
      </w:r>
      <w:r w:rsidRPr="00977158">
        <w:rPr>
          <w:rFonts w:ascii="Times New Roman" w:hAnsi="Times New Roman"/>
          <w:noProof/>
        </w:rPr>
        <w:t>, 408–437. https://doi.org/10.1007/s11146-018-9655-2</w:t>
      </w:r>
    </w:p>
    <w:p w14:paraId="785ECD82"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Birz, G., Devos, E., Dutta, S., &amp; Tsang, D. (2021). Is Good News Good and Bad News Bad in the REIT Market? </w:t>
      </w:r>
      <w:r w:rsidRPr="00977158">
        <w:rPr>
          <w:rFonts w:ascii="Times New Roman" w:hAnsi="Times New Roman"/>
          <w:i/>
          <w:iCs/>
          <w:noProof/>
        </w:rPr>
        <w:t>Journal of Real Estate Portfolio Management</w:t>
      </w:r>
      <w:r w:rsidRPr="00977158">
        <w:rPr>
          <w:rFonts w:ascii="Times New Roman" w:hAnsi="Times New Roman"/>
          <w:noProof/>
        </w:rPr>
        <w:t xml:space="preserve">, </w:t>
      </w:r>
      <w:r w:rsidRPr="00977158">
        <w:rPr>
          <w:rFonts w:ascii="Times New Roman" w:hAnsi="Times New Roman"/>
          <w:i/>
          <w:iCs/>
          <w:noProof/>
        </w:rPr>
        <w:t>27</w:t>
      </w:r>
      <w:r w:rsidRPr="00977158">
        <w:rPr>
          <w:rFonts w:ascii="Times New Roman" w:hAnsi="Times New Roman"/>
          <w:noProof/>
        </w:rPr>
        <w:t>(1), 43–62. https://doi.org/10.1080/10835547.2021.1967689</w:t>
      </w:r>
    </w:p>
    <w:p w14:paraId="67FEF972" w14:textId="77777777" w:rsidR="00977158" w:rsidRPr="004A2A48" w:rsidRDefault="00977158" w:rsidP="00977158">
      <w:pPr>
        <w:widowControl w:val="0"/>
        <w:autoSpaceDE w:val="0"/>
        <w:autoSpaceDN w:val="0"/>
        <w:adjustRightInd w:val="0"/>
        <w:ind w:left="480" w:hanging="480"/>
        <w:rPr>
          <w:rFonts w:ascii="Times New Roman" w:hAnsi="Times New Roman"/>
          <w:noProof/>
          <w:lang w:val="nl-NL"/>
        </w:rPr>
      </w:pPr>
      <w:r w:rsidRPr="00977158">
        <w:rPr>
          <w:rFonts w:ascii="Times New Roman" w:hAnsi="Times New Roman"/>
          <w:noProof/>
        </w:rPr>
        <w:t xml:space="preserve">Blajer-Gołębiewska, A. (2021). Individual corporate reputation and perception of collective corporate reputation regarding stock market investments. </w:t>
      </w:r>
      <w:r w:rsidRPr="004A2A48">
        <w:rPr>
          <w:rFonts w:ascii="Times New Roman" w:hAnsi="Times New Roman"/>
          <w:i/>
          <w:iCs/>
          <w:noProof/>
          <w:lang w:val="nl-NL"/>
        </w:rPr>
        <w:t>PLoS ONE</w:t>
      </w:r>
      <w:r w:rsidRPr="004A2A48">
        <w:rPr>
          <w:rFonts w:ascii="Times New Roman" w:hAnsi="Times New Roman"/>
          <w:noProof/>
          <w:lang w:val="nl-NL"/>
        </w:rPr>
        <w:t xml:space="preserve">, </w:t>
      </w:r>
      <w:r w:rsidRPr="004A2A48">
        <w:rPr>
          <w:rFonts w:ascii="Times New Roman" w:hAnsi="Times New Roman"/>
          <w:i/>
          <w:iCs/>
          <w:noProof/>
          <w:lang w:val="nl-NL"/>
        </w:rPr>
        <w:t>16</w:t>
      </w:r>
      <w:r w:rsidRPr="004A2A48">
        <w:rPr>
          <w:rFonts w:ascii="Times New Roman" w:hAnsi="Times New Roman"/>
          <w:noProof/>
          <w:lang w:val="nl-NL"/>
        </w:rPr>
        <w:t>(9), 1–21. https://doi.org/10.1371/journal.pone.0257323</w:t>
      </w:r>
    </w:p>
    <w:p w14:paraId="3BB4891E"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4A2A48">
        <w:rPr>
          <w:rFonts w:ascii="Times New Roman" w:hAnsi="Times New Roman"/>
          <w:noProof/>
          <w:lang w:val="nl-NL"/>
        </w:rPr>
        <w:t xml:space="preserve">Budie, B., Appel-Meulenbroek, R., Kemperman, A., &amp; Weijs-Perree, M. (2019). </w:t>
      </w:r>
      <w:r w:rsidRPr="00977158">
        <w:rPr>
          <w:rFonts w:ascii="Times New Roman" w:hAnsi="Times New Roman"/>
          <w:noProof/>
        </w:rPr>
        <w:t xml:space="preserve">Employee satisfaction with the physical work environment: The importance of a need based approach. </w:t>
      </w:r>
      <w:r w:rsidRPr="00977158">
        <w:rPr>
          <w:rFonts w:ascii="Times New Roman" w:hAnsi="Times New Roman"/>
          <w:i/>
          <w:iCs/>
          <w:noProof/>
        </w:rPr>
        <w:t>International Journal of Strategic Property Management</w:t>
      </w:r>
      <w:r w:rsidRPr="00977158">
        <w:rPr>
          <w:rFonts w:ascii="Times New Roman" w:hAnsi="Times New Roman"/>
          <w:noProof/>
        </w:rPr>
        <w:t xml:space="preserve">, </w:t>
      </w:r>
      <w:r w:rsidRPr="00977158">
        <w:rPr>
          <w:rFonts w:ascii="Times New Roman" w:hAnsi="Times New Roman"/>
          <w:i/>
          <w:iCs/>
          <w:noProof/>
        </w:rPr>
        <w:t>23</w:t>
      </w:r>
      <w:r w:rsidRPr="00977158">
        <w:rPr>
          <w:rFonts w:ascii="Times New Roman" w:hAnsi="Times New Roman"/>
          <w:noProof/>
        </w:rPr>
        <w:t>(1), 36–49. https://doi.org/10.3846/ijspm.2019.6372</w:t>
      </w:r>
    </w:p>
    <w:p w14:paraId="17FD23A9"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4A2A48">
        <w:rPr>
          <w:rFonts w:ascii="Times New Roman" w:hAnsi="Times New Roman"/>
          <w:noProof/>
          <w:lang w:val="de-DE"/>
        </w:rPr>
        <w:t xml:space="preserve">Chacon, R. G., Feng, Z., &amp; Wu, Z. (2024). </w:t>
      </w:r>
      <w:r w:rsidRPr="00977158">
        <w:rPr>
          <w:rFonts w:ascii="Times New Roman" w:hAnsi="Times New Roman"/>
          <w:noProof/>
        </w:rPr>
        <w:t xml:space="preserve">Does Investing in ESG Pay Off? Evidence from REITs. </w:t>
      </w:r>
      <w:r w:rsidRPr="00977158">
        <w:rPr>
          <w:rFonts w:ascii="Times New Roman" w:hAnsi="Times New Roman"/>
          <w:i/>
          <w:iCs/>
          <w:noProof/>
        </w:rPr>
        <w:t>Journal of Real Estate Finance and Economics</w:t>
      </w:r>
      <w:r w:rsidRPr="00977158">
        <w:rPr>
          <w:rFonts w:ascii="Times New Roman" w:hAnsi="Times New Roman"/>
          <w:noProof/>
        </w:rPr>
        <w:t xml:space="preserve">, </w:t>
      </w:r>
      <w:r w:rsidRPr="00977158">
        <w:rPr>
          <w:rFonts w:ascii="Times New Roman" w:hAnsi="Times New Roman"/>
          <w:i/>
          <w:iCs/>
          <w:noProof/>
        </w:rPr>
        <w:t>January</w:t>
      </w:r>
      <w:r w:rsidRPr="00977158">
        <w:rPr>
          <w:rFonts w:ascii="Times New Roman" w:hAnsi="Times New Roman"/>
          <w:noProof/>
        </w:rPr>
        <w:t>. https://doi.org/10.1007/s11146-024-09979-y</w:t>
      </w:r>
    </w:p>
    <w:p w14:paraId="654DC31D"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Chi, C. G., &amp; Gursoy, D. (2009). Employee satisfaction, customer satisfaction, and financial performance: An empirical examination. </w:t>
      </w:r>
      <w:r w:rsidRPr="00977158">
        <w:rPr>
          <w:rFonts w:ascii="Times New Roman" w:hAnsi="Times New Roman"/>
          <w:i/>
          <w:iCs/>
          <w:noProof/>
        </w:rPr>
        <w:t>International Journal of Hospitality Management</w:t>
      </w:r>
      <w:r w:rsidRPr="00977158">
        <w:rPr>
          <w:rFonts w:ascii="Times New Roman" w:hAnsi="Times New Roman"/>
          <w:noProof/>
        </w:rPr>
        <w:t xml:space="preserve">, </w:t>
      </w:r>
      <w:r w:rsidRPr="00977158">
        <w:rPr>
          <w:rFonts w:ascii="Times New Roman" w:hAnsi="Times New Roman"/>
          <w:i/>
          <w:iCs/>
          <w:noProof/>
        </w:rPr>
        <w:t>28</w:t>
      </w:r>
      <w:r w:rsidRPr="00977158">
        <w:rPr>
          <w:rFonts w:ascii="Times New Roman" w:hAnsi="Times New Roman"/>
          <w:noProof/>
        </w:rPr>
        <w:t>(2), 245–253. https://doi.org/10.1016/j.ijhm.2008.08.003</w:t>
      </w:r>
    </w:p>
    <w:p w14:paraId="73431CA1"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Chong, W. L., Ting, K. H., &amp; Cheng, F. F. (2017). The performance of externally managed REITs in Asia: Further evidence from free cash flow and agency costs. </w:t>
      </w:r>
      <w:r w:rsidRPr="00977158">
        <w:rPr>
          <w:rFonts w:ascii="Times New Roman" w:hAnsi="Times New Roman"/>
          <w:i/>
          <w:iCs/>
          <w:noProof/>
        </w:rPr>
        <w:t>Journal of Property Investment and Finance</w:t>
      </w:r>
      <w:r w:rsidRPr="00977158">
        <w:rPr>
          <w:rFonts w:ascii="Times New Roman" w:hAnsi="Times New Roman"/>
          <w:noProof/>
        </w:rPr>
        <w:t xml:space="preserve">, </w:t>
      </w:r>
      <w:r w:rsidRPr="00977158">
        <w:rPr>
          <w:rFonts w:ascii="Times New Roman" w:hAnsi="Times New Roman"/>
          <w:i/>
          <w:iCs/>
          <w:noProof/>
        </w:rPr>
        <w:t>35</w:t>
      </w:r>
      <w:r w:rsidRPr="00977158">
        <w:rPr>
          <w:rFonts w:ascii="Times New Roman" w:hAnsi="Times New Roman"/>
          <w:noProof/>
        </w:rPr>
        <w:t>(2), 200–227. https://doi.org/10.1108/JPIF-08-2016-0067</w:t>
      </w:r>
    </w:p>
    <w:p w14:paraId="70AE384F"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Edmans, A. (2011). Does the stock market fully value intangibles? Employee satisfaction and equity prices. </w:t>
      </w:r>
      <w:r w:rsidRPr="00977158">
        <w:rPr>
          <w:rFonts w:ascii="Times New Roman" w:hAnsi="Times New Roman"/>
          <w:i/>
          <w:iCs/>
          <w:noProof/>
        </w:rPr>
        <w:t>Journal of Financial Economics</w:t>
      </w:r>
      <w:r w:rsidRPr="00977158">
        <w:rPr>
          <w:rFonts w:ascii="Times New Roman" w:hAnsi="Times New Roman"/>
          <w:noProof/>
        </w:rPr>
        <w:t xml:space="preserve">, </w:t>
      </w:r>
      <w:r w:rsidRPr="00977158">
        <w:rPr>
          <w:rFonts w:ascii="Times New Roman" w:hAnsi="Times New Roman"/>
          <w:i/>
          <w:iCs/>
          <w:noProof/>
        </w:rPr>
        <w:t>101</w:t>
      </w:r>
      <w:r w:rsidRPr="00977158">
        <w:rPr>
          <w:rFonts w:ascii="Times New Roman" w:hAnsi="Times New Roman"/>
          <w:noProof/>
        </w:rPr>
        <w:t>(3), 621–640. https://doi.org/10.1016/j.jfineco.2011.03.021</w:t>
      </w:r>
    </w:p>
    <w:p w14:paraId="66B31739"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Edmans, A., Pu, D., Zhang, C., &amp; Li, L. (2023). Employee Satisfaction, Labor Market Flexibility, and Stock Returns Around the World. </w:t>
      </w:r>
      <w:r w:rsidRPr="00977158">
        <w:rPr>
          <w:rFonts w:ascii="Times New Roman" w:hAnsi="Times New Roman"/>
          <w:i/>
          <w:iCs/>
          <w:noProof/>
        </w:rPr>
        <w:t>Management Science</w:t>
      </w:r>
      <w:r w:rsidRPr="00977158">
        <w:rPr>
          <w:rFonts w:ascii="Times New Roman" w:hAnsi="Times New Roman"/>
          <w:noProof/>
        </w:rPr>
        <w:t xml:space="preserve">, </w:t>
      </w:r>
      <w:r w:rsidRPr="00977158">
        <w:rPr>
          <w:rFonts w:ascii="Times New Roman" w:hAnsi="Times New Roman"/>
          <w:i/>
          <w:iCs/>
          <w:noProof/>
        </w:rPr>
        <w:t>April 2024</w:t>
      </w:r>
      <w:r w:rsidRPr="00977158">
        <w:rPr>
          <w:rFonts w:ascii="Times New Roman" w:hAnsi="Times New Roman"/>
          <w:noProof/>
        </w:rPr>
        <w:t>, 0–24. https://doi.org/10.1287/mnsc.2023.4889</w:t>
      </w:r>
    </w:p>
    <w:p w14:paraId="7F8ECE87"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Faleye, O., &amp; Trahan, E. A. (2011). Labor-Friendly Corporate Practices: Is What is Good for Employees Good for Shareholders? </w:t>
      </w:r>
      <w:r w:rsidRPr="00977158">
        <w:rPr>
          <w:rFonts w:ascii="Times New Roman" w:hAnsi="Times New Roman"/>
          <w:i/>
          <w:iCs/>
          <w:noProof/>
        </w:rPr>
        <w:t>Journal of Business Ethics</w:t>
      </w:r>
      <w:r w:rsidRPr="00977158">
        <w:rPr>
          <w:rFonts w:ascii="Times New Roman" w:hAnsi="Times New Roman"/>
          <w:noProof/>
        </w:rPr>
        <w:t xml:space="preserve">, </w:t>
      </w:r>
      <w:r w:rsidRPr="00977158">
        <w:rPr>
          <w:rFonts w:ascii="Times New Roman" w:hAnsi="Times New Roman"/>
          <w:i/>
          <w:iCs/>
          <w:noProof/>
        </w:rPr>
        <w:t>101</w:t>
      </w:r>
      <w:r w:rsidRPr="00977158">
        <w:rPr>
          <w:rFonts w:ascii="Times New Roman" w:hAnsi="Times New Roman"/>
          <w:noProof/>
        </w:rPr>
        <w:t>(1), 1–27. https://doi.org/10.1007/s10551-010-0705-9</w:t>
      </w:r>
    </w:p>
    <w:p w14:paraId="249615AB"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Hu, M., Kok, N., &amp; Palacios, J. (2024). Tenant Satisfaction and Commercial Building Performance. </w:t>
      </w:r>
      <w:r w:rsidRPr="00977158">
        <w:rPr>
          <w:rFonts w:ascii="Times New Roman" w:hAnsi="Times New Roman"/>
          <w:i/>
          <w:iCs/>
          <w:noProof/>
        </w:rPr>
        <w:t>SSRN Electronic Journal</w:t>
      </w:r>
      <w:r w:rsidRPr="00977158">
        <w:rPr>
          <w:rFonts w:ascii="Times New Roman" w:hAnsi="Times New Roman"/>
          <w:noProof/>
        </w:rPr>
        <w:t xml:space="preserve">, </w:t>
      </w:r>
      <w:r w:rsidRPr="00977158">
        <w:rPr>
          <w:rFonts w:ascii="Times New Roman" w:hAnsi="Times New Roman"/>
          <w:i/>
          <w:iCs/>
          <w:noProof/>
        </w:rPr>
        <w:t>24</w:t>
      </w:r>
      <w:r w:rsidRPr="00977158">
        <w:rPr>
          <w:rFonts w:ascii="Times New Roman" w:hAnsi="Times New Roman"/>
          <w:noProof/>
        </w:rPr>
        <w:t>. https://doi.org/10.2139/ssrn.4721577</w:t>
      </w:r>
    </w:p>
    <w:p w14:paraId="2CCA0814"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Jamal Ali, B., &amp; Anwar, G. (2021). An Empirical Study of Employees’ Motivation and its Influence Job Satisfaction. </w:t>
      </w:r>
      <w:r w:rsidRPr="00977158">
        <w:rPr>
          <w:rFonts w:ascii="Times New Roman" w:hAnsi="Times New Roman"/>
          <w:i/>
          <w:iCs/>
          <w:noProof/>
        </w:rPr>
        <w:t>International Journal of Engineering, Business and Management</w:t>
      </w:r>
      <w:r w:rsidRPr="00977158">
        <w:rPr>
          <w:rFonts w:ascii="Times New Roman" w:hAnsi="Times New Roman"/>
          <w:noProof/>
        </w:rPr>
        <w:t xml:space="preserve">, </w:t>
      </w:r>
      <w:r w:rsidRPr="00977158">
        <w:rPr>
          <w:rFonts w:ascii="Times New Roman" w:hAnsi="Times New Roman"/>
          <w:i/>
          <w:iCs/>
          <w:noProof/>
        </w:rPr>
        <w:t>5</w:t>
      </w:r>
      <w:r w:rsidRPr="00977158">
        <w:rPr>
          <w:rFonts w:ascii="Times New Roman" w:hAnsi="Times New Roman"/>
          <w:noProof/>
        </w:rPr>
        <w:t>(2), 21–30. https://doi.org/10.22161/ijebm.5.2.3</w:t>
      </w:r>
    </w:p>
    <w:p w14:paraId="5DA4C1A1"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Javed, M., Balouch, R., &amp; Hassan, F. (2014). Determinants of Job Satisfaction and its Impact on Employee Performance and Turnover Intentions. </w:t>
      </w:r>
      <w:r w:rsidRPr="00977158">
        <w:rPr>
          <w:rFonts w:ascii="Times New Roman" w:hAnsi="Times New Roman"/>
          <w:i/>
          <w:iCs/>
          <w:noProof/>
        </w:rPr>
        <w:t>International Journal of Learning and Development</w:t>
      </w:r>
      <w:r w:rsidRPr="00977158">
        <w:rPr>
          <w:rFonts w:ascii="Times New Roman" w:hAnsi="Times New Roman"/>
          <w:noProof/>
        </w:rPr>
        <w:t xml:space="preserve">, </w:t>
      </w:r>
      <w:r w:rsidRPr="00977158">
        <w:rPr>
          <w:rFonts w:ascii="Times New Roman" w:hAnsi="Times New Roman"/>
          <w:i/>
          <w:iCs/>
          <w:noProof/>
        </w:rPr>
        <w:t>4</w:t>
      </w:r>
      <w:r w:rsidRPr="00977158">
        <w:rPr>
          <w:rFonts w:ascii="Times New Roman" w:hAnsi="Times New Roman"/>
          <w:noProof/>
        </w:rPr>
        <w:t>(2), 120–140. https://doi.org/10.5296/ijld.v4i2.6094</w:t>
      </w:r>
    </w:p>
    <w:p w14:paraId="14A51994"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Kessler, S. R., Lucianetti, L., Pindek, S., Zhu, Z., &amp; Spector, P. E. (2020). Job satisfaction and firm performance: Can employees’ job satisfaction change the trajectory of a firm’s performance? </w:t>
      </w:r>
      <w:r w:rsidRPr="00977158">
        <w:rPr>
          <w:rFonts w:ascii="Times New Roman" w:hAnsi="Times New Roman"/>
          <w:i/>
          <w:iCs/>
          <w:noProof/>
        </w:rPr>
        <w:t>Journal of Applied Social Psychology</w:t>
      </w:r>
      <w:r w:rsidRPr="00977158">
        <w:rPr>
          <w:rFonts w:ascii="Times New Roman" w:hAnsi="Times New Roman"/>
          <w:noProof/>
        </w:rPr>
        <w:t xml:space="preserve">, </w:t>
      </w:r>
      <w:r w:rsidRPr="00977158">
        <w:rPr>
          <w:rFonts w:ascii="Times New Roman" w:hAnsi="Times New Roman"/>
          <w:i/>
          <w:iCs/>
          <w:noProof/>
        </w:rPr>
        <w:t>50</w:t>
      </w:r>
      <w:r w:rsidRPr="00977158">
        <w:rPr>
          <w:rFonts w:ascii="Times New Roman" w:hAnsi="Times New Roman"/>
          <w:noProof/>
        </w:rPr>
        <w:t>(10), 563–572. https://doi.org/10.1111/jasp.12695</w:t>
      </w:r>
    </w:p>
    <w:p w14:paraId="1CD2FF4F"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Kholodilin, K. A. (2024). Rent control effects through the lens of empirical research: An almost complete review of the literature. </w:t>
      </w:r>
      <w:r w:rsidRPr="00977158">
        <w:rPr>
          <w:rFonts w:ascii="Times New Roman" w:hAnsi="Times New Roman"/>
          <w:i/>
          <w:iCs/>
          <w:noProof/>
        </w:rPr>
        <w:t>Journal of Housing Economics</w:t>
      </w:r>
      <w:r w:rsidRPr="00977158">
        <w:rPr>
          <w:rFonts w:ascii="Times New Roman" w:hAnsi="Times New Roman"/>
          <w:noProof/>
        </w:rPr>
        <w:t xml:space="preserve">, </w:t>
      </w:r>
      <w:r w:rsidRPr="00977158">
        <w:rPr>
          <w:rFonts w:ascii="Times New Roman" w:hAnsi="Times New Roman"/>
          <w:i/>
          <w:iCs/>
          <w:noProof/>
        </w:rPr>
        <w:t>63</w:t>
      </w:r>
      <w:r w:rsidRPr="00977158">
        <w:rPr>
          <w:rFonts w:ascii="Times New Roman" w:hAnsi="Times New Roman"/>
          <w:noProof/>
        </w:rPr>
        <w:t>, 101983. https://doi.org/10.1016/j.jhe.2024.101983</w:t>
      </w:r>
    </w:p>
    <w:p w14:paraId="65994A8B"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Kräussl, R., Oladiran, T., &amp; Stefanova, D. (2024). A review on ESG investing: Investors’ expectations, beliefs and perceptions. </w:t>
      </w:r>
      <w:r w:rsidRPr="00977158">
        <w:rPr>
          <w:rFonts w:ascii="Times New Roman" w:hAnsi="Times New Roman"/>
          <w:i/>
          <w:iCs/>
          <w:noProof/>
        </w:rPr>
        <w:t>Journal of Economic Surveys</w:t>
      </w:r>
      <w:r w:rsidRPr="00977158">
        <w:rPr>
          <w:rFonts w:ascii="Times New Roman" w:hAnsi="Times New Roman"/>
          <w:noProof/>
        </w:rPr>
        <w:t xml:space="preserve">, </w:t>
      </w:r>
      <w:r w:rsidRPr="00977158">
        <w:rPr>
          <w:rFonts w:ascii="Times New Roman" w:hAnsi="Times New Roman"/>
          <w:i/>
          <w:iCs/>
          <w:noProof/>
        </w:rPr>
        <w:t>38</w:t>
      </w:r>
      <w:r w:rsidRPr="00977158">
        <w:rPr>
          <w:rFonts w:ascii="Times New Roman" w:hAnsi="Times New Roman"/>
          <w:noProof/>
        </w:rPr>
        <w:t>, 476–502. https://doi.org/10.1111/joes.12599</w:t>
      </w:r>
    </w:p>
    <w:p w14:paraId="44CDB653"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Leder, S., Newsham, G., Veitch, A., Mancini, S., &amp; Charles, K. (2016). Effects of office environment on employee satisfaction : a new analysis. </w:t>
      </w:r>
      <w:r w:rsidRPr="00977158">
        <w:rPr>
          <w:rFonts w:ascii="Times New Roman" w:hAnsi="Times New Roman"/>
          <w:i/>
          <w:iCs/>
          <w:noProof/>
        </w:rPr>
        <w:t>Building Research and Information</w:t>
      </w:r>
      <w:r w:rsidRPr="00977158">
        <w:rPr>
          <w:rFonts w:ascii="Times New Roman" w:hAnsi="Times New Roman"/>
          <w:noProof/>
        </w:rPr>
        <w:t xml:space="preserve">, </w:t>
      </w:r>
      <w:r w:rsidRPr="00977158">
        <w:rPr>
          <w:rFonts w:ascii="Times New Roman" w:hAnsi="Times New Roman"/>
          <w:i/>
          <w:iCs/>
          <w:noProof/>
        </w:rPr>
        <w:t>44</w:t>
      </w:r>
      <w:r w:rsidRPr="00977158">
        <w:rPr>
          <w:rFonts w:ascii="Times New Roman" w:hAnsi="Times New Roman"/>
          <w:noProof/>
        </w:rPr>
        <w:t>(1), 34–50. https://doi.org/10.1080/09613218.2014.1003176</w:t>
      </w:r>
    </w:p>
    <w:p w14:paraId="22D86359"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Lim, P., &amp; Parker, A. (2020). Employee Turnover. </w:t>
      </w:r>
      <w:r w:rsidRPr="00977158">
        <w:rPr>
          <w:rFonts w:ascii="Times New Roman" w:hAnsi="Times New Roman"/>
          <w:i/>
          <w:iCs/>
          <w:noProof/>
        </w:rPr>
        <w:t>Mentoring Millennials in an Asian Context</w:t>
      </w:r>
      <w:r w:rsidRPr="00977158">
        <w:rPr>
          <w:rFonts w:ascii="Times New Roman" w:hAnsi="Times New Roman"/>
          <w:noProof/>
        </w:rPr>
        <w:t>, 35–43. https://doi.org/https://doi.org/10.1108/978-1-78973-483-620201006</w:t>
      </w:r>
    </w:p>
    <w:p w14:paraId="626814F6"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4A2A48">
        <w:rPr>
          <w:rFonts w:ascii="Times New Roman" w:hAnsi="Times New Roman"/>
          <w:noProof/>
          <w:lang w:val="de-DE"/>
        </w:rPr>
        <w:t xml:space="preserve">Lin, C. Y., &amp; Huang, C. K. (2021). </w:t>
      </w:r>
      <w:r w:rsidRPr="00977158">
        <w:rPr>
          <w:rFonts w:ascii="Times New Roman" w:hAnsi="Times New Roman"/>
          <w:noProof/>
        </w:rPr>
        <w:t xml:space="preserve">Employee turnover intentions and job performance from a planned change: the effects of an organizational learning culture and job satisfaction. </w:t>
      </w:r>
      <w:r w:rsidRPr="00977158">
        <w:rPr>
          <w:rFonts w:ascii="Times New Roman" w:hAnsi="Times New Roman"/>
          <w:i/>
          <w:iCs/>
          <w:noProof/>
        </w:rPr>
        <w:t>International Journal of Manpower</w:t>
      </w:r>
      <w:r w:rsidRPr="00977158">
        <w:rPr>
          <w:rFonts w:ascii="Times New Roman" w:hAnsi="Times New Roman"/>
          <w:noProof/>
        </w:rPr>
        <w:t xml:space="preserve">, </w:t>
      </w:r>
      <w:r w:rsidRPr="00977158">
        <w:rPr>
          <w:rFonts w:ascii="Times New Roman" w:hAnsi="Times New Roman"/>
          <w:i/>
          <w:iCs/>
          <w:noProof/>
        </w:rPr>
        <w:t>42</w:t>
      </w:r>
      <w:r w:rsidRPr="00977158">
        <w:rPr>
          <w:rFonts w:ascii="Times New Roman" w:hAnsi="Times New Roman"/>
          <w:noProof/>
        </w:rPr>
        <w:t>(3), 409–423. https://doi.org/10.1108/IJM-08-2018-0281</w:t>
      </w:r>
    </w:p>
    <w:p w14:paraId="4DF91415"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Naseem, A., Ejaz Sheikh, S., &amp; Malik GPHR, K. P. (2011). Impact of Employee Satisfaction on Success of Organization: Relation between Customer Experience and Employee Satisfaction. </w:t>
      </w:r>
      <w:r w:rsidRPr="00977158">
        <w:rPr>
          <w:rFonts w:ascii="Times New Roman" w:hAnsi="Times New Roman"/>
          <w:i/>
          <w:iCs/>
          <w:noProof/>
        </w:rPr>
        <w:t>International Journal of Multidisciplinary Sciences and Engineering</w:t>
      </w:r>
      <w:r w:rsidRPr="00977158">
        <w:rPr>
          <w:rFonts w:ascii="Times New Roman" w:hAnsi="Times New Roman"/>
          <w:noProof/>
        </w:rPr>
        <w:t xml:space="preserve">, </w:t>
      </w:r>
      <w:r w:rsidRPr="00977158">
        <w:rPr>
          <w:rFonts w:ascii="Times New Roman" w:hAnsi="Times New Roman"/>
          <w:i/>
          <w:iCs/>
          <w:noProof/>
        </w:rPr>
        <w:t>2</w:t>
      </w:r>
      <w:r w:rsidRPr="00977158">
        <w:rPr>
          <w:rFonts w:ascii="Times New Roman" w:hAnsi="Times New Roman"/>
          <w:noProof/>
        </w:rPr>
        <w:t>(5), 41–46. www.ijmse.org</w:t>
      </w:r>
    </w:p>
    <w:p w14:paraId="678446FD"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Newell, G. (2023). Real Estate Insights The increasing importance of the “S” dimension in ESG. </w:t>
      </w:r>
      <w:r w:rsidRPr="00977158">
        <w:rPr>
          <w:rFonts w:ascii="Times New Roman" w:hAnsi="Times New Roman"/>
          <w:i/>
          <w:iCs/>
          <w:noProof/>
        </w:rPr>
        <w:t>Journal of Property Investment and Finance</w:t>
      </w:r>
      <w:r w:rsidRPr="00977158">
        <w:rPr>
          <w:rFonts w:ascii="Times New Roman" w:hAnsi="Times New Roman"/>
          <w:noProof/>
        </w:rPr>
        <w:t xml:space="preserve">, </w:t>
      </w:r>
      <w:r w:rsidRPr="00977158">
        <w:rPr>
          <w:rFonts w:ascii="Times New Roman" w:hAnsi="Times New Roman"/>
          <w:i/>
          <w:iCs/>
          <w:noProof/>
        </w:rPr>
        <w:t>41</w:t>
      </w:r>
      <w:r w:rsidRPr="00977158">
        <w:rPr>
          <w:rFonts w:ascii="Times New Roman" w:hAnsi="Times New Roman"/>
          <w:noProof/>
        </w:rPr>
        <w:t>(4), 453–459. https://doi.org/10.1108/JPIF-01-2023-0003</w:t>
      </w:r>
    </w:p>
    <w:p w14:paraId="58A43E30"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Newell, G., Nanda, A., &amp; Moss, A. (2023). Improving the benchmarking of ESG in real estate investment. </w:t>
      </w:r>
      <w:r w:rsidRPr="00977158">
        <w:rPr>
          <w:rFonts w:ascii="Times New Roman" w:hAnsi="Times New Roman"/>
          <w:i/>
          <w:iCs/>
          <w:noProof/>
        </w:rPr>
        <w:t>Journal of Property Investment and Finance</w:t>
      </w:r>
      <w:r w:rsidRPr="00977158">
        <w:rPr>
          <w:rFonts w:ascii="Times New Roman" w:hAnsi="Times New Roman"/>
          <w:noProof/>
        </w:rPr>
        <w:t xml:space="preserve">, </w:t>
      </w:r>
      <w:r w:rsidRPr="00977158">
        <w:rPr>
          <w:rFonts w:ascii="Times New Roman" w:hAnsi="Times New Roman"/>
          <w:i/>
          <w:iCs/>
          <w:noProof/>
        </w:rPr>
        <w:t>41</w:t>
      </w:r>
      <w:r w:rsidRPr="00977158">
        <w:rPr>
          <w:rFonts w:ascii="Times New Roman" w:hAnsi="Times New Roman"/>
          <w:noProof/>
        </w:rPr>
        <w:t>(4), 380–405. https://doi.org/10.1108/JPIF-10-2021-0084</w:t>
      </w:r>
    </w:p>
    <w:p w14:paraId="2FF28EF4"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Pacheco, R., Ordóñez, J., &amp; Martínez, G. (2012). Energy efficient design of building: A review. </w:t>
      </w:r>
      <w:r w:rsidRPr="00977158">
        <w:rPr>
          <w:rFonts w:ascii="Times New Roman" w:hAnsi="Times New Roman"/>
          <w:i/>
          <w:iCs/>
          <w:noProof/>
        </w:rPr>
        <w:t>Renewable and Sustainable Energy Reviews</w:t>
      </w:r>
      <w:r w:rsidRPr="00977158">
        <w:rPr>
          <w:rFonts w:ascii="Times New Roman" w:hAnsi="Times New Roman"/>
          <w:noProof/>
        </w:rPr>
        <w:t xml:space="preserve">, </w:t>
      </w:r>
      <w:r w:rsidRPr="00977158">
        <w:rPr>
          <w:rFonts w:ascii="Times New Roman" w:hAnsi="Times New Roman"/>
          <w:i/>
          <w:iCs/>
          <w:noProof/>
        </w:rPr>
        <w:t>16</w:t>
      </w:r>
      <w:r w:rsidRPr="00977158">
        <w:rPr>
          <w:rFonts w:ascii="Times New Roman" w:hAnsi="Times New Roman"/>
          <w:noProof/>
        </w:rPr>
        <w:t>, 3559–3573. https://doi.org/10.1016/j.rser.2012.03.045</w:t>
      </w:r>
    </w:p>
    <w:p w14:paraId="0763067A"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Plößl, F., Martin Paulus, N., &amp; Just, T. (2023). Trade vs. daily press: the role of news coverage and sentiment in real estate market analysis. </w:t>
      </w:r>
      <w:r w:rsidRPr="00977158">
        <w:rPr>
          <w:rFonts w:ascii="Times New Roman" w:hAnsi="Times New Roman"/>
          <w:i/>
          <w:iCs/>
          <w:noProof/>
        </w:rPr>
        <w:t>Journal of Property Research</w:t>
      </w:r>
      <w:r w:rsidRPr="00977158">
        <w:rPr>
          <w:rFonts w:ascii="Times New Roman" w:hAnsi="Times New Roman"/>
          <w:noProof/>
        </w:rPr>
        <w:t xml:space="preserve">, </w:t>
      </w:r>
      <w:r w:rsidRPr="00977158">
        <w:rPr>
          <w:rFonts w:ascii="Times New Roman" w:hAnsi="Times New Roman"/>
          <w:i/>
          <w:iCs/>
          <w:noProof/>
        </w:rPr>
        <w:t>40</w:t>
      </w:r>
      <w:r w:rsidRPr="00977158">
        <w:rPr>
          <w:rFonts w:ascii="Times New Roman" w:hAnsi="Times New Roman"/>
          <w:noProof/>
        </w:rPr>
        <w:t>(4), 333–364. https://doi.org/10.1080/09599916.2023.2199764</w:t>
      </w:r>
    </w:p>
    <w:p w14:paraId="7CFC3602"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Raimo, N., Caragnano, A., Zito, M., Vitolla, F., &amp; Mariani, M. (2021). Extending the benefits of ESG disclosure: The effect on the cost of debt financing. </w:t>
      </w:r>
      <w:r w:rsidRPr="00977158">
        <w:rPr>
          <w:rFonts w:ascii="Times New Roman" w:hAnsi="Times New Roman"/>
          <w:i/>
          <w:iCs/>
          <w:noProof/>
        </w:rPr>
        <w:t>Corporate Social Responsibility and Environmental Management</w:t>
      </w:r>
      <w:r w:rsidRPr="00977158">
        <w:rPr>
          <w:rFonts w:ascii="Times New Roman" w:hAnsi="Times New Roman"/>
          <w:noProof/>
        </w:rPr>
        <w:t xml:space="preserve">, </w:t>
      </w:r>
      <w:r w:rsidRPr="00977158">
        <w:rPr>
          <w:rFonts w:ascii="Times New Roman" w:hAnsi="Times New Roman"/>
          <w:i/>
          <w:iCs/>
          <w:noProof/>
        </w:rPr>
        <w:t>28</w:t>
      </w:r>
      <w:r w:rsidRPr="00977158">
        <w:rPr>
          <w:rFonts w:ascii="Times New Roman" w:hAnsi="Times New Roman"/>
          <w:noProof/>
        </w:rPr>
        <w:t>, 1412–1421. https://doi.org/10.1002/csr.2134</w:t>
      </w:r>
    </w:p>
    <w:p w14:paraId="72B0D3B3"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Repala, S. (2023). </w:t>
      </w:r>
      <w:r w:rsidRPr="00977158">
        <w:rPr>
          <w:rFonts w:ascii="Times New Roman" w:hAnsi="Times New Roman"/>
          <w:i/>
          <w:iCs/>
          <w:noProof/>
        </w:rPr>
        <w:t>Tackling Multicollinearity: Understanding Variance Inflation Factor (VIF) and Mitigation Techniques</w:t>
      </w:r>
      <w:r w:rsidRPr="00977158">
        <w:rPr>
          <w:rFonts w:ascii="Times New Roman" w:hAnsi="Times New Roman"/>
          <w:noProof/>
        </w:rPr>
        <w:t>. https://medium.com/@satyarepala/tackling-multicollinearity-understanding-variance-inflation-factor-vif-and-mitigation-techniques-2521ebf024b6</w:t>
      </w:r>
    </w:p>
    <w:p w14:paraId="04B6664D"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Rogelberg, S. G., Allen, J. A., Shanock, L., Scott, C., &amp; Shuffler, M. (2010). Employee satisfaction with meetings: A contemporary facet of job satisfaction. </w:t>
      </w:r>
      <w:r w:rsidRPr="00977158">
        <w:rPr>
          <w:rFonts w:ascii="Times New Roman" w:hAnsi="Times New Roman"/>
          <w:i/>
          <w:iCs/>
          <w:noProof/>
        </w:rPr>
        <w:t>Human Resource Management</w:t>
      </w:r>
      <w:r w:rsidRPr="00977158">
        <w:rPr>
          <w:rFonts w:ascii="Times New Roman" w:hAnsi="Times New Roman"/>
          <w:noProof/>
        </w:rPr>
        <w:t xml:space="preserve">, </w:t>
      </w:r>
      <w:r w:rsidRPr="00977158">
        <w:rPr>
          <w:rFonts w:ascii="Times New Roman" w:hAnsi="Times New Roman"/>
          <w:i/>
          <w:iCs/>
          <w:noProof/>
        </w:rPr>
        <w:t>49</w:t>
      </w:r>
      <w:r w:rsidRPr="00977158">
        <w:rPr>
          <w:rFonts w:ascii="Times New Roman" w:hAnsi="Times New Roman"/>
          <w:noProof/>
        </w:rPr>
        <w:t>(2), 149–172. https://doi.org/10.1002/hrm.20339</w:t>
      </w:r>
    </w:p>
    <w:p w14:paraId="647F5D94"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Saeed, A. (2021). The impact of employee friendly practices on dividend payments: Evidence from emerging economies. </w:t>
      </w:r>
      <w:r w:rsidRPr="00977158">
        <w:rPr>
          <w:rFonts w:ascii="Times New Roman" w:hAnsi="Times New Roman"/>
          <w:i/>
          <w:iCs/>
          <w:noProof/>
        </w:rPr>
        <w:t>Journal of Business Research</w:t>
      </w:r>
      <w:r w:rsidRPr="00977158">
        <w:rPr>
          <w:rFonts w:ascii="Times New Roman" w:hAnsi="Times New Roman"/>
          <w:noProof/>
        </w:rPr>
        <w:t xml:space="preserve">, </w:t>
      </w:r>
      <w:r w:rsidRPr="00977158">
        <w:rPr>
          <w:rFonts w:ascii="Times New Roman" w:hAnsi="Times New Roman"/>
          <w:i/>
          <w:iCs/>
          <w:noProof/>
        </w:rPr>
        <w:t>135</w:t>
      </w:r>
      <w:r w:rsidRPr="00977158">
        <w:rPr>
          <w:rFonts w:ascii="Times New Roman" w:hAnsi="Times New Roman"/>
          <w:noProof/>
        </w:rPr>
        <w:t>(June), 592–605. https://doi.org/10.1016/j.jbusres.2021.07.009</w:t>
      </w:r>
    </w:p>
    <w:p w14:paraId="0535ED28"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4A2A48">
        <w:rPr>
          <w:rFonts w:ascii="Times New Roman" w:hAnsi="Times New Roman"/>
          <w:noProof/>
          <w:lang w:val="de-DE"/>
        </w:rPr>
        <w:t xml:space="preserve">Samani, S. A., Rasid, S. Z. A., &amp; Sofian, S. bt. </w:t>
      </w:r>
      <w:r w:rsidRPr="00977158">
        <w:rPr>
          <w:rFonts w:ascii="Times New Roman" w:hAnsi="Times New Roman"/>
          <w:noProof/>
        </w:rPr>
        <w:t xml:space="preserve">(2015). Perceived Level of Personal Control Over the Work Environment and Employee Satisfaction and Work Performance. </w:t>
      </w:r>
      <w:r w:rsidRPr="00977158">
        <w:rPr>
          <w:rFonts w:ascii="Times New Roman" w:hAnsi="Times New Roman"/>
          <w:i/>
          <w:iCs/>
          <w:noProof/>
        </w:rPr>
        <w:t>Performance Improvement</w:t>
      </w:r>
      <w:r w:rsidRPr="00977158">
        <w:rPr>
          <w:rFonts w:ascii="Times New Roman" w:hAnsi="Times New Roman"/>
          <w:noProof/>
        </w:rPr>
        <w:t xml:space="preserve">, </w:t>
      </w:r>
      <w:r w:rsidRPr="00977158">
        <w:rPr>
          <w:rFonts w:ascii="Times New Roman" w:hAnsi="Times New Roman"/>
          <w:i/>
          <w:iCs/>
          <w:noProof/>
        </w:rPr>
        <w:t>54</w:t>
      </w:r>
      <w:r w:rsidRPr="00977158">
        <w:rPr>
          <w:rFonts w:ascii="Times New Roman" w:hAnsi="Times New Roman"/>
          <w:noProof/>
        </w:rPr>
        <w:t>(9), 28–35. https://doi.org/10.1002/pfi.21499</w:t>
      </w:r>
    </w:p>
    <w:p w14:paraId="00D7CAB6"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Sanderson, D. C., &amp; Read, D. C. (2020). Recognizing and realizing the value of customer-focused property management. </w:t>
      </w:r>
      <w:r w:rsidRPr="00977158">
        <w:rPr>
          <w:rFonts w:ascii="Times New Roman" w:hAnsi="Times New Roman"/>
          <w:i/>
          <w:iCs/>
          <w:noProof/>
        </w:rPr>
        <w:t>Property Management</w:t>
      </w:r>
      <w:r w:rsidRPr="00977158">
        <w:rPr>
          <w:rFonts w:ascii="Times New Roman" w:hAnsi="Times New Roman"/>
          <w:noProof/>
        </w:rPr>
        <w:t xml:space="preserve">, </w:t>
      </w:r>
      <w:r w:rsidRPr="00977158">
        <w:rPr>
          <w:rFonts w:ascii="Times New Roman" w:hAnsi="Times New Roman"/>
          <w:i/>
          <w:iCs/>
          <w:noProof/>
        </w:rPr>
        <w:t>38</w:t>
      </w:r>
      <w:r w:rsidRPr="00977158">
        <w:rPr>
          <w:rFonts w:ascii="Times New Roman" w:hAnsi="Times New Roman"/>
          <w:noProof/>
        </w:rPr>
        <w:t>(5), 749–764. https://doi.org/10.1108/PM-04-2020-0029</w:t>
      </w:r>
    </w:p>
    <w:p w14:paraId="71885DEA"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Scherrenberg, J., Wessels, P., &amp; Nelisse, P. (2024). </w:t>
      </w:r>
      <w:r w:rsidRPr="00977158">
        <w:rPr>
          <w:rFonts w:ascii="Times New Roman" w:hAnsi="Times New Roman"/>
          <w:i/>
          <w:iCs/>
          <w:noProof/>
        </w:rPr>
        <w:t>The future of real estate valuations: the impact of ESG</w:t>
      </w:r>
      <w:r w:rsidRPr="00977158">
        <w:rPr>
          <w:rFonts w:ascii="Times New Roman" w:hAnsi="Times New Roman"/>
          <w:noProof/>
        </w:rPr>
        <w:t xml:space="preserve"> (S. Birch (ed.); Issue January). https://www.rics.org/content/dam/ricsglobal/documents/latest-news/WBEF-ESG-and-valuation-2024.pdf</w:t>
      </w:r>
    </w:p>
    <w:p w14:paraId="1787C3E3"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4A2A48">
        <w:rPr>
          <w:rFonts w:ascii="Times New Roman" w:hAnsi="Times New Roman"/>
          <w:noProof/>
          <w:lang w:val="nl-NL"/>
        </w:rPr>
        <w:t xml:space="preserve">Souza, J. N. de, Fogaça, N., Souza, J. G. de M., &amp; Albuquerque, P. H. M. (2022). </w:t>
      </w:r>
      <w:r w:rsidRPr="00977158">
        <w:rPr>
          <w:rFonts w:ascii="Times New Roman" w:hAnsi="Times New Roman"/>
          <w:noProof/>
        </w:rPr>
        <w:t xml:space="preserve">Happiness and Wealth: Satisfaction, well-being, and ROA Relationship. </w:t>
      </w:r>
      <w:r w:rsidRPr="00977158">
        <w:rPr>
          <w:rFonts w:ascii="Times New Roman" w:hAnsi="Times New Roman"/>
          <w:i/>
          <w:iCs/>
          <w:noProof/>
        </w:rPr>
        <w:t>Revista Pensamento Contemporâneo Em Administração</w:t>
      </w:r>
      <w:r w:rsidRPr="00977158">
        <w:rPr>
          <w:rFonts w:ascii="Times New Roman" w:hAnsi="Times New Roman"/>
          <w:noProof/>
        </w:rPr>
        <w:t xml:space="preserve">, </w:t>
      </w:r>
      <w:r w:rsidRPr="00977158">
        <w:rPr>
          <w:rFonts w:ascii="Times New Roman" w:hAnsi="Times New Roman"/>
          <w:i/>
          <w:iCs/>
          <w:noProof/>
        </w:rPr>
        <w:t>16</w:t>
      </w:r>
      <w:r w:rsidRPr="00977158">
        <w:rPr>
          <w:rFonts w:ascii="Times New Roman" w:hAnsi="Times New Roman"/>
          <w:noProof/>
        </w:rPr>
        <w:t>(3), 40–54. https://doi.org/10.12712/rpca.v16i3.52420</w:t>
      </w:r>
    </w:p>
    <w:p w14:paraId="4E728D71"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United Nations Environment Programme. (2024). Global Status Report for Buildings and Construction: Beyond foundations: Mainstreaming sustainable solutions to cut emissions from the buildings sector. </w:t>
      </w:r>
      <w:r w:rsidRPr="00977158">
        <w:rPr>
          <w:rFonts w:ascii="Times New Roman" w:hAnsi="Times New Roman"/>
          <w:i/>
          <w:iCs/>
          <w:noProof/>
        </w:rPr>
        <w:t>Global Status Report for Buildings and Construction: Beyond Foundations: Mainstreaming Sustainable Solutions to Cut Emissions from the Buildings Sector.</w:t>
      </w:r>
      <w:r w:rsidRPr="00977158">
        <w:rPr>
          <w:rFonts w:ascii="Times New Roman" w:hAnsi="Times New Roman"/>
          <w:noProof/>
        </w:rPr>
        <w:t>, Nairobi. https://doi.org/10.59117/20.500.11822/45095</w:t>
      </w:r>
    </w:p>
    <w:p w14:paraId="1BA907D0"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4A2A48">
        <w:rPr>
          <w:rFonts w:ascii="Times New Roman" w:hAnsi="Times New Roman"/>
          <w:noProof/>
          <w:lang w:val="nl-NL"/>
        </w:rPr>
        <w:t xml:space="preserve">Voordt, T. V. D., &amp; Jensen, P. A. (2021). </w:t>
      </w:r>
      <w:r w:rsidRPr="00977158">
        <w:rPr>
          <w:rFonts w:ascii="Times New Roman" w:hAnsi="Times New Roman"/>
          <w:noProof/>
        </w:rPr>
        <w:t xml:space="preserve">The impact of healthy workplaces on employee satisfaction, productivity and costs. </w:t>
      </w:r>
      <w:r w:rsidRPr="00977158">
        <w:rPr>
          <w:rFonts w:ascii="Times New Roman" w:hAnsi="Times New Roman"/>
          <w:i/>
          <w:iCs/>
          <w:noProof/>
        </w:rPr>
        <w:t>Journal of Corporate Real Estate</w:t>
      </w:r>
      <w:r w:rsidRPr="00977158">
        <w:rPr>
          <w:rFonts w:ascii="Times New Roman" w:hAnsi="Times New Roman"/>
          <w:noProof/>
        </w:rPr>
        <w:t xml:space="preserve">, </w:t>
      </w:r>
      <w:r w:rsidRPr="00977158">
        <w:rPr>
          <w:rFonts w:ascii="Times New Roman" w:hAnsi="Times New Roman"/>
          <w:i/>
          <w:iCs/>
          <w:noProof/>
        </w:rPr>
        <w:t>25</w:t>
      </w:r>
      <w:r w:rsidRPr="00977158">
        <w:rPr>
          <w:rFonts w:ascii="Times New Roman" w:hAnsi="Times New Roman"/>
          <w:noProof/>
        </w:rPr>
        <w:t>(1), 29–49. https://doi.org/10.1108/JCRE-03-2021-0012</w:t>
      </w:r>
    </w:p>
    <w:p w14:paraId="3E9D6F49" w14:textId="77777777" w:rsidR="00977158" w:rsidRPr="00977158" w:rsidRDefault="00977158" w:rsidP="00977158">
      <w:pPr>
        <w:widowControl w:val="0"/>
        <w:autoSpaceDE w:val="0"/>
        <w:autoSpaceDN w:val="0"/>
        <w:adjustRightInd w:val="0"/>
        <w:ind w:left="480" w:hanging="480"/>
        <w:rPr>
          <w:rFonts w:ascii="Times New Roman" w:hAnsi="Times New Roman"/>
          <w:noProof/>
        </w:rPr>
      </w:pPr>
      <w:r w:rsidRPr="00977158">
        <w:rPr>
          <w:rFonts w:ascii="Times New Roman" w:hAnsi="Times New Roman"/>
          <w:noProof/>
        </w:rPr>
        <w:t xml:space="preserve">Walker, C. B. (2016). The direction of media influence: Real-estate news and the stock market. </w:t>
      </w:r>
      <w:r w:rsidRPr="00977158">
        <w:rPr>
          <w:rFonts w:ascii="Times New Roman" w:hAnsi="Times New Roman"/>
          <w:i/>
          <w:iCs/>
          <w:noProof/>
        </w:rPr>
        <w:t>Journal of Behavioral and Experimental Finance</w:t>
      </w:r>
      <w:r w:rsidRPr="00977158">
        <w:rPr>
          <w:rFonts w:ascii="Times New Roman" w:hAnsi="Times New Roman"/>
          <w:noProof/>
        </w:rPr>
        <w:t xml:space="preserve">, </w:t>
      </w:r>
      <w:r w:rsidRPr="00977158">
        <w:rPr>
          <w:rFonts w:ascii="Times New Roman" w:hAnsi="Times New Roman"/>
          <w:i/>
          <w:iCs/>
          <w:noProof/>
        </w:rPr>
        <w:t>10</w:t>
      </w:r>
      <w:r w:rsidRPr="00977158">
        <w:rPr>
          <w:rFonts w:ascii="Times New Roman" w:hAnsi="Times New Roman"/>
          <w:noProof/>
        </w:rPr>
        <w:t>, 20–31. https://doi.org/10.1016/j.jbef.2016.02.001</w:t>
      </w:r>
    </w:p>
    <w:p w14:paraId="0F09731B" w14:textId="77777777" w:rsidR="00C248D1" w:rsidRDefault="002053F5" w:rsidP="00653871">
      <w:pPr>
        <w:pStyle w:val="Kop1"/>
        <w:numPr>
          <w:ilvl w:val="0"/>
          <w:numId w:val="0"/>
        </w:numPr>
        <w:ind w:left="432"/>
        <w:rPr>
          <w:rFonts w:ascii="Times New Roman" w:eastAsia="Aptos" w:hAnsi="Times New Roman"/>
          <w:lang w:val="en-GB"/>
        </w:rPr>
      </w:pPr>
      <w:r w:rsidRPr="004A2A48">
        <w:rPr>
          <w:rFonts w:ascii="Times New Roman" w:eastAsia="Aptos" w:hAnsi="Times New Roman"/>
          <w:lang w:val="en-GB"/>
        </w:rPr>
        <w:fldChar w:fldCharType="end"/>
      </w:r>
    </w:p>
    <w:p w14:paraId="0066A0E1" w14:textId="77777777" w:rsidR="00C248D1" w:rsidRDefault="00C248D1">
      <w:pPr>
        <w:spacing w:line="240" w:lineRule="auto"/>
        <w:ind w:firstLine="0"/>
        <w:jc w:val="left"/>
        <w:rPr>
          <w:rFonts w:ascii="Times New Roman" w:eastAsia="Aptos" w:hAnsi="Times New Roman"/>
          <w:b/>
          <w:bCs/>
          <w:color w:val="000000"/>
          <w:sz w:val="28"/>
          <w:szCs w:val="32"/>
        </w:rPr>
      </w:pPr>
      <w:r>
        <w:rPr>
          <w:rFonts w:ascii="Times New Roman" w:eastAsia="Aptos" w:hAnsi="Times New Roman"/>
        </w:rPr>
        <w:br w:type="page"/>
      </w:r>
    </w:p>
    <w:p w14:paraId="65BEDCC6" w14:textId="78917C9E" w:rsidR="00CE2AE7" w:rsidRPr="004A2A48" w:rsidRDefault="00CE2AE7" w:rsidP="00653871">
      <w:pPr>
        <w:pStyle w:val="Kop1"/>
        <w:numPr>
          <w:ilvl w:val="0"/>
          <w:numId w:val="0"/>
        </w:numPr>
        <w:ind w:left="432"/>
        <w:rPr>
          <w:lang w:val="en-GB"/>
        </w:rPr>
      </w:pPr>
      <w:bookmarkStart w:id="25" w:name="_Toc174210217"/>
      <w:r w:rsidRPr="004A2A48">
        <w:rPr>
          <w:lang w:val="en-GB"/>
        </w:rPr>
        <w:t>Appendices</w:t>
      </w:r>
      <w:bookmarkEnd w:id="25"/>
    </w:p>
    <w:p w14:paraId="517190DC" w14:textId="1F0F4094" w:rsidR="00646BD9" w:rsidRPr="004A2A48" w:rsidRDefault="00646BD9" w:rsidP="00646BD9">
      <w:pPr>
        <w:pStyle w:val="Kop2"/>
        <w:numPr>
          <w:ilvl w:val="0"/>
          <w:numId w:val="0"/>
        </w:numPr>
        <w:ind w:left="576"/>
        <w:rPr>
          <w:lang w:val="en-GB"/>
        </w:rPr>
      </w:pPr>
      <w:bookmarkStart w:id="26" w:name="_Toc174210218"/>
      <w:r w:rsidRPr="004A2A48">
        <w:rPr>
          <w:lang w:val="en-GB"/>
        </w:rPr>
        <w:t>ESG Variables</w:t>
      </w:r>
      <w:bookmarkEnd w:id="26"/>
      <w:r w:rsidRPr="004A2A48">
        <w:rPr>
          <w:lang w:val="en-GB"/>
        </w:rPr>
        <w:t xml:space="preserve"> </w:t>
      </w:r>
    </w:p>
    <w:tbl>
      <w:tblPr>
        <w:tblStyle w:val="Tabellenraster1"/>
        <w:tblW w:w="0" w:type="auto"/>
        <w:tblLook w:val="04A0" w:firstRow="1" w:lastRow="0" w:firstColumn="1" w:lastColumn="0" w:noHBand="0" w:noVBand="1"/>
      </w:tblPr>
      <w:tblGrid>
        <w:gridCol w:w="2541"/>
        <w:gridCol w:w="6855"/>
      </w:tblGrid>
      <w:tr w:rsidR="00646BD9" w:rsidRPr="00B0319E" w14:paraId="4150C503" w14:textId="77777777" w:rsidTr="00E27579">
        <w:tc>
          <w:tcPr>
            <w:tcW w:w="2541" w:type="dxa"/>
          </w:tcPr>
          <w:p w14:paraId="10A0C3E8" w14:textId="77777777" w:rsidR="00646BD9" w:rsidRPr="004A2A48" w:rsidRDefault="00646BD9" w:rsidP="00646BD9">
            <w:pPr>
              <w:ind w:firstLine="0"/>
              <w:jc w:val="left"/>
              <w:rPr>
                <w:rFonts w:ascii="Times New Roman" w:hAnsi="Times New Roman"/>
                <w:lang w:val="en-GB"/>
              </w:rPr>
            </w:pPr>
            <w:r w:rsidRPr="004A2A48">
              <w:rPr>
                <w:rFonts w:ascii="Times New Roman" w:hAnsi="Times New Roman"/>
                <w:lang w:val="en-GB"/>
              </w:rPr>
              <w:t>Employee_Satisfaction</w:t>
            </w:r>
          </w:p>
        </w:tc>
        <w:tc>
          <w:tcPr>
            <w:tcW w:w="6855" w:type="dxa"/>
          </w:tcPr>
          <w:p w14:paraId="02884878"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The percentage of employee satisfaction as reported by the company (the overall percentage of employees who are satisfied).</w:t>
            </w:r>
          </w:p>
        </w:tc>
      </w:tr>
      <w:tr w:rsidR="00646BD9" w:rsidRPr="00B0319E" w14:paraId="3F9F7A77" w14:textId="77777777" w:rsidTr="00E27579">
        <w:tc>
          <w:tcPr>
            <w:tcW w:w="2541" w:type="dxa"/>
          </w:tcPr>
          <w:p w14:paraId="52A2DE61"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Flex_Work_Hours</w:t>
            </w:r>
          </w:p>
          <w:p w14:paraId="4D3A1B5C"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(Flexible working hours)</w:t>
            </w:r>
          </w:p>
        </w:tc>
        <w:tc>
          <w:tcPr>
            <w:tcW w:w="6855" w:type="dxa"/>
          </w:tcPr>
          <w:p w14:paraId="49387662"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Does the company claim to provide flexible working hours or working hours that promote a work-life balance?</w:t>
            </w:r>
          </w:p>
          <w:p w14:paraId="16225EE7"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(Programs or processes that help employees to have a balance between their work and personal life; includes flexible work arrangements such as telecommuting, flexible working hours, job-share, and reduced and compressed work weeks)</w:t>
            </w:r>
          </w:p>
        </w:tc>
      </w:tr>
      <w:tr w:rsidR="00AA7553" w:rsidRPr="00B0319E" w14:paraId="4A175D10" w14:textId="77777777" w:rsidTr="00E27579">
        <w:tc>
          <w:tcPr>
            <w:tcW w:w="2541" w:type="dxa"/>
          </w:tcPr>
          <w:p w14:paraId="0DCE579D" w14:textId="77777777" w:rsidR="00E12100" w:rsidRPr="00B0319E" w:rsidRDefault="00E12100" w:rsidP="00E12100">
            <w:pPr>
              <w:ind w:firstLine="0"/>
              <w:jc w:val="left"/>
              <w:rPr>
                <w:rFonts w:ascii="Times New Roman" w:hAnsi="Times New Roman"/>
                <w:lang w:val="en-GB"/>
              </w:rPr>
            </w:pPr>
            <w:r w:rsidRPr="00B0319E">
              <w:rPr>
                <w:rFonts w:ascii="Times New Roman" w:hAnsi="Times New Roman"/>
                <w:lang w:val="en-GB"/>
              </w:rPr>
              <w:t>Policy_Career_Dev</w:t>
            </w:r>
          </w:p>
          <w:p w14:paraId="51C366DA" w14:textId="4003CF71" w:rsidR="00AA7553" w:rsidRPr="00B0319E" w:rsidRDefault="00E12100" w:rsidP="00E12100">
            <w:pPr>
              <w:ind w:firstLine="0"/>
              <w:jc w:val="left"/>
              <w:rPr>
                <w:rFonts w:ascii="Times New Roman" w:hAnsi="Times New Roman"/>
                <w:lang w:val="en-GB"/>
              </w:rPr>
            </w:pPr>
            <w:r w:rsidRPr="00B0319E">
              <w:rPr>
                <w:rFonts w:ascii="Times New Roman" w:hAnsi="Times New Roman"/>
                <w:lang w:val="en-GB"/>
              </w:rPr>
              <w:t>(Policy Career Development)</w:t>
            </w:r>
          </w:p>
        </w:tc>
        <w:tc>
          <w:tcPr>
            <w:tcW w:w="6855" w:type="dxa"/>
          </w:tcPr>
          <w:p w14:paraId="19AE2B67" w14:textId="77777777" w:rsidR="00E12100" w:rsidRPr="00B0319E" w:rsidRDefault="00E12100" w:rsidP="00E12100">
            <w:pPr>
              <w:ind w:firstLine="0"/>
              <w:jc w:val="left"/>
              <w:rPr>
                <w:rFonts w:ascii="Times New Roman" w:hAnsi="Times New Roman"/>
                <w:lang w:val="en-GB"/>
              </w:rPr>
            </w:pPr>
            <w:r w:rsidRPr="00B0319E">
              <w:rPr>
                <w:rFonts w:ascii="Times New Roman" w:hAnsi="Times New Roman"/>
                <w:lang w:val="en-GB"/>
              </w:rPr>
              <w:t>Does the company have a policy to improve the career development paths of its employees?</w:t>
            </w:r>
          </w:p>
          <w:p w14:paraId="49C3BE39" w14:textId="77777777" w:rsidR="00E12100" w:rsidRPr="00B0319E" w:rsidRDefault="00E12100" w:rsidP="00E12100">
            <w:pPr>
              <w:ind w:firstLine="0"/>
              <w:jc w:val="left"/>
              <w:rPr>
                <w:rFonts w:ascii="Times New Roman" w:hAnsi="Times New Roman"/>
                <w:lang w:val="en-GB"/>
              </w:rPr>
            </w:pPr>
            <w:r w:rsidRPr="00B0319E">
              <w:rPr>
                <w:rFonts w:ascii="Times New Roman" w:hAnsi="Times New Roman"/>
                <w:lang w:val="en-GB"/>
              </w:rPr>
              <w:t xml:space="preserve">- programs or processes that focus on the career progression of staffs </w:t>
            </w:r>
          </w:p>
          <w:p w14:paraId="75656633" w14:textId="77777777" w:rsidR="00E12100" w:rsidRPr="00B0319E" w:rsidRDefault="00E12100" w:rsidP="00E12100">
            <w:pPr>
              <w:ind w:firstLine="0"/>
              <w:jc w:val="left"/>
              <w:rPr>
                <w:rFonts w:ascii="Times New Roman" w:hAnsi="Times New Roman"/>
                <w:lang w:val="en-GB"/>
              </w:rPr>
            </w:pPr>
            <w:r w:rsidRPr="00B0319E">
              <w:rPr>
                <w:rFonts w:ascii="Times New Roman" w:hAnsi="Times New Roman"/>
                <w:lang w:val="en-GB"/>
              </w:rPr>
              <w:t>- include if the company encourages and supports employee for career development</w:t>
            </w:r>
          </w:p>
          <w:p w14:paraId="4E0E9608" w14:textId="77777777" w:rsidR="00E12100" w:rsidRPr="00B0319E" w:rsidRDefault="00E12100" w:rsidP="00E12100">
            <w:pPr>
              <w:ind w:firstLine="0"/>
              <w:jc w:val="left"/>
              <w:rPr>
                <w:rFonts w:ascii="Times New Roman" w:hAnsi="Times New Roman"/>
                <w:lang w:val="en-GB"/>
              </w:rPr>
            </w:pPr>
            <w:r w:rsidRPr="00B0319E">
              <w:rPr>
                <w:rFonts w:ascii="Times New Roman" w:hAnsi="Times New Roman"/>
                <w:lang w:val="en-GB"/>
              </w:rPr>
              <w:t>- information to be on career development for the general workforce</w:t>
            </w:r>
          </w:p>
          <w:p w14:paraId="504D8C97" w14:textId="209E9324" w:rsidR="00AA7553" w:rsidRPr="00B0319E" w:rsidRDefault="00E12100" w:rsidP="00E12100">
            <w:pPr>
              <w:ind w:firstLine="0"/>
              <w:jc w:val="left"/>
              <w:rPr>
                <w:rFonts w:ascii="Times New Roman" w:hAnsi="Times New Roman"/>
                <w:lang w:val="en-GB"/>
              </w:rPr>
            </w:pPr>
            <w:r w:rsidRPr="00B0319E">
              <w:rPr>
                <w:rFonts w:ascii="Times New Roman" w:hAnsi="Times New Roman"/>
                <w:lang w:val="en-GB"/>
              </w:rPr>
              <w:t>- consider training to non-managers or leaders to develop leadership skill for future managerial or leadership positions</w:t>
            </w:r>
          </w:p>
        </w:tc>
      </w:tr>
      <w:tr w:rsidR="00646BD9" w:rsidRPr="00B0319E" w14:paraId="6170E948" w14:textId="77777777" w:rsidTr="00E27579">
        <w:tc>
          <w:tcPr>
            <w:tcW w:w="2541" w:type="dxa"/>
          </w:tcPr>
          <w:p w14:paraId="642A0A0F"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 xml:space="preserve">Policy_Skills </w:t>
            </w:r>
          </w:p>
          <w:p w14:paraId="3BD0D1B1"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(Policy skills training)</w:t>
            </w:r>
          </w:p>
        </w:tc>
        <w:tc>
          <w:tcPr>
            <w:tcW w:w="6855" w:type="dxa"/>
          </w:tcPr>
          <w:p w14:paraId="550950E3"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Does the company have a policy to improve the skills training of its employees? (Programs or processes that focus on developing employee’s skills to meet the evolving strategic needs of the organization and/or the industry; include job specific training to employees; information to be on skills training for the general workforce)</w:t>
            </w:r>
          </w:p>
        </w:tc>
      </w:tr>
      <w:tr w:rsidR="00646BD9" w:rsidRPr="00B0319E" w14:paraId="2CDFD58A" w14:textId="77777777" w:rsidTr="00E27579">
        <w:tc>
          <w:tcPr>
            <w:tcW w:w="2541" w:type="dxa"/>
          </w:tcPr>
          <w:p w14:paraId="43B260AC"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Internal_Promotion</w:t>
            </w:r>
          </w:p>
        </w:tc>
        <w:tc>
          <w:tcPr>
            <w:tcW w:w="6855" w:type="dxa"/>
          </w:tcPr>
          <w:p w14:paraId="2D338771"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Does the company claim to favour promotion from within? (Any advancement plan for general employees in rank or position in the organizational hierarchy system; the movement has to be from one level to the next level in the hierarchy; promotion from within (internal) has to be prioritized for all positions instead of external recruitment to give opportunities to current employees to enhance their career in the organization)</w:t>
            </w:r>
          </w:p>
        </w:tc>
      </w:tr>
      <w:tr w:rsidR="00646BD9" w:rsidRPr="00B0319E" w14:paraId="31916384" w14:textId="77777777" w:rsidTr="00E27579">
        <w:tc>
          <w:tcPr>
            <w:tcW w:w="2541" w:type="dxa"/>
          </w:tcPr>
          <w:p w14:paraId="220FE0A8"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Turnover_Employees</w:t>
            </w:r>
          </w:p>
        </w:tc>
        <w:tc>
          <w:tcPr>
            <w:tcW w:w="6855" w:type="dxa"/>
          </w:tcPr>
          <w:p w14:paraId="562A587C"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Percentage of employee turnover. (Include employees who left the company for any reason (voluntary or involuntary) such as resignations, retirement, natural departure/death, medical incapacitation, redundancy, layoffs, restructuring, dismissal, retrenchment or end of a fixed-term contract)</w:t>
            </w:r>
          </w:p>
        </w:tc>
      </w:tr>
      <w:tr w:rsidR="00646BD9" w:rsidRPr="00B0319E" w14:paraId="43147CE9" w14:textId="77777777" w:rsidTr="00E27579">
        <w:tc>
          <w:tcPr>
            <w:tcW w:w="2541" w:type="dxa"/>
          </w:tcPr>
          <w:p w14:paraId="31A389F5"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Management_Training</w:t>
            </w:r>
          </w:p>
        </w:tc>
        <w:tc>
          <w:tcPr>
            <w:tcW w:w="6855" w:type="dxa"/>
          </w:tcPr>
          <w:p w14:paraId="69F04F06"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Does the company claim to provide regular staff and business management training for its managers? (Consider training to existing managers (how to manage their team and process); consider training to non-managers to develop leadership skill for future managerial positions)</w:t>
            </w:r>
          </w:p>
        </w:tc>
      </w:tr>
      <w:tr w:rsidR="00646BD9" w:rsidRPr="00B0319E" w14:paraId="5BE7BD76" w14:textId="77777777" w:rsidTr="00E27579">
        <w:tc>
          <w:tcPr>
            <w:tcW w:w="2541" w:type="dxa"/>
          </w:tcPr>
          <w:p w14:paraId="0408C76C"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Number_Employees</w:t>
            </w:r>
          </w:p>
        </w:tc>
        <w:tc>
          <w:tcPr>
            <w:tcW w:w="6855" w:type="dxa"/>
          </w:tcPr>
          <w:p w14:paraId="5FD7265E"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Number of full- and part-time employees.</w:t>
            </w:r>
          </w:p>
        </w:tc>
      </w:tr>
      <w:tr w:rsidR="00646BD9" w:rsidRPr="00B0319E" w14:paraId="0A926820" w14:textId="77777777" w:rsidTr="00E27579">
        <w:tc>
          <w:tcPr>
            <w:tcW w:w="2541" w:type="dxa"/>
          </w:tcPr>
          <w:p w14:paraId="645C457C"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Board_Size</w:t>
            </w:r>
          </w:p>
        </w:tc>
        <w:tc>
          <w:tcPr>
            <w:tcW w:w="6855" w:type="dxa"/>
          </w:tcPr>
          <w:p w14:paraId="42E29C49"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The total number of board members at the end of the fiscal year.</w:t>
            </w:r>
          </w:p>
        </w:tc>
      </w:tr>
      <w:tr w:rsidR="00646BD9" w:rsidRPr="00B0319E" w14:paraId="5DA61BB2" w14:textId="77777777" w:rsidTr="00E27579">
        <w:tc>
          <w:tcPr>
            <w:tcW w:w="2541" w:type="dxa"/>
          </w:tcPr>
          <w:p w14:paraId="2DB151AB"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Board_Indep</w:t>
            </w:r>
          </w:p>
          <w:p w14:paraId="0696CFE3"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(Independent Board Members)</w:t>
            </w:r>
          </w:p>
        </w:tc>
        <w:tc>
          <w:tcPr>
            <w:tcW w:w="6855" w:type="dxa"/>
          </w:tcPr>
          <w:p w14:paraId="62B1E4DF" w14:textId="77777777" w:rsidR="00646BD9" w:rsidRPr="00B0319E" w:rsidRDefault="00646BD9" w:rsidP="00646BD9">
            <w:pPr>
              <w:ind w:firstLine="0"/>
              <w:jc w:val="left"/>
              <w:rPr>
                <w:rFonts w:ascii="Times New Roman" w:hAnsi="Times New Roman"/>
                <w:lang w:val="en-GB"/>
              </w:rPr>
            </w:pPr>
            <w:r w:rsidRPr="00B0319E">
              <w:rPr>
                <w:rFonts w:ascii="Times New Roman" w:hAnsi="Times New Roman"/>
                <w:lang w:val="en-GB"/>
              </w:rPr>
              <w:t>Percentage of independent board members as reported by the company.</w:t>
            </w:r>
          </w:p>
        </w:tc>
      </w:tr>
    </w:tbl>
    <w:p w14:paraId="0DA2882F" w14:textId="77777777" w:rsidR="00646BD9" w:rsidRDefault="00646BD9" w:rsidP="00646BD9"/>
    <w:p w14:paraId="5AE6624B" w14:textId="77777777" w:rsidR="00C908FC" w:rsidRDefault="00C908FC" w:rsidP="00646BD9"/>
    <w:p w14:paraId="032FBFCB" w14:textId="77777777" w:rsidR="00C908FC" w:rsidRDefault="00C908FC" w:rsidP="00646BD9"/>
    <w:p w14:paraId="21AA435E" w14:textId="77777777" w:rsidR="00C908FC" w:rsidRDefault="00C908FC" w:rsidP="00646BD9"/>
    <w:p w14:paraId="682381E6" w14:textId="77777777" w:rsidR="00C908FC" w:rsidRDefault="00C908FC" w:rsidP="00646BD9"/>
    <w:p w14:paraId="31BC0169" w14:textId="77777777" w:rsidR="00C908FC" w:rsidRDefault="00C908FC" w:rsidP="00646BD9"/>
    <w:p w14:paraId="71D25FFB" w14:textId="77777777" w:rsidR="00C908FC" w:rsidRDefault="00C908FC" w:rsidP="00646BD9"/>
    <w:p w14:paraId="6ABC76D3" w14:textId="77777777" w:rsidR="00C908FC" w:rsidRDefault="00C908FC" w:rsidP="00646BD9"/>
    <w:p w14:paraId="337B1F12" w14:textId="77777777" w:rsidR="00C908FC" w:rsidRDefault="00C908FC" w:rsidP="00646BD9"/>
    <w:p w14:paraId="0791E999" w14:textId="77777777" w:rsidR="00C908FC" w:rsidRDefault="00C908FC" w:rsidP="00646BD9"/>
    <w:p w14:paraId="6D122AD8" w14:textId="77777777" w:rsidR="00C908FC" w:rsidRDefault="00C908FC" w:rsidP="00646BD9"/>
    <w:p w14:paraId="37156E8D" w14:textId="77777777" w:rsidR="00C908FC" w:rsidRPr="00C908FC" w:rsidRDefault="00C908FC" w:rsidP="00C908FC">
      <w:pPr>
        <w:ind w:firstLine="0"/>
        <w:rPr>
          <w:b/>
          <w:bCs/>
        </w:rPr>
      </w:pPr>
      <w:r w:rsidRPr="00C908FC">
        <w:rPr>
          <w:b/>
          <w:bCs/>
        </w:rPr>
        <w:t>I hereby declare that I did not use ChatGPT or comparable applications to write my master's thesis.</w:t>
      </w:r>
    </w:p>
    <w:sectPr w:rsidR="00C908FC" w:rsidRPr="00C908FC" w:rsidSect="00254958">
      <w:headerReference w:type="first" r:id="rId18"/>
      <w:footerReference w:type="first" r:id="rId19"/>
      <w:pgSz w:w="12240" w:h="15840"/>
      <w:pgMar w:top="1417" w:right="1417" w:bottom="1417" w:left="1417" w:header="720" w:footer="720" w:gutter="0"/>
      <w:pgNumType w:start="1"/>
      <w:cols w:space="36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CE8D34" w14:textId="77777777" w:rsidR="00A87C51" w:rsidRDefault="00A87C51" w:rsidP="00520C49">
      <w:pPr>
        <w:spacing w:line="240" w:lineRule="auto"/>
      </w:pPr>
      <w:r>
        <w:separator/>
      </w:r>
    </w:p>
  </w:endnote>
  <w:endnote w:type="continuationSeparator" w:id="0">
    <w:p w14:paraId="228506D1" w14:textId="77777777" w:rsidR="00A87C51" w:rsidRDefault="00A87C51" w:rsidP="00520C4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sto MT">
    <w:panose1 w:val="020406030505050303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Roman">
    <w:altName w:val="Times New Roman"/>
    <w:panose1 w:val="00000000000000000000"/>
    <w:charset w:val="4D"/>
    <w:family w:val="auto"/>
    <w:notTrueType/>
    <w:pitch w:val="default"/>
    <w:sig w:usb0="00000003" w:usb1="00000000" w:usb2="00000000" w:usb3="00000000" w:csb0="00000001" w:csb1="00000000"/>
  </w:font>
  <w:font w:name="TimesLTStd-Roman">
    <w:altName w:val="Times New Roman"/>
    <w:panose1 w:val="00000000000000000000"/>
    <w:charset w:val="4D"/>
    <w:family w:val="auto"/>
    <w:notTrueType/>
    <w:pitch w:val="default"/>
    <w:sig w:usb0="00000003" w:usb1="00000000" w:usb2="00000000" w:usb3="00000000" w:csb0="00000001" w:csb1="00000000"/>
  </w:font>
  <w:font w:name="TimesLTStd-Italic">
    <w:altName w:val="Times New Roman"/>
    <w:panose1 w:val="00000000000000000000"/>
    <w:charset w:val="4D"/>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Lucida Grande">
    <w:altName w:val="Arial"/>
    <w:charset w:val="00"/>
    <w:family w:val="auto"/>
    <w:pitch w:val="variable"/>
    <w:sig w:usb0="00000000" w:usb1="5000A1FF" w:usb2="00000000" w:usb3="00000000" w:csb0="000001B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Open Sans">
    <w:panose1 w:val="020B0606030504020204"/>
    <w:charset w:val="00"/>
    <w:family w:val="swiss"/>
    <w:pitch w:val="variable"/>
    <w:sig w:usb0="E00002EF" w:usb1="4000205B" w:usb2="00000028"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13560288"/>
      <w:docPartObj>
        <w:docPartGallery w:val="Page Numbers (Bottom of Page)"/>
        <w:docPartUnique/>
      </w:docPartObj>
    </w:sdtPr>
    <w:sdtEndPr>
      <w:rPr>
        <w:noProof/>
        <w:sz w:val="18"/>
        <w:szCs w:val="18"/>
      </w:rPr>
    </w:sdtEndPr>
    <w:sdtContent>
      <w:p w14:paraId="413812A5" w14:textId="77777777" w:rsidR="0084296A" w:rsidRPr="00991AFC" w:rsidRDefault="00EC6FE8">
        <w:pPr>
          <w:pStyle w:val="Voettekst"/>
          <w:jc w:val="center"/>
          <w:rPr>
            <w:sz w:val="18"/>
            <w:szCs w:val="18"/>
          </w:rPr>
        </w:pPr>
        <w:r>
          <w:rPr>
            <w:noProof/>
            <w:sz w:val="18"/>
            <w:szCs w:val="18"/>
            <w:lang w:eastAsia="en-GB"/>
          </w:rPr>
          <mc:AlternateContent>
            <mc:Choice Requires="wps">
              <w:drawing>
                <wp:anchor distT="0" distB="0" distL="114300" distR="114300" simplePos="0" relativeHeight="251661312" behindDoc="0" locked="0" layoutInCell="1" allowOverlap="1" wp14:anchorId="55844FE9" wp14:editId="4FFA6F8A">
                  <wp:simplePos x="0" y="0"/>
                  <wp:positionH relativeFrom="margin">
                    <wp:align>center</wp:align>
                  </wp:positionH>
                  <wp:positionV relativeFrom="paragraph">
                    <wp:posOffset>-92710</wp:posOffset>
                  </wp:positionV>
                  <wp:extent cx="5998210" cy="0"/>
                  <wp:effectExtent l="0" t="0" r="21590" b="19050"/>
                  <wp:wrapNone/>
                  <wp:docPr id="3" name="Straight Connector 3"/>
                  <wp:cNvGraphicFramePr/>
                  <a:graphic xmlns:a="http://schemas.openxmlformats.org/drawingml/2006/main">
                    <a:graphicData uri="http://schemas.microsoft.com/office/word/2010/wordprocessingShape">
                      <wps:wsp>
                        <wps:cNvCnPr/>
                        <wps:spPr>
                          <a:xfrm flipV="1">
                            <a:off x="0" y="0"/>
                            <a:ext cx="59982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3E6DCD38" id="Straight Connector 3" o:spid="_x0000_s1026" style="position:absolute;flip:y;z-index:25166131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 from="0,-7.3pt" to="472.3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" strokecolor="black [3040]">
                  <w10:wrap anchorx="margin"/>
                </v:line>
              </w:pict>
            </mc:Fallback>
          </mc:AlternateContent>
        </w:r>
        <w:r w:rsidR="0084296A" w:rsidRPr="00991AFC">
          <w:rPr>
            <w:sz w:val="18"/>
            <w:szCs w:val="18"/>
          </w:rPr>
          <w:fldChar w:fldCharType="begin"/>
        </w:r>
        <w:r w:rsidR="0084296A" w:rsidRPr="00991AFC">
          <w:rPr>
            <w:sz w:val="18"/>
            <w:szCs w:val="18"/>
          </w:rPr>
          <w:instrText xml:space="preserve"> PAGE   \* MERGEFORMAT </w:instrText>
        </w:r>
        <w:r w:rsidR="0084296A" w:rsidRPr="00991AFC">
          <w:rPr>
            <w:sz w:val="18"/>
            <w:szCs w:val="18"/>
          </w:rPr>
          <w:fldChar w:fldCharType="separate"/>
        </w:r>
        <w:r w:rsidR="00827D52">
          <w:rPr>
            <w:noProof/>
            <w:sz w:val="18"/>
            <w:szCs w:val="18"/>
          </w:rPr>
          <w:t>6</w:t>
        </w:r>
        <w:r w:rsidR="0084296A" w:rsidRPr="00991AFC">
          <w:rPr>
            <w:noProof/>
            <w:sz w:val="18"/>
            <w:szCs w:val="18"/>
          </w:rPr>
          <w:fldChar w:fldCharType="end"/>
        </w:r>
      </w:p>
    </w:sdtContent>
  </w:sdt>
  <w:p w14:paraId="1F301D2F" w14:textId="77777777" w:rsidR="0084296A" w:rsidRDefault="0084296A">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42336D" w14:textId="63E01B9E" w:rsidR="005A3A16" w:rsidRDefault="005A3A16">
    <w:pPr>
      <w:pStyle w:val="Voettekst"/>
      <w:jc w:val="center"/>
    </w:pPr>
  </w:p>
  <w:p w14:paraId="7120469F" w14:textId="77777777" w:rsidR="005A3A16" w:rsidRDefault="005A3A16">
    <w:pPr>
      <w:pStyle w:val="Voettek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26075877"/>
      <w:docPartObj>
        <w:docPartGallery w:val="Page Numbers (Bottom of Page)"/>
        <w:docPartUnique/>
      </w:docPartObj>
    </w:sdtPr>
    <w:sdtEndPr>
      <w:rPr>
        <w:noProof/>
      </w:rPr>
    </w:sdtEndPr>
    <w:sdtContent>
      <w:p w14:paraId="73DC5756" w14:textId="77777777" w:rsidR="00DE274E" w:rsidRDefault="00DE274E">
        <w:pPr>
          <w:pStyle w:val="Voettekst"/>
          <w:jc w:val="center"/>
        </w:pPr>
        <w:r>
          <w:fldChar w:fldCharType="begin"/>
        </w:r>
        <w:r>
          <w:instrText xml:space="preserve"> PAGE   \* MERGEFORMAT </w:instrText>
        </w:r>
        <w:r>
          <w:fldChar w:fldCharType="separate"/>
        </w:r>
        <w:r>
          <w:rPr>
            <w:noProof/>
          </w:rPr>
          <w:t>2</w:t>
        </w:r>
        <w:r>
          <w:rPr>
            <w:noProof/>
          </w:rPr>
          <w:fldChar w:fldCharType="end"/>
        </w:r>
      </w:p>
    </w:sdtContent>
  </w:sdt>
  <w:p w14:paraId="670F69C3" w14:textId="77777777" w:rsidR="00DE274E" w:rsidRDefault="00DE274E">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F2C63F" w14:textId="77777777" w:rsidR="00A87C51" w:rsidRDefault="00A87C51" w:rsidP="00520C49"/>
  </w:footnote>
  <w:footnote w:type="continuationSeparator" w:id="0">
    <w:p w14:paraId="4A0CC2AA" w14:textId="77777777" w:rsidR="00A87C51" w:rsidRDefault="00A87C51" w:rsidP="00520C49">
      <w:pPr>
        <w:spacing w:line="240" w:lineRule="auto"/>
      </w:pPr>
      <w:r>
        <w:continuationSeparator/>
      </w:r>
    </w:p>
  </w:footnote>
  <w:footnote w:id="1">
    <w:p w14:paraId="61137828" w14:textId="42D175EC" w:rsidR="007968F7" w:rsidRPr="007968F7" w:rsidRDefault="007968F7">
      <w:pPr>
        <w:pStyle w:val="Voetnoottekst"/>
      </w:pPr>
      <w:r>
        <w:rPr>
          <w:rStyle w:val="Voetnootmarkering"/>
        </w:rPr>
        <w:footnoteRef/>
      </w:r>
      <w:r>
        <w:t xml:space="preserve"> </w:t>
      </w:r>
      <w:r w:rsidRPr="007968F7">
        <w:t>A list of the ESG variables including explanations can be found in the appendices.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881102" w14:textId="64C5F140" w:rsidR="00991AFC" w:rsidRDefault="00EC6FE8" w:rsidP="00991AFC">
    <w:pPr>
      <w:pStyle w:val="Koptekst"/>
      <w:ind w:firstLine="0"/>
    </w:pPr>
    <w:r w:rsidRPr="00806ABB">
      <w:rPr>
        <w:noProof/>
        <w:sz w:val="18"/>
        <w:szCs w:val="18"/>
        <w:lang w:eastAsia="en-GB"/>
      </w:rPr>
      <mc:AlternateContent>
        <mc:Choice Requires="wps">
          <w:drawing>
            <wp:anchor distT="0" distB="0" distL="114300" distR="114300" simplePos="0" relativeHeight="251658240" behindDoc="0" locked="0" layoutInCell="1" allowOverlap="1" wp14:anchorId="5AD78EE2" wp14:editId="1A915C08">
              <wp:simplePos x="0" y="0"/>
              <wp:positionH relativeFrom="margin">
                <wp:align>center</wp:align>
              </wp:positionH>
              <wp:positionV relativeFrom="paragraph">
                <wp:posOffset>190500</wp:posOffset>
              </wp:positionV>
              <wp:extent cx="5998464" cy="0"/>
              <wp:effectExtent l="0" t="0" r="21590" b="19050"/>
              <wp:wrapNone/>
              <wp:docPr id="2" name="Straight Connector 2"/>
              <wp:cNvGraphicFramePr/>
              <a:graphic xmlns:a="http://schemas.openxmlformats.org/drawingml/2006/main">
                <a:graphicData uri="http://schemas.microsoft.com/office/word/2010/wordprocessingShape">
                  <wps:wsp>
                    <wps:cNvCnPr/>
                    <wps:spPr>
                      <a:xfrm flipV="1">
                        <a:off x="0" y="0"/>
                        <a:ext cx="599846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12D2E1AE" id="Straight Connector 2" o:spid="_x0000_s1026" style="position:absolute;flip:y;z-index:25165824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 from="0,15pt" to="472.3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" strokecolor="black [3040]">
              <w10:wrap anchorx="margin"/>
            </v:line>
          </w:pict>
        </mc:Fallback>
      </mc:AlternateContent>
    </w:r>
    <w:r w:rsidR="00254958">
      <w:rPr>
        <w:sz w:val="18"/>
        <w:szCs w:val="18"/>
      </w:rPr>
      <w:t>Lisa Dietz</w:t>
    </w:r>
    <w:r w:rsidR="00991AFC" w:rsidRPr="00806ABB">
      <w:rPr>
        <w:sz w:val="18"/>
        <w:szCs w:val="18"/>
      </w:rPr>
      <w:ptab w:relativeTo="margin" w:alignment="center" w:leader="none"/>
    </w:r>
    <w:r w:rsidR="00991AFC" w:rsidRPr="00806ABB">
      <w:rPr>
        <w:sz w:val="18"/>
        <w:szCs w:val="18"/>
      </w:rPr>
      <w:fldChar w:fldCharType="begin"/>
    </w:r>
    <w:r w:rsidR="00991AFC" w:rsidRPr="00806ABB">
      <w:rPr>
        <w:sz w:val="18"/>
        <w:szCs w:val="18"/>
      </w:rPr>
      <w:instrText xml:space="preserve"> DATE \@ "MMM. d, yy" </w:instrText>
    </w:r>
    <w:r w:rsidR="00991AFC" w:rsidRPr="00806ABB">
      <w:rPr>
        <w:sz w:val="18"/>
        <w:szCs w:val="18"/>
      </w:rPr>
      <w:fldChar w:fldCharType="separate"/>
    </w:r>
    <w:r w:rsidR="005C3832">
      <w:rPr>
        <w:noProof/>
        <w:sz w:val="18"/>
        <w:szCs w:val="18"/>
      </w:rPr>
      <w:t>Aug. 23, 24</w:t>
    </w:r>
    <w:r w:rsidR="00991AFC" w:rsidRPr="00806ABB">
      <w:rPr>
        <w:sz w:val="18"/>
        <w:szCs w:val="18"/>
      </w:rPr>
      <w:fldChar w:fldCharType="end"/>
    </w:r>
    <w:r w:rsidR="00991AFC" w:rsidRPr="00991AFC">
      <w:rPr>
        <w:sz w:val="18"/>
        <w:szCs w:val="18"/>
      </w:rPr>
      <w:ptab w:relativeTo="margin" w:alignment="right" w:leader="none"/>
    </w:r>
    <w:r w:rsidR="00991AFC">
      <w:rPr>
        <w:sz w:val="18"/>
        <w:szCs w:val="18"/>
      </w:rPr>
      <w:t>Master Thesis, Economics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EB0CD1" w14:textId="1248A38A" w:rsidR="00B60492" w:rsidRDefault="00B60492">
    <w:pPr>
      <w:pStyle w:val="Koptekst"/>
    </w:pPr>
  </w:p>
  <w:p w14:paraId="584FCFC7" w14:textId="77777777" w:rsidR="00B60492" w:rsidRDefault="00B60492">
    <w:pPr>
      <w:pStyle w:val="Kopteks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1E0391" w14:textId="5080D570" w:rsidR="00B60492" w:rsidRDefault="00B60492">
    <w:pPr>
      <w:pStyle w:val="Koptekst"/>
    </w:pPr>
  </w:p>
  <w:p w14:paraId="277BC584" w14:textId="77777777" w:rsidR="00B60492" w:rsidRDefault="00B60492">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3ADC8E0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65FE49FC"/>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08064BDA"/>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E9840BF4"/>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2BDE333C"/>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676ADA38"/>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5A40BF7A"/>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2788D718"/>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19867AF2"/>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CCFA3A42"/>
    <w:lvl w:ilvl="0">
      <w:start w:val="1"/>
      <w:numFmt w:val="lowerRoman"/>
      <w:lvlText w:val="(%1)"/>
      <w:lvlJc w:val="right"/>
      <w:pPr>
        <w:ind w:left="835" w:hanging="360"/>
      </w:pPr>
      <w:rPr>
        <w:rFonts w:hint="default"/>
      </w:rPr>
    </w:lvl>
  </w:abstractNum>
  <w:abstractNum w:abstractNumId="10" w15:restartNumberingAfterBreak="0">
    <w:nsid w:val="FFFFFF89"/>
    <w:multiLevelType w:val="singleLevel"/>
    <w:tmpl w:val="F0C0ACD4"/>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884628C"/>
    <w:multiLevelType w:val="hybridMultilevel"/>
    <w:tmpl w:val="786AF044"/>
    <w:lvl w:ilvl="0" w:tplc="613C9F36">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4761B0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7CB03E6"/>
    <w:multiLevelType w:val="hybridMultilevel"/>
    <w:tmpl w:val="7868ADA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8027E83"/>
    <w:multiLevelType w:val="hybridMultilevel"/>
    <w:tmpl w:val="2C68D8F0"/>
    <w:lvl w:ilvl="0" w:tplc="E36E908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96D7F6C"/>
    <w:multiLevelType w:val="hybridMultilevel"/>
    <w:tmpl w:val="42704DBE"/>
    <w:lvl w:ilvl="0" w:tplc="F5D20E92">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44260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3FB36D86"/>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8" w15:restartNumberingAfterBreak="0">
    <w:nsid w:val="4206195E"/>
    <w:multiLevelType w:val="multilevel"/>
    <w:tmpl w:val="08090025"/>
    <w:lvl w:ilvl="0">
      <w:start w:val="1"/>
      <w:numFmt w:val="decimal"/>
      <w:pStyle w:val="Kop1"/>
      <w:lvlText w:val="%1"/>
      <w:lvlJc w:val="left"/>
      <w:pPr>
        <w:ind w:left="432" w:hanging="432"/>
      </w:pPr>
    </w:lvl>
    <w:lvl w:ilvl="1">
      <w:start w:val="1"/>
      <w:numFmt w:val="decimal"/>
      <w:pStyle w:val="Kop2"/>
      <w:lvlText w:val="%1.%2"/>
      <w:lvlJc w:val="left"/>
      <w:pPr>
        <w:ind w:left="576" w:hanging="576"/>
      </w:pPr>
    </w:lvl>
    <w:lvl w:ilvl="2">
      <w:start w:val="1"/>
      <w:numFmt w:val="decimal"/>
      <w:pStyle w:val="Kop3"/>
      <w:lvlText w:val="%1.%2.%3"/>
      <w:lvlJc w:val="left"/>
      <w:pPr>
        <w:ind w:left="720" w:hanging="720"/>
      </w:pPr>
    </w:lvl>
    <w:lvl w:ilvl="3">
      <w:start w:val="1"/>
      <w:numFmt w:val="decimal"/>
      <w:pStyle w:val="Kop4"/>
      <w:lvlText w:val="%1.%2.%3.%4"/>
      <w:lvlJc w:val="left"/>
      <w:pPr>
        <w:ind w:left="864" w:hanging="864"/>
      </w:pPr>
    </w:lvl>
    <w:lvl w:ilvl="4">
      <w:start w:val="1"/>
      <w:numFmt w:val="decimal"/>
      <w:pStyle w:val="Kop5"/>
      <w:lvlText w:val="%1.%2.%3.%4.%5"/>
      <w:lvlJc w:val="left"/>
      <w:pPr>
        <w:ind w:left="1008" w:hanging="1008"/>
      </w:pPr>
    </w:lvl>
    <w:lvl w:ilvl="5">
      <w:start w:val="1"/>
      <w:numFmt w:val="decimal"/>
      <w:pStyle w:val="Kop6"/>
      <w:lvlText w:val="%1.%2.%3.%4.%5.%6"/>
      <w:lvlJc w:val="left"/>
      <w:pPr>
        <w:ind w:left="1152" w:hanging="1152"/>
      </w:pPr>
    </w:lvl>
    <w:lvl w:ilvl="6">
      <w:start w:val="1"/>
      <w:numFmt w:val="decimal"/>
      <w:pStyle w:val="Kop7"/>
      <w:lvlText w:val="%1.%2.%3.%4.%5.%6.%7"/>
      <w:lvlJc w:val="left"/>
      <w:pPr>
        <w:ind w:left="1296" w:hanging="1296"/>
      </w:pPr>
    </w:lvl>
    <w:lvl w:ilvl="7">
      <w:start w:val="1"/>
      <w:numFmt w:val="decimal"/>
      <w:pStyle w:val="Kop8"/>
      <w:lvlText w:val="%1.%2.%3.%4.%5.%6.%7.%8"/>
      <w:lvlJc w:val="left"/>
      <w:pPr>
        <w:ind w:left="1440" w:hanging="1440"/>
      </w:pPr>
    </w:lvl>
    <w:lvl w:ilvl="8">
      <w:start w:val="1"/>
      <w:numFmt w:val="decimal"/>
      <w:pStyle w:val="Kop9"/>
      <w:lvlText w:val="%1.%2.%3.%4.%5.%6.%7.%8.%9"/>
      <w:lvlJc w:val="left"/>
      <w:pPr>
        <w:ind w:left="1584" w:hanging="1584"/>
      </w:pPr>
    </w:lvl>
  </w:abstractNum>
  <w:abstractNum w:abstractNumId="19" w15:restartNumberingAfterBreak="0">
    <w:nsid w:val="43F67049"/>
    <w:multiLevelType w:val="hybridMultilevel"/>
    <w:tmpl w:val="110E9DE6"/>
    <w:lvl w:ilvl="0" w:tplc="ABB81DA8">
      <w:start w:val="1"/>
      <w:numFmt w:val="decimal"/>
      <w:pStyle w:val="Lijstnummering"/>
      <w:lvlText w:val="%1)"/>
      <w:lvlJc w:val="left"/>
      <w:pPr>
        <w:ind w:left="1195" w:hanging="360"/>
      </w:pPr>
      <w:rPr>
        <w:rFonts w:hint="default"/>
      </w:rPr>
    </w:lvl>
    <w:lvl w:ilvl="1" w:tplc="04090019" w:tentative="1">
      <w:start w:val="1"/>
      <w:numFmt w:val="lowerLetter"/>
      <w:lvlText w:val="%2."/>
      <w:lvlJc w:val="left"/>
      <w:pPr>
        <w:ind w:left="-1190" w:hanging="360"/>
      </w:pPr>
    </w:lvl>
    <w:lvl w:ilvl="2" w:tplc="0409001B" w:tentative="1">
      <w:start w:val="1"/>
      <w:numFmt w:val="lowerRoman"/>
      <w:lvlText w:val="%3."/>
      <w:lvlJc w:val="right"/>
      <w:pPr>
        <w:ind w:left="-470" w:hanging="180"/>
      </w:pPr>
    </w:lvl>
    <w:lvl w:ilvl="3" w:tplc="0409000F" w:tentative="1">
      <w:start w:val="1"/>
      <w:numFmt w:val="decimal"/>
      <w:lvlText w:val="%4."/>
      <w:lvlJc w:val="left"/>
      <w:pPr>
        <w:ind w:left="250" w:hanging="360"/>
      </w:pPr>
    </w:lvl>
    <w:lvl w:ilvl="4" w:tplc="04090019" w:tentative="1">
      <w:start w:val="1"/>
      <w:numFmt w:val="lowerLetter"/>
      <w:lvlText w:val="%5."/>
      <w:lvlJc w:val="left"/>
      <w:pPr>
        <w:ind w:left="970" w:hanging="360"/>
      </w:pPr>
    </w:lvl>
    <w:lvl w:ilvl="5" w:tplc="0409001B" w:tentative="1">
      <w:start w:val="1"/>
      <w:numFmt w:val="lowerRoman"/>
      <w:lvlText w:val="%6."/>
      <w:lvlJc w:val="right"/>
      <w:pPr>
        <w:ind w:left="1690" w:hanging="180"/>
      </w:pPr>
    </w:lvl>
    <w:lvl w:ilvl="6" w:tplc="0409000F" w:tentative="1">
      <w:start w:val="1"/>
      <w:numFmt w:val="decimal"/>
      <w:lvlText w:val="%7."/>
      <w:lvlJc w:val="left"/>
      <w:pPr>
        <w:ind w:left="2410" w:hanging="360"/>
      </w:pPr>
    </w:lvl>
    <w:lvl w:ilvl="7" w:tplc="04090019" w:tentative="1">
      <w:start w:val="1"/>
      <w:numFmt w:val="lowerLetter"/>
      <w:lvlText w:val="%8."/>
      <w:lvlJc w:val="left"/>
      <w:pPr>
        <w:ind w:left="3130" w:hanging="360"/>
      </w:pPr>
    </w:lvl>
    <w:lvl w:ilvl="8" w:tplc="0409001B" w:tentative="1">
      <w:start w:val="1"/>
      <w:numFmt w:val="lowerRoman"/>
      <w:lvlText w:val="%9."/>
      <w:lvlJc w:val="right"/>
      <w:pPr>
        <w:ind w:left="3850" w:hanging="180"/>
      </w:pPr>
    </w:lvl>
  </w:abstractNum>
  <w:abstractNum w:abstractNumId="20" w15:restartNumberingAfterBreak="0">
    <w:nsid w:val="47541790"/>
    <w:multiLevelType w:val="multilevel"/>
    <w:tmpl w:val="476683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95E56D1"/>
    <w:multiLevelType w:val="multilevel"/>
    <w:tmpl w:val="C18225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9C05D32"/>
    <w:multiLevelType w:val="hybridMultilevel"/>
    <w:tmpl w:val="33B4C61E"/>
    <w:lvl w:ilvl="0" w:tplc="24983DF6">
      <w:start w:val="1"/>
      <w:numFmt w:val="bullet"/>
      <w:pStyle w:val="Lijstopsomteken"/>
      <w:lvlText w:val=""/>
      <w:lvlJc w:val="left"/>
      <w:pPr>
        <w:ind w:left="562" w:hanging="360"/>
      </w:pPr>
      <w:rPr>
        <w:rFonts w:ascii="Symbol" w:hAnsi="Symbol" w:hint="default"/>
      </w:rPr>
    </w:lvl>
    <w:lvl w:ilvl="1" w:tplc="04090003" w:tentative="1">
      <w:start w:val="1"/>
      <w:numFmt w:val="bullet"/>
      <w:lvlText w:val="o"/>
      <w:lvlJc w:val="left"/>
      <w:pPr>
        <w:ind w:left="1282" w:hanging="360"/>
      </w:pPr>
      <w:rPr>
        <w:rFonts w:ascii="Courier New" w:hAnsi="Courier New" w:cs="Wingdings" w:hint="default"/>
      </w:rPr>
    </w:lvl>
    <w:lvl w:ilvl="2" w:tplc="04090005" w:tentative="1">
      <w:start w:val="1"/>
      <w:numFmt w:val="bullet"/>
      <w:lvlText w:val=""/>
      <w:lvlJc w:val="left"/>
      <w:pPr>
        <w:ind w:left="2002" w:hanging="360"/>
      </w:pPr>
      <w:rPr>
        <w:rFonts w:ascii="Wingdings" w:hAnsi="Wingdings" w:hint="default"/>
      </w:rPr>
    </w:lvl>
    <w:lvl w:ilvl="3" w:tplc="04090001" w:tentative="1">
      <w:start w:val="1"/>
      <w:numFmt w:val="bullet"/>
      <w:lvlText w:val=""/>
      <w:lvlJc w:val="left"/>
      <w:pPr>
        <w:ind w:left="2722" w:hanging="360"/>
      </w:pPr>
      <w:rPr>
        <w:rFonts w:ascii="Symbol" w:hAnsi="Symbol" w:hint="default"/>
      </w:rPr>
    </w:lvl>
    <w:lvl w:ilvl="4" w:tplc="04090003" w:tentative="1">
      <w:start w:val="1"/>
      <w:numFmt w:val="bullet"/>
      <w:lvlText w:val="o"/>
      <w:lvlJc w:val="left"/>
      <w:pPr>
        <w:ind w:left="3442" w:hanging="360"/>
      </w:pPr>
      <w:rPr>
        <w:rFonts w:ascii="Courier New" w:hAnsi="Courier New" w:cs="Wingdings" w:hint="default"/>
      </w:rPr>
    </w:lvl>
    <w:lvl w:ilvl="5" w:tplc="04090005" w:tentative="1">
      <w:start w:val="1"/>
      <w:numFmt w:val="bullet"/>
      <w:lvlText w:val=""/>
      <w:lvlJc w:val="left"/>
      <w:pPr>
        <w:ind w:left="4162" w:hanging="360"/>
      </w:pPr>
      <w:rPr>
        <w:rFonts w:ascii="Wingdings" w:hAnsi="Wingdings" w:hint="default"/>
      </w:rPr>
    </w:lvl>
    <w:lvl w:ilvl="6" w:tplc="04090001" w:tentative="1">
      <w:start w:val="1"/>
      <w:numFmt w:val="bullet"/>
      <w:lvlText w:val=""/>
      <w:lvlJc w:val="left"/>
      <w:pPr>
        <w:ind w:left="4882" w:hanging="360"/>
      </w:pPr>
      <w:rPr>
        <w:rFonts w:ascii="Symbol" w:hAnsi="Symbol" w:hint="default"/>
      </w:rPr>
    </w:lvl>
    <w:lvl w:ilvl="7" w:tplc="04090003" w:tentative="1">
      <w:start w:val="1"/>
      <w:numFmt w:val="bullet"/>
      <w:lvlText w:val="o"/>
      <w:lvlJc w:val="left"/>
      <w:pPr>
        <w:ind w:left="5602" w:hanging="360"/>
      </w:pPr>
      <w:rPr>
        <w:rFonts w:ascii="Courier New" w:hAnsi="Courier New" w:cs="Wingdings" w:hint="default"/>
      </w:rPr>
    </w:lvl>
    <w:lvl w:ilvl="8" w:tplc="04090005" w:tentative="1">
      <w:start w:val="1"/>
      <w:numFmt w:val="bullet"/>
      <w:lvlText w:val=""/>
      <w:lvlJc w:val="left"/>
      <w:pPr>
        <w:ind w:left="6322" w:hanging="360"/>
      </w:pPr>
      <w:rPr>
        <w:rFonts w:ascii="Wingdings" w:hAnsi="Wingdings" w:hint="default"/>
      </w:rPr>
    </w:lvl>
  </w:abstractNum>
  <w:abstractNum w:abstractNumId="23" w15:restartNumberingAfterBreak="0">
    <w:nsid w:val="5A3978EB"/>
    <w:multiLevelType w:val="multilevel"/>
    <w:tmpl w:val="0DD2A90E"/>
    <w:lvl w:ilvl="0">
      <w:start w:val="1"/>
      <w:numFmt w:val="lowerRoman"/>
      <w:lvlText w:val="(%1)"/>
      <w:lvlJc w:val="left"/>
      <w:pPr>
        <w:ind w:left="1195" w:hanging="360"/>
      </w:pPr>
      <w:rPr>
        <w:rFonts w:hint="default"/>
      </w:rPr>
    </w:lvl>
    <w:lvl w:ilvl="1">
      <w:start w:val="1"/>
      <w:numFmt w:val="lowerLetter"/>
      <w:lvlText w:val="%2."/>
      <w:lvlJc w:val="left"/>
      <w:pPr>
        <w:ind w:left="1915" w:hanging="360"/>
      </w:pPr>
    </w:lvl>
    <w:lvl w:ilvl="2">
      <w:start w:val="1"/>
      <w:numFmt w:val="lowerRoman"/>
      <w:lvlText w:val="%3."/>
      <w:lvlJc w:val="right"/>
      <w:pPr>
        <w:ind w:left="2635" w:hanging="180"/>
      </w:pPr>
    </w:lvl>
    <w:lvl w:ilvl="3">
      <w:start w:val="1"/>
      <w:numFmt w:val="decimal"/>
      <w:lvlText w:val="%4."/>
      <w:lvlJc w:val="left"/>
      <w:pPr>
        <w:ind w:left="3355" w:hanging="360"/>
      </w:pPr>
    </w:lvl>
    <w:lvl w:ilvl="4">
      <w:start w:val="1"/>
      <w:numFmt w:val="lowerLetter"/>
      <w:lvlText w:val="%5."/>
      <w:lvlJc w:val="left"/>
      <w:pPr>
        <w:ind w:left="4075" w:hanging="360"/>
      </w:pPr>
    </w:lvl>
    <w:lvl w:ilvl="5">
      <w:start w:val="1"/>
      <w:numFmt w:val="lowerRoman"/>
      <w:lvlText w:val="%6."/>
      <w:lvlJc w:val="right"/>
      <w:pPr>
        <w:ind w:left="4795" w:hanging="180"/>
      </w:pPr>
    </w:lvl>
    <w:lvl w:ilvl="6">
      <w:start w:val="1"/>
      <w:numFmt w:val="decimal"/>
      <w:lvlText w:val="%7."/>
      <w:lvlJc w:val="left"/>
      <w:pPr>
        <w:ind w:left="5515" w:hanging="360"/>
      </w:pPr>
    </w:lvl>
    <w:lvl w:ilvl="7">
      <w:start w:val="1"/>
      <w:numFmt w:val="lowerLetter"/>
      <w:lvlText w:val="%8."/>
      <w:lvlJc w:val="left"/>
      <w:pPr>
        <w:ind w:left="6235" w:hanging="360"/>
      </w:pPr>
    </w:lvl>
    <w:lvl w:ilvl="8">
      <w:start w:val="1"/>
      <w:numFmt w:val="lowerRoman"/>
      <w:lvlText w:val="%9."/>
      <w:lvlJc w:val="right"/>
      <w:pPr>
        <w:ind w:left="6955" w:hanging="180"/>
      </w:pPr>
    </w:lvl>
  </w:abstractNum>
  <w:abstractNum w:abstractNumId="24" w15:restartNumberingAfterBreak="0">
    <w:nsid w:val="5B4245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39B0ED0"/>
    <w:multiLevelType w:val="hybridMultilevel"/>
    <w:tmpl w:val="EE1E93C6"/>
    <w:lvl w:ilvl="0" w:tplc="7624B67A">
      <w:start w:val="2"/>
      <w:numFmt w:val="bullet"/>
      <w:lvlText w:val="-"/>
      <w:lvlJc w:val="left"/>
      <w:pPr>
        <w:ind w:left="562" w:hanging="360"/>
      </w:pPr>
      <w:rPr>
        <w:rFonts w:ascii="Calibri" w:eastAsia="Calisto MT" w:hAnsi="Calibri" w:cs="Calibri" w:hint="default"/>
      </w:rPr>
    </w:lvl>
    <w:lvl w:ilvl="1" w:tplc="08090003" w:tentative="1">
      <w:start w:val="1"/>
      <w:numFmt w:val="bullet"/>
      <w:lvlText w:val="o"/>
      <w:lvlJc w:val="left"/>
      <w:pPr>
        <w:ind w:left="1282" w:hanging="360"/>
      </w:pPr>
      <w:rPr>
        <w:rFonts w:ascii="Courier New" w:hAnsi="Courier New" w:cs="Courier New" w:hint="default"/>
      </w:rPr>
    </w:lvl>
    <w:lvl w:ilvl="2" w:tplc="08090005" w:tentative="1">
      <w:start w:val="1"/>
      <w:numFmt w:val="bullet"/>
      <w:lvlText w:val=""/>
      <w:lvlJc w:val="left"/>
      <w:pPr>
        <w:ind w:left="2002" w:hanging="360"/>
      </w:pPr>
      <w:rPr>
        <w:rFonts w:ascii="Wingdings" w:hAnsi="Wingdings" w:hint="default"/>
      </w:rPr>
    </w:lvl>
    <w:lvl w:ilvl="3" w:tplc="08090001" w:tentative="1">
      <w:start w:val="1"/>
      <w:numFmt w:val="bullet"/>
      <w:lvlText w:val=""/>
      <w:lvlJc w:val="left"/>
      <w:pPr>
        <w:ind w:left="2722" w:hanging="360"/>
      </w:pPr>
      <w:rPr>
        <w:rFonts w:ascii="Symbol" w:hAnsi="Symbol" w:hint="default"/>
      </w:rPr>
    </w:lvl>
    <w:lvl w:ilvl="4" w:tplc="08090003" w:tentative="1">
      <w:start w:val="1"/>
      <w:numFmt w:val="bullet"/>
      <w:lvlText w:val="o"/>
      <w:lvlJc w:val="left"/>
      <w:pPr>
        <w:ind w:left="3442" w:hanging="360"/>
      </w:pPr>
      <w:rPr>
        <w:rFonts w:ascii="Courier New" w:hAnsi="Courier New" w:cs="Courier New" w:hint="default"/>
      </w:rPr>
    </w:lvl>
    <w:lvl w:ilvl="5" w:tplc="08090005" w:tentative="1">
      <w:start w:val="1"/>
      <w:numFmt w:val="bullet"/>
      <w:lvlText w:val=""/>
      <w:lvlJc w:val="left"/>
      <w:pPr>
        <w:ind w:left="4162" w:hanging="360"/>
      </w:pPr>
      <w:rPr>
        <w:rFonts w:ascii="Wingdings" w:hAnsi="Wingdings" w:hint="default"/>
      </w:rPr>
    </w:lvl>
    <w:lvl w:ilvl="6" w:tplc="08090001" w:tentative="1">
      <w:start w:val="1"/>
      <w:numFmt w:val="bullet"/>
      <w:lvlText w:val=""/>
      <w:lvlJc w:val="left"/>
      <w:pPr>
        <w:ind w:left="4882" w:hanging="360"/>
      </w:pPr>
      <w:rPr>
        <w:rFonts w:ascii="Symbol" w:hAnsi="Symbol" w:hint="default"/>
      </w:rPr>
    </w:lvl>
    <w:lvl w:ilvl="7" w:tplc="08090003" w:tentative="1">
      <w:start w:val="1"/>
      <w:numFmt w:val="bullet"/>
      <w:lvlText w:val="o"/>
      <w:lvlJc w:val="left"/>
      <w:pPr>
        <w:ind w:left="5602" w:hanging="360"/>
      </w:pPr>
      <w:rPr>
        <w:rFonts w:ascii="Courier New" w:hAnsi="Courier New" w:cs="Courier New" w:hint="default"/>
      </w:rPr>
    </w:lvl>
    <w:lvl w:ilvl="8" w:tplc="08090005" w:tentative="1">
      <w:start w:val="1"/>
      <w:numFmt w:val="bullet"/>
      <w:lvlText w:val=""/>
      <w:lvlJc w:val="left"/>
      <w:pPr>
        <w:ind w:left="6322" w:hanging="360"/>
      </w:pPr>
      <w:rPr>
        <w:rFonts w:ascii="Wingdings" w:hAnsi="Wingdings" w:hint="default"/>
      </w:rPr>
    </w:lvl>
  </w:abstractNum>
  <w:abstractNum w:abstractNumId="26" w15:restartNumberingAfterBreak="0">
    <w:nsid w:val="6C054DAC"/>
    <w:multiLevelType w:val="hybridMultilevel"/>
    <w:tmpl w:val="B6AC5DB4"/>
    <w:lvl w:ilvl="0" w:tplc="3A78685A">
      <w:start w:val="1"/>
      <w:numFmt w:val="bullet"/>
      <w:lvlText w:val=""/>
      <w:lvlJc w:val="left"/>
      <w:pPr>
        <w:tabs>
          <w:tab w:val="num" w:pos="202"/>
        </w:tabs>
        <w:ind w:left="202" w:hanging="202"/>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58E09F5"/>
    <w:multiLevelType w:val="multilevel"/>
    <w:tmpl w:val="11B22F1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2077699146">
    <w:abstractNumId w:val="26"/>
  </w:num>
  <w:num w:numId="2" w16cid:durableId="1358235353">
    <w:abstractNumId w:val="15"/>
  </w:num>
  <w:num w:numId="3" w16cid:durableId="460224564">
    <w:abstractNumId w:val="10"/>
  </w:num>
  <w:num w:numId="4" w16cid:durableId="1343050389">
    <w:abstractNumId w:val="7"/>
  </w:num>
  <w:num w:numId="5" w16cid:durableId="921449105">
    <w:abstractNumId w:val="8"/>
  </w:num>
  <w:num w:numId="6" w16cid:durableId="681591907">
    <w:abstractNumId w:val="6"/>
  </w:num>
  <w:num w:numId="7" w16cid:durableId="1649435321">
    <w:abstractNumId w:val="5"/>
  </w:num>
  <w:num w:numId="8" w16cid:durableId="448817017">
    <w:abstractNumId w:val="4"/>
  </w:num>
  <w:num w:numId="9" w16cid:durableId="2074812350">
    <w:abstractNumId w:val="3"/>
  </w:num>
  <w:num w:numId="10" w16cid:durableId="1726757028">
    <w:abstractNumId w:val="2"/>
  </w:num>
  <w:num w:numId="11" w16cid:durableId="909535192">
    <w:abstractNumId w:val="1"/>
  </w:num>
  <w:num w:numId="12" w16cid:durableId="2116705370">
    <w:abstractNumId w:val="9"/>
  </w:num>
  <w:num w:numId="13" w16cid:durableId="2089108401">
    <w:abstractNumId w:val="0"/>
  </w:num>
  <w:num w:numId="14" w16cid:durableId="1745638720">
    <w:abstractNumId w:val="24"/>
  </w:num>
  <w:num w:numId="15" w16cid:durableId="1594318145">
    <w:abstractNumId w:val="16"/>
  </w:num>
  <w:num w:numId="16" w16cid:durableId="1493328289">
    <w:abstractNumId w:val="17"/>
  </w:num>
  <w:num w:numId="17" w16cid:durableId="434902863">
    <w:abstractNumId w:val="22"/>
  </w:num>
  <w:num w:numId="18" w16cid:durableId="2091271645">
    <w:abstractNumId w:val="19"/>
  </w:num>
  <w:num w:numId="19" w16cid:durableId="1967858338">
    <w:abstractNumId w:val="12"/>
  </w:num>
  <w:num w:numId="20" w16cid:durableId="331879801">
    <w:abstractNumId w:val="23"/>
  </w:num>
  <w:num w:numId="21" w16cid:durableId="1874809092">
    <w:abstractNumId w:val="18"/>
  </w:num>
  <w:num w:numId="22" w16cid:durableId="1580945409">
    <w:abstractNumId w:val="14"/>
  </w:num>
  <w:num w:numId="23" w16cid:durableId="102070541">
    <w:abstractNumId w:val="27"/>
  </w:num>
  <w:num w:numId="24" w16cid:durableId="651954283">
    <w:abstractNumId w:val="11"/>
  </w:num>
  <w:num w:numId="25" w16cid:durableId="868765566">
    <w:abstractNumId w:val="13"/>
  </w:num>
  <w:num w:numId="26" w16cid:durableId="52697510">
    <w:abstractNumId w:val="25"/>
  </w:num>
  <w:num w:numId="27" w16cid:durableId="1660885604">
    <w:abstractNumId w:val="20"/>
  </w:num>
  <w:num w:numId="28" w16cid:durableId="128184243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formatting="1" w:enforcement="0"/>
  <w:defaultTabStop w:val="720"/>
  <w:hyphenationZone w:val="425"/>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DAzsTAyNDYwMjI1NTZS0lEKTi0uzszPAykwrQUAIeLVhCwAAAA="/>
  </w:docVars>
  <w:rsids>
    <w:rsidRoot w:val="00F73045"/>
    <w:rsid w:val="00002133"/>
    <w:rsid w:val="0000411F"/>
    <w:rsid w:val="00004D18"/>
    <w:rsid w:val="00005186"/>
    <w:rsid w:val="00006946"/>
    <w:rsid w:val="00007A4E"/>
    <w:rsid w:val="00013190"/>
    <w:rsid w:val="000146CC"/>
    <w:rsid w:val="000156FC"/>
    <w:rsid w:val="0002144A"/>
    <w:rsid w:val="00021E18"/>
    <w:rsid w:val="00024945"/>
    <w:rsid w:val="00024966"/>
    <w:rsid w:val="00025173"/>
    <w:rsid w:val="00025B45"/>
    <w:rsid w:val="00026B11"/>
    <w:rsid w:val="00027A25"/>
    <w:rsid w:val="00033428"/>
    <w:rsid w:val="000339C1"/>
    <w:rsid w:val="00033BC3"/>
    <w:rsid w:val="0003461F"/>
    <w:rsid w:val="0003753C"/>
    <w:rsid w:val="000377EE"/>
    <w:rsid w:val="00040003"/>
    <w:rsid w:val="00040BC7"/>
    <w:rsid w:val="00043DCF"/>
    <w:rsid w:val="00044C05"/>
    <w:rsid w:val="00046705"/>
    <w:rsid w:val="00047148"/>
    <w:rsid w:val="00050607"/>
    <w:rsid w:val="00052726"/>
    <w:rsid w:val="000534C5"/>
    <w:rsid w:val="000550D1"/>
    <w:rsid w:val="0005549F"/>
    <w:rsid w:val="00061EF0"/>
    <w:rsid w:val="00063860"/>
    <w:rsid w:val="00065A16"/>
    <w:rsid w:val="00070278"/>
    <w:rsid w:val="00070A1F"/>
    <w:rsid w:val="00071A50"/>
    <w:rsid w:val="00071E5E"/>
    <w:rsid w:val="00072025"/>
    <w:rsid w:val="00075AD2"/>
    <w:rsid w:val="00077598"/>
    <w:rsid w:val="00077B75"/>
    <w:rsid w:val="00083F96"/>
    <w:rsid w:val="00084109"/>
    <w:rsid w:val="0008511E"/>
    <w:rsid w:val="0008795A"/>
    <w:rsid w:val="00087D7E"/>
    <w:rsid w:val="000915C6"/>
    <w:rsid w:val="0009167D"/>
    <w:rsid w:val="00091721"/>
    <w:rsid w:val="00092F73"/>
    <w:rsid w:val="000A3695"/>
    <w:rsid w:val="000A6DB2"/>
    <w:rsid w:val="000B012B"/>
    <w:rsid w:val="000B05C7"/>
    <w:rsid w:val="000B2B57"/>
    <w:rsid w:val="000B3295"/>
    <w:rsid w:val="000B5768"/>
    <w:rsid w:val="000B5B8B"/>
    <w:rsid w:val="000B62E5"/>
    <w:rsid w:val="000B65A9"/>
    <w:rsid w:val="000C0357"/>
    <w:rsid w:val="000C10D0"/>
    <w:rsid w:val="000C2E5A"/>
    <w:rsid w:val="000C67D8"/>
    <w:rsid w:val="000C6E05"/>
    <w:rsid w:val="000C7D06"/>
    <w:rsid w:val="000D3950"/>
    <w:rsid w:val="000D3F14"/>
    <w:rsid w:val="000D726F"/>
    <w:rsid w:val="000D795B"/>
    <w:rsid w:val="000E0A59"/>
    <w:rsid w:val="000E0DC6"/>
    <w:rsid w:val="000E583E"/>
    <w:rsid w:val="000E5A2F"/>
    <w:rsid w:val="000F1C72"/>
    <w:rsid w:val="000F2F81"/>
    <w:rsid w:val="000F309C"/>
    <w:rsid w:val="000F43B1"/>
    <w:rsid w:val="000F49A8"/>
    <w:rsid w:val="000F6225"/>
    <w:rsid w:val="000F780E"/>
    <w:rsid w:val="00102FFC"/>
    <w:rsid w:val="0010389F"/>
    <w:rsid w:val="001058E4"/>
    <w:rsid w:val="00106344"/>
    <w:rsid w:val="00107A65"/>
    <w:rsid w:val="00107F06"/>
    <w:rsid w:val="0011018F"/>
    <w:rsid w:val="0011067B"/>
    <w:rsid w:val="0011489A"/>
    <w:rsid w:val="00114F36"/>
    <w:rsid w:val="001161E8"/>
    <w:rsid w:val="00116708"/>
    <w:rsid w:val="00116E0D"/>
    <w:rsid w:val="00117238"/>
    <w:rsid w:val="00117A44"/>
    <w:rsid w:val="00122152"/>
    <w:rsid w:val="00122B15"/>
    <w:rsid w:val="00131060"/>
    <w:rsid w:val="00131C2B"/>
    <w:rsid w:val="00132729"/>
    <w:rsid w:val="00137123"/>
    <w:rsid w:val="001405B5"/>
    <w:rsid w:val="001413C2"/>
    <w:rsid w:val="00141921"/>
    <w:rsid w:val="00143B5B"/>
    <w:rsid w:val="00144045"/>
    <w:rsid w:val="00144C9B"/>
    <w:rsid w:val="001453BB"/>
    <w:rsid w:val="00145E75"/>
    <w:rsid w:val="00151D97"/>
    <w:rsid w:val="00152BF5"/>
    <w:rsid w:val="001548AA"/>
    <w:rsid w:val="00155282"/>
    <w:rsid w:val="00155BBD"/>
    <w:rsid w:val="00163EDF"/>
    <w:rsid w:val="00170897"/>
    <w:rsid w:val="00171800"/>
    <w:rsid w:val="00173994"/>
    <w:rsid w:val="00177C98"/>
    <w:rsid w:val="0018082C"/>
    <w:rsid w:val="00182646"/>
    <w:rsid w:val="0018314B"/>
    <w:rsid w:val="001832F0"/>
    <w:rsid w:val="00183F13"/>
    <w:rsid w:val="00184661"/>
    <w:rsid w:val="00185ED3"/>
    <w:rsid w:val="00187487"/>
    <w:rsid w:val="00192C97"/>
    <w:rsid w:val="00194418"/>
    <w:rsid w:val="00195079"/>
    <w:rsid w:val="0019571F"/>
    <w:rsid w:val="001966DA"/>
    <w:rsid w:val="001A0A4C"/>
    <w:rsid w:val="001A150A"/>
    <w:rsid w:val="001A1B17"/>
    <w:rsid w:val="001A2532"/>
    <w:rsid w:val="001A285A"/>
    <w:rsid w:val="001A43A7"/>
    <w:rsid w:val="001A73F0"/>
    <w:rsid w:val="001B076A"/>
    <w:rsid w:val="001B3180"/>
    <w:rsid w:val="001B44E3"/>
    <w:rsid w:val="001C069E"/>
    <w:rsid w:val="001C14FE"/>
    <w:rsid w:val="001C1B09"/>
    <w:rsid w:val="001C2E27"/>
    <w:rsid w:val="001D07EE"/>
    <w:rsid w:val="001D2C37"/>
    <w:rsid w:val="001D33ED"/>
    <w:rsid w:val="001D3A70"/>
    <w:rsid w:val="001D45BB"/>
    <w:rsid w:val="001D6C84"/>
    <w:rsid w:val="001E26C5"/>
    <w:rsid w:val="001E347E"/>
    <w:rsid w:val="001E379B"/>
    <w:rsid w:val="001E4635"/>
    <w:rsid w:val="001E692C"/>
    <w:rsid w:val="001E7671"/>
    <w:rsid w:val="001E7CDC"/>
    <w:rsid w:val="001F6DD1"/>
    <w:rsid w:val="001F7C6F"/>
    <w:rsid w:val="002005FA"/>
    <w:rsid w:val="00200717"/>
    <w:rsid w:val="002053F5"/>
    <w:rsid w:val="002055FC"/>
    <w:rsid w:val="00213911"/>
    <w:rsid w:val="002146EC"/>
    <w:rsid w:val="00214925"/>
    <w:rsid w:val="002152CD"/>
    <w:rsid w:val="0022707E"/>
    <w:rsid w:val="002312CF"/>
    <w:rsid w:val="00235879"/>
    <w:rsid w:val="0023657C"/>
    <w:rsid w:val="00240361"/>
    <w:rsid w:val="00240A5C"/>
    <w:rsid w:val="00241EA7"/>
    <w:rsid w:val="00244D73"/>
    <w:rsid w:val="00245926"/>
    <w:rsid w:val="0024738F"/>
    <w:rsid w:val="00250951"/>
    <w:rsid w:val="0025256D"/>
    <w:rsid w:val="0025321D"/>
    <w:rsid w:val="00253598"/>
    <w:rsid w:val="00254958"/>
    <w:rsid w:val="002566B1"/>
    <w:rsid w:val="002574D8"/>
    <w:rsid w:val="002610AC"/>
    <w:rsid w:val="002635DF"/>
    <w:rsid w:val="00263985"/>
    <w:rsid w:val="002639FB"/>
    <w:rsid w:val="00263A3C"/>
    <w:rsid w:val="00263CC7"/>
    <w:rsid w:val="00264F36"/>
    <w:rsid w:val="00265DA8"/>
    <w:rsid w:val="002701CC"/>
    <w:rsid w:val="002750AB"/>
    <w:rsid w:val="00275F6C"/>
    <w:rsid w:val="00277678"/>
    <w:rsid w:val="0028291B"/>
    <w:rsid w:val="0028454D"/>
    <w:rsid w:val="00284C9C"/>
    <w:rsid w:val="00287ECF"/>
    <w:rsid w:val="00287F97"/>
    <w:rsid w:val="00291903"/>
    <w:rsid w:val="002924E4"/>
    <w:rsid w:val="002943C3"/>
    <w:rsid w:val="002964C9"/>
    <w:rsid w:val="00297318"/>
    <w:rsid w:val="002A264D"/>
    <w:rsid w:val="002A3E96"/>
    <w:rsid w:val="002A5E60"/>
    <w:rsid w:val="002A5F18"/>
    <w:rsid w:val="002A7480"/>
    <w:rsid w:val="002B1151"/>
    <w:rsid w:val="002B205E"/>
    <w:rsid w:val="002B283F"/>
    <w:rsid w:val="002B367F"/>
    <w:rsid w:val="002B49AB"/>
    <w:rsid w:val="002B506C"/>
    <w:rsid w:val="002B584D"/>
    <w:rsid w:val="002B658F"/>
    <w:rsid w:val="002B6E1D"/>
    <w:rsid w:val="002C450B"/>
    <w:rsid w:val="002C79FA"/>
    <w:rsid w:val="002D1F61"/>
    <w:rsid w:val="002D2CC2"/>
    <w:rsid w:val="002D5EAA"/>
    <w:rsid w:val="002D6606"/>
    <w:rsid w:val="002E0571"/>
    <w:rsid w:val="002E186A"/>
    <w:rsid w:val="002E5E18"/>
    <w:rsid w:val="002F3ACB"/>
    <w:rsid w:val="002F3E9C"/>
    <w:rsid w:val="002F48FB"/>
    <w:rsid w:val="003056EC"/>
    <w:rsid w:val="00305BD5"/>
    <w:rsid w:val="00306A2D"/>
    <w:rsid w:val="00310DCA"/>
    <w:rsid w:val="00312117"/>
    <w:rsid w:val="003143E1"/>
    <w:rsid w:val="003149A2"/>
    <w:rsid w:val="0031665C"/>
    <w:rsid w:val="00317006"/>
    <w:rsid w:val="00321BF2"/>
    <w:rsid w:val="003225F2"/>
    <w:rsid w:val="0032455D"/>
    <w:rsid w:val="003257D4"/>
    <w:rsid w:val="00325AD5"/>
    <w:rsid w:val="00326264"/>
    <w:rsid w:val="0032685B"/>
    <w:rsid w:val="00326B99"/>
    <w:rsid w:val="00331EF5"/>
    <w:rsid w:val="00333AE1"/>
    <w:rsid w:val="003344A4"/>
    <w:rsid w:val="003350FF"/>
    <w:rsid w:val="00336124"/>
    <w:rsid w:val="0033648E"/>
    <w:rsid w:val="003370F3"/>
    <w:rsid w:val="0034035E"/>
    <w:rsid w:val="00343E79"/>
    <w:rsid w:val="00346B46"/>
    <w:rsid w:val="00347003"/>
    <w:rsid w:val="00350524"/>
    <w:rsid w:val="00350F3D"/>
    <w:rsid w:val="00363D9E"/>
    <w:rsid w:val="003679B9"/>
    <w:rsid w:val="003705D7"/>
    <w:rsid w:val="003709BA"/>
    <w:rsid w:val="00370CB4"/>
    <w:rsid w:val="00371EB2"/>
    <w:rsid w:val="00372127"/>
    <w:rsid w:val="00373CAF"/>
    <w:rsid w:val="00374F0F"/>
    <w:rsid w:val="0038713D"/>
    <w:rsid w:val="00387A5B"/>
    <w:rsid w:val="00391736"/>
    <w:rsid w:val="00392F26"/>
    <w:rsid w:val="00394B30"/>
    <w:rsid w:val="00395EA9"/>
    <w:rsid w:val="003A09FB"/>
    <w:rsid w:val="003A0D0D"/>
    <w:rsid w:val="003A393E"/>
    <w:rsid w:val="003A5CCA"/>
    <w:rsid w:val="003A7F94"/>
    <w:rsid w:val="003B1710"/>
    <w:rsid w:val="003B1D95"/>
    <w:rsid w:val="003B1D97"/>
    <w:rsid w:val="003B34F8"/>
    <w:rsid w:val="003B706D"/>
    <w:rsid w:val="003B7A6E"/>
    <w:rsid w:val="003B7B62"/>
    <w:rsid w:val="003C0CE5"/>
    <w:rsid w:val="003C24D2"/>
    <w:rsid w:val="003C3ECA"/>
    <w:rsid w:val="003C4636"/>
    <w:rsid w:val="003D586F"/>
    <w:rsid w:val="003E1E90"/>
    <w:rsid w:val="003E3074"/>
    <w:rsid w:val="003E5A38"/>
    <w:rsid w:val="003E76D6"/>
    <w:rsid w:val="003F09B4"/>
    <w:rsid w:val="003F0E75"/>
    <w:rsid w:val="003F2D1D"/>
    <w:rsid w:val="003F5AE6"/>
    <w:rsid w:val="003F6745"/>
    <w:rsid w:val="00400119"/>
    <w:rsid w:val="004010DE"/>
    <w:rsid w:val="00404ABC"/>
    <w:rsid w:val="00404EA6"/>
    <w:rsid w:val="004060D6"/>
    <w:rsid w:val="004064F4"/>
    <w:rsid w:val="004116AF"/>
    <w:rsid w:val="004152E8"/>
    <w:rsid w:val="004163D1"/>
    <w:rsid w:val="004169C6"/>
    <w:rsid w:val="00423509"/>
    <w:rsid w:val="00423CD4"/>
    <w:rsid w:val="00423D00"/>
    <w:rsid w:val="0042480C"/>
    <w:rsid w:val="00424B43"/>
    <w:rsid w:val="0042594B"/>
    <w:rsid w:val="004302E1"/>
    <w:rsid w:val="0043052C"/>
    <w:rsid w:val="0043114C"/>
    <w:rsid w:val="004349E8"/>
    <w:rsid w:val="00435BDA"/>
    <w:rsid w:val="004364BF"/>
    <w:rsid w:val="00437B65"/>
    <w:rsid w:val="00441C5B"/>
    <w:rsid w:val="0044764D"/>
    <w:rsid w:val="00450B83"/>
    <w:rsid w:val="004520BA"/>
    <w:rsid w:val="00452CC7"/>
    <w:rsid w:val="00453286"/>
    <w:rsid w:val="00455040"/>
    <w:rsid w:val="00456F94"/>
    <w:rsid w:val="0045792E"/>
    <w:rsid w:val="00460915"/>
    <w:rsid w:val="004615AC"/>
    <w:rsid w:val="00466671"/>
    <w:rsid w:val="004703C5"/>
    <w:rsid w:val="00471722"/>
    <w:rsid w:val="00474572"/>
    <w:rsid w:val="00476C36"/>
    <w:rsid w:val="00480013"/>
    <w:rsid w:val="00480B93"/>
    <w:rsid w:val="00484FEA"/>
    <w:rsid w:val="0049092F"/>
    <w:rsid w:val="0049149C"/>
    <w:rsid w:val="0049474C"/>
    <w:rsid w:val="00494AC9"/>
    <w:rsid w:val="00494FE9"/>
    <w:rsid w:val="004A2A48"/>
    <w:rsid w:val="004A2B68"/>
    <w:rsid w:val="004A728A"/>
    <w:rsid w:val="004A72AE"/>
    <w:rsid w:val="004A7638"/>
    <w:rsid w:val="004B093C"/>
    <w:rsid w:val="004B10E3"/>
    <w:rsid w:val="004B2ACD"/>
    <w:rsid w:val="004B4411"/>
    <w:rsid w:val="004B485F"/>
    <w:rsid w:val="004B4DD1"/>
    <w:rsid w:val="004B4E3A"/>
    <w:rsid w:val="004B6276"/>
    <w:rsid w:val="004C0D97"/>
    <w:rsid w:val="004C309D"/>
    <w:rsid w:val="004D0887"/>
    <w:rsid w:val="004D492D"/>
    <w:rsid w:val="004D494E"/>
    <w:rsid w:val="004D6977"/>
    <w:rsid w:val="004E3182"/>
    <w:rsid w:val="004E485D"/>
    <w:rsid w:val="004E6945"/>
    <w:rsid w:val="004F356A"/>
    <w:rsid w:val="00500302"/>
    <w:rsid w:val="00500F7A"/>
    <w:rsid w:val="00501695"/>
    <w:rsid w:val="005030A5"/>
    <w:rsid w:val="005061E6"/>
    <w:rsid w:val="00510494"/>
    <w:rsid w:val="005120B5"/>
    <w:rsid w:val="00512977"/>
    <w:rsid w:val="00512A06"/>
    <w:rsid w:val="0051355D"/>
    <w:rsid w:val="00515B49"/>
    <w:rsid w:val="00516589"/>
    <w:rsid w:val="00517F02"/>
    <w:rsid w:val="00517F85"/>
    <w:rsid w:val="00520224"/>
    <w:rsid w:val="00520C49"/>
    <w:rsid w:val="005222D1"/>
    <w:rsid w:val="00522F04"/>
    <w:rsid w:val="005243C1"/>
    <w:rsid w:val="00526F70"/>
    <w:rsid w:val="00530BD8"/>
    <w:rsid w:val="00533701"/>
    <w:rsid w:val="005340F8"/>
    <w:rsid w:val="00534FBA"/>
    <w:rsid w:val="0053634B"/>
    <w:rsid w:val="005369CE"/>
    <w:rsid w:val="005401A6"/>
    <w:rsid w:val="00540CA1"/>
    <w:rsid w:val="0054126D"/>
    <w:rsid w:val="00541743"/>
    <w:rsid w:val="005420AA"/>
    <w:rsid w:val="0054449A"/>
    <w:rsid w:val="00544CFA"/>
    <w:rsid w:val="005520AE"/>
    <w:rsid w:val="005540CD"/>
    <w:rsid w:val="005546FC"/>
    <w:rsid w:val="005553E3"/>
    <w:rsid w:val="00555F0F"/>
    <w:rsid w:val="005565E1"/>
    <w:rsid w:val="005565F4"/>
    <w:rsid w:val="00556DE9"/>
    <w:rsid w:val="00560B8B"/>
    <w:rsid w:val="00563432"/>
    <w:rsid w:val="0056438B"/>
    <w:rsid w:val="00564E56"/>
    <w:rsid w:val="0056674F"/>
    <w:rsid w:val="005719E6"/>
    <w:rsid w:val="00572C67"/>
    <w:rsid w:val="00575B51"/>
    <w:rsid w:val="00576DC8"/>
    <w:rsid w:val="005778F9"/>
    <w:rsid w:val="0058051C"/>
    <w:rsid w:val="00580817"/>
    <w:rsid w:val="00580BEA"/>
    <w:rsid w:val="00582269"/>
    <w:rsid w:val="005828C7"/>
    <w:rsid w:val="00584537"/>
    <w:rsid w:val="00587062"/>
    <w:rsid w:val="005909BE"/>
    <w:rsid w:val="00590C27"/>
    <w:rsid w:val="00590EBF"/>
    <w:rsid w:val="005959C8"/>
    <w:rsid w:val="005973AD"/>
    <w:rsid w:val="005A21FD"/>
    <w:rsid w:val="005A3A16"/>
    <w:rsid w:val="005A43FA"/>
    <w:rsid w:val="005A5EC1"/>
    <w:rsid w:val="005B0768"/>
    <w:rsid w:val="005B077C"/>
    <w:rsid w:val="005B1CB5"/>
    <w:rsid w:val="005B39F8"/>
    <w:rsid w:val="005B405E"/>
    <w:rsid w:val="005B5635"/>
    <w:rsid w:val="005B5EC1"/>
    <w:rsid w:val="005B63E5"/>
    <w:rsid w:val="005B77B7"/>
    <w:rsid w:val="005C182A"/>
    <w:rsid w:val="005C20C2"/>
    <w:rsid w:val="005C2E5E"/>
    <w:rsid w:val="005C3832"/>
    <w:rsid w:val="005C3D62"/>
    <w:rsid w:val="005C40FA"/>
    <w:rsid w:val="005C4AD2"/>
    <w:rsid w:val="005C5A0A"/>
    <w:rsid w:val="005C5E0F"/>
    <w:rsid w:val="005C637B"/>
    <w:rsid w:val="005D16EF"/>
    <w:rsid w:val="005D216E"/>
    <w:rsid w:val="005D55FC"/>
    <w:rsid w:val="005D5733"/>
    <w:rsid w:val="005D5987"/>
    <w:rsid w:val="005E279F"/>
    <w:rsid w:val="005E41D4"/>
    <w:rsid w:val="005E5932"/>
    <w:rsid w:val="005E5953"/>
    <w:rsid w:val="005E6127"/>
    <w:rsid w:val="005F6110"/>
    <w:rsid w:val="006002D8"/>
    <w:rsid w:val="00603ABC"/>
    <w:rsid w:val="0060553C"/>
    <w:rsid w:val="006058CF"/>
    <w:rsid w:val="006067A2"/>
    <w:rsid w:val="006115AB"/>
    <w:rsid w:val="006115D0"/>
    <w:rsid w:val="00612AEA"/>
    <w:rsid w:val="00613472"/>
    <w:rsid w:val="0061352B"/>
    <w:rsid w:val="00613972"/>
    <w:rsid w:val="00614E96"/>
    <w:rsid w:val="00615DED"/>
    <w:rsid w:val="00621D52"/>
    <w:rsid w:val="00622DF5"/>
    <w:rsid w:val="00622EE8"/>
    <w:rsid w:val="006247AA"/>
    <w:rsid w:val="00625287"/>
    <w:rsid w:val="00626556"/>
    <w:rsid w:val="00627C19"/>
    <w:rsid w:val="00630644"/>
    <w:rsid w:val="00630C68"/>
    <w:rsid w:val="00631646"/>
    <w:rsid w:val="00631794"/>
    <w:rsid w:val="00631DDF"/>
    <w:rsid w:val="00631FC9"/>
    <w:rsid w:val="00635E5B"/>
    <w:rsid w:val="00636D2F"/>
    <w:rsid w:val="00642303"/>
    <w:rsid w:val="00645494"/>
    <w:rsid w:val="00646175"/>
    <w:rsid w:val="00646BD9"/>
    <w:rsid w:val="00647A1A"/>
    <w:rsid w:val="00650992"/>
    <w:rsid w:val="00653871"/>
    <w:rsid w:val="006565D6"/>
    <w:rsid w:val="0066054B"/>
    <w:rsid w:val="006642ED"/>
    <w:rsid w:val="0066459A"/>
    <w:rsid w:val="006647EC"/>
    <w:rsid w:val="006650F9"/>
    <w:rsid w:val="006662DA"/>
    <w:rsid w:val="006668F8"/>
    <w:rsid w:val="006715E1"/>
    <w:rsid w:val="00673272"/>
    <w:rsid w:val="00674789"/>
    <w:rsid w:val="00680193"/>
    <w:rsid w:val="006805D2"/>
    <w:rsid w:val="006805F5"/>
    <w:rsid w:val="006824D9"/>
    <w:rsid w:val="00684357"/>
    <w:rsid w:val="006854F8"/>
    <w:rsid w:val="00686D4E"/>
    <w:rsid w:val="00687FFE"/>
    <w:rsid w:val="0069110B"/>
    <w:rsid w:val="0069534D"/>
    <w:rsid w:val="00696801"/>
    <w:rsid w:val="006A0D03"/>
    <w:rsid w:val="006A0F9E"/>
    <w:rsid w:val="006A1862"/>
    <w:rsid w:val="006B31E0"/>
    <w:rsid w:val="006B67B4"/>
    <w:rsid w:val="006B776D"/>
    <w:rsid w:val="006C0C86"/>
    <w:rsid w:val="006C0EA9"/>
    <w:rsid w:val="006C1BB6"/>
    <w:rsid w:val="006C21DD"/>
    <w:rsid w:val="006C2539"/>
    <w:rsid w:val="006C3319"/>
    <w:rsid w:val="006C453E"/>
    <w:rsid w:val="006C4BE3"/>
    <w:rsid w:val="006C56A0"/>
    <w:rsid w:val="006C63E0"/>
    <w:rsid w:val="006C74D5"/>
    <w:rsid w:val="006C763B"/>
    <w:rsid w:val="006D4BA3"/>
    <w:rsid w:val="006D5658"/>
    <w:rsid w:val="006D668A"/>
    <w:rsid w:val="006D70F7"/>
    <w:rsid w:val="006E1754"/>
    <w:rsid w:val="006E24E5"/>
    <w:rsid w:val="006E5133"/>
    <w:rsid w:val="006E7FB0"/>
    <w:rsid w:val="006F0EA7"/>
    <w:rsid w:val="006F227D"/>
    <w:rsid w:val="006F2376"/>
    <w:rsid w:val="006F6EEA"/>
    <w:rsid w:val="00700F60"/>
    <w:rsid w:val="00701A62"/>
    <w:rsid w:val="00701C9D"/>
    <w:rsid w:val="00701F71"/>
    <w:rsid w:val="007022A3"/>
    <w:rsid w:val="0070448F"/>
    <w:rsid w:val="0070742A"/>
    <w:rsid w:val="00707BBF"/>
    <w:rsid w:val="00710394"/>
    <w:rsid w:val="00710A15"/>
    <w:rsid w:val="007116A9"/>
    <w:rsid w:val="007121B7"/>
    <w:rsid w:val="007127D5"/>
    <w:rsid w:val="00715305"/>
    <w:rsid w:val="007156A4"/>
    <w:rsid w:val="00717211"/>
    <w:rsid w:val="00717587"/>
    <w:rsid w:val="007305D2"/>
    <w:rsid w:val="00730CAA"/>
    <w:rsid w:val="007331BB"/>
    <w:rsid w:val="00737213"/>
    <w:rsid w:val="00737D75"/>
    <w:rsid w:val="00740EFB"/>
    <w:rsid w:val="0074246E"/>
    <w:rsid w:val="00744595"/>
    <w:rsid w:val="0074459A"/>
    <w:rsid w:val="007455BA"/>
    <w:rsid w:val="00746D2F"/>
    <w:rsid w:val="007506BB"/>
    <w:rsid w:val="00750715"/>
    <w:rsid w:val="007528E9"/>
    <w:rsid w:val="00752D8B"/>
    <w:rsid w:val="0075331F"/>
    <w:rsid w:val="0075381F"/>
    <w:rsid w:val="007539C3"/>
    <w:rsid w:val="00753E08"/>
    <w:rsid w:val="00754C0A"/>
    <w:rsid w:val="00757955"/>
    <w:rsid w:val="00757B7D"/>
    <w:rsid w:val="0076213E"/>
    <w:rsid w:val="0076252F"/>
    <w:rsid w:val="00762FB6"/>
    <w:rsid w:val="007637E8"/>
    <w:rsid w:val="00763E05"/>
    <w:rsid w:val="00764FDE"/>
    <w:rsid w:val="00765691"/>
    <w:rsid w:val="007740EA"/>
    <w:rsid w:val="00775530"/>
    <w:rsid w:val="00775BA0"/>
    <w:rsid w:val="007805A0"/>
    <w:rsid w:val="00780DE2"/>
    <w:rsid w:val="00781E84"/>
    <w:rsid w:val="00785E43"/>
    <w:rsid w:val="0078760F"/>
    <w:rsid w:val="007902B3"/>
    <w:rsid w:val="00794A1A"/>
    <w:rsid w:val="0079522D"/>
    <w:rsid w:val="0079592B"/>
    <w:rsid w:val="00795E70"/>
    <w:rsid w:val="00795E9C"/>
    <w:rsid w:val="007968F7"/>
    <w:rsid w:val="00796BC4"/>
    <w:rsid w:val="007A30F8"/>
    <w:rsid w:val="007A4CF2"/>
    <w:rsid w:val="007A5512"/>
    <w:rsid w:val="007A69E3"/>
    <w:rsid w:val="007A6AD2"/>
    <w:rsid w:val="007A7CDF"/>
    <w:rsid w:val="007B230C"/>
    <w:rsid w:val="007B2459"/>
    <w:rsid w:val="007C06B2"/>
    <w:rsid w:val="007C0CAC"/>
    <w:rsid w:val="007C17EB"/>
    <w:rsid w:val="007C2C6E"/>
    <w:rsid w:val="007C4AEB"/>
    <w:rsid w:val="007C5ADD"/>
    <w:rsid w:val="007C7F24"/>
    <w:rsid w:val="007D237E"/>
    <w:rsid w:val="007D2864"/>
    <w:rsid w:val="007D600B"/>
    <w:rsid w:val="007D62A2"/>
    <w:rsid w:val="007E1F86"/>
    <w:rsid w:val="007E30D3"/>
    <w:rsid w:val="007E42A3"/>
    <w:rsid w:val="007E4B16"/>
    <w:rsid w:val="007E6A5F"/>
    <w:rsid w:val="007E6C2E"/>
    <w:rsid w:val="007E783C"/>
    <w:rsid w:val="007E7AC6"/>
    <w:rsid w:val="007F00B9"/>
    <w:rsid w:val="007F5563"/>
    <w:rsid w:val="00804830"/>
    <w:rsid w:val="00804B11"/>
    <w:rsid w:val="00806ABB"/>
    <w:rsid w:val="008077DB"/>
    <w:rsid w:val="008079E7"/>
    <w:rsid w:val="0081113D"/>
    <w:rsid w:val="0081533B"/>
    <w:rsid w:val="0081551C"/>
    <w:rsid w:val="00822E75"/>
    <w:rsid w:val="00827B6C"/>
    <w:rsid w:val="00827D52"/>
    <w:rsid w:val="00830A03"/>
    <w:rsid w:val="0083172B"/>
    <w:rsid w:val="0083386D"/>
    <w:rsid w:val="0083724D"/>
    <w:rsid w:val="0083751B"/>
    <w:rsid w:val="00837E2B"/>
    <w:rsid w:val="00840477"/>
    <w:rsid w:val="008407BC"/>
    <w:rsid w:val="0084296A"/>
    <w:rsid w:val="008434A6"/>
    <w:rsid w:val="00844C8A"/>
    <w:rsid w:val="00844E41"/>
    <w:rsid w:val="0085053F"/>
    <w:rsid w:val="0085188C"/>
    <w:rsid w:val="00852732"/>
    <w:rsid w:val="00852D4A"/>
    <w:rsid w:val="0085575B"/>
    <w:rsid w:val="00856466"/>
    <w:rsid w:val="00862227"/>
    <w:rsid w:val="00862A89"/>
    <w:rsid w:val="008630BB"/>
    <w:rsid w:val="008640B8"/>
    <w:rsid w:val="00864B44"/>
    <w:rsid w:val="008704D9"/>
    <w:rsid w:val="00870E76"/>
    <w:rsid w:val="00871359"/>
    <w:rsid w:val="008726D1"/>
    <w:rsid w:val="00874199"/>
    <w:rsid w:val="00875788"/>
    <w:rsid w:val="00882498"/>
    <w:rsid w:val="00882673"/>
    <w:rsid w:val="0088514C"/>
    <w:rsid w:val="00885DA3"/>
    <w:rsid w:val="00885DF3"/>
    <w:rsid w:val="00885FE4"/>
    <w:rsid w:val="00886DD7"/>
    <w:rsid w:val="00894DC1"/>
    <w:rsid w:val="00896365"/>
    <w:rsid w:val="0089673E"/>
    <w:rsid w:val="008A0881"/>
    <w:rsid w:val="008A0D9C"/>
    <w:rsid w:val="008A3B78"/>
    <w:rsid w:val="008A4334"/>
    <w:rsid w:val="008A6684"/>
    <w:rsid w:val="008B067F"/>
    <w:rsid w:val="008B0B58"/>
    <w:rsid w:val="008B203A"/>
    <w:rsid w:val="008B2E31"/>
    <w:rsid w:val="008B58B7"/>
    <w:rsid w:val="008C0C31"/>
    <w:rsid w:val="008C0EC6"/>
    <w:rsid w:val="008C1BEA"/>
    <w:rsid w:val="008C499D"/>
    <w:rsid w:val="008C6727"/>
    <w:rsid w:val="008C6986"/>
    <w:rsid w:val="008C6A37"/>
    <w:rsid w:val="008D27D8"/>
    <w:rsid w:val="008D32AA"/>
    <w:rsid w:val="008D42F7"/>
    <w:rsid w:val="008D498A"/>
    <w:rsid w:val="008E26DD"/>
    <w:rsid w:val="008E2AD7"/>
    <w:rsid w:val="008E3A80"/>
    <w:rsid w:val="008E3C4F"/>
    <w:rsid w:val="008E42C9"/>
    <w:rsid w:val="008E72ED"/>
    <w:rsid w:val="008F1AF3"/>
    <w:rsid w:val="008F2866"/>
    <w:rsid w:val="00900084"/>
    <w:rsid w:val="00903055"/>
    <w:rsid w:val="00903538"/>
    <w:rsid w:val="0090438F"/>
    <w:rsid w:val="00907E7A"/>
    <w:rsid w:val="0091000A"/>
    <w:rsid w:val="00911A0D"/>
    <w:rsid w:val="00912033"/>
    <w:rsid w:val="0091266B"/>
    <w:rsid w:val="00915659"/>
    <w:rsid w:val="009156D9"/>
    <w:rsid w:val="00916509"/>
    <w:rsid w:val="0091678E"/>
    <w:rsid w:val="0092021B"/>
    <w:rsid w:val="0092758F"/>
    <w:rsid w:val="00931F15"/>
    <w:rsid w:val="00934A95"/>
    <w:rsid w:val="009379E1"/>
    <w:rsid w:val="00943383"/>
    <w:rsid w:val="009450F3"/>
    <w:rsid w:val="00946D05"/>
    <w:rsid w:val="00952030"/>
    <w:rsid w:val="00953AA2"/>
    <w:rsid w:val="00953CFD"/>
    <w:rsid w:val="00954BB5"/>
    <w:rsid w:val="00954F3A"/>
    <w:rsid w:val="009561CC"/>
    <w:rsid w:val="00957F07"/>
    <w:rsid w:val="00957FA8"/>
    <w:rsid w:val="00961347"/>
    <w:rsid w:val="0096160C"/>
    <w:rsid w:val="00961D63"/>
    <w:rsid w:val="00961F70"/>
    <w:rsid w:val="00963138"/>
    <w:rsid w:val="00967D2C"/>
    <w:rsid w:val="00971FC8"/>
    <w:rsid w:val="00974B51"/>
    <w:rsid w:val="00975447"/>
    <w:rsid w:val="009767A5"/>
    <w:rsid w:val="00977158"/>
    <w:rsid w:val="00980399"/>
    <w:rsid w:val="009804A8"/>
    <w:rsid w:val="0098282B"/>
    <w:rsid w:val="00982893"/>
    <w:rsid w:val="009849D7"/>
    <w:rsid w:val="0098769E"/>
    <w:rsid w:val="00990705"/>
    <w:rsid w:val="009917A0"/>
    <w:rsid w:val="009917D1"/>
    <w:rsid w:val="00991AFC"/>
    <w:rsid w:val="00991B6F"/>
    <w:rsid w:val="009926FF"/>
    <w:rsid w:val="00992FE3"/>
    <w:rsid w:val="00994A92"/>
    <w:rsid w:val="009951AF"/>
    <w:rsid w:val="00995A29"/>
    <w:rsid w:val="00995E97"/>
    <w:rsid w:val="00997B93"/>
    <w:rsid w:val="009A32AF"/>
    <w:rsid w:val="009B307B"/>
    <w:rsid w:val="009B3877"/>
    <w:rsid w:val="009B66F0"/>
    <w:rsid w:val="009C0192"/>
    <w:rsid w:val="009C1952"/>
    <w:rsid w:val="009C2B59"/>
    <w:rsid w:val="009C5838"/>
    <w:rsid w:val="009C5985"/>
    <w:rsid w:val="009E15EE"/>
    <w:rsid w:val="009E1ED9"/>
    <w:rsid w:val="009E405A"/>
    <w:rsid w:val="009E53D2"/>
    <w:rsid w:val="009E5F6B"/>
    <w:rsid w:val="009E622E"/>
    <w:rsid w:val="009E6D38"/>
    <w:rsid w:val="009E70D8"/>
    <w:rsid w:val="009E77A5"/>
    <w:rsid w:val="009E7994"/>
    <w:rsid w:val="009F1357"/>
    <w:rsid w:val="009F1B51"/>
    <w:rsid w:val="009F201C"/>
    <w:rsid w:val="009F5FE0"/>
    <w:rsid w:val="009F6678"/>
    <w:rsid w:val="009F785F"/>
    <w:rsid w:val="00A011B2"/>
    <w:rsid w:val="00A06ABA"/>
    <w:rsid w:val="00A07071"/>
    <w:rsid w:val="00A109F9"/>
    <w:rsid w:val="00A113DB"/>
    <w:rsid w:val="00A13376"/>
    <w:rsid w:val="00A133F4"/>
    <w:rsid w:val="00A1354F"/>
    <w:rsid w:val="00A13C4C"/>
    <w:rsid w:val="00A148C9"/>
    <w:rsid w:val="00A152C8"/>
    <w:rsid w:val="00A157AA"/>
    <w:rsid w:val="00A219CB"/>
    <w:rsid w:val="00A21CAE"/>
    <w:rsid w:val="00A225D1"/>
    <w:rsid w:val="00A24CBB"/>
    <w:rsid w:val="00A268F5"/>
    <w:rsid w:val="00A26C13"/>
    <w:rsid w:val="00A30CC8"/>
    <w:rsid w:val="00A32148"/>
    <w:rsid w:val="00A34746"/>
    <w:rsid w:val="00A36535"/>
    <w:rsid w:val="00A451E4"/>
    <w:rsid w:val="00A455B6"/>
    <w:rsid w:val="00A45C79"/>
    <w:rsid w:val="00A45FD7"/>
    <w:rsid w:val="00A521AC"/>
    <w:rsid w:val="00A55043"/>
    <w:rsid w:val="00A55F94"/>
    <w:rsid w:val="00A56CD1"/>
    <w:rsid w:val="00A6065C"/>
    <w:rsid w:val="00A64C2C"/>
    <w:rsid w:val="00A65D12"/>
    <w:rsid w:val="00A65D73"/>
    <w:rsid w:val="00A7270B"/>
    <w:rsid w:val="00A7427C"/>
    <w:rsid w:val="00A749E5"/>
    <w:rsid w:val="00A74E43"/>
    <w:rsid w:val="00A754E2"/>
    <w:rsid w:val="00A76051"/>
    <w:rsid w:val="00A761C2"/>
    <w:rsid w:val="00A76644"/>
    <w:rsid w:val="00A768AB"/>
    <w:rsid w:val="00A77978"/>
    <w:rsid w:val="00A77D9E"/>
    <w:rsid w:val="00A77F7A"/>
    <w:rsid w:val="00A816BA"/>
    <w:rsid w:val="00A8255D"/>
    <w:rsid w:val="00A852A9"/>
    <w:rsid w:val="00A86C6F"/>
    <w:rsid w:val="00A87C51"/>
    <w:rsid w:val="00A90225"/>
    <w:rsid w:val="00A90441"/>
    <w:rsid w:val="00A910CF"/>
    <w:rsid w:val="00A9134C"/>
    <w:rsid w:val="00A9432E"/>
    <w:rsid w:val="00A95038"/>
    <w:rsid w:val="00A97EA7"/>
    <w:rsid w:val="00AA1F86"/>
    <w:rsid w:val="00AA1FBE"/>
    <w:rsid w:val="00AA6D36"/>
    <w:rsid w:val="00AA7553"/>
    <w:rsid w:val="00AB05E8"/>
    <w:rsid w:val="00AB0D87"/>
    <w:rsid w:val="00AB11F7"/>
    <w:rsid w:val="00AB159F"/>
    <w:rsid w:val="00AB2A0D"/>
    <w:rsid w:val="00AB31B4"/>
    <w:rsid w:val="00AB4AD4"/>
    <w:rsid w:val="00AB4F65"/>
    <w:rsid w:val="00AC0632"/>
    <w:rsid w:val="00AC0C69"/>
    <w:rsid w:val="00AC3DB2"/>
    <w:rsid w:val="00AC40B2"/>
    <w:rsid w:val="00AC5224"/>
    <w:rsid w:val="00AC7999"/>
    <w:rsid w:val="00AD3BFC"/>
    <w:rsid w:val="00AD3D6D"/>
    <w:rsid w:val="00AE0543"/>
    <w:rsid w:val="00AE074B"/>
    <w:rsid w:val="00AE0B77"/>
    <w:rsid w:val="00AE28ED"/>
    <w:rsid w:val="00AE2BB2"/>
    <w:rsid w:val="00AE3B9C"/>
    <w:rsid w:val="00AE45EF"/>
    <w:rsid w:val="00AF1408"/>
    <w:rsid w:val="00AF3E2B"/>
    <w:rsid w:val="00B0319E"/>
    <w:rsid w:val="00B03C30"/>
    <w:rsid w:val="00B105AE"/>
    <w:rsid w:val="00B150B7"/>
    <w:rsid w:val="00B15A6F"/>
    <w:rsid w:val="00B15F07"/>
    <w:rsid w:val="00B17C5E"/>
    <w:rsid w:val="00B206DD"/>
    <w:rsid w:val="00B2377B"/>
    <w:rsid w:val="00B32751"/>
    <w:rsid w:val="00B32849"/>
    <w:rsid w:val="00B32B9E"/>
    <w:rsid w:val="00B44023"/>
    <w:rsid w:val="00B50349"/>
    <w:rsid w:val="00B5185F"/>
    <w:rsid w:val="00B5302F"/>
    <w:rsid w:val="00B53BC3"/>
    <w:rsid w:val="00B57045"/>
    <w:rsid w:val="00B57902"/>
    <w:rsid w:val="00B60492"/>
    <w:rsid w:val="00B609F1"/>
    <w:rsid w:val="00B6204A"/>
    <w:rsid w:val="00B62FB9"/>
    <w:rsid w:val="00B64534"/>
    <w:rsid w:val="00B65E9E"/>
    <w:rsid w:val="00B703EC"/>
    <w:rsid w:val="00B716B4"/>
    <w:rsid w:val="00B7191D"/>
    <w:rsid w:val="00B761B5"/>
    <w:rsid w:val="00B83676"/>
    <w:rsid w:val="00B839B5"/>
    <w:rsid w:val="00B856D6"/>
    <w:rsid w:val="00B860D0"/>
    <w:rsid w:val="00B871E5"/>
    <w:rsid w:val="00B87FA0"/>
    <w:rsid w:val="00B90597"/>
    <w:rsid w:val="00B914F4"/>
    <w:rsid w:val="00B92CF6"/>
    <w:rsid w:val="00B92DD5"/>
    <w:rsid w:val="00B9423E"/>
    <w:rsid w:val="00B94BE4"/>
    <w:rsid w:val="00B960A5"/>
    <w:rsid w:val="00B969F0"/>
    <w:rsid w:val="00B96CC5"/>
    <w:rsid w:val="00BA0FD9"/>
    <w:rsid w:val="00BA2263"/>
    <w:rsid w:val="00BA653D"/>
    <w:rsid w:val="00BA72A5"/>
    <w:rsid w:val="00BA7325"/>
    <w:rsid w:val="00BA7827"/>
    <w:rsid w:val="00BA7C27"/>
    <w:rsid w:val="00BB08BF"/>
    <w:rsid w:val="00BB220A"/>
    <w:rsid w:val="00BB42DB"/>
    <w:rsid w:val="00BB7D6E"/>
    <w:rsid w:val="00BC1832"/>
    <w:rsid w:val="00BC2E42"/>
    <w:rsid w:val="00BC3905"/>
    <w:rsid w:val="00BC5D20"/>
    <w:rsid w:val="00BC6B15"/>
    <w:rsid w:val="00BD1418"/>
    <w:rsid w:val="00BD1722"/>
    <w:rsid w:val="00BD42C2"/>
    <w:rsid w:val="00BD60F0"/>
    <w:rsid w:val="00BE1659"/>
    <w:rsid w:val="00BE3462"/>
    <w:rsid w:val="00BE6F91"/>
    <w:rsid w:val="00BF0921"/>
    <w:rsid w:val="00BF25F9"/>
    <w:rsid w:val="00BF3CEB"/>
    <w:rsid w:val="00BF4D7F"/>
    <w:rsid w:val="00BF79F1"/>
    <w:rsid w:val="00C018E8"/>
    <w:rsid w:val="00C051CA"/>
    <w:rsid w:val="00C0743C"/>
    <w:rsid w:val="00C11D51"/>
    <w:rsid w:val="00C11FCE"/>
    <w:rsid w:val="00C126EF"/>
    <w:rsid w:val="00C12E72"/>
    <w:rsid w:val="00C158CD"/>
    <w:rsid w:val="00C15DB6"/>
    <w:rsid w:val="00C163B2"/>
    <w:rsid w:val="00C1709D"/>
    <w:rsid w:val="00C2276D"/>
    <w:rsid w:val="00C23882"/>
    <w:rsid w:val="00C24286"/>
    <w:rsid w:val="00C248D1"/>
    <w:rsid w:val="00C24EB4"/>
    <w:rsid w:val="00C27791"/>
    <w:rsid w:val="00C3144A"/>
    <w:rsid w:val="00C33176"/>
    <w:rsid w:val="00C33B57"/>
    <w:rsid w:val="00C35197"/>
    <w:rsid w:val="00C35A21"/>
    <w:rsid w:val="00C36F4A"/>
    <w:rsid w:val="00C4027D"/>
    <w:rsid w:val="00C44824"/>
    <w:rsid w:val="00C44B73"/>
    <w:rsid w:val="00C4664C"/>
    <w:rsid w:val="00C55F72"/>
    <w:rsid w:val="00C5734A"/>
    <w:rsid w:val="00C603F6"/>
    <w:rsid w:val="00C63C9D"/>
    <w:rsid w:val="00C63E16"/>
    <w:rsid w:val="00C645D2"/>
    <w:rsid w:val="00C647F8"/>
    <w:rsid w:val="00C66E47"/>
    <w:rsid w:val="00C71FE6"/>
    <w:rsid w:val="00C729E8"/>
    <w:rsid w:val="00C7373C"/>
    <w:rsid w:val="00C73CE0"/>
    <w:rsid w:val="00C8291D"/>
    <w:rsid w:val="00C905B1"/>
    <w:rsid w:val="00C908FC"/>
    <w:rsid w:val="00C92113"/>
    <w:rsid w:val="00C95BAE"/>
    <w:rsid w:val="00CA07D9"/>
    <w:rsid w:val="00CA08F2"/>
    <w:rsid w:val="00CA29B4"/>
    <w:rsid w:val="00CA2B61"/>
    <w:rsid w:val="00CA341F"/>
    <w:rsid w:val="00CA51AA"/>
    <w:rsid w:val="00CB0F99"/>
    <w:rsid w:val="00CB1D8B"/>
    <w:rsid w:val="00CB3C3F"/>
    <w:rsid w:val="00CB54FD"/>
    <w:rsid w:val="00CB67CB"/>
    <w:rsid w:val="00CB7E78"/>
    <w:rsid w:val="00CC1B50"/>
    <w:rsid w:val="00CC2D77"/>
    <w:rsid w:val="00CC2EC7"/>
    <w:rsid w:val="00CC4CCD"/>
    <w:rsid w:val="00CC7489"/>
    <w:rsid w:val="00CC7944"/>
    <w:rsid w:val="00CC7E9B"/>
    <w:rsid w:val="00CC7F32"/>
    <w:rsid w:val="00CC7F45"/>
    <w:rsid w:val="00CD3858"/>
    <w:rsid w:val="00CD7996"/>
    <w:rsid w:val="00CE2AE7"/>
    <w:rsid w:val="00CE400C"/>
    <w:rsid w:val="00CE7D95"/>
    <w:rsid w:val="00CF13BC"/>
    <w:rsid w:val="00CF150E"/>
    <w:rsid w:val="00CF4CF1"/>
    <w:rsid w:val="00CF4DC0"/>
    <w:rsid w:val="00CF501E"/>
    <w:rsid w:val="00CF58F6"/>
    <w:rsid w:val="00CF6934"/>
    <w:rsid w:val="00CF752C"/>
    <w:rsid w:val="00D03BC8"/>
    <w:rsid w:val="00D0403A"/>
    <w:rsid w:val="00D0690E"/>
    <w:rsid w:val="00D07602"/>
    <w:rsid w:val="00D10480"/>
    <w:rsid w:val="00D110B4"/>
    <w:rsid w:val="00D14377"/>
    <w:rsid w:val="00D14E52"/>
    <w:rsid w:val="00D14F64"/>
    <w:rsid w:val="00D16CA5"/>
    <w:rsid w:val="00D2039C"/>
    <w:rsid w:val="00D233C9"/>
    <w:rsid w:val="00D23432"/>
    <w:rsid w:val="00D23CB5"/>
    <w:rsid w:val="00D2493D"/>
    <w:rsid w:val="00D25AE8"/>
    <w:rsid w:val="00D261C0"/>
    <w:rsid w:val="00D2645D"/>
    <w:rsid w:val="00D313DD"/>
    <w:rsid w:val="00D328DB"/>
    <w:rsid w:val="00D3698D"/>
    <w:rsid w:val="00D37AC2"/>
    <w:rsid w:val="00D406FC"/>
    <w:rsid w:val="00D428B8"/>
    <w:rsid w:val="00D45892"/>
    <w:rsid w:val="00D45F96"/>
    <w:rsid w:val="00D511F2"/>
    <w:rsid w:val="00D519F6"/>
    <w:rsid w:val="00D51ECB"/>
    <w:rsid w:val="00D5295D"/>
    <w:rsid w:val="00D52D48"/>
    <w:rsid w:val="00D56CB4"/>
    <w:rsid w:val="00D57AAE"/>
    <w:rsid w:val="00D60BCD"/>
    <w:rsid w:val="00D636A1"/>
    <w:rsid w:val="00D6619A"/>
    <w:rsid w:val="00D7203F"/>
    <w:rsid w:val="00D73D76"/>
    <w:rsid w:val="00D74C32"/>
    <w:rsid w:val="00D74EDE"/>
    <w:rsid w:val="00D76C91"/>
    <w:rsid w:val="00D82C81"/>
    <w:rsid w:val="00D875D6"/>
    <w:rsid w:val="00D91BAF"/>
    <w:rsid w:val="00D951A1"/>
    <w:rsid w:val="00DA1299"/>
    <w:rsid w:val="00DA5B67"/>
    <w:rsid w:val="00DA760C"/>
    <w:rsid w:val="00DA7680"/>
    <w:rsid w:val="00DA79F4"/>
    <w:rsid w:val="00DB08C4"/>
    <w:rsid w:val="00DB4C2D"/>
    <w:rsid w:val="00DB4D5B"/>
    <w:rsid w:val="00DB6343"/>
    <w:rsid w:val="00DC15C1"/>
    <w:rsid w:val="00DC2341"/>
    <w:rsid w:val="00DC3016"/>
    <w:rsid w:val="00DD0DD3"/>
    <w:rsid w:val="00DD1F3C"/>
    <w:rsid w:val="00DD2487"/>
    <w:rsid w:val="00DD31D1"/>
    <w:rsid w:val="00DD3FB8"/>
    <w:rsid w:val="00DD5BF6"/>
    <w:rsid w:val="00DE274E"/>
    <w:rsid w:val="00DE3F76"/>
    <w:rsid w:val="00DE52DE"/>
    <w:rsid w:val="00DE78BB"/>
    <w:rsid w:val="00DF0E51"/>
    <w:rsid w:val="00DF22D0"/>
    <w:rsid w:val="00DF4B6B"/>
    <w:rsid w:val="00E0250F"/>
    <w:rsid w:val="00E07599"/>
    <w:rsid w:val="00E101B1"/>
    <w:rsid w:val="00E10977"/>
    <w:rsid w:val="00E1115C"/>
    <w:rsid w:val="00E118AC"/>
    <w:rsid w:val="00E11914"/>
    <w:rsid w:val="00E12100"/>
    <w:rsid w:val="00E12399"/>
    <w:rsid w:val="00E13720"/>
    <w:rsid w:val="00E14E5F"/>
    <w:rsid w:val="00E14F8B"/>
    <w:rsid w:val="00E1507A"/>
    <w:rsid w:val="00E1586F"/>
    <w:rsid w:val="00E16309"/>
    <w:rsid w:val="00E16B4E"/>
    <w:rsid w:val="00E20FA8"/>
    <w:rsid w:val="00E21728"/>
    <w:rsid w:val="00E21E83"/>
    <w:rsid w:val="00E231DC"/>
    <w:rsid w:val="00E234B0"/>
    <w:rsid w:val="00E27579"/>
    <w:rsid w:val="00E27A63"/>
    <w:rsid w:val="00E322F0"/>
    <w:rsid w:val="00E32CA4"/>
    <w:rsid w:val="00E34237"/>
    <w:rsid w:val="00E34F92"/>
    <w:rsid w:val="00E35314"/>
    <w:rsid w:val="00E35B61"/>
    <w:rsid w:val="00E42120"/>
    <w:rsid w:val="00E45410"/>
    <w:rsid w:val="00E45959"/>
    <w:rsid w:val="00E46D36"/>
    <w:rsid w:val="00E52A49"/>
    <w:rsid w:val="00E53D54"/>
    <w:rsid w:val="00E5423C"/>
    <w:rsid w:val="00E54724"/>
    <w:rsid w:val="00E5780D"/>
    <w:rsid w:val="00E57C7A"/>
    <w:rsid w:val="00E61A83"/>
    <w:rsid w:val="00E632B2"/>
    <w:rsid w:val="00E70F85"/>
    <w:rsid w:val="00E80B89"/>
    <w:rsid w:val="00E828AC"/>
    <w:rsid w:val="00E82BA3"/>
    <w:rsid w:val="00E833C6"/>
    <w:rsid w:val="00E85016"/>
    <w:rsid w:val="00E8505D"/>
    <w:rsid w:val="00E85D5C"/>
    <w:rsid w:val="00E87075"/>
    <w:rsid w:val="00E900E1"/>
    <w:rsid w:val="00E931EC"/>
    <w:rsid w:val="00E93F6E"/>
    <w:rsid w:val="00E960C8"/>
    <w:rsid w:val="00E97BC9"/>
    <w:rsid w:val="00EA3CE7"/>
    <w:rsid w:val="00EA7A77"/>
    <w:rsid w:val="00EB1C17"/>
    <w:rsid w:val="00EB37C7"/>
    <w:rsid w:val="00EB38D2"/>
    <w:rsid w:val="00EB4671"/>
    <w:rsid w:val="00EB5CA9"/>
    <w:rsid w:val="00EB6A45"/>
    <w:rsid w:val="00EB7CCD"/>
    <w:rsid w:val="00EC1DA3"/>
    <w:rsid w:val="00EC5965"/>
    <w:rsid w:val="00EC6FE8"/>
    <w:rsid w:val="00ED235F"/>
    <w:rsid w:val="00ED23D8"/>
    <w:rsid w:val="00ED26A8"/>
    <w:rsid w:val="00ED27E4"/>
    <w:rsid w:val="00ED38E1"/>
    <w:rsid w:val="00ED4A58"/>
    <w:rsid w:val="00ED5D3B"/>
    <w:rsid w:val="00ED6EBA"/>
    <w:rsid w:val="00EE1584"/>
    <w:rsid w:val="00EE17B5"/>
    <w:rsid w:val="00EE28E5"/>
    <w:rsid w:val="00EE3AEB"/>
    <w:rsid w:val="00EE4368"/>
    <w:rsid w:val="00EE519E"/>
    <w:rsid w:val="00EE756C"/>
    <w:rsid w:val="00EE7D0E"/>
    <w:rsid w:val="00EF3722"/>
    <w:rsid w:val="00EF61D7"/>
    <w:rsid w:val="00EF6BD6"/>
    <w:rsid w:val="00EF6F2F"/>
    <w:rsid w:val="00F0081A"/>
    <w:rsid w:val="00F0729A"/>
    <w:rsid w:val="00F10F8F"/>
    <w:rsid w:val="00F1151D"/>
    <w:rsid w:val="00F20AFA"/>
    <w:rsid w:val="00F21C26"/>
    <w:rsid w:val="00F21DFF"/>
    <w:rsid w:val="00F2205B"/>
    <w:rsid w:val="00F227C6"/>
    <w:rsid w:val="00F2310B"/>
    <w:rsid w:val="00F23CAB"/>
    <w:rsid w:val="00F252E5"/>
    <w:rsid w:val="00F25AFF"/>
    <w:rsid w:val="00F3043F"/>
    <w:rsid w:val="00F31153"/>
    <w:rsid w:val="00F32C42"/>
    <w:rsid w:val="00F33410"/>
    <w:rsid w:val="00F335F7"/>
    <w:rsid w:val="00F35529"/>
    <w:rsid w:val="00F364A5"/>
    <w:rsid w:val="00F410F6"/>
    <w:rsid w:val="00F42C4B"/>
    <w:rsid w:val="00F44FFA"/>
    <w:rsid w:val="00F46440"/>
    <w:rsid w:val="00F46E30"/>
    <w:rsid w:val="00F55655"/>
    <w:rsid w:val="00F55C47"/>
    <w:rsid w:val="00F570B8"/>
    <w:rsid w:val="00F6154F"/>
    <w:rsid w:val="00F624FC"/>
    <w:rsid w:val="00F62AA3"/>
    <w:rsid w:val="00F656B1"/>
    <w:rsid w:val="00F675C6"/>
    <w:rsid w:val="00F70687"/>
    <w:rsid w:val="00F72408"/>
    <w:rsid w:val="00F73045"/>
    <w:rsid w:val="00F7686B"/>
    <w:rsid w:val="00F769D0"/>
    <w:rsid w:val="00F77A8A"/>
    <w:rsid w:val="00F81370"/>
    <w:rsid w:val="00F81D65"/>
    <w:rsid w:val="00F87CBC"/>
    <w:rsid w:val="00F9003F"/>
    <w:rsid w:val="00F92A01"/>
    <w:rsid w:val="00F95FE1"/>
    <w:rsid w:val="00FA427E"/>
    <w:rsid w:val="00FA4D16"/>
    <w:rsid w:val="00FA576F"/>
    <w:rsid w:val="00FB162F"/>
    <w:rsid w:val="00FB6F83"/>
    <w:rsid w:val="00FB72DC"/>
    <w:rsid w:val="00FC7D50"/>
    <w:rsid w:val="00FD1B61"/>
    <w:rsid w:val="00FD1B9B"/>
    <w:rsid w:val="00FD48A4"/>
    <w:rsid w:val="00FD68C4"/>
    <w:rsid w:val="00FD7AED"/>
    <w:rsid w:val="00FE2173"/>
    <w:rsid w:val="00FE2932"/>
    <w:rsid w:val="00FE3C2E"/>
    <w:rsid w:val="00FE719A"/>
    <w:rsid w:val="00FF0474"/>
    <w:rsid w:val="00FF232D"/>
    <w:rsid w:val="00FF579C"/>
    <w:rsid w:val="00FF5F93"/>
    <w:rsid w:val="00FF62BD"/>
    <w:rsid w:val="00FF6ABF"/>
  </w:rsids>
  <m:mathPr>
    <m:mathFont m:val="Cambria Math"/>
    <m:brkBin m:val="before"/>
    <m:brkBinSub m:val="--"/>
    <m:smallFrac m:val="0"/>
    <m:dispDef m:val="0"/>
    <m:lMargin m:val="0"/>
    <m:rMargin m:val="0"/>
    <m:defJc m:val="centerGroup"/>
    <m:wrapRight/>
    <m:intLim m:val="subSup"/>
    <m:naryLim m:val="subSup"/>
  </m:mathPr>
  <w:themeFontLang w:val="en-GB" w:eastAsia="ja-JP"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FF1AE77"/>
  <w15:docId w15:val="{8673197D-DA61-4D5F-80E0-3055685A03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sto MT" w:eastAsia="Calisto MT" w:hAnsi="Calisto MT"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nhideWhenUsed="1"/>
    <w:lsdException w:name="line number" w:semiHidden="1" w:uiPriority="99"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4" w:semiHidden="1" w:uiPriority="99"/>
    <w:lsdException w:name="List 5" w:semiHidden="1"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lsdException w:name="Subtitle" w:uiPriority="99" w:qFormat="1"/>
    <w:lsdException w:name="Salutation" w:semiHidden="1" w:uiPriority="99"/>
    <w:lsdException w:name="Date" w:semiHidden="1" w:uiPriority="99"/>
    <w:lsdException w:name="Body Text First Indent" w:semiHidden="1" w:uiPriority="99"/>
    <w:lsdException w:name="Body Text First Indent 2" w:semiHidden="1" w:uiPriority="99" w:unhideWhenUsed="1"/>
    <w:lsdException w:name="Note Heading" w:semiHidden="1" w:uiPriority="99" w:unhideWhenUsed="1"/>
    <w:lsdException w:name="Body Text 2" w:semiHidden="1" w:uiPriority="98"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99" w:qFormat="1"/>
    <w:lsdException w:name="Emphasis" w:uiPriority="1" w:qFormat="1"/>
    <w:lsdException w:name="Document Map" w:semiHidden="1"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99"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99" w:qFormat="1"/>
    <w:lsdException w:name="Quote" w:uiPriority="99" w:qFormat="1"/>
    <w:lsdException w:name="Intense Quote" w:uiPriority="99"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99" w:qFormat="1"/>
    <w:lsdException w:name="Intense Emphasis" w:uiPriority="99" w:qFormat="1"/>
    <w:lsdException w:name="Subtle Reference" w:uiPriority="99" w:qFormat="1"/>
    <w:lsdException w:name="Intense Reference" w:uiPriority="99" w:qFormat="1"/>
    <w:lsdException w:name="Book Title" w:uiPriority="99" w:qFormat="1"/>
    <w:lsdException w:name="Bibliography" w:semiHidden="1" w:uiPriority="99" w:unhideWhenUsed="1"/>
    <w:lsdException w:name="TOC Heading" w:semiHidden="1" w:uiPriority="9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2B506C"/>
    <w:pPr>
      <w:spacing w:line="360" w:lineRule="auto"/>
      <w:ind w:firstLine="202"/>
      <w:jc w:val="both"/>
    </w:pPr>
    <w:rPr>
      <w:rFonts w:asciiTheme="minorHAnsi" w:hAnsiTheme="minorHAnsi"/>
      <w:sz w:val="24"/>
      <w:szCs w:val="24"/>
      <w:lang w:eastAsia="en-US"/>
    </w:rPr>
  </w:style>
  <w:style w:type="paragraph" w:styleId="Kop1">
    <w:name w:val="heading 1"/>
    <w:next w:val="Standaard"/>
    <w:link w:val="Kop1Char"/>
    <w:qFormat/>
    <w:rsid w:val="002B506C"/>
    <w:pPr>
      <w:keepNext/>
      <w:keepLines/>
      <w:numPr>
        <w:numId w:val="21"/>
      </w:numPr>
      <w:spacing w:before="260" w:after="260" w:line="360" w:lineRule="auto"/>
      <w:contextualSpacing/>
      <w:jc w:val="both"/>
      <w:outlineLvl w:val="0"/>
    </w:pPr>
    <w:rPr>
      <w:rFonts w:asciiTheme="minorHAnsi" w:eastAsia="Times New Roman" w:hAnsiTheme="minorHAnsi"/>
      <w:b/>
      <w:bCs/>
      <w:color w:val="000000"/>
      <w:sz w:val="28"/>
      <w:szCs w:val="32"/>
      <w:lang w:val="en-US" w:eastAsia="en-US"/>
    </w:rPr>
  </w:style>
  <w:style w:type="paragraph" w:styleId="Kop2">
    <w:name w:val="heading 2"/>
    <w:next w:val="Standaard"/>
    <w:link w:val="Kop2Char"/>
    <w:qFormat/>
    <w:rsid w:val="00D3698D"/>
    <w:pPr>
      <w:keepNext/>
      <w:keepLines/>
      <w:numPr>
        <w:ilvl w:val="1"/>
        <w:numId w:val="21"/>
      </w:numPr>
      <w:spacing w:before="260" w:after="260" w:line="360" w:lineRule="auto"/>
      <w:contextualSpacing/>
      <w:jc w:val="both"/>
      <w:outlineLvl w:val="1"/>
    </w:pPr>
    <w:rPr>
      <w:rFonts w:asciiTheme="minorHAnsi" w:eastAsia="Times New Roman" w:hAnsiTheme="minorHAnsi"/>
      <w:b/>
      <w:bCs/>
      <w:color w:val="000000"/>
      <w:sz w:val="24"/>
      <w:szCs w:val="26"/>
      <w:lang w:val="en-US" w:eastAsia="en-US"/>
    </w:rPr>
  </w:style>
  <w:style w:type="paragraph" w:styleId="Kop3">
    <w:name w:val="heading 3"/>
    <w:basedOn w:val="Standaard"/>
    <w:next w:val="Standaard"/>
    <w:link w:val="Kop3Char"/>
    <w:rsid w:val="00314302"/>
    <w:pPr>
      <w:numPr>
        <w:ilvl w:val="2"/>
        <w:numId w:val="21"/>
      </w:numPr>
      <w:spacing w:before="260"/>
      <w:outlineLvl w:val="2"/>
    </w:pPr>
    <w:rPr>
      <w:rFonts w:eastAsia="Times New Roman"/>
      <w:bCs/>
    </w:rPr>
  </w:style>
  <w:style w:type="paragraph" w:styleId="Kop4">
    <w:name w:val="heading 4"/>
    <w:basedOn w:val="Standaard"/>
    <w:next w:val="Standaard"/>
    <w:link w:val="Kop4Char"/>
    <w:rsid w:val="00314302"/>
    <w:pPr>
      <w:numPr>
        <w:ilvl w:val="3"/>
        <w:numId w:val="21"/>
      </w:numPr>
      <w:spacing w:before="260"/>
      <w:outlineLvl w:val="3"/>
    </w:pPr>
    <w:rPr>
      <w:rFonts w:eastAsia="Times New Roman"/>
      <w:bCs/>
      <w:iCs/>
    </w:rPr>
  </w:style>
  <w:style w:type="paragraph" w:styleId="Kop5">
    <w:name w:val="heading 5"/>
    <w:basedOn w:val="Standaard"/>
    <w:next w:val="Standaard"/>
    <w:link w:val="Kop5Char"/>
    <w:uiPriority w:val="99"/>
    <w:semiHidden/>
    <w:unhideWhenUsed/>
    <w:qFormat/>
    <w:rsid w:val="00D3698D"/>
    <w:pPr>
      <w:keepNext/>
      <w:keepLines/>
      <w:numPr>
        <w:ilvl w:val="4"/>
        <w:numId w:val="21"/>
      </w:numPr>
      <w:spacing w:before="40"/>
      <w:outlineLvl w:val="4"/>
    </w:pPr>
    <w:rPr>
      <w:rFonts w:asciiTheme="majorHAnsi" w:eastAsiaTheme="majorEastAsia" w:hAnsiTheme="majorHAnsi" w:cstheme="majorBidi"/>
      <w:color w:val="365F91" w:themeColor="accent1" w:themeShade="BF"/>
    </w:rPr>
  </w:style>
  <w:style w:type="paragraph" w:styleId="Kop6">
    <w:name w:val="heading 6"/>
    <w:basedOn w:val="Standaard"/>
    <w:next w:val="Standaard"/>
    <w:link w:val="Kop6Char"/>
    <w:uiPriority w:val="99"/>
    <w:semiHidden/>
    <w:unhideWhenUsed/>
    <w:qFormat/>
    <w:rsid w:val="00D3698D"/>
    <w:pPr>
      <w:keepNext/>
      <w:keepLines/>
      <w:numPr>
        <w:ilvl w:val="5"/>
        <w:numId w:val="21"/>
      </w:numPr>
      <w:spacing w:before="40"/>
      <w:outlineLvl w:val="5"/>
    </w:pPr>
    <w:rPr>
      <w:rFonts w:asciiTheme="majorHAnsi" w:eastAsiaTheme="majorEastAsia" w:hAnsiTheme="majorHAnsi" w:cstheme="majorBidi"/>
      <w:color w:val="243F60" w:themeColor="accent1" w:themeShade="7F"/>
    </w:rPr>
  </w:style>
  <w:style w:type="paragraph" w:styleId="Kop7">
    <w:name w:val="heading 7"/>
    <w:basedOn w:val="Standaard"/>
    <w:next w:val="Standaard"/>
    <w:link w:val="Kop7Char"/>
    <w:uiPriority w:val="99"/>
    <w:semiHidden/>
    <w:unhideWhenUsed/>
    <w:qFormat/>
    <w:rsid w:val="00D3698D"/>
    <w:pPr>
      <w:keepNext/>
      <w:keepLines/>
      <w:numPr>
        <w:ilvl w:val="6"/>
        <w:numId w:val="21"/>
      </w:numPr>
      <w:spacing w:before="40"/>
      <w:outlineLvl w:val="6"/>
    </w:pPr>
    <w:rPr>
      <w:rFonts w:asciiTheme="majorHAnsi" w:eastAsiaTheme="majorEastAsia" w:hAnsiTheme="majorHAnsi" w:cstheme="majorBidi"/>
      <w:i/>
      <w:iCs/>
      <w:color w:val="243F60" w:themeColor="accent1" w:themeShade="7F"/>
    </w:rPr>
  </w:style>
  <w:style w:type="paragraph" w:styleId="Kop8">
    <w:name w:val="heading 8"/>
    <w:basedOn w:val="Standaard"/>
    <w:next w:val="Standaard"/>
    <w:link w:val="Kop8Char"/>
    <w:uiPriority w:val="99"/>
    <w:semiHidden/>
    <w:unhideWhenUsed/>
    <w:qFormat/>
    <w:rsid w:val="00D3698D"/>
    <w:pPr>
      <w:keepNext/>
      <w:keepLines/>
      <w:numPr>
        <w:ilvl w:val="7"/>
        <w:numId w:val="21"/>
      </w:numPr>
      <w:spacing w:before="40"/>
      <w:outlineLvl w:val="7"/>
    </w:pPr>
    <w:rPr>
      <w:rFonts w:asciiTheme="majorHAnsi" w:eastAsiaTheme="majorEastAsia" w:hAnsiTheme="majorHAnsi" w:cstheme="majorBidi"/>
      <w:color w:val="272727" w:themeColor="text1" w:themeTint="D8"/>
      <w:sz w:val="21"/>
      <w:szCs w:val="21"/>
    </w:rPr>
  </w:style>
  <w:style w:type="paragraph" w:styleId="Kop9">
    <w:name w:val="heading 9"/>
    <w:basedOn w:val="Standaard"/>
    <w:next w:val="Standaard"/>
    <w:link w:val="Kop9Char"/>
    <w:uiPriority w:val="99"/>
    <w:semiHidden/>
    <w:unhideWhenUsed/>
    <w:qFormat/>
    <w:rsid w:val="00D3698D"/>
    <w:pPr>
      <w:keepNext/>
      <w:keepLines/>
      <w:numPr>
        <w:ilvl w:val="8"/>
        <w:numId w:val="2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NoParagraphStyle">
    <w:name w:val="[No Paragraph Style]"/>
    <w:rsid w:val="004245A5"/>
    <w:pPr>
      <w:widowControl w:val="0"/>
      <w:autoSpaceDE w:val="0"/>
      <w:autoSpaceDN w:val="0"/>
      <w:adjustRightInd w:val="0"/>
      <w:spacing w:line="288" w:lineRule="auto"/>
      <w:textAlignment w:val="center"/>
    </w:pPr>
    <w:rPr>
      <w:rFonts w:ascii="Times-Roman" w:hAnsi="Times-Roman" w:cs="Times-Roman"/>
      <w:color w:val="000000"/>
      <w:sz w:val="24"/>
      <w:szCs w:val="24"/>
      <w:lang w:val="en-US" w:eastAsia="en-US"/>
    </w:rPr>
  </w:style>
  <w:style w:type="character" w:customStyle="1" w:styleId="Kop1Char">
    <w:name w:val="Kop 1 Char"/>
    <w:basedOn w:val="Standaardalinea-lettertype"/>
    <w:link w:val="Kop1"/>
    <w:rsid w:val="002B506C"/>
    <w:rPr>
      <w:rFonts w:asciiTheme="minorHAnsi" w:eastAsia="Times New Roman" w:hAnsiTheme="minorHAnsi"/>
      <w:b/>
      <w:bCs/>
      <w:color w:val="000000"/>
      <w:sz w:val="28"/>
      <w:szCs w:val="32"/>
      <w:lang w:val="en-US" w:eastAsia="en-US"/>
    </w:rPr>
  </w:style>
  <w:style w:type="character" w:customStyle="1" w:styleId="Kop2Char">
    <w:name w:val="Kop 2 Char"/>
    <w:basedOn w:val="Standaardalinea-lettertype"/>
    <w:link w:val="Kop2"/>
    <w:rsid w:val="00D3698D"/>
    <w:rPr>
      <w:rFonts w:asciiTheme="minorHAnsi" w:eastAsia="Times New Roman" w:hAnsiTheme="minorHAnsi"/>
      <w:b/>
      <w:bCs/>
      <w:color w:val="000000"/>
      <w:sz w:val="24"/>
      <w:szCs w:val="26"/>
      <w:lang w:val="en-US" w:eastAsia="en-US"/>
    </w:rPr>
  </w:style>
  <w:style w:type="character" w:customStyle="1" w:styleId="Kop3Char">
    <w:name w:val="Kop 3 Char"/>
    <w:basedOn w:val="Standaardalinea-lettertype"/>
    <w:link w:val="Kop3"/>
    <w:rsid w:val="00314302"/>
    <w:rPr>
      <w:rFonts w:ascii="Times New Roman" w:eastAsia="Times New Roman" w:hAnsi="Times New Roman"/>
      <w:bCs/>
      <w:color w:val="000000"/>
      <w:sz w:val="24"/>
      <w:szCs w:val="24"/>
    </w:rPr>
  </w:style>
  <w:style w:type="character" w:customStyle="1" w:styleId="Kop4Char">
    <w:name w:val="Kop 4 Char"/>
    <w:basedOn w:val="Standaardalinea-lettertype"/>
    <w:link w:val="Kop4"/>
    <w:rsid w:val="00314302"/>
    <w:rPr>
      <w:rFonts w:ascii="Times New Roman" w:eastAsia="Times New Roman" w:hAnsi="Times New Roman"/>
      <w:bCs/>
      <w:iCs/>
      <w:color w:val="000000"/>
      <w:sz w:val="24"/>
      <w:szCs w:val="24"/>
    </w:rPr>
  </w:style>
  <w:style w:type="paragraph" w:customStyle="1" w:styleId="Author">
    <w:name w:val="Author"/>
    <w:next w:val="Standaard"/>
    <w:rsid w:val="00BD4A31"/>
    <w:pPr>
      <w:suppressAutoHyphens/>
      <w:spacing w:after="280" w:line="360" w:lineRule="auto"/>
      <w:jc w:val="center"/>
    </w:pPr>
    <w:rPr>
      <w:rFonts w:ascii="Times New Roman" w:hAnsi="Times New Roman" w:cs="TimesLTStd-Roman"/>
      <w:smallCaps/>
      <w:color w:val="000000"/>
      <w:sz w:val="24"/>
      <w:szCs w:val="22"/>
      <w:lang w:val="en-US" w:eastAsia="en-US"/>
    </w:rPr>
  </w:style>
  <w:style w:type="paragraph" w:customStyle="1" w:styleId="Abstract">
    <w:name w:val="Abstract"/>
    <w:next w:val="Standaard"/>
    <w:rsid w:val="00BD4A31"/>
    <w:pPr>
      <w:spacing w:before="100" w:after="600" w:line="360" w:lineRule="auto"/>
      <w:ind w:left="662" w:right="662"/>
      <w:jc w:val="both"/>
    </w:pPr>
    <w:rPr>
      <w:rFonts w:ascii="Times New Roman" w:hAnsi="Times New Roman" w:cs="TimesLTStd-Italic"/>
      <w:i/>
      <w:iCs/>
      <w:color w:val="000000"/>
      <w:sz w:val="24"/>
      <w:szCs w:val="22"/>
      <w:lang w:val="en-US" w:eastAsia="en-US"/>
    </w:rPr>
  </w:style>
  <w:style w:type="paragraph" w:customStyle="1" w:styleId="Equation">
    <w:name w:val="Equation"/>
    <w:next w:val="Standaard"/>
    <w:rsid w:val="00BD4A31"/>
    <w:pPr>
      <w:tabs>
        <w:tab w:val="center" w:pos="3960"/>
      </w:tabs>
      <w:suppressAutoHyphens/>
      <w:spacing w:before="260" w:line="360" w:lineRule="auto"/>
    </w:pPr>
    <w:rPr>
      <w:rFonts w:ascii="Times New Roman" w:hAnsi="Times New Roman" w:cs="TimesLTStd-Roman"/>
      <w:color w:val="000000"/>
      <w:sz w:val="24"/>
      <w:lang w:val="en-US" w:eastAsia="en-US"/>
    </w:rPr>
  </w:style>
  <w:style w:type="paragraph" w:customStyle="1" w:styleId="NormalNoIndent">
    <w:name w:val="Normal No Indent"/>
    <w:basedOn w:val="Standaard"/>
    <w:next w:val="Standaard"/>
    <w:rsid w:val="00641B74"/>
    <w:pPr>
      <w:ind w:firstLine="0"/>
    </w:pPr>
  </w:style>
  <w:style w:type="paragraph" w:customStyle="1" w:styleId="Contact">
    <w:name w:val="Contact"/>
    <w:next w:val="Standaard"/>
    <w:rsid w:val="00BD4A31"/>
    <w:pPr>
      <w:spacing w:after="200" w:line="360" w:lineRule="auto"/>
    </w:pPr>
    <w:rPr>
      <w:rFonts w:ascii="Times New Roman" w:hAnsi="Times New Roman" w:cs="TimesLTStd-Roman"/>
      <w:color w:val="000000"/>
      <w:sz w:val="16"/>
      <w:szCs w:val="16"/>
      <w:lang w:val="en-US" w:eastAsia="en-US"/>
    </w:rPr>
  </w:style>
  <w:style w:type="paragraph" w:customStyle="1" w:styleId="ReferenceHeading">
    <w:name w:val="Reference Heading"/>
    <w:basedOn w:val="Standaard"/>
    <w:next w:val="References"/>
    <w:rsid w:val="00BD4A31"/>
    <w:pPr>
      <w:keepNext/>
      <w:widowControl w:val="0"/>
      <w:autoSpaceDE w:val="0"/>
      <w:autoSpaceDN w:val="0"/>
      <w:adjustRightInd w:val="0"/>
      <w:spacing w:before="260" w:after="260"/>
      <w:ind w:firstLine="0"/>
      <w:jc w:val="center"/>
      <w:textAlignment w:val="center"/>
    </w:pPr>
    <w:rPr>
      <w:rFonts w:cs="TimesLTStd-Roman"/>
      <w:caps/>
      <w:szCs w:val="20"/>
    </w:rPr>
  </w:style>
  <w:style w:type="paragraph" w:customStyle="1" w:styleId="References">
    <w:name w:val="References"/>
    <w:basedOn w:val="Standaard"/>
    <w:rsid w:val="00BD4A31"/>
    <w:pPr>
      <w:widowControl w:val="0"/>
      <w:autoSpaceDE w:val="0"/>
      <w:autoSpaceDN w:val="0"/>
      <w:adjustRightInd w:val="0"/>
      <w:ind w:left="202" w:hanging="202"/>
      <w:textAlignment w:val="center"/>
    </w:pPr>
    <w:rPr>
      <w:rFonts w:cs="TimesLTStd-Roman"/>
      <w:szCs w:val="20"/>
    </w:rPr>
  </w:style>
  <w:style w:type="paragraph" w:customStyle="1" w:styleId="Extract">
    <w:name w:val="Extract"/>
    <w:next w:val="Standaard"/>
    <w:uiPriority w:val="99"/>
    <w:semiHidden/>
    <w:rsid w:val="00BD4A31"/>
    <w:pPr>
      <w:spacing w:before="260" w:line="360" w:lineRule="auto"/>
      <w:ind w:left="720" w:right="720"/>
      <w:jc w:val="both"/>
    </w:pPr>
    <w:rPr>
      <w:rFonts w:ascii="Times New Roman" w:hAnsi="Times New Roman" w:cs="TimesLTStd-Italic"/>
      <w:i/>
      <w:iCs/>
      <w:color w:val="000000"/>
      <w:sz w:val="24"/>
      <w:lang w:val="en-US" w:eastAsia="en-US"/>
    </w:rPr>
  </w:style>
  <w:style w:type="paragraph" w:customStyle="1" w:styleId="Tagline">
    <w:name w:val="Tagline"/>
    <w:basedOn w:val="Standaard"/>
    <w:next w:val="Standaard"/>
    <w:uiPriority w:val="99"/>
    <w:semiHidden/>
    <w:qFormat/>
    <w:rsid w:val="00314302"/>
    <w:pPr>
      <w:spacing w:after="120"/>
      <w:ind w:left="720" w:right="720" w:firstLine="0"/>
      <w:jc w:val="right"/>
    </w:pPr>
  </w:style>
  <w:style w:type="paragraph" w:styleId="Voetnoottekst">
    <w:name w:val="footnote text"/>
    <w:basedOn w:val="Standaard"/>
    <w:link w:val="VoetnoottekstChar"/>
    <w:semiHidden/>
    <w:locked/>
    <w:rsid w:val="0038690E"/>
    <w:pPr>
      <w:spacing w:line="180" w:lineRule="atLeast"/>
    </w:pPr>
    <w:rPr>
      <w:sz w:val="16"/>
    </w:rPr>
  </w:style>
  <w:style w:type="character" w:customStyle="1" w:styleId="VoetnoottekstChar">
    <w:name w:val="Voetnoottekst Char"/>
    <w:basedOn w:val="Standaardalinea-lettertype"/>
    <w:link w:val="Voetnoottekst"/>
    <w:semiHidden/>
    <w:rsid w:val="002342EF"/>
    <w:rPr>
      <w:rFonts w:ascii="Times New Roman" w:hAnsi="Times New Roman"/>
      <w:color w:val="000000"/>
      <w:sz w:val="16"/>
    </w:rPr>
  </w:style>
  <w:style w:type="character" w:styleId="Voetnootmarkering">
    <w:name w:val="footnote reference"/>
    <w:basedOn w:val="Standaardalinea-lettertype"/>
    <w:semiHidden/>
    <w:locked/>
    <w:rsid w:val="007542F9"/>
    <w:rPr>
      <w:rFonts w:ascii="Times New Roman" w:hAnsi="Times New Roman"/>
      <w:sz w:val="24"/>
      <w:bdr w:val="none" w:sz="0" w:space="0" w:color="auto"/>
      <w:vertAlign w:val="superscript"/>
    </w:rPr>
  </w:style>
  <w:style w:type="paragraph" w:customStyle="1" w:styleId="FigureTitle">
    <w:name w:val="Figure Title"/>
    <w:next w:val="Standaard"/>
    <w:rsid w:val="00DD0DD3"/>
    <w:pPr>
      <w:keepLines/>
      <w:suppressAutoHyphens/>
      <w:spacing w:after="80" w:line="180" w:lineRule="atLeast"/>
      <w:jc w:val="center"/>
    </w:pPr>
    <w:rPr>
      <w:rFonts w:asciiTheme="minorHAnsi" w:hAnsiTheme="minorHAnsi" w:cstheme="minorHAnsi"/>
      <w:smallCaps/>
      <w:color w:val="000000"/>
      <w:spacing w:val="-1"/>
      <w:sz w:val="24"/>
      <w:szCs w:val="16"/>
      <w:lang w:val="en-US" w:eastAsia="en-US"/>
    </w:rPr>
  </w:style>
  <w:style w:type="paragraph" w:customStyle="1" w:styleId="FigureNotes">
    <w:name w:val="Figure Notes"/>
    <w:next w:val="Standaard"/>
    <w:rsid w:val="00DD0DD3"/>
    <w:pPr>
      <w:tabs>
        <w:tab w:val="right" w:pos="440"/>
        <w:tab w:val="left" w:pos="480"/>
      </w:tabs>
      <w:spacing w:before="120" w:after="120" w:line="180" w:lineRule="atLeast"/>
      <w:jc w:val="both"/>
    </w:pPr>
    <w:rPr>
      <w:rFonts w:asciiTheme="minorHAnsi" w:hAnsiTheme="minorHAnsi" w:cs="TimesLTStd-Roman"/>
      <w:color w:val="000000"/>
      <w:szCs w:val="16"/>
      <w:lang w:val="en-US" w:eastAsia="en-US"/>
    </w:rPr>
  </w:style>
  <w:style w:type="paragraph" w:customStyle="1" w:styleId="TableTitle">
    <w:name w:val="Table Title"/>
    <w:rsid w:val="00991B6F"/>
    <w:pPr>
      <w:pBdr>
        <w:bottom w:val="double" w:sz="2" w:space="1" w:color="auto"/>
      </w:pBdr>
      <w:suppressAutoHyphens/>
      <w:spacing w:after="160" w:line="180" w:lineRule="atLeast"/>
      <w:ind w:right="720"/>
      <w:jc w:val="center"/>
    </w:pPr>
    <w:rPr>
      <w:rFonts w:ascii="Times New Roman" w:hAnsi="Times New Roman" w:cs="TimesLTStd-Roman"/>
      <w:smallCaps/>
      <w:color w:val="000000"/>
      <w:spacing w:val="-1"/>
      <w:w w:val="97"/>
      <w:sz w:val="24"/>
      <w:szCs w:val="16"/>
      <w:lang w:val="en-US" w:eastAsia="en-US"/>
    </w:rPr>
  </w:style>
  <w:style w:type="paragraph" w:customStyle="1" w:styleId="TableNotes">
    <w:name w:val="Table Notes"/>
    <w:rsid w:val="00DD0DD3"/>
    <w:pPr>
      <w:spacing w:before="120" w:line="180" w:lineRule="atLeast"/>
      <w:ind w:right="720"/>
      <w:jc w:val="both"/>
    </w:pPr>
    <w:rPr>
      <w:rFonts w:asciiTheme="minorHAnsi" w:hAnsiTheme="minorHAnsi" w:cs="TimesLTStd-Roman"/>
      <w:color w:val="000000"/>
      <w:szCs w:val="16"/>
      <w:lang w:val="en-US" w:eastAsia="en-US"/>
    </w:rPr>
  </w:style>
  <w:style w:type="paragraph" w:customStyle="1" w:styleId="TableText">
    <w:name w:val="Table Text"/>
    <w:rsid w:val="00DD0DD3"/>
    <w:pPr>
      <w:spacing w:line="180" w:lineRule="atLeast"/>
      <w:jc w:val="center"/>
    </w:pPr>
    <w:rPr>
      <w:rFonts w:asciiTheme="minorHAnsi" w:hAnsiTheme="minorHAnsi" w:cs="TimesLTStd-Roman"/>
      <w:color w:val="000000"/>
      <w:szCs w:val="16"/>
      <w:lang w:val="en-US" w:eastAsia="en-US"/>
    </w:rPr>
  </w:style>
  <w:style w:type="paragraph" w:styleId="Titel">
    <w:name w:val="Title"/>
    <w:next w:val="Author"/>
    <w:link w:val="TitelChar"/>
    <w:qFormat/>
    <w:rsid w:val="003B1254"/>
    <w:pPr>
      <w:spacing w:after="300" w:line="360" w:lineRule="auto"/>
      <w:contextualSpacing/>
      <w:jc w:val="center"/>
    </w:pPr>
    <w:rPr>
      <w:rFonts w:ascii="Arial" w:eastAsia="Times New Roman" w:hAnsi="Arial"/>
      <w:color w:val="000000"/>
      <w:kern w:val="28"/>
      <w:sz w:val="28"/>
      <w:szCs w:val="52"/>
      <w:lang w:val="en-US" w:eastAsia="en-US"/>
    </w:rPr>
  </w:style>
  <w:style w:type="character" w:customStyle="1" w:styleId="TitelChar">
    <w:name w:val="Titel Char"/>
    <w:basedOn w:val="Standaardalinea-lettertype"/>
    <w:link w:val="Titel"/>
    <w:rsid w:val="00314302"/>
    <w:rPr>
      <w:rFonts w:ascii="Arial" w:eastAsia="Times New Roman" w:hAnsi="Arial"/>
      <w:color w:val="000000"/>
      <w:kern w:val="28"/>
      <w:sz w:val="28"/>
      <w:szCs w:val="52"/>
      <w:lang w:val="en-US" w:eastAsia="en-US" w:bidi="ar-SA"/>
    </w:rPr>
  </w:style>
  <w:style w:type="paragraph" w:styleId="Lijstopsomteken">
    <w:name w:val="List Bullet"/>
    <w:basedOn w:val="Standaard"/>
    <w:next w:val="Standaard"/>
    <w:rsid w:val="00BC2E42"/>
    <w:pPr>
      <w:numPr>
        <w:numId w:val="17"/>
      </w:numPr>
      <w:spacing w:after="60"/>
      <w:ind w:left="561" w:hanging="357"/>
      <w:contextualSpacing/>
    </w:pPr>
  </w:style>
  <w:style w:type="paragraph" w:styleId="Lijstnummering">
    <w:name w:val="List Number"/>
    <w:basedOn w:val="Standaard"/>
    <w:next w:val="Standaard"/>
    <w:rsid w:val="00BC2E42"/>
    <w:pPr>
      <w:numPr>
        <w:numId w:val="18"/>
      </w:numPr>
      <w:spacing w:after="60"/>
      <w:ind w:left="1190" w:hanging="357"/>
    </w:pPr>
  </w:style>
  <w:style w:type="paragraph" w:customStyle="1" w:styleId="FigurePlaceholder">
    <w:name w:val="Figure Placeholder"/>
    <w:basedOn w:val="Standaard"/>
    <w:next w:val="Standaard"/>
    <w:qFormat/>
    <w:rsid w:val="00AB33DA"/>
    <w:pPr>
      <w:spacing w:before="260" w:after="260"/>
      <w:jc w:val="center"/>
    </w:pPr>
  </w:style>
  <w:style w:type="character" w:customStyle="1" w:styleId="TableFootLetter">
    <w:name w:val="Table FootLetter"/>
    <w:basedOn w:val="Standaardalinea-lettertype"/>
    <w:rsid w:val="00BD4A31"/>
    <w:rPr>
      <w:rFonts w:ascii="Times New Roman" w:hAnsi="Times New Roman"/>
      <w:sz w:val="16"/>
      <w:bdr w:val="none" w:sz="0" w:space="0" w:color="auto"/>
      <w:vertAlign w:val="superscript"/>
    </w:rPr>
  </w:style>
  <w:style w:type="paragraph" w:customStyle="1" w:styleId="TableFootnote">
    <w:name w:val="Table Footnote"/>
    <w:basedOn w:val="TableNotes"/>
    <w:next w:val="TableNotes"/>
    <w:qFormat/>
    <w:rsid w:val="00991B6F"/>
    <w:rPr>
      <w:sz w:val="16"/>
    </w:rPr>
  </w:style>
  <w:style w:type="paragraph" w:customStyle="1" w:styleId="TablePlaceholder">
    <w:name w:val="Table Placeholder"/>
    <w:basedOn w:val="FigurePlaceholder"/>
    <w:next w:val="NoParagraphStyle"/>
    <w:qFormat/>
    <w:rsid w:val="00AB33DA"/>
  </w:style>
  <w:style w:type="paragraph" w:styleId="Documentstructuur">
    <w:name w:val="Document Map"/>
    <w:basedOn w:val="Standaard"/>
    <w:link w:val="DocumentstructuurChar"/>
    <w:uiPriority w:val="99"/>
    <w:semiHidden/>
    <w:rsid w:val="00CB7232"/>
    <w:rPr>
      <w:rFonts w:ascii="Lucida Grande" w:hAnsi="Lucida Grande"/>
    </w:rPr>
  </w:style>
  <w:style w:type="character" w:customStyle="1" w:styleId="DocumentstructuurChar">
    <w:name w:val="Documentstructuur Char"/>
    <w:basedOn w:val="Standaardalinea-lettertype"/>
    <w:link w:val="Documentstructuur"/>
    <w:uiPriority w:val="99"/>
    <w:semiHidden/>
    <w:rsid w:val="008C4881"/>
    <w:rPr>
      <w:rFonts w:ascii="Lucida Grande" w:hAnsi="Lucida Grande"/>
      <w:sz w:val="24"/>
      <w:szCs w:val="24"/>
    </w:rPr>
  </w:style>
  <w:style w:type="character" w:styleId="Verwijzingopmerking">
    <w:name w:val="annotation reference"/>
    <w:basedOn w:val="Standaardalinea-lettertype"/>
    <w:uiPriority w:val="99"/>
    <w:semiHidden/>
    <w:rsid w:val="00CB7232"/>
    <w:rPr>
      <w:sz w:val="18"/>
      <w:szCs w:val="18"/>
    </w:rPr>
  </w:style>
  <w:style w:type="paragraph" w:styleId="Tekstopmerking">
    <w:name w:val="annotation text"/>
    <w:basedOn w:val="Standaard"/>
    <w:link w:val="TekstopmerkingChar"/>
    <w:uiPriority w:val="99"/>
    <w:semiHidden/>
    <w:rsid w:val="00CB7232"/>
  </w:style>
  <w:style w:type="character" w:customStyle="1" w:styleId="TekstopmerkingChar">
    <w:name w:val="Tekst opmerking Char"/>
    <w:basedOn w:val="Standaardalinea-lettertype"/>
    <w:link w:val="Tekstopmerking"/>
    <w:uiPriority w:val="99"/>
    <w:semiHidden/>
    <w:rsid w:val="008C4881"/>
    <w:rPr>
      <w:rFonts w:ascii="Times New Roman" w:hAnsi="Times New Roman"/>
      <w:sz w:val="24"/>
      <w:szCs w:val="24"/>
    </w:rPr>
  </w:style>
  <w:style w:type="paragraph" w:styleId="Onderwerpvanopmerking">
    <w:name w:val="annotation subject"/>
    <w:basedOn w:val="Tekstopmerking"/>
    <w:next w:val="Tekstopmerking"/>
    <w:link w:val="OnderwerpvanopmerkingChar"/>
    <w:uiPriority w:val="99"/>
    <w:semiHidden/>
    <w:rsid w:val="00CB7232"/>
    <w:rPr>
      <w:b/>
      <w:bCs/>
      <w:sz w:val="20"/>
      <w:szCs w:val="20"/>
    </w:rPr>
  </w:style>
  <w:style w:type="character" w:customStyle="1" w:styleId="OnderwerpvanopmerkingChar">
    <w:name w:val="Onderwerp van opmerking Char"/>
    <w:basedOn w:val="TekstopmerkingChar"/>
    <w:link w:val="Onderwerpvanopmerking"/>
    <w:uiPriority w:val="99"/>
    <w:semiHidden/>
    <w:rsid w:val="008C4881"/>
    <w:rPr>
      <w:rFonts w:ascii="Times New Roman" w:hAnsi="Times New Roman"/>
      <w:b/>
      <w:bCs/>
      <w:sz w:val="24"/>
      <w:szCs w:val="24"/>
    </w:rPr>
  </w:style>
  <w:style w:type="paragraph" w:styleId="Ballontekst">
    <w:name w:val="Balloon Text"/>
    <w:basedOn w:val="Standaard"/>
    <w:link w:val="BallontekstChar"/>
    <w:uiPriority w:val="99"/>
    <w:semiHidden/>
    <w:rsid w:val="000B4D4C"/>
    <w:pPr>
      <w:spacing w:line="240" w:lineRule="auto"/>
    </w:pPr>
    <w:rPr>
      <w:rFonts w:ascii="Lucida Grande" w:hAnsi="Lucida Grande"/>
      <w:sz w:val="18"/>
      <w:szCs w:val="18"/>
    </w:rPr>
  </w:style>
  <w:style w:type="character" w:customStyle="1" w:styleId="BallontekstChar">
    <w:name w:val="Ballontekst Char"/>
    <w:basedOn w:val="Standaardalinea-lettertype"/>
    <w:link w:val="Ballontekst"/>
    <w:uiPriority w:val="99"/>
    <w:semiHidden/>
    <w:rsid w:val="008C4881"/>
    <w:rPr>
      <w:rFonts w:ascii="Lucida Grande" w:hAnsi="Lucida Grande"/>
      <w:sz w:val="18"/>
      <w:szCs w:val="18"/>
    </w:rPr>
  </w:style>
  <w:style w:type="paragraph" w:styleId="Inhopg1">
    <w:name w:val="toc 1"/>
    <w:basedOn w:val="Standaard"/>
    <w:next w:val="Standaard"/>
    <w:autoRedefine/>
    <w:uiPriority w:val="39"/>
    <w:rsid w:val="00D875D6"/>
    <w:pPr>
      <w:spacing w:after="100"/>
    </w:pPr>
  </w:style>
  <w:style w:type="paragraph" w:styleId="Inhopg2">
    <w:name w:val="toc 2"/>
    <w:basedOn w:val="Standaard"/>
    <w:next w:val="Standaard"/>
    <w:autoRedefine/>
    <w:uiPriority w:val="39"/>
    <w:rsid w:val="00D875D6"/>
    <w:pPr>
      <w:spacing w:after="100"/>
      <w:ind w:left="240"/>
    </w:pPr>
  </w:style>
  <w:style w:type="paragraph" w:styleId="Inhopg3">
    <w:name w:val="toc 3"/>
    <w:basedOn w:val="Standaard"/>
    <w:next w:val="Standaard"/>
    <w:autoRedefine/>
    <w:uiPriority w:val="39"/>
    <w:rsid w:val="00D875D6"/>
    <w:pPr>
      <w:spacing w:after="100"/>
      <w:ind w:left="480"/>
    </w:pPr>
  </w:style>
  <w:style w:type="character" w:styleId="Hyperlink">
    <w:name w:val="Hyperlink"/>
    <w:basedOn w:val="Standaardalinea-lettertype"/>
    <w:uiPriority w:val="99"/>
    <w:unhideWhenUsed/>
    <w:rsid w:val="00D875D6"/>
    <w:rPr>
      <w:color w:val="0000FF" w:themeColor="hyperlink"/>
      <w:u w:val="single"/>
    </w:rPr>
  </w:style>
  <w:style w:type="paragraph" w:styleId="Koptekst">
    <w:name w:val="header"/>
    <w:basedOn w:val="Standaard"/>
    <w:link w:val="KoptekstChar"/>
    <w:uiPriority w:val="99"/>
    <w:rsid w:val="0084296A"/>
    <w:pPr>
      <w:tabs>
        <w:tab w:val="center" w:pos="4536"/>
        <w:tab w:val="right" w:pos="9072"/>
      </w:tabs>
      <w:spacing w:line="240" w:lineRule="auto"/>
    </w:pPr>
  </w:style>
  <w:style w:type="character" w:customStyle="1" w:styleId="KoptekstChar">
    <w:name w:val="Koptekst Char"/>
    <w:basedOn w:val="Standaardalinea-lettertype"/>
    <w:link w:val="Koptekst"/>
    <w:uiPriority w:val="99"/>
    <w:rsid w:val="0084296A"/>
    <w:rPr>
      <w:rFonts w:ascii="Times New Roman" w:hAnsi="Times New Roman"/>
      <w:sz w:val="24"/>
      <w:szCs w:val="24"/>
      <w:lang w:val="en-US" w:eastAsia="en-US"/>
    </w:rPr>
  </w:style>
  <w:style w:type="paragraph" w:styleId="Voettekst">
    <w:name w:val="footer"/>
    <w:basedOn w:val="Standaard"/>
    <w:link w:val="VoettekstChar"/>
    <w:uiPriority w:val="99"/>
    <w:rsid w:val="0084296A"/>
    <w:pPr>
      <w:tabs>
        <w:tab w:val="center" w:pos="4536"/>
        <w:tab w:val="right" w:pos="9072"/>
      </w:tabs>
      <w:spacing w:line="240" w:lineRule="auto"/>
    </w:pPr>
  </w:style>
  <w:style w:type="character" w:customStyle="1" w:styleId="VoettekstChar">
    <w:name w:val="Voettekst Char"/>
    <w:basedOn w:val="Standaardalinea-lettertype"/>
    <w:link w:val="Voettekst"/>
    <w:uiPriority w:val="99"/>
    <w:rsid w:val="0084296A"/>
    <w:rPr>
      <w:rFonts w:ascii="Times New Roman" w:hAnsi="Times New Roman"/>
      <w:sz w:val="24"/>
      <w:szCs w:val="24"/>
      <w:lang w:val="en-US" w:eastAsia="en-US"/>
    </w:rPr>
  </w:style>
  <w:style w:type="character" w:styleId="Regelnummer">
    <w:name w:val="line number"/>
    <w:basedOn w:val="Standaardalinea-lettertype"/>
    <w:uiPriority w:val="99"/>
    <w:semiHidden/>
    <w:rsid w:val="0084296A"/>
  </w:style>
  <w:style w:type="paragraph" w:styleId="Bijschrift">
    <w:name w:val="caption"/>
    <w:basedOn w:val="FigureTitle"/>
    <w:next w:val="Standaard"/>
    <w:unhideWhenUsed/>
    <w:qFormat/>
    <w:rsid w:val="002B506C"/>
    <w:pPr>
      <w:spacing w:after="240"/>
    </w:pPr>
  </w:style>
  <w:style w:type="paragraph" w:styleId="Lijstalinea">
    <w:name w:val="List Paragraph"/>
    <w:basedOn w:val="Standaard"/>
    <w:uiPriority w:val="99"/>
    <w:qFormat/>
    <w:rsid w:val="002312CF"/>
    <w:pPr>
      <w:ind w:left="720"/>
      <w:contextualSpacing/>
    </w:pPr>
  </w:style>
  <w:style w:type="paragraph" w:customStyle="1" w:styleId="StyleHeading2Green">
    <w:name w:val="Style Heading 2 + Green"/>
    <w:basedOn w:val="Kop2"/>
    <w:rsid w:val="002B506C"/>
    <w:rPr>
      <w:i/>
      <w:iCs/>
      <w:color w:val="000000" w:themeColor="text1"/>
    </w:rPr>
  </w:style>
  <w:style w:type="paragraph" w:customStyle="1" w:styleId="StyleHeading3Italic">
    <w:name w:val="Style Heading 3 + Italic"/>
    <w:basedOn w:val="Kop3"/>
    <w:rsid w:val="00D3698D"/>
    <w:rPr>
      <w:bCs w:val="0"/>
      <w:i/>
      <w:iCs/>
    </w:rPr>
  </w:style>
  <w:style w:type="character" w:customStyle="1" w:styleId="Kop5Char">
    <w:name w:val="Kop 5 Char"/>
    <w:basedOn w:val="Standaardalinea-lettertype"/>
    <w:link w:val="Kop5"/>
    <w:uiPriority w:val="99"/>
    <w:semiHidden/>
    <w:rsid w:val="00D3698D"/>
    <w:rPr>
      <w:rFonts w:asciiTheme="majorHAnsi" w:eastAsiaTheme="majorEastAsia" w:hAnsiTheme="majorHAnsi" w:cstheme="majorBidi"/>
      <w:color w:val="365F91" w:themeColor="accent1" w:themeShade="BF"/>
      <w:sz w:val="24"/>
      <w:szCs w:val="24"/>
      <w:lang w:val="en-US" w:eastAsia="en-US"/>
    </w:rPr>
  </w:style>
  <w:style w:type="character" w:customStyle="1" w:styleId="Kop6Char">
    <w:name w:val="Kop 6 Char"/>
    <w:basedOn w:val="Standaardalinea-lettertype"/>
    <w:link w:val="Kop6"/>
    <w:uiPriority w:val="99"/>
    <w:semiHidden/>
    <w:rsid w:val="00D3698D"/>
    <w:rPr>
      <w:rFonts w:asciiTheme="majorHAnsi" w:eastAsiaTheme="majorEastAsia" w:hAnsiTheme="majorHAnsi" w:cstheme="majorBidi"/>
      <w:color w:val="243F60" w:themeColor="accent1" w:themeShade="7F"/>
      <w:sz w:val="24"/>
      <w:szCs w:val="24"/>
      <w:lang w:val="en-US" w:eastAsia="en-US"/>
    </w:rPr>
  </w:style>
  <w:style w:type="character" w:customStyle="1" w:styleId="Kop7Char">
    <w:name w:val="Kop 7 Char"/>
    <w:basedOn w:val="Standaardalinea-lettertype"/>
    <w:link w:val="Kop7"/>
    <w:uiPriority w:val="99"/>
    <w:semiHidden/>
    <w:rsid w:val="00D3698D"/>
    <w:rPr>
      <w:rFonts w:asciiTheme="majorHAnsi" w:eastAsiaTheme="majorEastAsia" w:hAnsiTheme="majorHAnsi" w:cstheme="majorBidi"/>
      <w:i/>
      <w:iCs/>
      <w:color w:val="243F60" w:themeColor="accent1" w:themeShade="7F"/>
      <w:sz w:val="24"/>
      <w:szCs w:val="24"/>
      <w:lang w:val="en-US" w:eastAsia="en-US"/>
    </w:rPr>
  </w:style>
  <w:style w:type="character" w:customStyle="1" w:styleId="Kop8Char">
    <w:name w:val="Kop 8 Char"/>
    <w:basedOn w:val="Standaardalinea-lettertype"/>
    <w:link w:val="Kop8"/>
    <w:uiPriority w:val="99"/>
    <w:semiHidden/>
    <w:rsid w:val="00D3698D"/>
    <w:rPr>
      <w:rFonts w:asciiTheme="majorHAnsi" w:eastAsiaTheme="majorEastAsia" w:hAnsiTheme="majorHAnsi" w:cstheme="majorBidi"/>
      <w:color w:val="272727" w:themeColor="text1" w:themeTint="D8"/>
      <w:sz w:val="21"/>
      <w:szCs w:val="21"/>
      <w:lang w:val="en-US" w:eastAsia="en-US"/>
    </w:rPr>
  </w:style>
  <w:style w:type="character" w:customStyle="1" w:styleId="Kop9Char">
    <w:name w:val="Kop 9 Char"/>
    <w:basedOn w:val="Standaardalinea-lettertype"/>
    <w:link w:val="Kop9"/>
    <w:uiPriority w:val="99"/>
    <w:semiHidden/>
    <w:rsid w:val="00D3698D"/>
    <w:rPr>
      <w:rFonts w:asciiTheme="majorHAnsi" w:eastAsiaTheme="majorEastAsia" w:hAnsiTheme="majorHAnsi" w:cstheme="majorBidi"/>
      <w:i/>
      <w:iCs/>
      <w:color w:val="272727" w:themeColor="text1" w:themeTint="D8"/>
      <w:sz w:val="21"/>
      <w:szCs w:val="21"/>
      <w:lang w:val="en-US" w:eastAsia="en-US"/>
    </w:rPr>
  </w:style>
  <w:style w:type="table" w:customStyle="1" w:styleId="Tabellenraster1">
    <w:name w:val="Tabellenraster1"/>
    <w:basedOn w:val="Standaardtabel"/>
    <w:next w:val="Tabelraster"/>
    <w:uiPriority w:val="39"/>
    <w:rsid w:val="00646BD9"/>
    <w:rPr>
      <w:rFonts w:ascii="Aptos" w:eastAsia="Aptos" w:hAnsi="Aptos"/>
      <w:sz w:val="24"/>
      <w:szCs w:val="24"/>
      <w:lang w:val="nl-N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raster">
    <w:name w:val="Table Grid"/>
    <w:basedOn w:val="Standaardtabel"/>
    <w:rsid w:val="00646B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nopgelostemelding">
    <w:name w:val="Unresolved Mention"/>
    <w:basedOn w:val="Standaardalinea-lettertype"/>
    <w:uiPriority w:val="99"/>
    <w:semiHidden/>
    <w:unhideWhenUsed/>
    <w:rsid w:val="007805A0"/>
    <w:rPr>
      <w:color w:val="605E5C"/>
      <w:shd w:val="clear" w:color="auto" w:fill="E1DFDD"/>
    </w:rPr>
  </w:style>
  <w:style w:type="paragraph" w:styleId="Ondertitel">
    <w:name w:val="Subtitle"/>
    <w:basedOn w:val="Standaard"/>
    <w:next w:val="Standaard"/>
    <w:link w:val="OndertitelChar"/>
    <w:uiPriority w:val="99"/>
    <w:qFormat/>
    <w:rsid w:val="00844C8A"/>
    <w:pPr>
      <w:numPr>
        <w:ilvl w:val="1"/>
      </w:numPr>
      <w:spacing w:after="160"/>
      <w:ind w:firstLine="202"/>
    </w:pPr>
    <w:rPr>
      <w:rFonts w:eastAsiaTheme="minorEastAsia" w:cstheme="minorBidi"/>
      <w:color w:val="5A5A5A" w:themeColor="text1" w:themeTint="A5"/>
      <w:spacing w:val="15"/>
      <w:sz w:val="22"/>
      <w:szCs w:val="22"/>
    </w:rPr>
  </w:style>
  <w:style w:type="character" w:customStyle="1" w:styleId="OndertitelChar">
    <w:name w:val="Ondertitel Char"/>
    <w:basedOn w:val="Standaardalinea-lettertype"/>
    <w:link w:val="Ondertitel"/>
    <w:uiPriority w:val="99"/>
    <w:rsid w:val="00844C8A"/>
    <w:rPr>
      <w:rFonts w:asciiTheme="minorHAnsi" w:eastAsiaTheme="minorEastAsia" w:hAnsiTheme="minorHAnsi" w:cstheme="minorBidi"/>
      <w:color w:val="5A5A5A" w:themeColor="text1" w:themeTint="A5"/>
      <w:spacing w:val="15"/>
      <w:sz w:val="22"/>
      <w:szCs w:val="22"/>
      <w:lang w:eastAsia="en-US"/>
    </w:rPr>
  </w:style>
  <w:style w:type="character" w:styleId="Subtieleverwijzing">
    <w:name w:val="Subtle Reference"/>
    <w:basedOn w:val="Standaardalinea-lettertype"/>
    <w:uiPriority w:val="99"/>
    <w:qFormat/>
    <w:rsid w:val="00844C8A"/>
    <w:rPr>
      <w:smallCaps/>
      <w:color w:val="5A5A5A" w:themeColor="text1" w:themeTint="A5"/>
    </w:rPr>
  </w:style>
  <w:style w:type="character" w:styleId="Eindnootmarkering">
    <w:name w:val="endnote reference"/>
    <w:basedOn w:val="Standaardalinea-lettertype"/>
    <w:uiPriority w:val="99"/>
    <w:semiHidden/>
    <w:unhideWhenUsed/>
    <w:rsid w:val="00FD48A4"/>
    <w:rPr>
      <w:vertAlign w:val="superscript"/>
    </w:rPr>
  </w:style>
  <w:style w:type="paragraph" w:styleId="Revisie">
    <w:name w:val="Revision"/>
    <w:hidden/>
    <w:semiHidden/>
    <w:rsid w:val="00E07599"/>
    <w:rPr>
      <w:rFonts w:asciiTheme="minorHAnsi" w:hAnsiTheme="minorHAnsi"/>
      <w:sz w:val="24"/>
      <w:szCs w:val="24"/>
      <w:lang w:eastAsia="en-US"/>
    </w:rPr>
  </w:style>
  <w:style w:type="character" w:styleId="Nadruk">
    <w:name w:val="Emphasis"/>
    <w:basedOn w:val="Standaardalinea-lettertype"/>
    <w:uiPriority w:val="1"/>
    <w:qFormat/>
    <w:rsid w:val="002C79FA"/>
    <w:rPr>
      <w:i/>
      <w:iCs/>
    </w:rPr>
  </w:style>
  <w:style w:type="character" w:styleId="Intensievebenadrukking">
    <w:name w:val="Intense Emphasis"/>
    <w:basedOn w:val="Standaardalinea-lettertype"/>
    <w:uiPriority w:val="99"/>
    <w:qFormat/>
    <w:rsid w:val="00FE3C2E"/>
    <w:rPr>
      <w:i/>
      <w:iCs/>
      <w:color w:val="4F81BD" w:themeColor="accent1"/>
    </w:rPr>
  </w:style>
  <w:style w:type="table" w:customStyle="1" w:styleId="Tabellenraster2">
    <w:name w:val="Tabellenraster2"/>
    <w:basedOn w:val="Standaardtabel"/>
    <w:next w:val="Tabelraster"/>
    <w:uiPriority w:val="39"/>
    <w:rsid w:val="00804830"/>
    <w:rPr>
      <w:rFonts w:ascii="Calibri" w:eastAsia="Yu Mincho" w:hAnsi="Calibri" w:cs="Arial"/>
      <w:kern w:val="2"/>
      <w:sz w:val="22"/>
      <w:szCs w:val="22"/>
      <w:lang w:eastAsia="ja-JP"/>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semiHidden/>
    <w:unhideWhenUsed/>
    <w:rsid w:val="000E583E"/>
    <w:rPr>
      <w:rFonts w:ascii="Times New Roman" w:hAnsi="Times New Roman"/>
    </w:rPr>
  </w:style>
  <w:style w:type="character" w:styleId="Subtielebenadrukking">
    <w:name w:val="Subtle Emphasis"/>
    <w:basedOn w:val="Standaardalinea-lettertype"/>
    <w:uiPriority w:val="99"/>
    <w:qFormat/>
    <w:rsid w:val="00200717"/>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9956626">
      <w:bodyDiv w:val="1"/>
      <w:marLeft w:val="0"/>
      <w:marRight w:val="0"/>
      <w:marTop w:val="0"/>
      <w:marBottom w:val="0"/>
      <w:divBdr>
        <w:top w:val="none" w:sz="0" w:space="0" w:color="auto"/>
        <w:left w:val="none" w:sz="0" w:space="0" w:color="auto"/>
        <w:bottom w:val="none" w:sz="0" w:space="0" w:color="auto"/>
        <w:right w:val="none" w:sz="0" w:space="0" w:color="auto"/>
      </w:divBdr>
    </w:div>
    <w:div w:id="108668490">
      <w:bodyDiv w:val="1"/>
      <w:marLeft w:val="0"/>
      <w:marRight w:val="0"/>
      <w:marTop w:val="0"/>
      <w:marBottom w:val="0"/>
      <w:divBdr>
        <w:top w:val="none" w:sz="0" w:space="0" w:color="auto"/>
        <w:left w:val="none" w:sz="0" w:space="0" w:color="auto"/>
        <w:bottom w:val="none" w:sz="0" w:space="0" w:color="auto"/>
        <w:right w:val="none" w:sz="0" w:space="0" w:color="auto"/>
      </w:divBdr>
    </w:div>
    <w:div w:id="138690652">
      <w:bodyDiv w:val="1"/>
      <w:marLeft w:val="0"/>
      <w:marRight w:val="0"/>
      <w:marTop w:val="0"/>
      <w:marBottom w:val="0"/>
      <w:divBdr>
        <w:top w:val="none" w:sz="0" w:space="0" w:color="auto"/>
        <w:left w:val="none" w:sz="0" w:space="0" w:color="auto"/>
        <w:bottom w:val="none" w:sz="0" w:space="0" w:color="auto"/>
        <w:right w:val="none" w:sz="0" w:space="0" w:color="auto"/>
      </w:divBdr>
    </w:div>
    <w:div w:id="145706418">
      <w:bodyDiv w:val="1"/>
      <w:marLeft w:val="0"/>
      <w:marRight w:val="0"/>
      <w:marTop w:val="0"/>
      <w:marBottom w:val="0"/>
      <w:divBdr>
        <w:top w:val="none" w:sz="0" w:space="0" w:color="auto"/>
        <w:left w:val="none" w:sz="0" w:space="0" w:color="auto"/>
        <w:bottom w:val="none" w:sz="0" w:space="0" w:color="auto"/>
        <w:right w:val="none" w:sz="0" w:space="0" w:color="auto"/>
      </w:divBdr>
    </w:div>
    <w:div w:id="331687207">
      <w:bodyDiv w:val="1"/>
      <w:marLeft w:val="0"/>
      <w:marRight w:val="0"/>
      <w:marTop w:val="0"/>
      <w:marBottom w:val="0"/>
      <w:divBdr>
        <w:top w:val="none" w:sz="0" w:space="0" w:color="auto"/>
        <w:left w:val="none" w:sz="0" w:space="0" w:color="auto"/>
        <w:bottom w:val="none" w:sz="0" w:space="0" w:color="auto"/>
        <w:right w:val="none" w:sz="0" w:space="0" w:color="auto"/>
      </w:divBdr>
    </w:div>
    <w:div w:id="356396289">
      <w:bodyDiv w:val="1"/>
      <w:marLeft w:val="0"/>
      <w:marRight w:val="0"/>
      <w:marTop w:val="0"/>
      <w:marBottom w:val="0"/>
      <w:divBdr>
        <w:top w:val="none" w:sz="0" w:space="0" w:color="auto"/>
        <w:left w:val="none" w:sz="0" w:space="0" w:color="auto"/>
        <w:bottom w:val="none" w:sz="0" w:space="0" w:color="auto"/>
        <w:right w:val="none" w:sz="0" w:space="0" w:color="auto"/>
      </w:divBdr>
    </w:div>
    <w:div w:id="493378030">
      <w:bodyDiv w:val="1"/>
      <w:marLeft w:val="0"/>
      <w:marRight w:val="0"/>
      <w:marTop w:val="0"/>
      <w:marBottom w:val="0"/>
      <w:divBdr>
        <w:top w:val="none" w:sz="0" w:space="0" w:color="auto"/>
        <w:left w:val="none" w:sz="0" w:space="0" w:color="auto"/>
        <w:bottom w:val="none" w:sz="0" w:space="0" w:color="auto"/>
        <w:right w:val="none" w:sz="0" w:space="0" w:color="auto"/>
      </w:divBdr>
    </w:div>
    <w:div w:id="575824821">
      <w:bodyDiv w:val="1"/>
      <w:marLeft w:val="0"/>
      <w:marRight w:val="0"/>
      <w:marTop w:val="0"/>
      <w:marBottom w:val="0"/>
      <w:divBdr>
        <w:top w:val="none" w:sz="0" w:space="0" w:color="auto"/>
        <w:left w:val="none" w:sz="0" w:space="0" w:color="auto"/>
        <w:bottom w:val="none" w:sz="0" w:space="0" w:color="auto"/>
        <w:right w:val="none" w:sz="0" w:space="0" w:color="auto"/>
      </w:divBdr>
    </w:div>
    <w:div w:id="619149634">
      <w:bodyDiv w:val="1"/>
      <w:marLeft w:val="0"/>
      <w:marRight w:val="0"/>
      <w:marTop w:val="0"/>
      <w:marBottom w:val="0"/>
      <w:divBdr>
        <w:top w:val="none" w:sz="0" w:space="0" w:color="auto"/>
        <w:left w:val="none" w:sz="0" w:space="0" w:color="auto"/>
        <w:bottom w:val="none" w:sz="0" w:space="0" w:color="auto"/>
        <w:right w:val="none" w:sz="0" w:space="0" w:color="auto"/>
      </w:divBdr>
    </w:div>
    <w:div w:id="682785549">
      <w:bodyDiv w:val="1"/>
      <w:marLeft w:val="0"/>
      <w:marRight w:val="0"/>
      <w:marTop w:val="0"/>
      <w:marBottom w:val="0"/>
      <w:divBdr>
        <w:top w:val="none" w:sz="0" w:space="0" w:color="auto"/>
        <w:left w:val="none" w:sz="0" w:space="0" w:color="auto"/>
        <w:bottom w:val="none" w:sz="0" w:space="0" w:color="auto"/>
        <w:right w:val="none" w:sz="0" w:space="0" w:color="auto"/>
      </w:divBdr>
    </w:div>
    <w:div w:id="1018895830">
      <w:bodyDiv w:val="1"/>
      <w:marLeft w:val="0"/>
      <w:marRight w:val="0"/>
      <w:marTop w:val="0"/>
      <w:marBottom w:val="0"/>
      <w:divBdr>
        <w:top w:val="none" w:sz="0" w:space="0" w:color="auto"/>
        <w:left w:val="none" w:sz="0" w:space="0" w:color="auto"/>
        <w:bottom w:val="none" w:sz="0" w:space="0" w:color="auto"/>
        <w:right w:val="none" w:sz="0" w:space="0" w:color="auto"/>
      </w:divBdr>
    </w:div>
    <w:div w:id="1022514520">
      <w:bodyDiv w:val="1"/>
      <w:marLeft w:val="0"/>
      <w:marRight w:val="0"/>
      <w:marTop w:val="0"/>
      <w:marBottom w:val="0"/>
      <w:divBdr>
        <w:top w:val="none" w:sz="0" w:space="0" w:color="auto"/>
        <w:left w:val="none" w:sz="0" w:space="0" w:color="auto"/>
        <w:bottom w:val="none" w:sz="0" w:space="0" w:color="auto"/>
        <w:right w:val="none" w:sz="0" w:space="0" w:color="auto"/>
      </w:divBdr>
    </w:div>
    <w:div w:id="1280261813">
      <w:bodyDiv w:val="1"/>
      <w:marLeft w:val="0"/>
      <w:marRight w:val="0"/>
      <w:marTop w:val="0"/>
      <w:marBottom w:val="0"/>
      <w:divBdr>
        <w:top w:val="none" w:sz="0" w:space="0" w:color="auto"/>
        <w:left w:val="none" w:sz="0" w:space="0" w:color="auto"/>
        <w:bottom w:val="none" w:sz="0" w:space="0" w:color="auto"/>
        <w:right w:val="none" w:sz="0" w:space="0" w:color="auto"/>
      </w:divBdr>
    </w:div>
    <w:div w:id="1723021236">
      <w:bodyDiv w:val="1"/>
      <w:marLeft w:val="0"/>
      <w:marRight w:val="0"/>
      <w:marTop w:val="0"/>
      <w:marBottom w:val="0"/>
      <w:divBdr>
        <w:top w:val="none" w:sz="0" w:space="0" w:color="auto"/>
        <w:left w:val="none" w:sz="0" w:space="0" w:color="auto"/>
        <w:bottom w:val="none" w:sz="0" w:space="0" w:color="auto"/>
        <w:right w:val="none" w:sz="0" w:space="0" w:color="auto"/>
      </w:divBdr>
    </w:div>
    <w:div w:id="1786994762">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allowPNG/>
  <w:pixelsPerInch w:val="72"/>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Fullbrunn\Documents\Teaching\Theses\Master\2016\InformationRules\AER_AEJ_Word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BB811D6ADE7344A83EA0C8EDD965AF" ma:contentTypeVersion="11" ma:contentTypeDescription="Een nieuw document maken." ma:contentTypeScope="" ma:versionID="c6f3d35f182db9c268e5db6c37ad9de1">
  <xsd:schema xmlns:xsd="http://www.w3.org/2001/XMLSchema" xmlns:xs="http://www.w3.org/2001/XMLSchema" xmlns:p="http://schemas.microsoft.com/office/2006/metadata/properties" xmlns:ns3="42bb337e-4190-49a2-bc13-195a9b34e3f7" xmlns:ns4="3c3fc393-a074-41bc-9dea-d7a076d67c18" targetNamespace="http://schemas.microsoft.com/office/2006/metadata/properties" ma:root="true" ma:fieldsID="0040092e791ccda7c960cdd355e7cc64" ns3:_="" ns4:_="">
    <xsd:import namespace="42bb337e-4190-49a2-bc13-195a9b34e3f7"/>
    <xsd:import namespace="3c3fc393-a074-41bc-9dea-d7a076d67c1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ObjectDetectorVersions" minOccurs="0"/>
                <xsd:element ref="ns3:_activity" minOccurs="0"/>
                <xsd:element ref="ns4:SharedWithUsers" minOccurs="0"/>
                <xsd:element ref="ns4:SharedWithDetails" minOccurs="0"/>
                <xsd:element ref="ns4:SharingHintHash" minOccurs="0"/>
                <xsd:element ref="ns3:MediaServiceSearchPropertie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2bb337e-4190-49a2-bc13-195a9b34e3f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_activity" ma:index="13" nillable="true" ma:displayName="_activity" ma:hidden="true" ma:internalName="_activity">
      <xsd:simpleType>
        <xsd:restriction base="dms:Note"/>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c3fc393-a074-41bc-9dea-d7a076d67c18" elementFormDefault="qualified">
    <xsd:import namespace="http://schemas.microsoft.com/office/2006/documentManagement/types"/>
    <xsd:import namespace="http://schemas.microsoft.com/office/infopath/2007/PartnerControls"/>
    <xsd:element name="SharedWithUsers" ma:index="14"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Gedeeld met details" ma:internalName="SharedWithDetails" ma:readOnly="true">
      <xsd:simpleType>
        <xsd:restriction base="dms:Note">
          <xsd:maxLength value="255"/>
        </xsd:restriction>
      </xsd:simpleType>
    </xsd:element>
    <xsd:element name="SharingHintHash" ma:index="16" nillable="true" ma:displayName="Hint-hash delen"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42bb337e-4190-49a2-bc13-195a9b34e3f7" xsi:nil="true"/>
  </documentManagement>
</p:properties>
</file>

<file path=customXml/itemProps1.xml><?xml version="1.0" encoding="utf-8"?>
<ds:datastoreItem xmlns:ds="http://schemas.openxmlformats.org/officeDocument/2006/customXml" ds:itemID="{AB191F7E-068F-4EAF-A48E-A5BD2201BA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2bb337e-4190-49a2-bc13-195a9b34e3f7"/>
    <ds:schemaRef ds:uri="3c3fc393-a074-41bc-9dea-d7a076d67c1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2A8D629-70C8-486B-B973-BE9D2F88090C}">
  <ds:schemaRefs>
    <ds:schemaRef ds:uri="http://schemas.openxmlformats.org/officeDocument/2006/bibliography"/>
  </ds:schemaRefs>
</ds:datastoreItem>
</file>

<file path=customXml/itemProps3.xml><?xml version="1.0" encoding="utf-8"?>
<ds:datastoreItem xmlns:ds="http://schemas.openxmlformats.org/officeDocument/2006/customXml" ds:itemID="{9213479B-17B4-4A90-90DB-B2AAA3FADE5E}">
  <ds:schemaRefs>
    <ds:schemaRef ds:uri="http://schemas.microsoft.com/sharepoint/v3/contenttype/forms"/>
  </ds:schemaRefs>
</ds:datastoreItem>
</file>

<file path=customXml/itemProps4.xml><?xml version="1.0" encoding="utf-8"?>
<ds:datastoreItem xmlns:ds="http://schemas.openxmlformats.org/officeDocument/2006/customXml" ds:itemID="{73535C7A-48D9-4261-9516-5BD521112680}">
  <ds:schemaRefs>
    <ds:schemaRef ds:uri="http://schemas.microsoft.com/office/2006/metadata/properties"/>
    <ds:schemaRef ds:uri="http://schemas.microsoft.com/office/infopath/2007/PartnerControls"/>
    <ds:schemaRef ds:uri="42bb337e-4190-49a2-bc13-195a9b34e3f7"/>
  </ds:schemaRefs>
</ds:datastoreItem>
</file>

<file path=docProps/app.xml><?xml version="1.0" encoding="utf-8"?>
<Properties xmlns="http://schemas.openxmlformats.org/officeDocument/2006/extended-properties" xmlns:vt="http://schemas.openxmlformats.org/officeDocument/2006/docPropsVTypes">
  <Template>AER_AEJ_WordTemplate</Template>
  <TotalTime>0</TotalTime>
  <Pages>19</Pages>
  <Words>70913</Words>
  <Characters>390022</Characters>
  <Application>Microsoft Office Word</Application>
  <DocSecurity>0</DocSecurity>
  <Lines>3250</Lines>
  <Paragraphs>920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AEA Publications</Company>
  <LinksUpToDate>false</LinksUpToDate>
  <CharactersWithSpaces>460015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S.Fullbrunn</dc:creator>
  <cp:lastModifiedBy>Born, E.G.J. (Evelien)</cp:lastModifiedBy>
  <cp:revision>2</cp:revision>
  <cp:lastPrinted>2024-08-21T10:09:00Z</cp:lastPrinted>
  <dcterms:created xsi:type="dcterms:W3CDTF">2024-08-23T09:55:00Z</dcterms:created>
  <dcterms:modified xsi:type="dcterms:W3CDTF">2024-08-23T09:55:00Z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0x01010067BB811D6ADE7344A83EA0C8EDD965AF</vt:lpwstr>
  </property>
  <property fmtid="{D5CDD505-2E9C-101B-9397-08002B2CF9AE}" pid="3" name="Mendeley Document_1">
    <vt:lpwstr>True</vt:lpwstr>
  </property>
  <property fmtid="{D5CDD505-2E9C-101B-9397-08002B2CF9AE}" pid="4" name="Mendeley Unique User Id_1">
    <vt:lpwstr>5a7fe0f9-f49e-3986-bde4-cff73d3a37d9</vt:lpwstr>
  </property>
  <property fmtid="{D5CDD505-2E9C-101B-9397-08002B2CF9AE}" pid="5" name="Mendeley Citation Style_1">
    <vt:lpwstr>http://www.zotero.org/styles/apa</vt:lpwstr>
  </property>
  <property fmtid="{D5CDD505-2E9C-101B-9397-08002B2CF9AE}" pid="6" name="Mendeley Recent Style Id 0_1">
    <vt:lpwstr>http://www.zotero.org/styles/american-medical-association</vt:lpwstr>
  </property>
  <property fmtid="{D5CDD505-2E9C-101B-9397-08002B2CF9AE}" pid="7" name="Mendeley Recent Style Name 0_1">
    <vt:lpwstr>American Medical Association 11th edition</vt:lpwstr>
  </property>
  <property fmtid="{D5CDD505-2E9C-101B-9397-08002B2CF9AE}" pid="8" name="Mendeley Recent Style Id 1_1">
    <vt:lpwstr>http://www.zotero.org/styles/american-political-science-association</vt:lpwstr>
  </property>
  <property fmtid="{D5CDD505-2E9C-101B-9397-08002B2CF9AE}" pid="9" name="Mendeley Recent Style Name 1_1">
    <vt:lpwstr>American Political Science Association</vt:lpwstr>
  </property>
  <property fmtid="{D5CDD505-2E9C-101B-9397-08002B2CF9AE}" pid="10" name="Mendeley Recent Style Id 2_1">
    <vt:lpwstr>http://www.zotero.org/styles/apa</vt:lpwstr>
  </property>
  <property fmtid="{D5CDD505-2E9C-101B-9397-08002B2CF9AE}" pid="11" name="Mendeley Recent Style Name 2_1">
    <vt:lpwstr>American Psychological Association 7th edition</vt:lpwstr>
  </property>
  <property fmtid="{D5CDD505-2E9C-101B-9397-08002B2CF9AE}" pid="12" name="Mendeley Recent Style Id 3_1">
    <vt:lpwstr>http://www.zotero.org/styles/american-sociological-association</vt:lpwstr>
  </property>
  <property fmtid="{D5CDD505-2E9C-101B-9397-08002B2CF9AE}" pid="13" name="Mendeley Recent Style Name 3_1">
    <vt:lpwstr>American Sociological Association 6th edition</vt:lpwstr>
  </property>
  <property fmtid="{D5CDD505-2E9C-101B-9397-08002B2CF9AE}" pid="14" name="Mendeley Recent Style Id 4_1">
    <vt:lpwstr>http://www.zotero.org/styles/chicago-author-date</vt:lpwstr>
  </property>
  <property fmtid="{D5CDD505-2E9C-101B-9397-08002B2CF9AE}" pid="15" name="Mendeley Recent Style Name 4_1">
    <vt:lpwstr>Chicago Manual of Style 17th edition (author-date)</vt:lpwstr>
  </property>
  <property fmtid="{D5CDD505-2E9C-101B-9397-08002B2CF9AE}" pid="16" name="Mendeley Recent Style Id 5_1">
    <vt:lpwstr>http://www.zotero.org/styles/harvard-cite-them-right</vt:lpwstr>
  </property>
  <property fmtid="{D5CDD505-2E9C-101B-9397-08002B2CF9AE}" pid="17" name="Mendeley Recent Style Name 5_1">
    <vt:lpwstr>Cite Them Right 11th edition - Harvard</vt:lpwstr>
  </property>
  <property fmtid="{D5CDD505-2E9C-101B-9397-08002B2CF9AE}" pid="18" name="Mendeley Recent Style Id 6_1">
    <vt:lpwstr>http://www.zotero.org/styles/ieee</vt:lpwstr>
  </property>
  <property fmtid="{D5CDD505-2E9C-101B-9397-08002B2CF9AE}" pid="19" name="Mendeley Recent Style Name 6_1">
    <vt:lpwstr>IEEE</vt:lpwstr>
  </property>
  <property fmtid="{D5CDD505-2E9C-101B-9397-08002B2CF9AE}" pid="20" name="Mendeley Recent Style Id 7_1">
    <vt:lpwstr>http://www.zotero.org/styles/modern-humanities-research-association</vt:lpwstr>
  </property>
  <property fmtid="{D5CDD505-2E9C-101B-9397-08002B2CF9AE}" pid="21" name="Mendeley Recent Style Name 7_1">
    <vt:lpwstr>Modern Humanities Research Association 3rd edition (note with bibliography)</vt:lpwstr>
  </property>
  <property fmtid="{D5CDD505-2E9C-101B-9397-08002B2CF9AE}" pid="22" name="Mendeley Recent Style Id 8_1">
    <vt:lpwstr>http://www.zotero.org/styles/modern-language-association</vt:lpwstr>
  </property>
  <property fmtid="{D5CDD505-2E9C-101B-9397-08002B2CF9AE}" pid="23" name="Mendeley Recent Style Name 8_1">
    <vt:lpwstr>Modern Language Association 9th edition</vt:lpwstr>
  </property>
  <property fmtid="{D5CDD505-2E9C-101B-9397-08002B2CF9AE}" pid="24" name="Mendeley Recent Style Id 9_1">
    <vt:lpwstr>http://www.zotero.org/styles/nature</vt:lpwstr>
  </property>
  <property fmtid="{D5CDD505-2E9C-101B-9397-08002B2CF9AE}" pid="25" name="Mendeley Recent Style Name 9_1">
    <vt:lpwstr>Nature</vt:lpwstr>
  </property>
</Properties>
</file>