
<file path=[Content_Types].xml><?xml version="1.0" encoding="utf-8"?>
<Types xmlns="http://schemas.openxmlformats.org/package/2006/content-types">
  <Default Extension="gif" ContentType="image/gi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sdt>
      <w:sdtPr>
        <w:id w:val="854857649"/>
        <w:docPartObj>
          <w:docPartGallery w:val="Cover Pages"/>
          <w:docPartUnique/>
        </w:docPartObj>
      </w:sdtPr>
      <w:sdtEndPr>
        <w:rPr>
          <w:lang w:val="en-GB"/>
        </w:rPr>
      </w:sdtEndPr>
      <w:sdtContent>
        <w:p w14:paraId="6FB02C43" w14:textId="246BDE4F" w:rsidR="0045363E" w:rsidRDefault="0045363E"/>
        <w:p w14:paraId="4307D913" w14:textId="77777777" w:rsidR="004747A9" w:rsidRDefault="004747A9" w:rsidP="004747A9">
          <w:pPr>
            <w:jc w:val="center"/>
            <w:rPr>
              <w:rFonts w:ascii="Times New Roman" w:hAnsi="Times New Roman" w:cs="Times New Roman"/>
              <w:sz w:val="44"/>
              <w:szCs w:val="44"/>
              <w:lang w:val="en-GB"/>
            </w:rPr>
          </w:pPr>
          <w:r w:rsidRPr="00630EC2">
            <w:rPr>
              <w:rFonts w:ascii="Times New Roman" w:hAnsi="Times New Roman" w:cs="Times New Roman"/>
              <w:sz w:val="44"/>
              <w:szCs w:val="44"/>
              <w:lang w:val="en-GB"/>
            </w:rPr>
            <w:t>Can money buy you anything?</w:t>
          </w:r>
        </w:p>
        <w:p w14:paraId="1F1F8831" w14:textId="2BF0C97F" w:rsidR="004747A9" w:rsidRPr="00630EC2" w:rsidRDefault="004747A9" w:rsidP="004747A9">
          <w:pPr>
            <w:jc w:val="center"/>
            <w:rPr>
              <w:rFonts w:ascii="Times New Roman" w:hAnsi="Times New Roman" w:cs="Times New Roman"/>
              <w:i/>
              <w:iCs/>
              <w:sz w:val="44"/>
              <w:szCs w:val="44"/>
              <w:lang w:val="en-GB"/>
            </w:rPr>
          </w:pPr>
          <w:r w:rsidRPr="00630EC2">
            <w:rPr>
              <w:rFonts w:ascii="Times New Roman" w:hAnsi="Times New Roman" w:cs="Times New Roman"/>
              <w:i/>
              <w:iCs/>
              <w:sz w:val="44"/>
              <w:szCs w:val="44"/>
              <w:lang w:val="en-GB"/>
            </w:rPr>
            <w:t>An investigation of how Qatargate has influenced the relationship between Qatar and the European Union</w:t>
          </w:r>
        </w:p>
        <w:p w14:paraId="17B894EC" w14:textId="217D0471" w:rsidR="004747A9" w:rsidRDefault="004747A9" w:rsidP="004747A9">
          <w:pPr>
            <w:jc w:val="center"/>
            <w:rPr>
              <w:rFonts w:ascii="Times New Roman" w:hAnsi="Times New Roman" w:cs="Times New Roman"/>
              <w:sz w:val="44"/>
              <w:szCs w:val="44"/>
              <w:lang w:val="en-GB"/>
            </w:rPr>
          </w:pPr>
        </w:p>
        <w:p w14:paraId="1F35E266" w14:textId="1262076A" w:rsidR="004747A9" w:rsidRPr="00630EC2" w:rsidRDefault="004747A9" w:rsidP="004747A9">
          <w:pPr>
            <w:jc w:val="center"/>
            <w:rPr>
              <w:rFonts w:ascii="Times New Roman" w:hAnsi="Times New Roman" w:cs="Times New Roman"/>
              <w:sz w:val="32"/>
              <w:szCs w:val="32"/>
              <w:lang w:val="en-GB"/>
            </w:rPr>
          </w:pPr>
          <w:r w:rsidRPr="00630EC2">
            <w:rPr>
              <w:rFonts w:ascii="Times New Roman" w:hAnsi="Times New Roman" w:cs="Times New Roman"/>
              <w:sz w:val="32"/>
              <w:szCs w:val="32"/>
              <w:lang w:val="en-GB"/>
            </w:rPr>
            <w:t xml:space="preserve">Thesis Submitted in Partial </w:t>
          </w:r>
          <w:r w:rsidR="00EA343E" w:rsidRPr="00630EC2">
            <w:rPr>
              <w:rFonts w:ascii="Times New Roman" w:hAnsi="Times New Roman" w:cs="Times New Roman"/>
              <w:sz w:val="32"/>
              <w:szCs w:val="32"/>
              <w:lang w:val="en-GB"/>
            </w:rPr>
            <w:t>Fulfilment</w:t>
          </w:r>
          <w:r w:rsidRPr="00630EC2">
            <w:rPr>
              <w:rFonts w:ascii="Times New Roman" w:hAnsi="Times New Roman" w:cs="Times New Roman"/>
              <w:sz w:val="32"/>
              <w:szCs w:val="32"/>
              <w:lang w:val="en-GB"/>
            </w:rPr>
            <w:t xml:space="preserve"> of the Requirements for the Degree of Master in Political Science (MSc) Specialisation: European Union Politics and Governance</w:t>
          </w:r>
        </w:p>
        <w:p w14:paraId="713B3386" w14:textId="7293F434" w:rsidR="004747A9" w:rsidRPr="00630EC2" w:rsidRDefault="004747A9" w:rsidP="004747A9">
          <w:pPr>
            <w:jc w:val="center"/>
            <w:rPr>
              <w:rFonts w:ascii="Times New Roman" w:hAnsi="Times New Roman" w:cs="Times New Roman"/>
              <w:sz w:val="32"/>
              <w:szCs w:val="32"/>
              <w:lang w:val="en-GB"/>
            </w:rPr>
          </w:pPr>
        </w:p>
        <w:p w14:paraId="07349F08" w14:textId="14534291" w:rsidR="004747A9" w:rsidRPr="004747A9" w:rsidRDefault="004747A9" w:rsidP="004747A9">
          <w:pPr>
            <w:jc w:val="center"/>
            <w:rPr>
              <w:rFonts w:ascii="Times New Roman" w:hAnsi="Times New Roman" w:cs="Times New Roman"/>
              <w:sz w:val="32"/>
              <w:szCs w:val="32"/>
            </w:rPr>
          </w:pPr>
          <w:r w:rsidRPr="004747A9">
            <w:rPr>
              <w:rFonts w:ascii="Times New Roman" w:hAnsi="Times New Roman" w:cs="Times New Roman"/>
              <w:sz w:val="32"/>
              <w:szCs w:val="32"/>
            </w:rPr>
            <w:t>Mark Bunschoten – S1033694</w:t>
          </w:r>
        </w:p>
        <w:p w14:paraId="08C5B96C" w14:textId="22B6CA8D" w:rsidR="004747A9" w:rsidRPr="00630EC2" w:rsidRDefault="004747A9" w:rsidP="004747A9">
          <w:pPr>
            <w:jc w:val="center"/>
            <w:rPr>
              <w:rFonts w:ascii="Times New Roman" w:hAnsi="Times New Roman" w:cs="Times New Roman"/>
              <w:sz w:val="32"/>
              <w:szCs w:val="32"/>
            </w:rPr>
          </w:pPr>
          <w:r w:rsidRPr="00630EC2">
            <w:rPr>
              <w:rFonts w:ascii="Times New Roman" w:hAnsi="Times New Roman" w:cs="Times New Roman"/>
              <w:sz w:val="32"/>
              <w:szCs w:val="32"/>
            </w:rPr>
            <w:t>Supervisor: Dr. R.A. van der Veer</w:t>
          </w:r>
        </w:p>
        <w:p w14:paraId="24670A9A" w14:textId="77777777" w:rsidR="004747A9" w:rsidRPr="00630EC2" w:rsidRDefault="004747A9" w:rsidP="004747A9">
          <w:pPr>
            <w:jc w:val="center"/>
            <w:rPr>
              <w:rFonts w:ascii="Times New Roman" w:hAnsi="Times New Roman" w:cs="Times New Roman"/>
              <w:sz w:val="32"/>
              <w:szCs w:val="32"/>
            </w:rPr>
          </w:pPr>
        </w:p>
        <w:p w14:paraId="200E696C" w14:textId="77777777" w:rsidR="004747A9" w:rsidRPr="004747A9" w:rsidRDefault="004747A9" w:rsidP="004747A9">
          <w:pPr>
            <w:jc w:val="center"/>
            <w:rPr>
              <w:rFonts w:ascii="Times New Roman" w:hAnsi="Times New Roman" w:cs="Times New Roman"/>
              <w:sz w:val="32"/>
              <w:szCs w:val="32"/>
              <w:lang w:val="en-GB"/>
            </w:rPr>
          </w:pPr>
          <w:r w:rsidRPr="004747A9">
            <w:rPr>
              <w:rFonts w:ascii="Times New Roman" w:hAnsi="Times New Roman" w:cs="Times New Roman"/>
              <w:sz w:val="32"/>
              <w:szCs w:val="32"/>
              <w:lang w:val="en-GB"/>
            </w:rPr>
            <w:t xml:space="preserve">Nijmegen School of Management </w:t>
          </w:r>
        </w:p>
        <w:p w14:paraId="63EF25E8" w14:textId="77777777" w:rsidR="004747A9" w:rsidRPr="00630EC2" w:rsidRDefault="004747A9" w:rsidP="004747A9">
          <w:pPr>
            <w:jc w:val="center"/>
            <w:rPr>
              <w:rFonts w:ascii="Times New Roman" w:hAnsi="Times New Roman" w:cs="Times New Roman"/>
              <w:sz w:val="32"/>
              <w:szCs w:val="32"/>
              <w:lang w:val="en-GB"/>
            </w:rPr>
          </w:pPr>
          <w:r w:rsidRPr="00630EC2">
            <w:rPr>
              <w:rFonts w:ascii="Times New Roman" w:hAnsi="Times New Roman" w:cs="Times New Roman"/>
              <w:sz w:val="32"/>
              <w:szCs w:val="32"/>
              <w:lang w:val="en-GB"/>
            </w:rPr>
            <w:t>Radboud University, Nijmegen, the Netherlands</w:t>
          </w:r>
        </w:p>
        <w:p w14:paraId="688E0EAB" w14:textId="6ADAAC66" w:rsidR="004747A9" w:rsidRPr="00630EC2" w:rsidRDefault="004747A9" w:rsidP="004747A9">
          <w:pPr>
            <w:jc w:val="center"/>
            <w:rPr>
              <w:rFonts w:ascii="Times New Roman" w:hAnsi="Times New Roman" w:cs="Times New Roman"/>
              <w:sz w:val="32"/>
              <w:szCs w:val="32"/>
              <w:lang w:val="en-GB"/>
            </w:rPr>
          </w:pPr>
        </w:p>
        <w:p w14:paraId="2CD5AAB6" w14:textId="28E5169C" w:rsidR="004747A9" w:rsidRPr="00630EC2" w:rsidRDefault="004747A9" w:rsidP="004747A9">
          <w:pPr>
            <w:jc w:val="center"/>
            <w:rPr>
              <w:rFonts w:ascii="Times New Roman" w:hAnsi="Times New Roman" w:cs="Times New Roman"/>
              <w:sz w:val="32"/>
              <w:szCs w:val="32"/>
              <w:lang w:val="en-GB"/>
            </w:rPr>
          </w:pPr>
          <w:r w:rsidRPr="00630EC2">
            <w:rPr>
              <w:rFonts w:ascii="Times New Roman" w:hAnsi="Times New Roman" w:cs="Times New Roman"/>
              <w:sz w:val="32"/>
              <w:szCs w:val="32"/>
              <w:lang w:val="en-GB"/>
            </w:rPr>
            <w:t xml:space="preserve">Date submitted: </w:t>
          </w:r>
          <w:r w:rsidR="00BE65F0">
            <w:rPr>
              <w:rFonts w:ascii="Times New Roman" w:hAnsi="Times New Roman" w:cs="Times New Roman"/>
              <w:sz w:val="32"/>
              <w:szCs w:val="32"/>
              <w:lang w:val="en-GB"/>
            </w:rPr>
            <w:t>21 June 2024</w:t>
          </w:r>
        </w:p>
        <w:p w14:paraId="1C02D3DF" w14:textId="66740D4B" w:rsidR="004747A9" w:rsidRPr="00630EC2" w:rsidRDefault="004747A9" w:rsidP="004747A9">
          <w:pPr>
            <w:jc w:val="center"/>
            <w:rPr>
              <w:rFonts w:ascii="Times New Roman" w:hAnsi="Times New Roman" w:cs="Times New Roman"/>
              <w:sz w:val="36"/>
              <w:szCs w:val="36"/>
              <w:lang w:val="en-GB"/>
            </w:rPr>
          </w:pPr>
          <w:r w:rsidRPr="00630EC2">
            <w:rPr>
              <w:rFonts w:ascii="Times New Roman" w:hAnsi="Times New Roman" w:cs="Times New Roman"/>
              <w:sz w:val="32"/>
              <w:szCs w:val="32"/>
              <w:lang w:val="en-GB"/>
            </w:rPr>
            <w:t>Word count</w:t>
          </w:r>
          <w:r>
            <w:rPr>
              <w:rFonts w:ascii="Times New Roman" w:hAnsi="Times New Roman" w:cs="Times New Roman"/>
              <w:sz w:val="36"/>
              <w:szCs w:val="36"/>
              <w:lang w:val="en-GB"/>
            </w:rPr>
            <w:t xml:space="preserve">: </w:t>
          </w:r>
          <w:r w:rsidR="00203E0D">
            <w:rPr>
              <w:rFonts w:ascii="Times New Roman" w:hAnsi="Times New Roman" w:cs="Times New Roman"/>
              <w:sz w:val="36"/>
              <w:szCs w:val="36"/>
              <w:lang w:val="en-GB"/>
            </w:rPr>
            <w:t>19.</w:t>
          </w:r>
          <w:r w:rsidR="006D2146">
            <w:rPr>
              <w:rFonts w:ascii="Times New Roman" w:hAnsi="Times New Roman" w:cs="Times New Roman"/>
              <w:sz w:val="36"/>
              <w:szCs w:val="36"/>
              <w:lang w:val="en-GB"/>
            </w:rPr>
            <w:t>877</w:t>
          </w:r>
          <w:r w:rsidR="00203E0D">
            <w:rPr>
              <w:rFonts w:ascii="Times New Roman" w:hAnsi="Times New Roman" w:cs="Times New Roman"/>
              <w:sz w:val="36"/>
              <w:szCs w:val="36"/>
              <w:lang w:val="en-GB"/>
            </w:rPr>
            <w:t xml:space="preserve"> words</w:t>
          </w:r>
        </w:p>
        <w:p w14:paraId="678A8CC0" w14:textId="454B6B54" w:rsidR="0045363E" w:rsidRDefault="004747A9">
          <w:pPr>
            <w:rPr>
              <w:lang w:val="en-GB"/>
            </w:rPr>
          </w:pPr>
          <w:r>
            <w:rPr>
              <w:noProof/>
              <w:lang w:val="en-GB"/>
            </w:rPr>
            <w:drawing>
              <wp:anchor distT="0" distB="0" distL="114300" distR="114300" simplePos="0" relativeHeight="251658240" behindDoc="1" locked="0" layoutInCell="1" allowOverlap="1" wp14:anchorId="2C090870" wp14:editId="5530D280">
                <wp:simplePos x="0" y="0"/>
                <wp:positionH relativeFrom="column">
                  <wp:posOffset>1009769</wp:posOffset>
                </wp:positionH>
                <wp:positionV relativeFrom="paragraph">
                  <wp:posOffset>62230</wp:posOffset>
                </wp:positionV>
                <wp:extent cx="3784349" cy="1840672"/>
                <wp:effectExtent l="0" t="0" r="0" b="0"/>
                <wp:wrapTight wrapText="bothSides">
                  <wp:wrapPolygon edited="0">
                    <wp:start x="17290" y="6484"/>
                    <wp:lineTo x="2392" y="9839"/>
                    <wp:lineTo x="2501" y="12075"/>
                    <wp:lineTo x="10874" y="14087"/>
                    <wp:lineTo x="17073" y="14758"/>
                    <wp:lineTo x="18160" y="14758"/>
                    <wp:lineTo x="18704" y="14087"/>
                    <wp:lineTo x="19248" y="11627"/>
                    <wp:lineTo x="19139" y="10509"/>
                    <wp:lineTo x="17834" y="6484"/>
                    <wp:lineTo x="17290" y="6484"/>
                  </wp:wrapPolygon>
                </wp:wrapTight>
                <wp:docPr id="301800073" name="Afbeelding 2" descr="Afbeelding met Lettertype, schermopname, Graphics, ontwerp&#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1800073" name="Afbeelding 2" descr="Afbeelding met Lettertype, schermopname, Graphics, ontwerp&#10;&#10;Automatisch gegenereerde beschrijvi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784349" cy="1840672"/>
                        </a:xfrm>
                        <a:prstGeom prst="rect">
                          <a:avLst/>
                        </a:prstGeom>
                      </pic:spPr>
                    </pic:pic>
                  </a:graphicData>
                </a:graphic>
              </wp:anchor>
            </w:drawing>
          </w:r>
          <w:r w:rsidR="0045363E">
            <w:rPr>
              <w:lang w:val="en-GB"/>
            </w:rPr>
            <w:br w:type="page"/>
          </w:r>
        </w:p>
      </w:sdtContent>
    </w:sdt>
    <w:p w14:paraId="6EBE0BAB" w14:textId="14C869AB" w:rsidR="00F325C6" w:rsidRDefault="00F325C6" w:rsidP="006A780F">
      <w:pPr>
        <w:pStyle w:val="Kop1"/>
        <w:jc w:val="both"/>
        <w:rPr>
          <w:rFonts w:ascii="Times New Roman" w:hAnsi="Times New Roman" w:cs="Times New Roman"/>
          <w:color w:val="auto"/>
          <w:sz w:val="40"/>
          <w:szCs w:val="40"/>
          <w:lang w:val="en-GB"/>
        </w:rPr>
      </w:pPr>
      <w:bookmarkStart w:id="0" w:name="_Toc169873368"/>
      <w:r w:rsidRPr="40EE5880">
        <w:rPr>
          <w:rFonts w:ascii="Times New Roman" w:hAnsi="Times New Roman" w:cs="Times New Roman"/>
          <w:color w:val="auto"/>
          <w:sz w:val="40"/>
          <w:szCs w:val="40"/>
          <w:lang w:val="en-GB"/>
        </w:rPr>
        <w:lastRenderedPageBreak/>
        <w:t>Abstract</w:t>
      </w:r>
      <w:bookmarkEnd w:id="0"/>
    </w:p>
    <w:p w14:paraId="127FB081" w14:textId="77777777" w:rsidR="00F325C6" w:rsidRDefault="00F325C6" w:rsidP="006A780F">
      <w:pPr>
        <w:jc w:val="both"/>
        <w:rPr>
          <w:lang w:val="en-GB"/>
        </w:rPr>
      </w:pPr>
    </w:p>
    <w:p w14:paraId="7D537C35" w14:textId="16E7A621" w:rsidR="00F325C6" w:rsidRPr="00860424" w:rsidRDefault="005C3224" w:rsidP="00860424">
      <w:pPr>
        <w:spacing w:line="480" w:lineRule="auto"/>
        <w:jc w:val="both"/>
        <w:rPr>
          <w:rFonts w:ascii="Times New Roman" w:hAnsi="Times New Roman" w:cs="Times New Roman"/>
          <w:sz w:val="24"/>
          <w:szCs w:val="24"/>
          <w:lang w:val="en-GB"/>
        </w:rPr>
      </w:pPr>
      <w:r w:rsidRPr="00860424">
        <w:rPr>
          <w:rFonts w:ascii="Times New Roman" w:hAnsi="Times New Roman" w:cs="Times New Roman"/>
          <w:sz w:val="24"/>
          <w:szCs w:val="24"/>
          <w:lang w:val="en-GB"/>
        </w:rPr>
        <w:t>This thesis investigates the impact of the corruption scandal named Qatargate on the relationship between Qatar/the Gulf States and the European Union</w:t>
      </w:r>
      <w:r w:rsidR="003D3C1E">
        <w:rPr>
          <w:rFonts w:ascii="Times New Roman" w:hAnsi="Times New Roman" w:cs="Times New Roman"/>
          <w:sz w:val="24"/>
          <w:szCs w:val="24"/>
          <w:lang w:val="en-GB"/>
        </w:rPr>
        <w:t xml:space="preserve"> (EU)</w:t>
      </w:r>
      <w:r w:rsidRPr="00860424">
        <w:rPr>
          <w:rFonts w:ascii="Times New Roman" w:hAnsi="Times New Roman" w:cs="Times New Roman"/>
          <w:sz w:val="24"/>
          <w:szCs w:val="24"/>
          <w:lang w:val="en-GB"/>
        </w:rPr>
        <w:t>. By looking at the literature on crises</w:t>
      </w:r>
      <w:r w:rsidR="003D3C1E">
        <w:rPr>
          <w:rFonts w:ascii="Times New Roman" w:hAnsi="Times New Roman" w:cs="Times New Roman"/>
          <w:sz w:val="24"/>
          <w:szCs w:val="24"/>
          <w:lang w:val="en-GB"/>
        </w:rPr>
        <w:t>, reputation-building, and the EU as an actor in international relations</w:t>
      </w:r>
      <w:r w:rsidRPr="00860424">
        <w:rPr>
          <w:rFonts w:ascii="Times New Roman" w:hAnsi="Times New Roman" w:cs="Times New Roman"/>
          <w:sz w:val="24"/>
          <w:szCs w:val="24"/>
          <w:lang w:val="en-GB"/>
        </w:rPr>
        <w:t xml:space="preserve">, it is hypothesised that Qatargate did lead to the EU taking a position that is more normatively oriented. By using the method of process tracing, this thesis tries to understand the causal mechanism that lies underneath this hypothesised process. The causal mechanism consists of four parts that describe how the discovery of Qatargate lead to a change in behaviour. Based on the data, it can be concluded that the relation did change, but not as heavily as expected. </w:t>
      </w:r>
      <w:r w:rsidR="00860424" w:rsidRPr="00860424">
        <w:rPr>
          <w:rFonts w:ascii="Times New Roman" w:hAnsi="Times New Roman" w:cs="Times New Roman"/>
          <w:sz w:val="24"/>
          <w:szCs w:val="24"/>
          <w:lang w:val="en-GB"/>
        </w:rPr>
        <w:t xml:space="preserve">EU institutions did propose a plan that was aimed at restoring credibility and reputation, which included stronger rules on ethics and integrity. However, despite these efforts, this thesis finds out that the foundation of the relationship between the EU and Qatar remains intact. This study, therefore, underlines the complexity of the field of international relations and the resilience of international cooperation in a complex geopolitical world. </w:t>
      </w:r>
    </w:p>
    <w:p w14:paraId="26F8A562" w14:textId="77777777" w:rsidR="00F325C6" w:rsidRDefault="00F325C6" w:rsidP="006A780F">
      <w:pPr>
        <w:jc w:val="both"/>
        <w:rPr>
          <w:rFonts w:ascii="Times New Roman" w:hAnsi="Times New Roman" w:cs="Times New Roman"/>
          <w:sz w:val="40"/>
          <w:szCs w:val="40"/>
          <w:lang w:val="en-GB"/>
        </w:rPr>
      </w:pPr>
      <w:r>
        <w:rPr>
          <w:rFonts w:ascii="Times New Roman" w:hAnsi="Times New Roman" w:cs="Times New Roman"/>
          <w:sz w:val="40"/>
          <w:szCs w:val="40"/>
          <w:lang w:val="en-GB"/>
        </w:rPr>
        <w:br w:type="page"/>
      </w:r>
    </w:p>
    <w:p w14:paraId="7DA52A47" w14:textId="77777777" w:rsidR="00F325C6" w:rsidRDefault="00F325C6" w:rsidP="006A780F">
      <w:pPr>
        <w:pStyle w:val="Kop1"/>
        <w:jc w:val="both"/>
        <w:rPr>
          <w:rFonts w:ascii="Times New Roman" w:hAnsi="Times New Roman" w:cs="Times New Roman"/>
          <w:color w:val="auto"/>
          <w:sz w:val="40"/>
          <w:szCs w:val="40"/>
          <w:lang w:val="en-GB"/>
        </w:rPr>
      </w:pPr>
      <w:bookmarkStart w:id="1" w:name="_Toc169873369"/>
      <w:r w:rsidRPr="40EE5880">
        <w:rPr>
          <w:rFonts w:ascii="Times New Roman" w:hAnsi="Times New Roman" w:cs="Times New Roman"/>
          <w:color w:val="auto"/>
          <w:sz w:val="40"/>
          <w:szCs w:val="40"/>
          <w:lang w:val="en-GB"/>
        </w:rPr>
        <w:lastRenderedPageBreak/>
        <w:t>Table of contents</w:t>
      </w:r>
      <w:bookmarkEnd w:id="1"/>
    </w:p>
    <w:p w14:paraId="5F555448" w14:textId="77777777" w:rsidR="00F325C6" w:rsidRDefault="00F325C6" w:rsidP="00F325C6">
      <w:pPr>
        <w:pStyle w:val="Kop1"/>
        <w:rPr>
          <w:rFonts w:ascii="Times New Roman" w:hAnsi="Times New Roman" w:cs="Times New Roman"/>
          <w:color w:val="auto"/>
          <w:sz w:val="40"/>
          <w:szCs w:val="40"/>
          <w:lang w:val="en-GB"/>
        </w:rPr>
      </w:pPr>
    </w:p>
    <w:sdt>
      <w:sdtPr>
        <w:rPr>
          <w:rFonts w:asciiTheme="minorHAnsi" w:eastAsiaTheme="minorEastAsia" w:hAnsiTheme="minorHAnsi" w:cs="Times New Roman"/>
          <w:color w:val="auto"/>
          <w:sz w:val="22"/>
          <w:szCs w:val="22"/>
        </w:rPr>
        <w:id w:val="238672151"/>
        <w:docPartObj>
          <w:docPartGallery w:val="Table of Contents"/>
          <w:docPartUnique/>
        </w:docPartObj>
      </w:sdtPr>
      <w:sdtEndPr/>
      <w:sdtContent>
        <w:p w14:paraId="703979B1" w14:textId="6096A779" w:rsidR="00F325C6" w:rsidRDefault="00F325C6">
          <w:pPr>
            <w:pStyle w:val="Kopvaninhoudsopgave"/>
          </w:pPr>
        </w:p>
        <w:p w14:paraId="4FAAB95C" w14:textId="29CA517D" w:rsidR="00A75177" w:rsidRPr="00AF4D95" w:rsidRDefault="40EE5880">
          <w:pPr>
            <w:pStyle w:val="Inhopg1"/>
            <w:rPr>
              <w:rFonts w:ascii="Times New Roman" w:hAnsi="Times New Roman"/>
              <w:noProof/>
              <w:kern w:val="2"/>
              <w:sz w:val="28"/>
              <w:szCs w:val="28"/>
              <w14:ligatures w14:val="standardContextual"/>
            </w:rPr>
          </w:pPr>
          <w:r w:rsidRPr="00741210">
            <w:fldChar w:fldCharType="begin"/>
          </w:r>
          <w:r w:rsidR="00F325C6" w:rsidRPr="00741210">
            <w:instrText>TOC \o "1-3" \h \z \u</w:instrText>
          </w:r>
          <w:r w:rsidRPr="00741210">
            <w:fldChar w:fldCharType="separate"/>
          </w:r>
          <w:hyperlink w:anchor="_Toc169873368" w:history="1">
            <w:r w:rsidR="00A75177" w:rsidRPr="00AF4D95">
              <w:rPr>
                <w:rStyle w:val="Hyperlink"/>
                <w:rFonts w:ascii="Times New Roman" w:hAnsi="Times New Roman"/>
                <w:noProof/>
                <w:sz w:val="24"/>
                <w:szCs w:val="24"/>
                <w:lang w:val="en-GB"/>
              </w:rPr>
              <w:t>Abstract</w:t>
            </w:r>
            <w:r w:rsidR="00A75177" w:rsidRPr="00AF4D95">
              <w:rPr>
                <w:rFonts w:ascii="Times New Roman" w:hAnsi="Times New Roman"/>
                <w:noProof/>
                <w:webHidden/>
                <w:sz w:val="24"/>
                <w:szCs w:val="24"/>
              </w:rPr>
              <w:tab/>
            </w:r>
            <w:r w:rsidR="00A75177" w:rsidRPr="00AF4D95">
              <w:rPr>
                <w:rFonts w:ascii="Times New Roman" w:hAnsi="Times New Roman"/>
                <w:noProof/>
                <w:webHidden/>
                <w:sz w:val="24"/>
                <w:szCs w:val="24"/>
              </w:rPr>
              <w:fldChar w:fldCharType="begin"/>
            </w:r>
            <w:r w:rsidR="00A75177" w:rsidRPr="00AF4D95">
              <w:rPr>
                <w:rFonts w:ascii="Times New Roman" w:hAnsi="Times New Roman"/>
                <w:noProof/>
                <w:webHidden/>
                <w:sz w:val="24"/>
                <w:szCs w:val="24"/>
              </w:rPr>
              <w:instrText xml:space="preserve"> PAGEREF _Toc169873368 \h </w:instrText>
            </w:r>
            <w:r w:rsidR="00A75177" w:rsidRPr="00AF4D95">
              <w:rPr>
                <w:rFonts w:ascii="Times New Roman" w:hAnsi="Times New Roman"/>
                <w:noProof/>
                <w:webHidden/>
                <w:sz w:val="24"/>
                <w:szCs w:val="24"/>
              </w:rPr>
            </w:r>
            <w:r w:rsidR="00A75177" w:rsidRPr="00AF4D95">
              <w:rPr>
                <w:rFonts w:ascii="Times New Roman" w:hAnsi="Times New Roman"/>
                <w:noProof/>
                <w:webHidden/>
                <w:sz w:val="24"/>
                <w:szCs w:val="24"/>
              </w:rPr>
              <w:fldChar w:fldCharType="separate"/>
            </w:r>
            <w:r w:rsidR="00A75177" w:rsidRPr="00AF4D95">
              <w:rPr>
                <w:rFonts w:ascii="Times New Roman" w:hAnsi="Times New Roman"/>
                <w:noProof/>
                <w:webHidden/>
                <w:sz w:val="24"/>
                <w:szCs w:val="24"/>
              </w:rPr>
              <w:t>1</w:t>
            </w:r>
            <w:r w:rsidR="00A75177" w:rsidRPr="00AF4D95">
              <w:rPr>
                <w:rFonts w:ascii="Times New Roman" w:hAnsi="Times New Roman"/>
                <w:noProof/>
                <w:webHidden/>
                <w:sz w:val="24"/>
                <w:szCs w:val="24"/>
              </w:rPr>
              <w:fldChar w:fldCharType="end"/>
            </w:r>
          </w:hyperlink>
        </w:p>
        <w:p w14:paraId="6395E1DA" w14:textId="512CA3DB" w:rsidR="00A75177" w:rsidRPr="00AF4D95" w:rsidRDefault="00A75177">
          <w:pPr>
            <w:pStyle w:val="Inhopg1"/>
            <w:rPr>
              <w:rFonts w:ascii="Times New Roman" w:hAnsi="Times New Roman"/>
              <w:noProof/>
              <w:kern w:val="2"/>
              <w:sz w:val="28"/>
              <w:szCs w:val="28"/>
              <w14:ligatures w14:val="standardContextual"/>
            </w:rPr>
          </w:pPr>
          <w:hyperlink w:anchor="_Toc169873369" w:history="1">
            <w:r w:rsidRPr="00AF4D95">
              <w:rPr>
                <w:rStyle w:val="Hyperlink"/>
                <w:rFonts w:ascii="Times New Roman" w:hAnsi="Times New Roman"/>
                <w:noProof/>
                <w:sz w:val="24"/>
                <w:szCs w:val="24"/>
                <w:lang w:val="en-GB"/>
              </w:rPr>
              <w:t>Table of contents</w:t>
            </w:r>
            <w:r w:rsidRPr="00AF4D95">
              <w:rPr>
                <w:rFonts w:ascii="Times New Roman" w:hAnsi="Times New Roman"/>
                <w:noProof/>
                <w:webHidden/>
                <w:sz w:val="24"/>
                <w:szCs w:val="24"/>
              </w:rPr>
              <w:tab/>
            </w:r>
            <w:r w:rsidRPr="00AF4D95">
              <w:rPr>
                <w:rFonts w:ascii="Times New Roman" w:hAnsi="Times New Roman"/>
                <w:noProof/>
                <w:webHidden/>
                <w:sz w:val="24"/>
                <w:szCs w:val="24"/>
              </w:rPr>
              <w:fldChar w:fldCharType="begin"/>
            </w:r>
            <w:r w:rsidRPr="00AF4D95">
              <w:rPr>
                <w:rFonts w:ascii="Times New Roman" w:hAnsi="Times New Roman"/>
                <w:noProof/>
                <w:webHidden/>
                <w:sz w:val="24"/>
                <w:szCs w:val="24"/>
              </w:rPr>
              <w:instrText xml:space="preserve"> PAGEREF _Toc169873369 \h </w:instrText>
            </w:r>
            <w:r w:rsidRPr="00AF4D95">
              <w:rPr>
                <w:rFonts w:ascii="Times New Roman" w:hAnsi="Times New Roman"/>
                <w:noProof/>
                <w:webHidden/>
                <w:sz w:val="24"/>
                <w:szCs w:val="24"/>
              </w:rPr>
            </w:r>
            <w:r w:rsidRPr="00AF4D95">
              <w:rPr>
                <w:rFonts w:ascii="Times New Roman" w:hAnsi="Times New Roman"/>
                <w:noProof/>
                <w:webHidden/>
                <w:sz w:val="24"/>
                <w:szCs w:val="24"/>
              </w:rPr>
              <w:fldChar w:fldCharType="separate"/>
            </w:r>
            <w:r w:rsidRPr="00AF4D95">
              <w:rPr>
                <w:rFonts w:ascii="Times New Roman" w:hAnsi="Times New Roman"/>
                <w:noProof/>
                <w:webHidden/>
                <w:sz w:val="24"/>
                <w:szCs w:val="24"/>
              </w:rPr>
              <w:t>2</w:t>
            </w:r>
            <w:r w:rsidRPr="00AF4D95">
              <w:rPr>
                <w:rFonts w:ascii="Times New Roman" w:hAnsi="Times New Roman"/>
                <w:noProof/>
                <w:webHidden/>
                <w:sz w:val="24"/>
                <w:szCs w:val="24"/>
              </w:rPr>
              <w:fldChar w:fldCharType="end"/>
            </w:r>
          </w:hyperlink>
        </w:p>
        <w:p w14:paraId="08064376" w14:textId="2EECC5AB" w:rsidR="00A75177" w:rsidRPr="00AF4D95" w:rsidRDefault="00A75177">
          <w:pPr>
            <w:pStyle w:val="Inhopg1"/>
            <w:rPr>
              <w:rFonts w:ascii="Times New Roman" w:hAnsi="Times New Roman"/>
              <w:noProof/>
              <w:kern w:val="2"/>
              <w:sz w:val="28"/>
              <w:szCs w:val="28"/>
              <w14:ligatures w14:val="standardContextual"/>
            </w:rPr>
          </w:pPr>
          <w:hyperlink w:anchor="_Toc169873370" w:history="1">
            <w:r w:rsidRPr="00AF4D95">
              <w:rPr>
                <w:rStyle w:val="Hyperlink"/>
                <w:rFonts w:ascii="Times New Roman" w:hAnsi="Times New Roman"/>
                <w:noProof/>
                <w:sz w:val="24"/>
                <w:szCs w:val="24"/>
              </w:rPr>
              <w:t>List of abbreviations</w:t>
            </w:r>
            <w:r w:rsidRPr="00AF4D95">
              <w:rPr>
                <w:rFonts w:ascii="Times New Roman" w:hAnsi="Times New Roman"/>
                <w:noProof/>
                <w:webHidden/>
                <w:sz w:val="24"/>
                <w:szCs w:val="24"/>
              </w:rPr>
              <w:tab/>
            </w:r>
            <w:r w:rsidRPr="00AF4D95">
              <w:rPr>
                <w:rFonts w:ascii="Times New Roman" w:hAnsi="Times New Roman"/>
                <w:noProof/>
                <w:webHidden/>
                <w:sz w:val="24"/>
                <w:szCs w:val="24"/>
              </w:rPr>
              <w:fldChar w:fldCharType="begin"/>
            </w:r>
            <w:r w:rsidRPr="00AF4D95">
              <w:rPr>
                <w:rFonts w:ascii="Times New Roman" w:hAnsi="Times New Roman"/>
                <w:noProof/>
                <w:webHidden/>
                <w:sz w:val="24"/>
                <w:szCs w:val="24"/>
              </w:rPr>
              <w:instrText xml:space="preserve"> PAGEREF _Toc169873370 \h </w:instrText>
            </w:r>
            <w:r w:rsidRPr="00AF4D95">
              <w:rPr>
                <w:rFonts w:ascii="Times New Roman" w:hAnsi="Times New Roman"/>
                <w:noProof/>
                <w:webHidden/>
                <w:sz w:val="24"/>
                <w:szCs w:val="24"/>
              </w:rPr>
            </w:r>
            <w:r w:rsidRPr="00AF4D95">
              <w:rPr>
                <w:rFonts w:ascii="Times New Roman" w:hAnsi="Times New Roman"/>
                <w:noProof/>
                <w:webHidden/>
                <w:sz w:val="24"/>
                <w:szCs w:val="24"/>
              </w:rPr>
              <w:fldChar w:fldCharType="separate"/>
            </w:r>
            <w:r w:rsidRPr="00AF4D95">
              <w:rPr>
                <w:rFonts w:ascii="Times New Roman" w:hAnsi="Times New Roman"/>
                <w:noProof/>
                <w:webHidden/>
                <w:sz w:val="24"/>
                <w:szCs w:val="24"/>
              </w:rPr>
              <w:t>3</w:t>
            </w:r>
            <w:r w:rsidRPr="00AF4D95">
              <w:rPr>
                <w:rFonts w:ascii="Times New Roman" w:hAnsi="Times New Roman"/>
                <w:noProof/>
                <w:webHidden/>
                <w:sz w:val="24"/>
                <w:szCs w:val="24"/>
              </w:rPr>
              <w:fldChar w:fldCharType="end"/>
            </w:r>
          </w:hyperlink>
        </w:p>
        <w:p w14:paraId="7356C27B" w14:textId="6096AC7B" w:rsidR="00A75177" w:rsidRPr="00AF4D95" w:rsidRDefault="00A75177">
          <w:pPr>
            <w:pStyle w:val="Inhopg1"/>
            <w:rPr>
              <w:rFonts w:ascii="Times New Roman" w:hAnsi="Times New Roman"/>
              <w:noProof/>
              <w:kern w:val="2"/>
              <w:sz w:val="28"/>
              <w:szCs w:val="28"/>
              <w14:ligatures w14:val="standardContextual"/>
            </w:rPr>
          </w:pPr>
          <w:hyperlink w:anchor="_Toc169873371" w:history="1">
            <w:r w:rsidRPr="00AF4D95">
              <w:rPr>
                <w:rStyle w:val="Hyperlink"/>
                <w:rFonts w:ascii="Times New Roman" w:hAnsi="Times New Roman"/>
                <w:noProof/>
                <w:sz w:val="24"/>
                <w:szCs w:val="24"/>
                <w:lang w:val="en-GB"/>
              </w:rPr>
              <w:t>Chapter 1 Introduction</w:t>
            </w:r>
            <w:r w:rsidRPr="00AF4D95">
              <w:rPr>
                <w:rFonts w:ascii="Times New Roman" w:hAnsi="Times New Roman"/>
                <w:noProof/>
                <w:webHidden/>
                <w:sz w:val="24"/>
                <w:szCs w:val="24"/>
              </w:rPr>
              <w:tab/>
            </w:r>
            <w:r w:rsidRPr="00AF4D95">
              <w:rPr>
                <w:rFonts w:ascii="Times New Roman" w:hAnsi="Times New Roman"/>
                <w:noProof/>
                <w:webHidden/>
                <w:sz w:val="24"/>
                <w:szCs w:val="24"/>
              </w:rPr>
              <w:fldChar w:fldCharType="begin"/>
            </w:r>
            <w:r w:rsidRPr="00AF4D95">
              <w:rPr>
                <w:rFonts w:ascii="Times New Roman" w:hAnsi="Times New Roman"/>
                <w:noProof/>
                <w:webHidden/>
                <w:sz w:val="24"/>
                <w:szCs w:val="24"/>
              </w:rPr>
              <w:instrText xml:space="preserve"> PAGEREF _Toc169873371 \h </w:instrText>
            </w:r>
            <w:r w:rsidRPr="00AF4D95">
              <w:rPr>
                <w:rFonts w:ascii="Times New Roman" w:hAnsi="Times New Roman"/>
                <w:noProof/>
                <w:webHidden/>
                <w:sz w:val="24"/>
                <w:szCs w:val="24"/>
              </w:rPr>
            </w:r>
            <w:r w:rsidRPr="00AF4D95">
              <w:rPr>
                <w:rFonts w:ascii="Times New Roman" w:hAnsi="Times New Roman"/>
                <w:noProof/>
                <w:webHidden/>
                <w:sz w:val="24"/>
                <w:szCs w:val="24"/>
              </w:rPr>
              <w:fldChar w:fldCharType="separate"/>
            </w:r>
            <w:r w:rsidRPr="00AF4D95">
              <w:rPr>
                <w:rFonts w:ascii="Times New Roman" w:hAnsi="Times New Roman"/>
                <w:noProof/>
                <w:webHidden/>
                <w:sz w:val="24"/>
                <w:szCs w:val="24"/>
              </w:rPr>
              <w:t>4</w:t>
            </w:r>
            <w:r w:rsidRPr="00AF4D95">
              <w:rPr>
                <w:rFonts w:ascii="Times New Roman" w:hAnsi="Times New Roman"/>
                <w:noProof/>
                <w:webHidden/>
                <w:sz w:val="24"/>
                <w:szCs w:val="24"/>
              </w:rPr>
              <w:fldChar w:fldCharType="end"/>
            </w:r>
          </w:hyperlink>
        </w:p>
        <w:p w14:paraId="626FE6DC" w14:textId="7A438363" w:rsidR="00A75177" w:rsidRPr="00AF4D95" w:rsidRDefault="00A75177">
          <w:pPr>
            <w:pStyle w:val="Inhopg2"/>
            <w:tabs>
              <w:tab w:val="right" w:leader="dot" w:pos="9062"/>
            </w:tabs>
            <w:rPr>
              <w:rFonts w:ascii="Times New Roman" w:hAnsi="Times New Roman"/>
              <w:noProof/>
              <w:kern w:val="2"/>
              <w:sz w:val="28"/>
              <w:szCs w:val="28"/>
              <w14:ligatures w14:val="standardContextual"/>
            </w:rPr>
          </w:pPr>
          <w:hyperlink w:anchor="_Toc169873372" w:history="1">
            <w:r w:rsidRPr="00AF4D95">
              <w:rPr>
                <w:rStyle w:val="Hyperlink"/>
                <w:rFonts w:ascii="Times New Roman" w:hAnsi="Times New Roman"/>
                <w:noProof/>
                <w:sz w:val="24"/>
                <w:szCs w:val="24"/>
                <w:lang w:val="en-GB"/>
              </w:rPr>
              <w:t>1.1 Qatargate and mutual neglect</w:t>
            </w:r>
            <w:r w:rsidRPr="00AF4D95">
              <w:rPr>
                <w:rFonts w:ascii="Times New Roman" w:hAnsi="Times New Roman"/>
                <w:noProof/>
                <w:webHidden/>
                <w:sz w:val="24"/>
                <w:szCs w:val="24"/>
              </w:rPr>
              <w:tab/>
            </w:r>
            <w:r w:rsidRPr="00AF4D95">
              <w:rPr>
                <w:rFonts w:ascii="Times New Roman" w:hAnsi="Times New Roman"/>
                <w:noProof/>
                <w:webHidden/>
                <w:sz w:val="24"/>
                <w:szCs w:val="24"/>
              </w:rPr>
              <w:fldChar w:fldCharType="begin"/>
            </w:r>
            <w:r w:rsidRPr="00AF4D95">
              <w:rPr>
                <w:rFonts w:ascii="Times New Roman" w:hAnsi="Times New Roman"/>
                <w:noProof/>
                <w:webHidden/>
                <w:sz w:val="24"/>
                <w:szCs w:val="24"/>
              </w:rPr>
              <w:instrText xml:space="preserve"> PAGEREF _Toc169873372 \h </w:instrText>
            </w:r>
            <w:r w:rsidRPr="00AF4D95">
              <w:rPr>
                <w:rFonts w:ascii="Times New Roman" w:hAnsi="Times New Roman"/>
                <w:noProof/>
                <w:webHidden/>
                <w:sz w:val="24"/>
                <w:szCs w:val="24"/>
              </w:rPr>
            </w:r>
            <w:r w:rsidRPr="00AF4D95">
              <w:rPr>
                <w:rFonts w:ascii="Times New Roman" w:hAnsi="Times New Roman"/>
                <w:noProof/>
                <w:webHidden/>
                <w:sz w:val="24"/>
                <w:szCs w:val="24"/>
              </w:rPr>
              <w:fldChar w:fldCharType="separate"/>
            </w:r>
            <w:r w:rsidRPr="00AF4D95">
              <w:rPr>
                <w:rFonts w:ascii="Times New Roman" w:hAnsi="Times New Roman"/>
                <w:noProof/>
                <w:webHidden/>
                <w:sz w:val="24"/>
                <w:szCs w:val="24"/>
              </w:rPr>
              <w:t>4</w:t>
            </w:r>
            <w:r w:rsidRPr="00AF4D95">
              <w:rPr>
                <w:rFonts w:ascii="Times New Roman" w:hAnsi="Times New Roman"/>
                <w:noProof/>
                <w:webHidden/>
                <w:sz w:val="24"/>
                <w:szCs w:val="24"/>
              </w:rPr>
              <w:fldChar w:fldCharType="end"/>
            </w:r>
          </w:hyperlink>
        </w:p>
        <w:p w14:paraId="79F881A0" w14:textId="5670DDEE" w:rsidR="00A75177" w:rsidRPr="00AF4D95" w:rsidRDefault="00A75177">
          <w:pPr>
            <w:pStyle w:val="Inhopg2"/>
            <w:tabs>
              <w:tab w:val="right" w:leader="dot" w:pos="9062"/>
            </w:tabs>
            <w:rPr>
              <w:rFonts w:ascii="Times New Roman" w:hAnsi="Times New Roman"/>
              <w:noProof/>
              <w:kern w:val="2"/>
              <w:sz w:val="28"/>
              <w:szCs w:val="28"/>
              <w14:ligatures w14:val="standardContextual"/>
            </w:rPr>
          </w:pPr>
          <w:hyperlink w:anchor="_Toc169873373" w:history="1">
            <w:r w:rsidRPr="00AF4D95">
              <w:rPr>
                <w:rStyle w:val="Hyperlink"/>
                <w:rFonts w:ascii="Times New Roman" w:eastAsia="Times New Roman" w:hAnsi="Times New Roman"/>
                <w:noProof/>
                <w:sz w:val="24"/>
                <w:szCs w:val="24"/>
                <w:lang w:val="en-GB"/>
              </w:rPr>
              <w:t>1.2 Research question and design</w:t>
            </w:r>
            <w:r w:rsidRPr="00AF4D95">
              <w:rPr>
                <w:rFonts w:ascii="Times New Roman" w:hAnsi="Times New Roman"/>
                <w:noProof/>
                <w:webHidden/>
                <w:sz w:val="24"/>
                <w:szCs w:val="24"/>
              </w:rPr>
              <w:tab/>
            </w:r>
            <w:r w:rsidRPr="00AF4D95">
              <w:rPr>
                <w:rFonts w:ascii="Times New Roman" w:hAnsi="Times New Roman"/>
                <w:noProof/>
                <w:webHidden/>
                <w:sz w:val="24"/>
                <w:szCs w:val="24"/>
              </w:rPr>
              <w:fldChar w:fldCharType="begin"/>
            </w:r>
            <w:r w:rsidRPr="00AF4D95">
              <w:rPr>
                <w:rFonts w:ascii="Times New Roman" w:hAnsi="Times New Roman"/>
                <w:noProof/>
                <w:webHidden/>
                <w:sz w:val="24"/>
                <w:szCs w:val="24"/>
              </w:rPr>
              <w:instrText xml:space="preserve"> PAGEREF _Toc169873373 \h </w:instrText>
            </w:r>
            <w:r w:rsidRPr="00AF4D95">
              <w:rPr>
                <w:rFonts w:ascii="Times New Roman" w:hAnsi="Times New Roman"/>
                <w:noProof/>
                <w:webHidden/>
                <w:sz w:val="24"/>
                <w:szCs w:val="24"/>
              </w:rPr>
            </w:r>
            <w:r w:rsidRPr="00AF4D95">
              <w:rPr>
                <w:rFonts w:ascii="Times New Roman" w:hAnsi="Times New Roman"/>
                <w:noProof/>
                <w:webHidden/>
                <w:sz w:val="24"/>
                <w:szCs w:val="24"/>
              </w:rPr>
              <w:fldChar w:fldCharType="separate"/>
            </w:r>
            <w:r w:rsidRPr="00AF4D95">
              <w:rPr>
                <w:rFonts w:ascii="Times New Roman" w:hAnsi="Times New Roman"/>
                <w:noProof/>
                <w:webHidden/>
                <w:sz w:val="24"/>
                <w:szCs w:val="24"/>
              </w:rPr>
              <w:t>6</w:t>
            </w:r>
            <w:r w:rsidRPr="00AF4D95">
              <w:rPr>
                <w:rFonts w:ascii="Times New Roman" w:hAnsi="Times New Roman"/>
                <w:noProof/>
                <w:webHidden/>
                <w:sz w:val="24"/>
                <w:szCs w:val="24"/>
              </w:rPr>
              <w:fldChar w:fldCharType="end"/>
            </w:r>
          </w:hyperlink>
        </w:p>
        <w:p w14:paraId="4D91D30E" w14:textId="22DEC37F" w:rsidR="00A75177" w:rsidRPr="00AF4D95" w:rsidRDefault="00A75177">
          <w:pPr>
            <w:pStyle w:val="Inhopg2"/>
            <w:tabs>
              <w:tab w:val="right" w:leader="dot" w:pos="9062"/>
            </w:tabs>
            <w:rPr>
              <w:rFonts w:ascii="Times New Roman" w:hAnsi="Times New Roman"/>
              <w:noProof/>
              <w:kern w:val="2"/>
              <w:sz w:val="28"/>
              <w:szCs w:val="28"/>
              <w14:ligatures w14:val="standardContextual"/>
            </w:rPr>
          </w:pPr>
          <w:hyperlink w:anchor="_Toc169873374" w:history="1">
            <w:r w:rsidRPr="00AF4D95">
              <w:rPr>
                <w:rStyle w:val="Hyperlink"/>
                <w:rFonts w:ascii="Times New Roman" w:eastAsia="Times New Roman" w:hAnsi="Times New Roman"/>
                <w:noProof/>
                <w:sz w:val="24"/>
                <w:szCs w:val="24"/>
                <w:lang w:val="en-GB"/>
              </w:rPr>
              <w:t>1.3 Outline of thesis</w:t>
            </w:r>
            <w:r w:rsidRPr="00AF4D95">
              <w:rPr>
                <w:rFonts w:ascii="Times New Roman" w:hAnsi="Times New Roman"/>
                <w:noProof/>
                <w:webHidden/>
                <w:sz w:val="24"/>
                <w:szCs w:val="24"/>
              </w:rPr>
              <w:tab/>
            </w:r>
            <w:r w:rsidRPr="00AF4D95">
              <w:rPr>
                <w:rFonts w:ascii="Times New Roman" w:hAnsi="Times New Roman"/>
                <w:noProof/>
                <w:webHidden/>
                <w:sz w:val="24"/>
                <w:szCs w:val="24"/>
              </w:rPr>
              <w:fldChar w:fldCharType="begin"/>
            </w:r>
            <w:r w:rsidRPr="00AF4D95">
              <w:rPr>
                <w:rFonts w:ascii="Times New Roman" w:hAnsi="Times New Roman"/>
                <w:noProof/>
                <w:webHidden/>
                <w:sz w:val="24"/>
                <w:szCs w:val="24"/>
              </w:rPr>
              <w:instrText xml:space="preserve"> PAGEREF _Toc169873374 \h </w:instrText>
            </w:r>
            <w:r w:rsidRPr="00AF4D95">
              <w:rPr>
                <w:rFonts w:ascii="Times New Roman" w:hAnsi="Times New Roman"/>
                <w:noProof/>
                <w:webHidden/>
                <w:sz w:val="24"/>
                <w:szCs w:val="24"/>
              </w:rPr>
            </w:r>
            <w:r w:rsidRPr="00AF4D95">
              <w:rPr>
                <w:rFonts w:ascii="Times New Roman" w:hAnsi="Times New Roman"/>
                <w:noProof/>
                <w:webHidden/>
                <w:sz w:val="24"/>
                <w:szCs w:val="24"/>
              </w:rPr>
              <w:fldChar w:fldCharType="separate"/>
            </w:r>
            <w:r w:rsidRPr="00AF4D95">
              <w:rPr>
                <w:rFonts w:ascii="Times New Roman" w:hAnsi="Times New Roman"/>
                <w:noProof/>
                <w:webHidden/>
                <w:sz w:val="24"/>
                <w:szCs w:val="24"/>
              </w:rPr>
              <w:t>9</w:t>
            </w:r>
            <w:r w:rsidRPr="00AF4D95">
              <w:rPr>
                <w:rFonts w:ascii="Times New Roman" w:hAnsi="Times New Roman"/>
                <w:noProof/>
                <w:webHidden/>
                <w:sz w:val="24"/>
                <w:szCs w:val="24"/>
              </w:rPr>
              <w:fldChar w:fldCharType="end"/>
            </w:r>
          </w:hyperlink>
        </w:p>
        <w:p w14:paraId="6E5AAAB5" w14:textId="406F8AE5" w:rsidR="00A75177" w:rsidRPr="00AF4D95" w:rsidRDefault="00A75177">
          <w:pPr>
            <w:pStyle w:val="Inhopg1"/>
            <w:rPr>
              <w:rFonts w:ascii="Times New Roman" w:hAnsi="Times New Roman"/>
              <w:noProof/>
              <w:kern w:val="2"/>
              <w:sz w:val="28"/>
              <w:szCs w:val="28"/>
              <w14:ligatures w14:val="standardContextual"/>
            </w:rPr>
          </w:pPr>
          <w:hyperlink w:anchor="_Toc169873375" w:history="1">
            <w:r w:rsidRPr="00AF4D95">
              <w:rPr>
                <w:rStyle w:val="Hyperlink"/>
                <w:rFonts w:ascii="Times New Roman" w:hAnsi="Times New Roman"/>
                <w:noProof/>
                <w:sz w:val="24"/>
                <w:szCs w:val="24"/>
                <w:lang w:val="en-GB"/>
              </w:rPr>
              <w:t>Chapter 2 – Theoretical framework</w:t>
            </w:r>
            <w:r w:rsidRPr="00AF4D95">
              <w:rPr>
                <w:rFonts w:ascii="Times New Roman" w:hAnsi="Times New Roman"/>
                <w:noProof/>
                <w:webHidden/>
                <w:sz w:val="24"/>
                <w:szCs w:val="24"/>
              </w:rPr>
              <w:tab/>
            </w:r>
            <w:r w:rsidRPr="00AF4D95">
              <w:rPr>
                <w:rFonts w:ascii="Times New Roman" w:hAnsi="Times New Roman"/>
                <w:noProof/>
                <w:webHidden/>
                <w:sz w:val="24"/>
                <w:szCs w:val="24"/>
              </w:rPr>
              <w:fldChar w:fldCharType="begin"/>
            </w:r>
            <w:r w:rsidRPr="00AF4D95">
              <w:rPr>
                <w:rFonts w:ascii="Times New Roman" w:hAnsi="Times New Roman"/>
                <w:noProof/>
                <w:webHidden/>
                <w:sz w:val="24"/>
                <w:szCs w:val="24"/>
              </w:rPr>
              <w:instrText xml:space="preserve"> PAGEREF _Toc169873375 \h </w:instrText>
            </w:r>
            <w:r w:rsidRPr="00AF4D95">
              <w:rPr>
                <w:rFonts w:ascii="Times New Roman" w:hAnsi="Times New Roman"/>
                <w:noProof/>
                <w:webHidden/>
                <w:sz w:val="24"/>
                <w:szCs w:val="24"/>
              </w:rPr>
            </w:r>
            <w:r w:rsidRPr="00AF4D95">
              <w:rPr>
                <w:rFonts w:ascii="Times New Roman" w:hAnsi="Times New Roman"/>
                <w:noProof/>
                <w:webHidden/>
                <w:sz w:val="24"/>
                <w:szCs w:val="24"/>
              </w:rPr>
              <w:fldChar w:fldCharType="separate"/>
            </w:r>
            <w:r w:rsidRPr="00AF4D95">
              <w:rPr>
                <w:rFonts w:ascii="Times New Roman" w:hAnsi="Times New Roman"/>
                <w:noProof/>
                <w:webHidden/>
                <w:sz w:val="24"/>
                <w:szCs w:val="24"/>
              </w:rPr>
              <w:t>10</w:t>
            </w:r>
            <w:r w:rsidRPr="00AF4D95">
              <w:rPr>
                <w:rFonts w:ascii="Times New Roman" w:hAnsi="Times New Roman"/>
                <w:noProof/>
                <w:webHidden/>
                <w:sz w:val="24"/>
                <w:szCs w:val="24"/>
              </w:rPr>
              <w:fldChar w:fldCharType="end"/>
            </w:r>
          </w:hyperlink>
        </w:p>
        <w:p w14:paraId="2753CDCD" w14:textId="7F6389C6" w:rsidR="00A75177" w:rsidRPr="00AF4D95" w:rsidRDefault="00A75177">
          <w:pPr>
            <w:pStyle w:val="Inhopg2"/>
            <w:tabs>
              <w:tab w:val="right" w:leader="dot" w:pos="9062"/>
            </w:tabs>
            <w:rPr>
              <w:rFonts w:ascii="Times New Roman" w:hAnsi="Times New Roman"/>
              <w:noProof/>
              <w:kern w:val="2"/>
              <w:sz w:val="28"/>
              <w:szCs w:val="28"/>
              <w14:ligatures w14:val="standardContextual"/>
            </w:rPr>
          </w:pPr>
          <w:hyperlink w:anchor="_Toc169873376" w:history="1">
            <w:r w:rsidRPr="00AF4D95">
              <w:rPr>
                <w:rStyle w:val="Hyperlink"/>
                <w:rFonts w:ascii="Times New Roman" w:hAnsi="Times New Roman"/>
                <w:noProof/>
                <w:sz w:val="24"/>
                <w:szCs w:val="24"/>
                <w:lang w:val="en-GB"/>
              </w:rPr>
              <w:t>2.1 The EU as an international actor</w:t>
            </w:r>
            <w:r w:rsidRPr="00AF4D95">
              <w:rPr>
                <w:rFonts w:ascii="Times New Roman" w:hAnsi="Times New Roman"/>
                <w:noProof/>
                <w:webHidden/>
                <w:sz w:val="24"/>
                <w:szCs w:val="24"/>
              </w:rPr>
              <w:tab/>
            </w:r>
            <w:r w:rsidRPr="00AF4D95">
              <w:rPr>
                <w:rFonts w:ascii="Times New Roman" w:hAnsi="Times New Roman"/>
                <w:noProof/>
                <w:webHidden/>
                <w:sz w:val="24"/>
                <w:szCs w:val="24"/>
              </w:rPr>
              <w:fldChar w:fldCharType="begin"/>
            </w:r>
            <w:r w:rsidRPr="00AF4D95">
              <w:rPr>
                <w:rFonts w:ascii="Times New Roman" w:hAnsi="Times New Roman"/>
                <w:noProof/>
                <w:webHidden/>
                <w:sz w:val="24"/>
                <w:szCs w:val="24"/>
              </w:rPr>
              <w:instrText xml:space="preserve"> PAGEREF _Toc169873376 \h </w:instrText>
            </w:r>
            <w:r w:rsidRPr="00AF4D95">
              <w:rPr>
                <w:rFonts w:ascii="Times New Roman" w:hAnsi="Times New Roman"/>
                <w:noProof/>
                <w:webHidden/>
                <w:sz w:val="24"/>
                <w:szCs w:val="24"/>
              </w:rPr>
            </w:r>
            <w:r w:rsidRPr="00AF4D95">
              <w:rPr>
                <w:rFonts w:ascii="Times New Roman" w:hAnsi="Times New Roman"/>
                <w:noProof/>
                <w:webHidden/>
                <w:sz w:val="24"/>
                <w:szCs w:val="24"/>
              </w:rPr>
              <w:fldChar w:fldCharType="separate"/>
            </w:r>
            <w:r w:rsidRPr="00AF4D95">
              <w:rPr>
                <w:rFonts w:ascii="Times New Roman" w:hAnsi="Times New Roman"/>
                <w:noProof/>
                <w:webHidden/>
                <w:sz w:val="24"/>
                <w:szCs w:val="24"/>
              </w:rPr>
              <w:t>10</w:t>
            </w:r>
            <w:r w:rsidRPr="00AF4D95">
              <w:rPr>
                <w:rFonts w:ascii="Times New Roman" w:hAnsi="Times New Roman"/>
                <w:noProof/>
                <w:webHidden/>
                <w:sz w:val="24"/>
                <w:szCs w:val="24"/>
              </w:rPr>
              <w:fldChar w:fldCharType="end"/>
            </w:r>
          </w:hyperlink>
        </w:p>
        <w:p w14:paraId="550B089D" w14:textId="2CEE25A5" w:rsidR="00A75177" w:rsidRPr="00AF4D95" w:rsidRDefault="00A75177">
          <w:pPr>
            <w:pStyle w:val="Inhopg2"/>
            <w:tabs>
              <w:tab w:val="right" w:leader="dot" w:pos="9062"/>
            </w:tabs>
            <w:rPr>
              <w:rFonts w:ascii="Times New Roman" w:hAnsi="Times New Roman"/>
              <w:noProof/>
              <w:kern w:val="2"/>
              <w:sz w:val="28"/>
              <w:szCs w:val="28"/>
              <w14:ligatures w14:val="standardContextual"/>
            </w:rPr>
          </w:pPr>
          <w:hyperlink w:anchor="_Toc169873377" w:history="1">
            <w:r w:rsidRPr="00AF4D95">
              <w:rPr>
                <w:rStyle w:val="Hyperlink"/>
                <w:rFonts w:ascii="Times New Roman" w:hAnsi="Times New Roman"/>
                <w:noProof/>
                <w:sz w:val="24"/>
                <w:szCs w:val="24"/>
                <w:lang w:val="en-GB"/>
              </w:rPr>
              <w:t>2.2 The EU and Qatar: foundations of a partnership</w:t>
            </w:r>
            <w:r w:rsidRPr="00AF4D95">
              <w:rPr>
                <w:rFonts w:ascii="Times New Roman" w:hAnsi="Times New Roman"/>
                <w:noProof/>
                <w:webHidden/>
                <w:sz w:val="24"/>
                <w:szCs w:val="24"/>
              </w:rPr>
              <w:tab/>
            </w:r>
            <w:r w:rsidRPr="00AF4D95">
              <w:rPr>
                <w:rFonts w:ascii="Times New Roman" w:hAnsi="Times New Roman"/>
                <w:noProof/>
                <w:webHidden/>
                <w:sz w:val="24"/>
                <w:szCs w:val="24"/>
              </w:rPr>
              <w:fldChar w:fldCharType="begin"/>
            </w:r>
            <w:r w:rsidRPr="00AF4D95">
              <w:rPr>
                <w:rFonts w:ascii="Times New Roman" w:hAnsi="Times New Roman"/>
                <w:noProof/>
                <w:webHidden/>
                <w:sz w:val="24"/>
                <w:szCs w:val="24"/>
              </w:rPr>
              <w:instrText xml:space="preserve"> PAGEREF _Toc169873377 \h </w:instrText>
            </w:r>
            <w:r w:rsidRPr="00AF4D95">
              <w:rPr>
                <w:rFonts w:ascii="Times New Roman" w:hAnsi="Times New Roman"/>
                <w:noProof/>
                <w:webHidden/>
                <w:sz w:val="24"/>
                <w:szCs w:val="24"/>
              </w:rPr>
            </w:r>
            <w:r w:rsidRPr="00AF4D95">
              <w:rPr>
                <w:rFonts w:ascii="Times New Roman" w:hAnsi="Times New Roman"/>
                <w:noProof/>
                <w:webHidden/>
                <w:sz w:val="24"/>
                <w:szCs w:val="24"/>
              </w:rPr>
              <w:fldChar w:fldCharType="separate"/>
            </w:r>
            <w:r w:rsidRPr="00AF4D95">
              <w:rPr>
                <w:rFonts w:ascii="Times New Roman" w:hAnsi="Times New Roman"/>
                <w:noProof/>
                <w:webHidden/>
                <w:sz w:val="24"/>
                <w:szCs w:val="24"/>
              </w:rPr>
              <w:t>14</w:t>
            </w:r>
            <w:r w:rsidRPr="00AF4D95">
              <w:rPr>
                <w:rFonts w:ascii="Times New Roman" w:hAnsi="Times New Roman"/>
                <w:noProof/>
                <w:webHidden/>
                <w:sz w:val="24"/>
                <w:szCs w:val="24"/>
              </w:rPr>
              <w:fldChar w:fldCharType="end"/>
            </w:r>
          </w:hyperlink>
        </w:p>
        <w:p w14:paraId="23565264" w14:textId="7F42F83E" w:rsidR="00A75177" w:rsidRPr="00AF4D95" w:rsidRDefault="00A75177">
          <w:pPr>
            <w:pStyle w:val="Inhopg2"/>
            <w:tabs>
              <w:tab w:val="right" w:leader="dot" w:pos="9062"/>
            </w:tabs>
            <w:rPr>
              <w:rFonts w:ascii="Times New Roman" w:hAnsi="Times New Roman"/>
              <w:noProof/>
              <w:kern w:val="2"/>
              <w:sz w:val="28"/>
              <w:szCs w:val="28"/>
              <w14:ligatures w14:val="standardContextual"/>
            </w:rPr>
          </w:pPr>
          <w:hyperlink w:anchor="_Toc169873378" w:history="1">
            <w:r w:rsidRPr="00AF4D95">
              <w:rPr>
                <w:rStyle w:val="Hyperlink"/>
                <w:rFonts w:ascii="Times New Roman" w:hAnsi="Times New Roman"/>
                <w:noProof/>
                <w:sz w:val="24"/>
                <w:szCs w:val="24"/>
                <w:lang w:val="en-GB"/>
              </w:rPr>
              <w:t>2.3 Crises and the EU-Qatar partnership</w:t>
            </w:r>
            <w:r w:rsidRPr="00AF4D95">
              <w:rPr>
                <w:rFonts w:ascii="Times New Roman" w:hAnsi="Times New Roman"/>
                <w:noProof/>
                <w:webHidden/>
                <w:sz w:val="24"/>
                <w:szCs w:val="24"/>
              </w:rPr>
              <w:tab/>
            </w:r>
            <w:r w:rsidRPr="00AF4D95">
              <w:rPr>
                <w:rFonts w:ascii="Times New Roman" w:hAnsi="Times New Roman"/>
                <w:noProof/>
                <w:webHidden/>
                <w:sz w:val="24"/>
                <w:szCs w:val="24"/>
              </w:rPr>
              <w:fldChar w:fldCharType="begin"/>
            </w:r>
            <w:r w:rsidRPr="00AF4D95">
              <w:rPr>
                <w:rFonts w:ascii="Times New Roman" w:hAnsi="Times New Roman"/>
                <w:noProof/>
                <w:webHidden/>
                <w:sz w:val="24"/>
                <w:szCs w:val="24"/>
              </w:rPr>
              <w:instrText xml:space="preserve"> PAGEREF _Toc169873378 \h </w:instrText>
            </w:r>
            <w:r w:rsidRPr="00AF4D95">
              <w:rPr>
                <w:rFonts w:ascii="Times New Roman" w:hAnsi="Times New Roman"/>
                <w:noProof/>
                <w:webHidden/>
                <w:sz w:val="24"/>
                <w:szCs w:val="24"/>
              </w:rPr>
            </w:r>
            <w:r w:rsidRPr="00AF4D95">
              <w:rPr>
                <w:rFonts w:ascii="Times New Roman" w:hAnsi="Times New Roman"/>
                <w:noProof/>
                <w:webHidden/>
                <w:sz w:val="24"/>
                <w:szCs w:val="24"/>
              </w:rPr>
              <w:fldChar w:fldCharType="separate"/>
            </w:r>
            <w:r w:rsidRPr="00AF4D95">
              <w:rPr>
                <w:rFonts w:ascii="Times New Roman" w:hAnsi="Times New Roman"/>
                <w:noProof/>
                <w:webHidden/>
                <w:sz w:val="24"/>
                <w:szCs w:val="24"/>
              </w:rPr>
              <w:t>15</w:t>
            </w:r>
            <w:r w:rsidRPr="00AF4D95">
              <w:rPr>
                <w:rFonts w:ascii="Times New Roman" w:hAnsi="Times New Roman"/>
                <w:noProof/>
                <w:webHidden/>
                <w:sz w:val="24"/>
                <w:szCs w:val="24"/>
              </w:rPr>
              <w:fldChar w:fldCharType="end"/>
            </w:r>
          </w:hyperlink>
        </w:p>
        <w:p w14:paraId="41A39A9F" w14:textId="04C8D955" w:rsidR="00A75177" w:rsidRPr="00AF4D95" w:rsidRDefault="00A75177">
          <w:pPr>
            <w:pStyle w:val="Inhopg2"/>
            <w:tabs>
              <w:tab w:val="right" w:leader="dot" w:pos="9062"/>
            </w:tabs>
            <w:rPr>
              <w:rFonts w:ascii="Times New Roman" w:hAnsi="Times New Roman"/>
              <w:noProof/>
              <w:kern w:val="2"/>
              <w:sz w:val="28"/>
              <w:szCs w:val="28"/>
              <w14:ligatures w14:val="standardContextual"/>
            </w:rPr>
          </w:pPr>
          <w:hyperlink w:anchor="_Toc169873379" w:history="1">
            <w:r w:rsidRPr="00AF4D95">
              <w:rPr>
                <w:rStyle w:val="Hyperlink"/>
                <w:rFonts w:ascii="Times New Roman" w:hAnsi="Times New Roman"/>
                <w:noProof/>
                <w:sz w:val="24"/>
                <w:szCs w:val="24"/>
                <w:lang w:val="en-GB"/>
              </w:rPr>
              <w:t>2.4 Causal mechanism and expectation</w:t>
            </w:r>
            <w:r w:rsidRPr="00AF4D95">
              <w:rPr>
                <w:rFonts w:ascii="Times New Roman" w:hAnsi="Times New Roman"/>
                <w:noProof/>
                <w:webHidden/>
                <w:sz w:val="24"/>
                <w:szCs w:val="24"/>
              </w:rPr>
              <w:tab/>
            </w:r>
            <w:r w:rsidRPr="00AF4D95">
              <w:rPr>
                <w:rFonts w:ascii="Times New Roman" w:hAnsi="Times New Roman"/>
                <w:noProof/>
                <w:webHidden/>
                <w:sz w:val="24"/>
                <w:szCs w:val="24"/>
              </w:rPr>
              <w:fldChar w:fldCharType="begin"/>
            </w:r>
            <w:r w:rsidRPr="00AF4D95">
              <w:rPr>
                <w:rFonts w:ascii="Times New Roman" w:hAnsi="Times New Roman"/>
                <w:noProof/>
                <w:webHidden/>
                <w:sz w:val="24"/>
                <w:szCs w:val="24"/>
              </w:rPr>
              <w:instrText xml:space="preserve"> PAGEREF _Toc169873379 \h </w:instrText>
            </w:r>
            <w:r w:rsidRPr="00AF4D95">
              <w:rPr>
                <w:rFonts w:ascii="Times New Roman" w:hAnsi="Times New Roman"/>
                <w:noProof/>
                <w:webHidden/>
                <w:sz w:val="24"/>
                <w:szCs w:val="24"/>
              </w:rPr>
            </w:r>
            <w:r w:rsidRPr="00AF4D95">
              <w:rPr>
                <w:rFonts w:ascii="Times New Roman" w:hAnsi="Times New Roman"/>
                <w:noProof/>
                <w:webHidden/>
                <w:sz w:val="24"/>
                <w:szCs w:val="24"/>
              </w:rPr>
              <w:fldChar w:fldCharType="separate"/>
            </w:r>
            <w:r w:rsidRPr="00AF4D95">
              <w:rPr>
                <w:rFonts w:ascii="Times New Roman" w:hAnsi="Times New Roman"/>
                <w:noProof/>
                <w:webHidden/>
                <w:sz w:val="24"/>
                <w:szCs w:val="24"/>
              </w:rPr>
              <w:t>18</w:t>
            </w:r>
            <w:r w:rsidRPr="00AF4D95">
              <w:rPr>
                <w:rFonts w:ascii="Times New Roman" w:hAnsi="Times New Roman"/>
                <w:noProof/>
                <w:webHidden/>
                <w:sz w:val="24"/>
                <w:szCs w:val="24"/>
              </w:rPr>
              <w:fldChar w:fldCharType="end"/>
            </w:r>
          </w:hyperlink>
        </w:p>
        <w:p w14:paraId="3C6FACDD" w14:textId="035B24AC" w:rsidR="00A75177" w:rsidRPr="00AF4D95" w:rsidRDefault="00A75177">
          <w:pPr>
            <w:pStyle w:val="Inhopg1"/>
            <w:rPr>
              <w:rFonts w:ascii="Times New Roman" w:hAnsi="Times New Roman"/>
              <w:noProof/>
              <w:kern w:val="2"/>
              <w:sz w:val="28"/>
              <w:szCs w:val="28"/>
              <w14:ligatures w14:val="standardContextual"/>
            </w:rPr>
          </w:pPr>
          <w:hyperlink w:anchor="_Toc169873380" w:history="1">
            <w:r w:rsidRPr="00AF4D95">
              <w:rPr>
                <w:rStyle w:val="Hyperlink"/>
                <w:rFonts w:ascii="Times New Roman" w:hAnsi="Times New Roman"/>
                <w:noProof/>
                <w:sz w:val="24"/>
                <w:szCs w:val="24"/>
                <w:lang w:val="en-GB"/>
              </w:rPr>
              <w:t>Chapter 3 Method &amp; operationalisation</w:t>
            </w:r>
            <w:r w:rsidRPr="00AF4D95">
              <w:rPr>
                <w:rFonts w:ascii="Times New Roman" w:hAnsi="Times New Roman"/>
                <w:noProof/>
                <w:webHidden/>
                <w:sz w:val="24"/>
                <w:szCs w:val="24"/>
              </w:rPr>
              <w:tab/>
            </w:r>
            <w:r w:rsidRPr="00AF4D95">
              <w:rPr>
                <w:rFonts w:ascii="Times New Roman" w:hAnsi="Times New Roman"/>
                <w:noProof/>
                <w:webHidden/>
                <w:sz w:val="24"/>
                <w:szCs w:val="24"/>
              </w:rPr>
              <w:fldChar w:fldCharType="begin"/>
            </w:r>
            <w:r w:rsidRPr="00AF4D95">
              <w:rPr>
                <w:rFonts w:ascii="Times New Roman" w:hAnsi="Times New Roman"/>
                <w:noProof/>
                <w:webHidden/>
                <w:sz w:val="24"/>
                <w:szCs w:val="24"/>
              </w:rPr>
              <w:instrText xml:space="preserve"> PAGEREF _Toc169873380 \h </w:instrText>
            </w:r>
            <w:r w:rsidRPr="00AF4D95">
              <w:rPr>
                <w:rFonts w:ascii="Times New Roman" w:hAnsi="Times New Roman"/>
                <w:noProof/>
                <w:webHidden/>
                <w:sz w:val="24"/>
                <w:szCs w:val="24"/>
              </w:rPr>
            </w:r>
            <w:r w:rsidRPr="00AF4D95">
              <w:rPr>
                <w:rFonts w:ascii="Times New Roman" w:hAnsi="Times New Roman"/>
                <w:noProof/>
                <w:webHidden/>
                <w:sz w:val="24"/>
                <w:szCs w:val="24"/>
              </w:rPr>
              <w:fldChar w:fldCharType="separate"/>
            </w:r>
            <w:r w:rsidRPr="00AF4D95">
              <w:rPr>
                <w:rFonts w:ascii="Times New Roman" w:hAnsi="Times New Roman"/>
                <w:noProof/>
                <w:webHidden/>
                <w:sz w:val="24"/>
                <w:szCs w:val="24"/>
              </w:rPr>
              <w:t>24</w:t>
            </w:r>
            <w:r w:rsidRPr="00AF4D95">
              <w:rPr>
                <w:rFonts w:ascii="Times New Roman" w:hAnsi="Times New Roman"/>
                <w:noProof/>
                <w:webHidden/>
                <w:sz w:val="24"/>
                <w:szCs w:val="24"/>
              </w:rPr>
              <w:fldChar w:fldCharType="end"/>
            </w:r>
          </w:hyperlink>
        </w:p>
        <w:p w14:paraId="234771BB" w14:textId="4C2949B3" w:rsidR="00A75177" w:rsidRPr="00AF4D95" w:rsidRDefault="00A75177">
          <w:pPr>
            <w:pStyle w:val="Inhopg2"/>
            <w:tabs>
              <w:tab w:val="right" w:leader="dot" w:pos="9062"/>
            </w:tabs>
            <w:rPr>
              <w:rFonts w:ascii="Times New Roman" w:hAnsi="Times New Roman"/>
              <w:noProof/>
              <w:kern w:val="2"/>
              <w:sz w:val="28"/>
              <w:szCs w:val="28"/>
              <w14:ligatures w14:val="standardContextual"/>
            </w:rPr>
          </w:pPr>
          <w:hyperlink w:anchor="_Toc169873381" w:history="1">
            <w:r w:rsidRPr="00AF4D95">
              <w:rPr>
                <w:rStyle w:val="Hyperlink"/>
                <w:rFonts w:ascii="Times New Roman" w:hAnsi="Times New Roman"/>
                <w:noProof/>
                <w:sz w:val="24"/>
                <w:szCs w:val="24"/>
                <w:lang w:val="en-GB"/>
              </w:rPr>
              <w:t>3.1 Methodology: benefits and limitations</w:t>
            </w:r>
            <w:r w:rsidRPr="00AF4D95">
              <w:rPr>
                <w:rFonts w:ascii="Times New Roman" w:hAnsi="Times New Roman"/>
                <w:noProof/>
                <w:webHidden/>
                <w:sz w:val="24"/>
                <w:szCs w:val="24"/>
              </w:rPr>
              <w:tab/>
            </w:r>
            <w:r w:rsidRPr="00AF4D95">
              <w:rPr>
                <w:rFonts w:ascii="Times New Roman" w:hAnsi="Times New Roman"/>
                <w:noProof/>
                <w:webHidden/>
                <w:sz w:val="24"/>
                <w:szCs w:val="24"/>
              </w:rPr>
              <w:fldChar w:fldCharType="begin"/>
            </w:r>
            <w:r w:rsidRPr="00AF4D95">
              <w:rPr>
                <w:rFonts w:ascii="Times New Roman" w:hAnsi="Times New Roman"/>
                <w:noProof/>
                <w:webHidden/>
                <w:sz w:val="24"/>
                <w:szCs w:val="24"/>
              </w:rPr>
              <w:instrText xml:space="preserve"> PAGEREF _Toc169873381 \h </w:instrText>
            </w:r>
            <w:r w:rsidRPr="00AF4D95">
              <w:rPr>
                <w:rFonts w:ascii="Times New Roman" w:hAnsi="Times New Roman"/>
                <w:noProof/>
                <w:webHidden/>
                <w:sz w:val="24"/>
                <w:szCs w:val="24"/>
              </w:rPr>
            </w:r>
            <w:r w:rsidRPr="00AF4D95">
              <w:rPr>
                <w:rFonts w:ascii="Times New Roman" w:hAnsi="Times New Roman"/>
                <w:noProof/>
                <w:webHidden/>
                <w:sz w:val="24"/>
                <w:szCs w:val="24"/>
              </w:rPr>
              <w:fldChar w:fldCharType="separate"/>
            </w:r>
            <w:r w:rsidRPr="00AF4D95">
              <w:rPr>
                <w:rFonts w:ascii="Times New Roman" w:hAnsi="Times New Roman"/>
                <w:noProof/>
                <w:webHidden/>
                <w:sz w:val="24"/>
                <w:szCs w:val="24"/>
              </w:rPr>
              <w:t>24</w:t>
            </w:r>
            <w:r w:rsidRPr="00AF4D95">
              <w:rPr>
                <w:rFonts w:ascii="Times New Roman" w:hAnsi="Times New Roman"/>
                <w:noProof/>
                <w:webHidden/>
                <w:sz w:val="24"/>
                <w:szCs w:val="24"/>
              </w:rPr>
              <w:fldChar w:fldCharType="end"/>
            </w:r>
          </w:hyperlink>
        </w:p>
        <w:p w14:paraId="06E2C570" w14:textId="57CB0080" w:rsidR="00A75177" w:rsidRPr="00AF4D95" w:rsidRDefault="00A75177">
          <w:pPr>
            <w:pStyle w:val="Inhopg2"/>
            <w:tabs>
              <w:tab w:val="right" w:leader="dot" w:pos="9062"/>
            </w:tabs>
            <w:rPr>
              <w:rFonts w:ascii="Times New Roman" w:hAnsi="Times New Roman"/>
              <w:noProof/>
              <w:kern w:val="2"/>
              <w:sz w:val="28"/>
              <w:szCs w:val="28"/>
              <w14:ligatures w14:val="standardContextual"/>
            </w:rPr>
          </w:pPr>
          <w:hyperlink w:anchor="_Toc169873382" w:history="1">
            <w:r w:rsidRPr="00AF4D95">
              <w:rPr>
                <w:rStyle w:val="Hyperlink"/>
                <w:rFonts w:ascii="Times New Roman" w:hAnsi="Times New Roman"/>
                <w:noProof/>
                <w:sz w:val="24"/>
                <w:szCs w:val="24"/>
                <w:lang w:val="en-GB"/>
              </w:rPr>
              <w:t>3.2 Data selection and operationalisation</w:t>
            </w:r>
            <w:r w:rsidRPr="00AF4D95">
              <w:rPr>
                <w:rFonts w:ascii="Times New Roman" w:hAnsi="Times New Roman"/>
                <w:noProof/>
                <w:webHidden/>
                <w:sz w:val="24"/>
                <w:szCs w:val="24"/>
              </w:rPr>
              <w:tab/>
            </w:r>
            <w:r w:rsidRPr="00AF4D95">
              <w:rPr>
                <w:rFonts w:ascii="Times New Roman" w:hAnsi="Times New Roman"/>
                <w:noProof/>
                <w:webHidden/>
                <w:sz w:val="24"/>
                <w:szCs w:val="24"/>
              </w:rPr>
              <w:fldChar w:fldCharType="begin"/>
            </w:r>
            <w:r w:rsidRPr="00AF4D95">
              <w:rPr>
                <w:rFonts w:ascii="Times New Roman" w:hAnsi="Times New Roman"/>
                <w:noProof/>
                <w:webHidden/>
                <w:sz w:val="24"/>
                <w:szCs w:val="24"/>
              </w:rPr>
              <w:instrText xml:space="preserve"> PAGEREF _Toc169873382 \h </w:instrText>
            </w:r>
            <w:r w:rsidRPr="00AF4D95">
              <w:rPr>
                <w:rFonts w:ascii="Times New Roman" w:hAnsi="Times New Roman"/>
                <w:noProof/>
                <w:webHidden/>
                <w:sz w:val="24"/>
                <w:szCs w:val="24"/>
              </w:rPr>
            </w:r>
            <w:r w:rsidRPr="00AF4D95">
              <w:rPr>
                <w:rFonts w:ascii="Times New Roman" w:hAnsi="Times New Roman"/>
                <w:noProof/>
                <w:webHidden/>
                <w:sz w:val="24"/>
                <w:szCs w:val="24"/>
              </w:rPr>
              <w:fldChar w:fldCharType="separate"/>
            </w:r>
            <w:r w:rsidRPr="00AF4D95">
              <w:rPr>
                <w:rFonts w:ascii="Times New Roman" w:hAnsi="Times New Roman"/>
                <w:noProof/>
                <w:webHidden/>
                <w:sz w:val="24"/>
                <w:szCs w:val="24"/>
              </w:rPr>
              <w:t>26</w:t>
            </w:r>
            <w:r w:rsidRPr="00AF4D95">
              <w:rPr>
                <w:rFonts w:ascii="Times New Roman" w:hAnsi="Times New Roman"/>
                <w:noProof/>
                <w:webHidden/>
                <w:sz w:val="24"/>
                <w:szCs w:val="24"/>
              </w:rPr>
              <w:fldChar w:fldCharType="end"/>
            </w:r>
          </w:hyperlink>
        </w:p>
        <w:p w14:paraId="44BD1D7F" w14:textId="044EA6B7" w:rsidR="00A75177" w:rsidRPr="00AF4D95" w:rsidRDefault="00A75177">
          <w:pPr>
            <w:pStyle w:val="Inhopg2"/>
            <w:tabs>
              <w:tab w:val="right" w:leader="dot" w:pos="9062"/>
            </w:tabs>
            <w:rPr>
              <w:rFonts w:ascii="Times New Roman" w:hAnsi="Times New Roman"/>
              <w:noProof/>
              <w:kern w:val="2"/>
              <w:sz w:val="28"/>
              <w:szCs w:val="28"/>
              <w14:ligatures w14:val="standardContextual"/>
            </w:rPr>
          </w:pPr>
          <w:hyperlink w:anchor="_Toc169873383" w:history="1">
            <w:r w:rsidRPr="00AF4D95">
              <w:rPr>
                <w:rStyle w:val="Hyperlink"/>
                <w:rFonts w:ascii="Times New Roman" w:hAnsi="Times New Roman"/>
                <w:noProof/>
                <w:sz w:val="24"/>
                <w:szCs w:val="24"/>
                <w:lang w:val="en-GB"/>
              </w:rPr>
              <w:t>3.3 Validity and reliability: a short reflection</w:t>
            </w:r>
            <w:r w:rsidRPr="00AF4D95">
              <w:rPr>
                <w:rFonts w:ascii="Times New Roman" w:hAnsi="Times New Roman"/>
                <w:noProof/>
                <w:webHidden/>
                <w:sz w:val="24"/>
                <w:szCs w:val="24"/>
              </w:rPr>
              <w:tab/>
            </w:r>
            <w:r w:rsidRPr="00AF4D95">
              <w:rPr>
                <w:rFonts w:ascii="Times New Roman" w:hAnsi="Times New Roman"/>
                <w:noProof/>
                <w:webHidden/>
                <w:sz w:val="24"/>
                <w:szCs w:val="24"/>
              </w:rPr>
              <w:fldChar w:fldCharType="begin"/>
            </w:r>
            <w:r w:rsidRPr="00AF4D95">
              <w:rPr>
                <w:rFonts w:ascii="Times New Roman" w:hAnsi="Times New Roman"/>
                <w:noProof/>
                <w:webHidden/>
                <w:sz w:val="24"/>
                <w:szCs w:val="24"/>
              </w:rPr>
              <w:instrText xml:space="preserve"> PAGEREF _Toc169873383 \h </w:instrText>
            </w:r>
            <w:r w:rsidRPr="00AF4D95">
              <w:rPr>
                <w:rFonts w:ascii="Times New Roman" w:hAnsi="Times New Roman"/>
                <w:noProof/>
                <w:webHidden/>
                <w:sz w:val="24"/>
                <w:szCs w:val="24"/>
              </w:rPr>
            </w:r>
            <w:r w:rsidRPr="00AF4D95">
              <w:rPr>
                <w:rFonts w:ascii="Times New Roman" w:hAnsi="Times New Roman"/>
                <w:noProof/>
                <w:webHidden/>
                <w:sz w:val="24"/>
                <w:szCs w:val="24"/>
              </w:rPr>
              <w:fldChar w:fldCharType="separate"/>
            </w:r>
            <w:r w:rsidRPr="00AF4D95">
              <w:rPr>
                <w:rFonts w:ascii="Times New Roman" w:hAnsi="Times New Roman"/>
                <w:noProof/>
                <w:webHidden/>
                <w:sz w:val="24"/>
                <w:szCs w:val="24"/>
              </w:rPr>
              <w:t>30</w:t>
            </w:r>
            <w:r w:rsidRPr="00AF4D95">
              <w:rPr>
                <w:rFonts w:ascii="Times New Roman" w:hAnsi="Times New Roman"/>
                <w:noProof/>
                <w:webHidden/>
                <w:sz w:val="24"/>
                <w:szCs w:val="24"/>
              </w:rPr>
              <w:fldChar w:fldCharType="end"/>
            </w:r>
          </w:hyperlink>
        </w:p>
        <w:p w14:paraId="262179BD" w14:textId="5D4CEAC5" w:rsidR="00A75177" w:rsidRPr="00AF4D95" w:rsidRDefault="00A75177">
          <w:pPr>
            <w:pStyle w:val="Inhopg1"/>
            <w:rPr>
              <w:rFonts w:ascii="Times New Roman" w:hAnsi="Times New Roman"/>
              <w:noProof/>
              <w:kern w:val="2"/>
              <w:sz w:val="28"/>
              <w:szCs w:val="28"/>
              <w14:ligatures w14:val="standardContextual"/>
            </w:rPr>
          </w:pPr>
          <w:hyperlink w:anchor="_Toc169873384" w:history="1">
            <w:r w:rsidRPr="00AF4D95">
              <w:rPr>
                <w:rStyle w:val="Hyperlink"/>
                <w:rFonts w:ascii="Times New Roman" w:hAnsi="Times New Roman"/>
                <w:noProof/>
                <w:sz w:val="24"/>
                <w:szCs w:val="24"/>
                <w:lang w:val="en-GB"/>
              </w:rPr>
              <w:t>Chapter 4: Empirical analysis</w:t>
            </w:r>
            <w:r w:rsidRPr="00AF4D95">
              <w:rPr>
                <w:rFonts w:ascii="Times New Roman" w:hAnsi="Times New Roman"/>
                <w:noProof/>
                <w:webHidden/>
                <w:sz w:val="24"/>
                <w:szCs w:val="24"/>
              </w:rPr>
              <w:tab/>
            </w:r>
            <w:r w:rsidRPr="00AF4D95">
              <w:rPr>
                <w:rFonts w:ascii="Times New Roman" w:hAnsi="Times New Roman"/>
                <w:noProof/>
                <w:webHidden/>
                <w:sz w:val="24"/>
                <w:szCs w:val="24"/>
              </w:rPr>
              <w:fldChar w:fldCharType="begin"/>
            </w:r>
            <w:r w:rsidRPr="00AF4D95">
              <w:rPr>
                <w:rFonts w:ascii="Times New Roman" w:hAnsi="Times New Roman"/>
                <w:noProof/>
                <w:webHidden/>
                <w:sz w:val="24"/>
                <w:szCs w:val="24"/>
              </w:rPr>
              <w:instrText xml:space="preserve"> PAGEREF _Toc169873384 \h </w:instrText>
            </w:r>
            <w:r w:rsidRPr="00AF4D95">
              <w:rPr>
                <w:rFonts w:ascii="Times New Roman" w:hAnsi="Times New Roman"/>
                <w:noProof/>
                <w:webHidden/>
                <w:sz w:val="24"/>
                <w:szCs w:val="24"/>
              </w:rPr>
            </w:r>
            <w:r w:rsidRPr="00AF4D95">
              <w:rPr>
                <w:rFonts w:ascii="Times New Roman" w:hAnsi="Times New Roman"/>
                <w:noProof/>
                <w:webHidden/>
                <w:sz w:val="24"/>
                <w:szCs w:val="24"/>
              </w:rPr>
              <w:fldChar w:fldCharType="separate"/>
            </w:r>
            <w:r w:rsidRPr="00AF4D95">
              <w:rPr>
                <w:rFonts w:ascii="Times New Roman" w:hAnsi="Times New Roman"/>
                <w:noProof/>
                <w:webHidden/>
                <w:sz w:val="24"/>
                <w:szCs w:val="24"/>
              </w:rPr>
              <w:t>32</w:t>
            </w:r>
            <w:r w:rsidRPr="00AF4D95">
              <w:rPr>
                <w:rFonts w:ascii="Times New Roman" w:hAnsi="Times New Roman"/>
                <w:noProof/>
                <w:webHidden/>
                <w:sz w:val="24"/>
                <w:szCs w:val="24"/>
              </w:rPr>
              <w:fldChar w:fldCharType="end"/>
            </w:r>
          </w:hyperlink>
        </w:p>
        <w:p w14:paraId="6D481103" w14:textId="3497783B" w:rsidR="00A75177" w:rsidRPr="00AF4D95" w:rsidRDefault="00A75177">
          <w:pPr>
            <w:pStyle w:val="Inhopg2"/>
            <w:tabs>
              <w:tab w:val="right" w:leader="dot" w:pos="9062"/>
            </w:tabs>
            <w:rPr>
              <w:rFonts w:ascii="Times New Roman" w:hAnsi="Times New Roman"/>
              <w:noProof/>
              <w:kern w:val="2"/>
              <w:sz w:val="28"/>
              <w:szCs w:val="28"/>
              <w14:ligatures w14:val="standardContextual"/>
            </w:rPr>
          </w:pPr>
          <w:hyperlink w:anchor="_Toc169873385" w:history="1">
            <w:r w:rsidRPr="00AF4D95">
              <w:rPr>
                <w:rStyle w:val="Hyperlink"/>
                <w:rFonts w:ascii="Times New Roman" w:hAnsi="Times New Roman"/>
                <w:noProof/>
                <w:sz w:val="24"/>
                <w:szCs w:val="24"/>
                <w:lang w:val="en-GB"/>
              </w:rPr>
              <w:t>4.1 The start and the end of the relationship</w:t>
            </w:r>
            <w:r w:rsidRPr="00AF4D95">
              <w:rPr>
                <w:rFonts w:ascii="Times New Roman" w:hAnsi="Times New Roman"/>
                <w:noProof/>
                <w:webHidden/>
                <w:sz w:val="24"/>
                <w:szCs w:val="24"/>
              </w:rPr>
              <w:tab/>
            </w:r>
            <w:r w:rsidRPr="00AF4D95">
              <w:rPr>
                <w:rFonts w:ascii="Times New Roman" w:hAnsi="Times New Roman"/>
                <w:noProof/>
                <w:webHidden/>
                <w:sz w:val="24"/>
                <w:szCs w:val="24"/>
              </w:rPr>
              <w:fldChar w:fldCharType="begin"/>
            </w:r>
            <w:r w:rsidRPr="00AF4D95">
              <w:rPr>
                <w:rFonts w:ascii="Times New Roman" w:hAnsi="Times New Roman"/>
                <w:noProof/>
                <w:webHidden/>
                <w:sz w:val="24"/>
                <w:szCs w:val="24"/>
              </w:rPr>
              <w:instrText xml:space="preserve"> PAGEREF _Toc169873385 \h </w:instrText>
            </w:r>
            <w:r w:rsidRPr="00AF4D95">
              <w:rPr>
                <w:rFonts w:ascii="Times New Roman" w:hAnsi="Times New Roman"/>
                <w:noProof/>
                <w:webHidden/>
                <w:sz w:val="24"/>
                <w:szCs w:val="24"/>
              </w:rPr>
            </w:r>
            <w:r w:rsidRPr="00AF4D95">
              <w:rPr>
                <w:rFonts w:ascii="Times New Roman" w:hAnsi="Times New Roman"/>
                <w:noProof/>
                <w:webHidden/>
                <w:sz w:val="24"/>
                <w:szCs w:val="24"/>
              </w:rPr>
              <w:fldChar w:fldCharType="separate"/>
            </w:r>
            <w:r w:rsidRPr="00AF4D95">
              <w:rPr>
                <w:rFonts w:ascii="Times New Roman" w:hAnsi="Times New Roman"/>
                <w:noProof/>
                <w:webHidden/>
                <w:sz w:val="24"/>
                <w:szCs w:val="24"/>
              </w:rPr>
              <w:t>32</w:t>
            </w:r>
            <w:r w:rsidRPr="00AF4D95">
              <w:rPr>
                <w:rFonts w:ascii="Times New Roman" w:hAnsi="Times New Roman"/>
                <w:noProof/>
                <w:webHidden/>
                <w:sz w:val="24"/>
                <w:szCs w:val="24"/>
              </w:rPr>
              <w:fldChar w:fldCharType="end"/>
            </w:r>
          </w:hyperlink>
        </w:p>
        <w:p w14:paraId="00C199A1" w14:textId="700C48A9" w:rsidR="00A75177" w:rsidRPr="00AF4D95" w:rsidRDefault="00A75177">
          <w:pPr>
            <w:pStyle w:val="Inhopg2"/>
            <w:tabs>
              <w:tab w:val="right" w:leader="dot" w:pos="9062"/>
            </w:tabs>
            <w:rPr>
              <w:rFonts w:ascii="Times New Roman" w:hAnsi="Times New Roman"/>
              <w:noProof/>
              <w:kern w:val="2"/>
              <w:sz w:val="28"/>
              <w:szCs w:val="28"/>
              <w14:ligatures w14:val="standardContextual"/>
            </w:rPr>
          </w:pPr>
          <w:hyperlink w:anchor="_Toc169873386" w:history="1">
            <w:r w:rsidRPr="00AF4D95">
              <w:rPr>
                <w:rStyle w:val="Hyperlink"/>
                <w:rFonts w:ascii="Times New Roman" w:hAnsi="Times New Roman"/>
                <w:noProof/>
                <w:sz w:val="24"/>
                <w:szCs w:val="24"/>
                <w:lang w:val="en-GB"/>
              </w:rPr>
              <w:t>4.2 The discovery of Qatargate: reactions and responses</w:t>
            </w:r>
            <w:r w:rsidRPr="00AF4D95">
              <w:rPr>
                <w:rFonts w:ascii="Times New Roman" w:hAnsi="Times New Roman"/>
                <w:noProof/>
                <w:webHidden/>
                <w:sz w:val="24"/>
                <w:szCs w:val="24"/>
              </w:rPr>
              <w:tab/>
            </w:r>
            <w:r w:rsidRPr="00AF4D95">
              <w:rPr>
                <w:rFonts w:ascii="Times New Roman" w:hAnsi="Times New Roman"/>
                <w:noProof/>
                <w:webHidden/>
                <w:sz w:val="24"/>
                <w:szCs w:val="24"/>
              </w:rPr>
              <w:fldChar w:fldCharType="begin"/>
            </w:r>
            <w:r w:rsidRPr="00AF4D95">
              <w:rPr>
                <w:rFonts w:ascii="Times New Roman" w:hAnsi="Times New Roman"/>
                <w:noProof/>
                <w:webHidden/>
                <w:sz w:val="24"/>
                <w:szCs w:val="24"/>
              </w:rPr>
              <w:instrText xml:space="preserve"> PAGEREF _Toc169873386 \h </w:instrText>
            </w:r>
            <w:r w:rsidRPr="00AF4D95">
              <w:rPr>
                <w:rFonts w:ascii="Times New Roman" w:hAnsi="Times New Roman"/>
                <w:noProof/>
                <w:webHidden/>
                <w:sz w:val="24"/>
                <w:szCs w:val="24"/>
              </w:rPr>
            </w:r>
            <w:r w:rsidRPr="00AF4D95">
              <w:rPr>
                <w:rFonts w:ascii="Times New Roman" w:hAnsi="Times New Roman"/>
                <w:noProof/>
                <w:webHidden/>
                <w:sz w:val="24"/>
                <w:szCs w:val="24"/>
              </w:rPr>
              <w:fldChar w:fldCharType="separate"/>
            </w:r>
            <w:r w:rsidRPr="00AF4D95">
              <w:rPr>
                <w:rFonts w:ascii="Times New Roman" w:hAnsi="Times New Roman"/>
                <w:noProof/>
                <w:webHidden/>
                <w:sz w:val="24"/>
                <w:szCs w:val="24"/>
              </w:rPr>
              <w:t>34</w:t>
            </w:r>
            <w:r w:rsidRPr="00AF4D95">
              <w:rPr>
                <w:rFonts w:ascii="Times New Roman" w:hAnsi="Times New Roman"/>
                <w:noProof/>
                <w:webHidden/>
                <w:sz w:val="24"/>
                <w:szCs w:val="24"/>
              </w:rPr>
              <w:fldChar w:fldCharType="end"/>
            </w:r>
          </w:hyperlink>
        </w:p>
        <w:p w14:paraId="1E2F5A95" w14:textId="4886ECF4" w:rsidR="00A75177" w:rsidRPr="00AF4D95" w:rsidRDefault="00A75177">
          <w:pPr>
            <w:pStyle w:val="Inhopg2"/>
            <w:tabs>
              <w:tab w:val="right" w:leader="dot" w:pos="9062"/>
            </w:tabs>
            <w:rPr>
              <w:rFonts w:ascii="Times New Roman" w:hAnsi="Times New Roman"/>
              <w:noProof/>
              <w:kern w:val="2"/>
              <w:sz w:val="28"/>
              <w:szCs w:val="28"/>
              <w14:ligatures w14:val="standardContextual"/>
            </w:rPr>
          </w:pPr>
          <w:hyperlink w:anchor="_Toc169873387" w:history="1">
            <w:r w:rsidRPr="00AF4D95">
              <w:rPr>
                <w:rStyle w:val="Hyperlink"/>
                <w:rFonts w:ascii="Times New Roman" w:hAnsi="Times New Roman"/>
                <w:noProof/>
                <w:sz w:val="24"/>
                <w:szCs w:val="24"/>
                <w:lang w:val="en-GB"/>
              </w:rPr>
              <w:t>4.3 Consequences of Qatargate: plans and actions</w:t>
            </w:r>
            <w:r w:rsidRPr="00AF4D95">
              <w:rPr>
                <w:rFonts w:ascii="Times New Roman" w:hAnsi="Times New Roman"/>
                <w:noProof/>
                <w:webHidden/>
                <w:sz w:val="24"/>
                <w:szCs w:val="24"/>
              </w:rPr>
              <w:tab/>
            </w:r>
            <w:r w:rsidRPr="00AF4D95">
              <w:rPr>
                <w:rFonts w:ascii="Times New Roman" w:hAnsi="Times New Roman"/>
                <w:noProof/>
                <w:webHidden/>
                <w:sz w:val="24"/>
                <w:szCs w:val="24"/>
              </w:rPr>
              <w:fldChar w:fldCharType="begin"/>
            </w:r>
            <w:r w:rsidRPr="00AF4D95">
              <w:rPr>
                <w:rFonts w:ascii="Times New Roman" w:hAnsi="Times New Roman"/>
                <w:noProof/>
                <w:webHidden/>
                <w:sz w:val="24"/>
                <w:szCs w:val="24"/>
              </w:rPr>
              <w:instrText xml:space="preserve"> PAGEREF _Toc169873387 \h </w:instrText>
            </w:r>
            <w:r w:rsidRPr="00AF4D95">
              <w:rPr>
                <w:rFonts w:ascii="Times New Roman" w:hAnsi="Times New Roman"/>
                <w:noProof/>
                <w:webHidden/>
                <w:sz w:val="24"/>
                <w:szCs w:val="24"/>
              </w:rPr>
            </w:r>
            <w:r w:rsidRPr="00AF4D95">
              <w:rPr>
                <w:rFonts w:ascii="Times New Roman" w:hAnsi="Times New Roman"/>
                <w:noProof/>
                <w:webHidden/>
                <w:sz w:val="24"/>
                <w:szCs w:val="24"/>
              </w:rPr>
              <w:fldChar w:fldCharType="separate"/>
            </w:r>
            <w:r w:rsidRPr="00AF4D95">
              <w:rPr>
                <w:rFonts w:ascii="Times New Roman" w:hAnsi="Times New Roman"/>
                <w:noProof/>
                <w:webHidden/>
                <w:sz w:val="24"/>
                <w:szCs w:val="24"/>
              </w:rPr>
              <w:t>40</w:t>
            </w:r>
            <w:r w:rsidRPr="00AF4D95">
              <w:rPr>
                <w:rFonts w:ascii="Times New Roman" w:hAnsi="Times New Roman"/>
                <w:noProof/>
                <w:webHidden/>
                <w:sz w:val="24"/>
                <w:szCs w:val="24"/>
              </w:rPr>
              <w:fldChar w:fldCharType="end"/>
            </w:r>
          </w:hyperlink>
        </w:p>
        <w:p w14:paraId="19B2B63D" w14:textId="56BB560B" w:rsidR="00A75177" w:rsidRPr="00AF4D95" w:rsidRDefault="00A75177">
          <w:pPr>
            <w:pStyle w:val="Inhopg1"/>
            <w:rPr>
              <w:rFonts w:ascii="Times New Roman" w:hAnsi="Times New Roman"/>
              <w:noProof/>
              <w:kern w:val="2"/>
              <w:sz w:val="28"/>
              <w:szCs w:val="28"/>
              <w14:ligatures w14:val="standardContextual"/>
            </w:rPr>
          </w:pPr>
          <w:hyperlink w:anchor="_Toc169873388" w:history="1">
            <w:r w:rsidRPr="00AF4D95">
              <w:rPr>
                <w:rStyle w:val="Hyperlink"/>
                <w:rFonts w:ascii="Times New Roman" w:hAnsi="Times New Roman"/>
                <w:noProof/>
                <w:sz w:val="24"/>
                <w:szCs w:val="24"/>
                <w:lang w:val="en-GB"/>
              </w:rPr>
              <w:t>Chapter 5 Conclusion and discussion</w:t>
            </w:r>
            <w:r w:rsidRPr="00AF4D95">
              <w:rPr>
                <w:rFonts w:ascii="Times New Roman" w:hAnsi="Times New Roman"/>
                <w:noProof/>
                <w:webHidden/>
                <w:sz w:val="24"/>
                <w:szCs w:val="24"/>
              </w:rPr>
              <w:tab/>
            </w:r>
            <w:r w:rsidRPr="00AF4D95">
              <w:rPr>
                <w:rFonts w:ascii="Times New Roman" w:hAnsi="Times New Roman"/>
                <w:noProof/>
                <w:webHidden/>
                <w:sz w:val="24"/>
                <w:szCs w:val="24"/>
              </w:rPr>
              <w:fldChar w:fldCharType="begin"/>
            </w:r>
            <w:r w:rsidRPr="00AF4D95">
              <w:rPr>
                <w:rFonts w:ascii="Times New Roman" w:hAnsi="Times New Roman"/>
                <w:noProof/>
                <w:webHidden/>
                <w:sz w:val="24"/>
                <w:szCs w:val="24"/>
              </w:rPr>
              <w:instrText xml:space="preserve"> PAGEREF _Toc169873388 \h </w:instrText>
            </w:r>
            <w:r w:rsidRPr="00AF4D95">
              <w:rPr>
                <w:rFonts w:ascii="Times New Roman" w:hAnsi="Times New Roman"/>
                <w:noProof/>
                <w:webHidden/>
                <w:sz w:val="24"/>
                <w:szCs w:val="24"/>
              </w:rPr>
            </w:r>
            <w:r w:rsidRPr="00AF4D95">
              <w:rPr>
                <w:rFonts w:ascii="Times New Roman" w:hAnsi="Times New Roman"/>
                <w:noProof/>
                <w:webHidden/>
                <w:sz w:val="24"/>
                <w:szCs w:val="24"/>
              </w:rPr>
              <w:fldChar w:fldCharType="separate"/>
            </w:r>
            <w:r w:rsidRPr="00AF4D95">
              <w:rPr>
                <w:rFonts w:ascii="Times New Roman" w:hAnsi="Times New Roman"/>
                <w:noProof/>
                <w:webHidden/>
                <w:sz w:val="24"/>
                <w:szCs w:val="24"/>
              </w:rPr>
              <w:t>45</w:t>
            </w:r>
            <w:r w:rsidRPr="00AF4D95">
              <w:rPr>
                <w:rFonts w:ascii="Times New Roman" w:hAnsi="Times New Roman"/>
                <w:noProof/>
                <w:webHidden/>
                <w:sz w:val="24"/>
                <w:szCs w:val="24"/>
              </w:rPr>
              <w:fldChar w:fldCharType="end"/>
            </w:r>
          </w:hyperlink>
        </w:p>
        <w:p w14:paraId="7805F24C" w14:textId="5FCD15BB" w:rsidR="00A75177" w:rsidRPr="00AF4D95" w:rsidRDefault="00A75177">
          <w:pPr>
            <w:pStyle w:val="Inhopg2"/>
            <w:tabs>
              <w:tab w:val="right" w:leader="dot" w:pos="9062"/>
            </w:tabs>
            <w:rPr>
              <w:rFonts w:ascii="Times New Roman" w:hAnsi="Times New Roman"/>
              <w:noProof/>
              <w:kern w:val="2"/>
              <w:sz w:val="28"/>
              <w:szCs w:val="28"/>
              <w14:ligatures w14:val="standardContextual"/>
            </w:rPr>
          </w:pPr>
          <w:hyperlink w:anchor="_Toc169873389" w:history="1">
            <w:r w:rsidRPr="00AF4D95">
              <w:rPr>
                <w:rStyle w:val="Hyperlink"/>
                <w:rFonts w:ascii="Times New Roman" w:hAnsi="Times New Roman"/>
                <w:noProof/>
                <w:sz w:val="24"/>
                <w:szCs w:val="24"/>
                <w:lang w:val="en-GB"/>
              </w:rPr>
              <w:t>5.1 Conclusion of this thesis</w:t>
            </w:r>
            <w:r w:rsidRPr="00AF4D95">
              <w:rPr>
                <w:rFonts w:ascii="Times New Roman" w:hAnsi="Times New Roman"/>
                <w:noProof/>
                <w:webHidden/>
                <w:sz w:val="24"/>
                <w:szCs w:val="24"/>
              </w:rPr>
              <w:tab/>
            </w:r>
            <w:r w:rsidRPr="00AF4D95">
              <w:rPr>
                <w:rFonts w:ascii="Times New Roman" w:hAnsi="Times New Roman"/>
                <w:noProof/>
                <w:webHidden/>
                <w:sz w:val="24"/>
                <w:szCs w:val="24"/>
              </w:rPr>
              <w:fldChar w:fldCharType="begin"/>
            </w:r>
            <w:r w:rsidRPr="00AF4D95">
              <w:rPr>
                <w:rFonts w:ascii="Times New Roman" w:hAnsi="Times New Roman"/>
                <w:noProof/>
                <w:webHidden/>
                <w:sz w:val="24"/>
                <w:szCs w:val="24"/>
              </w:rPr>
              <w:instrText xml:space="preserve"> PAGEREF _Toc169873389 \h </w:instrText>
            </w:r>
            <w:r w:rsidRPr="00AF4D95">
              <w:rPr>
                <w:rFonts w:ascii="Times New Roman" w:hAnsi="Times New Roman"/>
                <w:noProof/>
                <w:webHidden/>
                <w:sz w:val="24"/>
                <w:szCs w:val="24"/>
              </w:rPr>
            </w:r>
            <w:r w:rsidRPr="00AF4D95">
              <w:rPr>
                <w:rFonts w:ascii="Times New Roman" w:hAnsi="Times New Roman"/>
                <w:noProof/>
                <w:webHidden/>
                <w:sz w:val="24"/>
                <w:szCs w:val="24"/>
              </w:rPr>
              <w:fldChar w:fldCharType="separate"/>
            </w:r>
            <w:r w:rsidRPr="00AF4D95">
              <w:rPr>
                <w:rFonts w:ascii="Times New Roman" w:hAnsi="Times New Roman"/>
                <w:noProof/>
                <w:webHidden/>
                <w:sz w:val="24"/>
                <w:szCs w:val="24"/>
              </w:rPr>
              <w:t>45</w:t>
            </w:r>
            <w:r w:rsidRPr="00AF4D95">
              <w:rPr>
                <w:rFonts w:ascii="Times New Roman" w:hAnsi="Times New Roman"/>
                <w:noProof/>
                <w:webHidden/>
                <w:sz w:val="24"/>
                <w:szCs w:val="24"/>
              </w:rPr>
              <w:fldChar w:fldCharType="end"/>
            </w:r>
          </w:hyperlink>
        </w:p>
        <w:p w14:paraId="172D55A5" w14:textId="771BE564" w:rsidR="00A75177" w:rsidRPr="00AF4D95" w:rsidRDefault="00A75177">
          <w:pPr>
            <w:pStyle w:val="Inhopg2"/>
            <w:tabs>
              <w:tab w:val="right" w:leader="dot" w:pos="9062"/>
            </w:tabs>
            <w:rPr>
              <w:rFonts w:ascii="Times New Roman" w:hAnsi="Times New Roman"/>
              <w:noProof/>
              <w:kern w:val="2"/>
              <w:sz w:val="28"/>
              <w:szCs w:val="28"/>
              <w14:ligatures w14:val="standardContextual"/>
            </w:rPr>
          </w:pPr>
          <w:hyperlink w:anchor="_Toc169873390" w:history="1">
            <w:r w:rsidRPr="00AF4D95">
              <w:rPr>
                <w:rStyle w:val="Hyperlink"/>
                <w:rFonts w:ascii="Times New Roman" w:hAnsi="Times New Roman"/>
                <w:noProof/>
                <w:sz w:val="24"/>
                <w:szCs w:val="24"/>
                <w:lang w:val="en-GB"/>
              </w:rPr>
              <w:t>5.2 Discussion and suggestions</w:t>
            </w:r>
            <w:r w:rsidRPr="00AF4D95">
              <w:rPr>
                <w:rFonts w:ascii="Times New Roman" w:hAnsi="Times New Roman"/>
                <w:noProof/>
                <w:webHidden/>
                <w:sz w:val="24"/>
                <w:szCs w:val="24"/>
              </w:rPr>
              <w:tab/>
            </w:r>
            <w:r w:rsidRPr="00AF4D95">
              <w:rPr>
                <w:rFonts w:ascii="Times New Roman" w:hAnsi="Times New Roman"/>
                <w:noProof/>
                <w:webHidden/>
                <w:sz w:val="24"/>
                <w:szCs w:val="24"/>
              </w:rPr>
              <w:fldChar w:fldCharType="begin"/>
            </w:r>
            <w:r w:rsidRPr="00AF4D95">
              <w:rPr>
                <w:rFonts w:ascii="Times New Roman" w:hAnsi="Times New Roman"/>
                <w:noProof/>
                <w:webHidden/>
                <w:sz w:val="24"/>
                <w:szCs w:val="24"/>
              </w:rPr>
              <w:instrText xml:space="preserve"> PAGEREF _Toc169873390 \h </w:instrText>
            </w:r>
            <w:r w:rsidRPr="00AF4D95">
              <w:rPr>
                <w:rFonts w:ascii="Times New Roman" w:hAnsi="Times New Roman"/>
                <w:noProof/>
                <w:webHidden/>
                <w:sz w:val="24"/>
                <w:szCs w:val="24"/>
              </w:rPr>
            </w:r>
            <w:r w:rsidRPr="00AF4D95">
              <w:rPr>
                <w:rFonts w:ascii="Times New Roman" w:hAnsi="Times New Roman"/>
                <w:noProof/>
                <w:webHidden/>
                <w:sz w:val="24"/>
                <w:szCs w:val="24"/>
              </w:rPr>
              <w:fldChar w:fldCharType="separate"/>
            </w:r>
            <w:r w:rsidRPr="00AF4D95">
              <w:rPr>
                <w:rFonts w:ascii="Times New Roman" w:hAnsi="Times New Roman"/>
                <w:noProof/>
                <w:webHidden/>
                <w:sz w:val="24"/>
                <w:szCs w:val="24"/>
              </w:rPr>
              <w:t>46</w:t>
            </w:r>
            <w:r w:rsidRPr="00AF4D95">
              <w:rPr>
                <w:rFonts w:ascii="Times New Roman" w:hAnsi="Times New Roman"/>
                <w:noProof/>
                <w:webHidden/>
                <w:sz w:val="24"/>
                <w:szCs w:val="24"/>
              </w:rPr>
              <w:fldChar w:fldCharType="end"/>
            </w:r>
          </w:hyperlink>
        </w:p>
        <w:p w14:paraId="413B58C2" w14:textId="53426AB4" w:rsidR="00A75177" w:rsidRPr="00AF4D95" w:rsidRDefault="00A75177">
          <w:pPr>
            <w:pStyle w:val="Inhopg1"/>
            <w:rPr>
              <w:rFonts w:ascii="Times New Roman" w:hAnsi="Times New Roman"/>
              <w:noProof/>
              <w:kern w:val="2"/>
              <w:sz w:val="28"/>
              <w:szCs w:val="28"/>
              <w14:ligatures w14:val="standardContextual"/>
            </w:rPr>
          </w:pPr>
          <w:hyperlink w:anchor="_Toc169873391" w:history="1">
            <w:r w:rsidRPr="00AF4D95">
              <w:rPr>
                <w:rStyle w:val="Hyperlink"/>
                <w:rFonts w:ascii="Times New Roman" w:eastAsia="Times New Roman" w:hAnsi="Times New Roman"/>
                <w:noProof/>
                <w:sz w:val="24"/>
                <w:szCs w:val="24"/>
                <w:lang w:val="en-GB"/>
              </w:rPr>
              <w:t>List of references</w:t>
            </w:r>
            <w:r w:rsidRPr="00AF4D95">
              <w:rPr>
                <w:rFonts w:ascii="Times New Roman" w:hAnsi="Times New Roman"/>
                <w:noProof/>
                <w:webHidden/>
                <w:sz w:val="24"/>
                <w:szCs w:val="24"/>
              </w:rPr>
              <w:tab/>
            </w:r>
            <w:r w:rsidRPr="00AF4D95">
              <w:rPr>
                <w:rFonts w:ascii="Times New Roman" w:hAnsi="Times New Roman"/>
                <w:noProof/>
                <w:webHidden/>
                <w:sz w:val="24"/>
                <w:szCs w:val="24"/>
              </w:rPr>
              <w:fldChar w:fldCharType="begin"/>
            </w:r>
            <w:r w:rsidRPr="00AF4D95">
              <w:rPr>
                <w:rFonts w:ascii="Times New Roman" w:hAnsi="Times New Roman"/>
                <w:noProof/>
                <w:webHidden/>
                <w:sz w:val="24"/>
                <w:szCs w:val="24"/>
              </w:rPr>
              <w:instrText xml:space="preserve"> PAGEREF _Toc169873391 \h </w:instrText>
            </w:r>
            <w:r w:rsidRPr="00AF4D95">
              <w:rPr>
                <w:rFonts w:ascii="Times New Roman" w:hAnsi="Times New Roman"/>
                <w:noProof/>
                <w:webHidden/>
                <w:sz w:val="24"/>
                <w:szCs w:val="24"/>
              </w:rPr>
            </w:r>
            <w:r w:rsidRPr="00AF4D95">
              <w:rPr>
                <w:rFonts w:ascii="Times New Roman" w:hAnsi="Times New Roman"/>
                <w:noProof/>
                <w:webHidden/>
                <w:sz w:val="24"/>
                <w:szCs w:val="24"/>
              </w:rPr>
              <w:fldChar w:fldCharType="separate"/>
            </w:r>
            <w:r w:rsidRPr="00AF4D95">
              <w:rPr>
                <w:rFonts w:ascii="Times New Roman" w:hAnsi="Times New Roman"/>
                <w:noProof/>
                <w:webHidden/>
                <w:sz w:val="24"/>
                <w:szCs w:val="24"/>
              </w:rPr>
              <w:t>49</w:t>
            </w:r>
            <w:r w:rsidRPr="00AF4D95">
              <w:rPr>
                <w:rFonts w:ascii="Times New Roman" w:hAnsi="Times New Roman"/>
                <w:noProof/>
                <w:webHidden/>
                <w:sz w:val="24"/>
                <w:szCs w:val="24"/>
              </w:rPr>
              <w:fldChar w:fldCharType="end"/>
            </w:r>
          </w:hyperlink>
        </w:p>
        <w:p w14:paraId="2C6D6377" w14:textId="1CC8DEB3" w:rsidR="40EE5880" w:rsidRDefault="40EE5880" w:rsidP="00741210">
          <w:pPr>
            <w:pStyle w:val="Inhopg1"/>
            <w:rPr>
              <w:rStyle w:val="Hyperlink"/>
            </w:rPr>
          </w:pPr>
          <w:r w:rsidRPr="00741210">
            <w:rPr>
              <w:sz w:val="24"/>
              <w:szCs w:val="24"/>
            </w:rPr>
            <w:fldChar w:fldCharType="end"/>
          </w:r>
        </w:p>
      </w:sdtContent>
    </w:sdt>
    <w:p w14:paraId="67FE647F" w14:textId="5F399E07" w:rsidR="00F325C6" w:rsidRDefault="00F325C6"/>
    <w:p w14:paraId="4510FE10" w14:textId="3E9BDCF6" w:rsidR="00F325C6" w:rsidRDefault="00F325C6" w:rsidP="00F325C6">
      <w:pPr>
        <w:pStyle w:val="Kop1"/>
        <w:rPr>
          <w:rFonts w:ascii="Times New Roman" w:hAnsi="Times New Roman" w:cs="Times New Roman"/>
          <w:color w:val="auto"/>
          <w:sz w:val="40"/>
          <w:szCs w:val="40"/>
        </w:rPr>
      </w:pPr>
      <w:r w:rsidRPr="00F325C6">
        <w:br w:type="page"/>
      </w:r>
    </w:p>
    <w:p w14:paraId="7DAC6FBE" w14:textId="77777777" w:rsidR="00F325C6" w:rsidRDefault="00F325C6" w:rsidP="006A780F">
      <w:pPr>
        <w:pStyle w:val="Kop1"/>
        <w:jc w:val="both"/>
        <w:rPr>
          <w:rFonts w:ascii="Times New Roman" w:hAnsi="Times New Roman" w:cs="Times New Roman"/>
          <w:color w:val="000000" w:themeColor="text1"/>
          <w:sz w:val="40"/>
          <w:szCs w:val="40"/>
        </w:rPr>
      </w:pPr>
      <w:bookmarkStart w:id="2" w:name="_Toc169873370"/>
      <w:r w:rsidRPr="40EE5880">
        <w:rPr>
          <w:rFonts w:ascii="Times New Roman" w:hAnsi="Times New Roman" w:cs="Times New Roman"/>
          <w:color w:val="000000" w:themeColor="text1"/>
          <w:sz w:val="40"/>
          <w:szCs w:val="40"/>
        </w:rPr>
        <w:lastRenderedPageBreak/>
        <w:t>List of abbreviations</w:t>
      </w:r>
      <w:bookmarkEnd w:id="2"/>
    </w:p>
    <w:p w14:paraId="5B47D298" w14:textId="77777777" w:rsidR="00F325C6" w:rsidRPr="008F24E8" w:rsidRDefault="00F325C6" w:rsidP="00F325C6"/>
    <w:tbl>
      <w:tblPr>
        <w:tblStyle w:val="Onopgemaaktetabel2"/>
        <w:tblW w:w="0" w:type="auto"/>
        <w:tblLook w:val="04A0" w:firstRow="1" w:lastRow="0" w:firstColumn="1" w:lastColumn="0" w:noHBand="0" w:noVBand="1"/>
      </w:tblPr>
      <w:tblGrid>
        <w:gridCol w:w="4531"/>
        <w:gridCol w:w="4531"/>
      </w:tblGrid>
      <w:tr w:rsidR="0091110E" w14:paraId="6C52F00A" w14:textId="77777777" w:rsidTr="00D2227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1" w:type="dxa"/>
          </w:tcPr>
          <w:p w14:paraId="183F6F3F" w14:textId="337BAE27" w:rsidR="0091110E" w:rsidRDefault="0091110E" w:rsidP="0091110E">
            <w:pPr>
              <w:jc w:val="both"/>
              <w:rPr>
                <w:rFonts w:ascii="Times New Roman" w:hAnsi="Times New Roman" w:cs="Times New Roman"/>
                <w:sz w:val="24"/>
                <w:szCs w:val="24"/>
              </w:rPr>
            </w:pPr>
            <w:r>
              <w:rPr>
                <w:rFonts w:ascii="Times New Roman" w:hAnsi="Times New Roman" w:cs="Times New Roman"/>
                <w:sz w:val="24"/>
                <w:szCs w:val="24"/>
              </w:rPr>
              <w:t>EC</w:t>
            </w:r>
          </w:p>
        </w:tc>
        <w:tc>
          <w:tcPr>
            <w:tcW w:w="4531" w:type="dxa"/>
          </w:tcPr>
          <w:p w14:paraId="549B7E8E" w14:textId="152D9697" w:rsidR="0091110E" w:rsidRPr="00D2227B" w:rsidRDefault="0091110E" w:rsidP="0091110E">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lang w:val="en-GB"/>
              </w:rPr>
            </w:pPr>
            <w:r w:rsidRPr="00D2227B">
              <w:rPr>
                <w:rFonts w:ascii="Times New Roman" w:hAnsi="Times New Roman" w:cs="Times New Roman"/>
                <w:b w:val="0"/>
                <w:bCs w:val="0"/>
                <w:sz w:val="24"/>
                <w:szCs w:val="24"/>
                <w:lang w:val="en-GB"/>
              </w:rPr>
              <w:t>European Commission</w:t>
            </w:r>
          </w:p>
        </w:tc>
      </w:tr>
      <w:tr w:rsidR="0091110E" w:rsidRPr="00A75177" w14:paraId="61CA3396" w14:textId="77777777" w:rsidTr="00D2227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1" w:type="dxa"/>
          </w:tcPr>
          <w:p w14:paraId="6CAA30A7" w14:textId="4588CD9E" w:rsidR="0091110E" w:rsidRDefault="0091110E" w:rsidP="0091110E">
            <w:pPr>
              <w:jc w:val="both"/>
              <w:rPr>
                <w:rFonts w:ascii="Times New Roman" w:hAnsi="Times New Roman" w:cs="Times New Roman"/>
                <w:sz w:val="24"/>
                <w:szCs w:val="24"/>
                <w:lang w:val="en-GB"/>
              </w:rPr>
            </w:pPr>
            <w:r>
              <w:rPr>
                <w:rFonts w:ascii="Times New Roman" w:hAnsi="Times New Roman" w:cs="Times New Roman"/>
                <w:sz w:val="24"/>
                <w:szCs w:val="24"/>
                <w:lang w:val="en-GB"/>
              </w:rPr>
              <w:t>ECoR</w:t>
            </w:r>
          </w:p>
        </w:tc>
        <w:tc>
          <w:tcPr>
            <w:tcW w:w="4531" w:type="dxa"/>
          </w:tcPr>
          <w:p w14:paraId="5819687C" w14:textId="2C450269" w:rsidR="0091110E" w:rsidRPr="00D2227B" w:rsidRDefault="0091110E" w:rsidP="0091110E">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D2227B">
              <w:rPr>
                <w:rFonts w:ascii="Times New Roman" w:hAnsi="Times New Roman" w:cs="Times New Roman"/>
                <w:sz w:val="24"/>
                <w:szCs w:val="24"/>
                <w:lang w:val="en-GB"/>
              </w:rPr>
              <w:t>European Committee of the Regions</w:t>
            </w:r>
          </w:p>
        </w:tc>
      </w:tr>
      <w:tr w:rsidR="0091110E" w:rsidRPr="00A75177" w14:paraId="62B1D4F6" w14:textId="77777777" w:rsidTr="00D2227B">
        <w:tc>
          <w:tcPr>
            <w:cnfStyle w:val="001000000000" w:firstRow="0" w:lastRow="0" w:firstColumn="1" w:lastColumn="0" w:oddVBand="0" w:evenVBand="0" w:oddHBand="0" w:evenHBand="0" w:firstRowFirstColumn="0" w:firstRowLastColumn="0" w:lastRowFirstColumn="0" w:lastRowLastColumn="0"/>
            <w:tcW w:w="4531" w:type="dxa"/>
          </w:tcPr>
          <w:p w14:paraId="0F62548F" w14:textId="2AFBCA5B" w:rsidR="0091110E" w:rsidRDefault="0091110E" w:rsidP="0091110E">
            <w:pPr>
              <w:jc w:val="both"/>
              <w:rPr>
                <w:rFonts w:ascii="Times New Roman" w:hAnsi="Times New Roman" w:cs="Times New Roman"/>
                <w:sz w:val="24"/>
                <w:szCs w:val="24"/>
                <w:lang w:val="en-GB"/>
              </w:rPr>
            </w:pPr>
            <w:r>
              <w:rPr>
                <w:rFonts w:ascii="Times New Roman" w:hAnsi="Times New Roman" w:cs="Times New Roman"/>
                <w:sz w:val="24"/>
                <w:szCs w:val="24"/>
                <w:lang w:val="en-GB"/>
              </w:rPr>
              <w:t>ECR</w:t>
            </w:r>
          </w:p>
        </w:tc>
        <w:tc>
          <w:tcPr>
            <w:tcW w:w="4531" w:type="dxa"/>
          </w:tcPr>
          <w:p w14:paraId="4A52B9E1" w14:textId="2A02F8C2" w:rsidR="0091110E" w:rsidRPr="00D2227B" w:rsidRDefault="0091110E" w:rsidP="0091110E">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D2227B">
              <w:rPr>
                <w:rFonts w:ascii="Times New Roman" w:hAnsi="Times New Roman" w:cs="Times New Roman"/>
                <w:sz w:val="24"/>
                <w:szCs w:val="24"/>
                <w:lang w:val="en-GB"/>
              </w:rPr>
              <w:t>European</w:t>
            </w:r>
            <w:r w:rsidR="00F651BB">
              <w:rPr>
                <w:rFonts w:ascii="Times New Roman" w:hAnsi="Times New Roman" w:cs="Times New Roman"/>
                <w:sz w:val="24"/>
                <w:szCs w:val="24"/>
                <w:lang w:val="en-GB"/>
              </w:rPr>
              <w:t xml:space="preserve"> </w:t>
            </w:r>
            <w:r w:rsidRPr="00D2227B">
              <w:rPr>
                <w:rFonts w:ascii="Times New Roman" w:hAnsi="Times New Roman" w:cs="Times New Roman"/>
                <w:sz w:val="24"/>
                <w:szCs w:val="24"/>
                <w:lang w:val="en-GB"/>
              </w:rPr>
              <w:t>Conservatists and Reformists, party group in the European Parliament</w:t>
            </w:r>
          </w:p>
        </w:tc>
      </w:tr>
      <w:tr w:rsidR="0091110E" w14:paraId="0E14E0DB" w14:textId="77777777" w:rsidTr="00D2227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1" w:type="dxa"/>
          </w:tcPr>
          <w:p w14:paraId="60525E1C" w14:textId="2965005B" w:rsidR="0091110E" w:rsidRDefault="0091110E" w:rsidP="0091110E">
            <w:pPr>
              <w:jc w:val="both"/>
              <w:rPr>
                <w:rFonts w:ascii="Times New Roman" w:hAnsi="Times New Roman" w:cs="Times New Roman"/>
                <w:sz w:val="24"/>
                <w:szCs w:val="24"/>
              </w:rPr>
            </w:pPr>
            <w:r>
              <w:rPr>
                <w:rFonts w:ascii="Times New Roman" w:hAnsi="Times New Roman" w:cs="Times New Roman"/>
                <w:sz w:val="24"/>
                <w:szCs w:val="24"/>
                <w:lang w:val="en-GB"/>
              </w:rPr>
              <w:t>EEAS</w:t>
            </w:r>
          </w:p>
        </w:tc>
        <w:tc>
          <w:tcPr>
            <w:tcW w:w="4531" w:type="dxa"/>
          </w:tcPr>
          <w:p w14:paraId="52F14C9C" w14:textId="22CB6A8B" w:rsidR="0091110E" w:rsidRPr="00D2227B" w:rsidRDefault="0091110E" w:rsidP="0091110E">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D2227B">
              <w:rPr>
                <w:rFonts w:ascii="Times New Roman" w:hAnsi="Times New Roman" w:cs="Times New Roman"/>
                <w:sz w:val="24"/>
                <w:szCs w:val="24"/>
                <w:lang w:val="en-GB"/>
              </w:rPr>
              <w:t>European External Action Service</w:t>
            </w:r>
          </w:p>
        </w:tc>
      </w:tr>
      <w:tr w:rsidR="0091110E" w14:paraId="5FD4FAA1" w14:textId="77777777" w:rsidTr="00D2227B">
        <w:tc>
          <w:tcPr>
            <w:cnfStyle w:val="001000000000" w:firstRow="0" w:lastRow="0" w:firstColumn="1" w:lastColumn="0" w:oddVBand="0" w:evenVBand="0" w:oddHBand="0" w:evenHBand="0" w:firstRowFirstColumn="0" w:firstRowLastColumn="0" w:lastRowFirstColumn="0" w:lastRowLastColumn="0"/>
            <w:tcW w:w="4531" w:type="dxa"/>
          </w:tcPr>
          <w:p w14:paraId="0DB2E6CE" w14:textId="78E0C915" w:rsidR="0091110E" w:rsidRDefault="0091110E" w:rsidP="0091110E">
            <w:pPr>
              <w:jc w:val="both"/>
              <w:rPr>
                <w:rFonts w:ascii="Times New Roman" w:hAnsi="Times New Roman" w:cs="Times New Roman"/>
                <w:sz w:val="24"/>
                <w:szCs w:val="24"/>
                <w:lang w:val="en-GB"/>
              </w:rPr>
            </w:pPr>
            <w:r>
              <w:rPr>
                <w:rFonts w:ascii="Times New Roman" w:hAnsi="Times New Roman" w:cs="Times New Roman"/>
                <w:sz w:val="24"/>
                <w:szCs w:val="24"/>
                <w:lang w:val="en-GB"/>
              </w:rPr>
              <w:t>EEC</w:t>
            </w:r>
          </w:p>
        </w:tc>
        <w:tc>
          <w:tcPr>
            <w:tcW w:w="4531" w:type="dxa"/>
          </w:tcPr>
          <w:p w14:paraId="234D196C" w14:textId="628F1147" w:rsidR="0091110E" w:rsidRPr="00D2227B" w:rsidRDefault="0091110E" w:rsidP="0091110E">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D2227B">
              <w:rPr>
                <w:rFonts w:ascii="Times New Roman" w:hAnsi="Times New Roman" w:cs="Times New Roman"/>
                <w:sz w:val="24"/>
                <w:szCs w:val="24"/>
                <w:lang w:val="en-GB"/>
              </w:rPr>
              <w:t>European Economic Community</w:t>
            </w:r>
          </w:p>
        </w:tc>
      </w:tr>
      <w:tr w:rsidR="0091110E" w14:paraId="2D0AA3F6" w14:textId="77777777" w:rsidTr="00D2227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1" w:type="dxa"/>
          </w:tcPr>
          <w:p w14:paraId="204E242A" w14:textId="0BEBEE5B" w:rsidR="0091110E" w:rsidRDefault="0091110E" w:rsidP="0091110E">
            <w:pPr>
              <w:jc w:val="both"/>
              <w:rPr>
                <w:rFonts w:ascii="Times New Roman" w:hAnsi="Times New Roman" w:cs="Times New Roman"/>
                <w:sz w:val="24"/>
                <w:szCs w:val="24"/>
                <w:lang w:val="en-GB"/>
              </w:rPr>
            </w:pPr>
            <w:r>
              <w:rPr>
                <w:rFonts w:ascii="Times New Roman" w:hAnsi="Times New Roman" w:cs="Times New Roman"/>
                <w:sz w:val="24"/>
                <w:szCs w:val="24"/>
              </w:rPr>
              <w:t>EMP</w:t>
            </w:r>
          </w:p>
        </w:tc>
        <w:tc>
          <w:tcPr>
            <w:tcW w:w="4531" w:type="dxa"/>
          </w:tcPr>
          <w:p w14:paraId="70CE150E" w14:textId="06AE737E" w:rsidR="0091110E" w:rsidRPr="00D2227B" w:rsidRDefault="0091110E" w:rsidP="0091110E">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D2227B">
              <w:rPr>
                <w:rFonts w:ascii="Times New Roman" w:hAnsi="Times New Roman" w:cs="Times New Roman"/>
                <w:sz w:val="24"/>
                <w:szCs w:val="24"/>
                <w:lang w:val="en-GB"/>
              </w:rPr>
              <w:t xml:space="preserve">European </w:t>
            </w:r>
            <w:r w:rsidR="00D2227B" w:rsidRPr="00D2227B">
              <w:rPr>
                <w:rFonts w:ascii="Times New Roman" w:hAnsi="Times New Roman" w:cs="Times New Roman"/>
                <w:sz w:val="24"/>
                <w:szCs w:val="24"/>
                <w:lang w:val="en-GB"/>
              </w:rPr>
              <w:t>Mediterranean</w:t>
            </w:r>
            <w:r w:rsidRPr="00D2227B">
              <w:rPr>
                <w:rFonts w:ascii="Times New Roman" w:hAnsi="Times New Roman" w:cs="Times New Roman"/>
                <w:sz w:val="24"/>
                <w:szCs w:val="24"/>
                <w:lang w:val="en-GB"/>
              </w:rPr>
              <w:t xml:space="preserve"> Partnership</w:t>
            </w:r>
          </w:p>
        </w:tc>
      </w:tr>
      <w:tr w:rsidR="0091110E" w14:paraId="5A462A1E" w14:textId="77777777" w:rsidTr="00D2227B">
        <w:tc>
          <w:tcPr>
            <w:cnfStyle w:val="001000000000" w:firstRow="0" w:lastRow="0" w:firstColumn="1" w:lastColumn="0" w:oddVBand="0" w:evenVBand="0" w:oddHBand="0" w:evenHBand="0" w:firstRowFirstColumn="0" w:firstRowLastColumn="0" w:lastRowFirstColumn="0" w:lastRowLastColumn="0"/>
            <w:tcW w:w="4531" w:type="dxa"/>
          </w:tcPr>
          <w:p w14:paraId="6D66F3BF" w14:textId="77777777" w:rsidR="0091110E" w:rsidRDefault="0091110E" w:rsidP="0091110E">
            <w:pPr>
              <w:jc w:val="both"/>
              <w:rPr>
                <w:rFonts w:ascii="Times New Roman" w:hAnsi="Times New Roman" w:cs="Times New Roman"/>
                <w:sz w:val="24"/>
                <w:szCs w:val="24"/>
              </w:rPr>
            </w:pPr>
            <w:r>
              <w:rPr>
                <w:rFonts w:ascii="Times New Roman" w:hAnsi="Times New Roman" w:cs="Times New Roman"/>
                <w:sz w:val="24"/>
                <w:szCs w:val="24"/>
              </w:rPr>
              <w:t>ENP</w:t>
            </w:r>
          </w:p>
        </w:tc>
        <w:tc>
          <w:tcPr>
            <w:tcW w:w="4531" w:type="dxa"/>
          </w:tcPr>
          <w:p w14:paraId="21A1E11F" w14:textId="77777777" w:rsidR="0091110E" w:rsidRPr="00D2227B" w:rsidRDefault="0091110E" w:rsidP="0091110E">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4"/>
                <w:szCs w:val="24"/>
                <w:lang w:val="en-GB"/>
              </w:rPr>
            </w:pPr>
            <w:r w:rsidRPr="00D2227B">
              <w:rPr>
                <w:rFonts w:ascii="Times New Roman" w:hAnsi="Times New Roman" w:cs="Times New Roman"/>
                <w:sz w:val="24"/>
                <w:szCs w:val="24"/>
                <w:lang w:val="en-GB"/>
              </w:rPr>
              <w:t>European Neighbourhood Policy</w:t>
            </w:r>
          </w:p>
        </w:tc>
      </w:tr>
      <w:tr w:rsidR="0091110E" w:rsidRPr="0091110E" w14:paraId="6382A8CF" w14:textId="77777777" w:rsidTr="00D2227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1" w:type="dxa"/>
          </w:tcPr>
          <w:p w14:paraId="797B4D34" w14:textId="1C0361AF" w:rsidR="0091110E" w:rsidRDefault="0091110E" w:rsidP="0091110E">
            <w:pPr>
              <w:jc w:val="both"/>
              <w:rPr>
                <w:rFonts w:ascii="Times New Roman" w:hAnsi="Times New Roman" w:cs="Times New Roman"/>
                <w:sz w:val="24"/>
                <w:szCs w:val="24"/>
                <w:lang w:val="en-GB"/>
              </w:rPr>
            </w:pPr>
            <w:r>
              <w:rPr>
                <w:rFonts w:ascii="Times New Roman" w:hAnsi="Times New Roman" w:cs="Times New Roman"/>
                <w:sz w:val="24"/>
                <w:szCs w:val="24"/>
                <w:lang w:val="en-GB"/>
              </w:rPr>
              <w:t>EP</w:t>
            </w:r>
          </w:p>
        </w:tc>
        <w:tc>
          <w:tcPr>
            <w:tcW w:w="4531" w:type="dxa"/>
          </w:tcPr>
          <w:p w14:paraId="0A4DBE1A" w14:textId="48C7349D" w:rsidR="0091110E" w:rsidRPr="00D2227B" w:rsidRDefault="0091110E" w:rsidP="0091110E">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D2227B">
              <w:rPr>
                <w:rFonts w:ascii="Times New Roman" w:hAnsi="Times New Roman" w:cs="Times New Roman"/>
                <w:sz w:val="24"/>
                <w:szCs w:val="24"/>
                <w:lang w:val="en-GB"/>
              </w:rPr>
              <w:t>European Parliament</w:t>
            </w:r>
          </w:p>
        </w:tc>
      </w:tr>
      <w:tr w:rsidR="0091110E" w:rsidRPr="00A75177" w14:paraId="7BE8AA22" w14:textId="77777777" w:rsidTr="00D2227B">
        <w:tc>
          <w:tcPr>
            <w:cnfStyle w:val="001000000000" w:firstRow="0" w:lastRow="0" w:firstColumn="1" w:lastColumn="0" w:oddVBand="0" w:evenVBand="0" w:oddHBand="0" w:evenHBand="0" w:firstRowFirstColumn="0" w:firstRowLastColumn="0" w:lastRowFirstColumn="0" w:lastRowLastColumn="0"/>
            <w:tcW w:w="4531" w:type="dxa"/>
          </w:tcPr>
          <w:p w14:paraId="7B81D981" w14:textId="2854ACAF" w:rsidR="0091110E" w:rsidRDefault="0091110E" w:rsidP="0091110E">
            <w:pPr>
              <w:jc w:val="both"/>
              <w:rPr>
                <w:rFonts w:ascii="Times New Roman" w:hAnsi="Times New Roman" w:cs="Times New Roman"/>
                <w:sz w:val="24"/>
                <w:szCs w:val="24"/>
              </w:rPr>
            </w:pPr>
            <w:r>
              <w:rPr>
                <w:rFonts w:ascii="Times New Roman" w:hAnsi="Times New Roman" w:cs="Times New Roman"/>
                <w:sz w:val="24"/>
                <w:szCs w:val="24"/>
                <w:lang w:val="en-GB"/>
              </w:rPr>
              <w:t>EPP</w:t>
            </w:r>
          </w:p>
        </w:tc>
        <w:tc>
          <w:tcPr>
            <w:tcW w:w="4531" w:type="dxa"/>
          </w:tcPr>
          <w:p w14:paraId="3F821190" w14:textId="53718F0A" w:rsidR="0091110E" w:rsidRPr="00D2227B" w:rsidRDefault="0091110E" w:rsidP="0091110E">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D2227B">
              <w:rPr>
                <w:rFonts w:ascii="Times New Roman" w:hAnsi="Times New Roman" w:cs="Times New Roman"/>
                <w:sz w:val="24"/>
                <w:szCs w:val="24"/>
                <w:lang w:val="en-GB"/>
              </w:rPr>
              <w:t>European People’s Party, party group in the European Parliament</w:t>
            </w:r>
          </w:p>
        </w:tc>
      </w:tr>
      <w:tr w:rsidR="0091110E" w14:paraId="22638772" w14:textId="77777777" w:rsidTr="00D2227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1" w:type="dxa"/>
          </w:tcPr>
          <w:p w14:paraId="50CAA228" w14:textId="77777777" w:rsidR="0091110E" w:rsidRDefault="0091110E" w:rsidP="0091110E">
            <w:pPr>
              <w:jc w:val="both"/>
              <w:rPr>
                <w:rFonts w:ascii="Times New Roman" w:hAnsi="Times New Roman" w:cs="Times New Roman"/>
                <w:sz w:val="24"/>
                <w:szCs w:val="24"/>
              </w:rPr>
            </w:pPr>
            <w:r>
              <w:rPr>
                <w:rFonts w:ascii="Times New Roman" w:hAnsi="Times New Roman" w:cs="Times New Roman"/>
                <w:sz w:val="24"/>
                <w:szCs w:val="24"/>
              </w:rPr>
              <w:t>EU</w:t>
            </w:r>
          </w:p>
        </w:tc>
        <w:tc>
          <w:tcPr>
            <w:tcW w:w="4531" w:type="dxa"/>
          </w:tcPr>
          <w:p w14:paraId="08BBA988" w14:textId="77777777" w:rsidR="0091110E" w:rsidRPr="00D2227B" w:rsidRDefault="0091110E" w:rsidP="0091110E">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D2227B">
              <w:rPr>
                <w:rFonts w:ascii="Times New Roman" w:hAnsi="Times New Roman" w:cs="Times New Roman"/>
                <w:sz w:val="24"/>
                <w:szCs w:val="24"/>
                <w:lang w:val="en-GB"/>
              </w:rPr>
              <w:t>European Union</w:t>
            </w:r>
          </w:p>
        </w:tc>
      </w:tr>
      <w:tr w:rsidR="0091110E" w:rsidRPr="00A75177" w14:paraId="1B91E1B8" w14:textId="77777777" w:rsidTr="00D2227B">
        <w:tc>
          <w:tcPr>
            <w:cnfStyle w:val="001000000000" w:firstRow="0" w:lastRow="0" w:firstColumn="1" w:lastColumn="0" w:oddVBand="0" w:evenVBand="0" w:oddHBand="0" w:evenHBand="0" w:firstRowFirstColumn="0" w:firstRowLastColumn="0" w:lastRowFirstColumn="0" w:lastRowLastColumn="0"/>
            <w:tcW w:w="4531" w:type="dxa"/>
          </w:tcPr>
          <w:p w14:paraId="5F4FED5D" w14:textId="0C0AF431" w:rsidR="0091110E" w:rsidRDefault="0091110E" w:rsidP="0091110E">
            <w:pPr>
              <w:jc w:val="both"/>
              <w:rPr>
                <w:rFonts w:ascii="Times New Roman" w:hAnsi="Times New Roman" w:cs="Times New Roman"/>
                <w:sz w:val="24"/>
                <w:szCs w:val="24"/>
              </w:rPr>
            </w:pPr>
            <w:r>
              <w:rPr>
                <w:rFonts w:ascii="Times New Roman" w:hAnsi="Times New Roman" w:cs="Times New Roman"/>
                <w:sz w:val="24"/>
                <w:szCs w:val="24"/>
                <w:lang w:val="en-GB"/>
              </w:rPr>
              <w:t>HR</w:t>
            </w:r>
          </w:p>
        </w:tc>
        <w:tc>
          <w:tcPr>
            <w:tcW w:w="4531" w:type="dxa"/>
          </w:tcPr>
          <w:p w14:paraId="1851F788" w14:textId="1B46C5C2" w:rsidR="0091110E" w:rsidRPr="00D2227B" w:rsidRDefault="0091110E" w:rsidP="0091110E">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D2227B">
              <w:rPr>
                <w:rFonts w:ascii="Times New Roman" w:hAnsi="Times New Roman" w:cs="Times New Roman"/>
                <w:sz w:val="24"/>
                <w:szCs w:val="24"/>
                <w:lang w:val="en-GB"/>
              </w:rPr>
              <w:t>High Representative for Foreign Affairs</w:t>
            </w:r>
          </w:p>
        </w:tc>
      </w:tr>
      <w:tr w:rsidR="0091110E" w:rsidRPr="00A75177" w14:paraId="4AA76B46" w14:textId="77777777" w:rsidTr="00D2227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1" w:type="dxa"/>
          </w:tcPr>
          <w:p w14:paraId="468D03FE" w14:textId="22296CFD" w:rsidR="0091110E" w:rsidRPr="0091110E" w:rsidRDefault="0091110E" w:rsidP="0091110E">
            <w:pPr>
              <w:jc w:val="both"/>
              <w:rPr>
                <w:rFonts w:ascii="Times New Roman" w:hAnsi="Times New Roman" w:cs="Times New Roman"/>
                <w:sz w:val="24"/>
                <w:szCs w:val="24"/>
                <w:lang w:val="en-GB"/>
              </w:rPr>
            </w:pPr>
            <w:r>
              <w:rPr>
                <w:rFonts w:ascii="Times New Roman" w:hAnsi="Times New Roman" w:cs="Times New Roman"/>
                <w:sz w:val="24"/>
                <w:szCs w:val="24"/>
                <w:lang w:val="en-GB"/>
              </w:rPr>
              <w:t>I&amp;D</w:t>
            </w:r>
          </w:p>
        </w:tc>
        <w:tc>
          <w:tcPr>
            <w:tcW w:w="4531" w:type="dxa"/>
          </w:tcPr>
          <w:p w14:paraId="2ADF114C" w14:textId="2A46E633" w:rsidR="0091110E" w:rsidRPr="00D2227B" w:rsidRDefault="0091110E" w:rsidP="0091110E">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D2227B">
              <w:rPr>
                <w:rFonts w:ascii="Times New Roman" w:hAnsi="Times New Roman" w:cs="Times New Roman"/>
                <w:sz w:val="24"/>
                <w:szCs w:val="24"/>
                <w:lang w:val="en-GB"/>
              </w:rPr>
              <w:t>Identity and Democracy, party group in the European Parliament</w:t>
            </w:r>
          </w:p>
        </w:tc>
      </w:tr>
      <w:tr w:rsidR="0091110E" w:rsidRPr="00A75177" w14:paraId="111A78EA" w14:textId="77777777" w:rsidTr="00D2227B">
        <w:tc>
          <w:tcPr>
            <w:cnfStyle w:val="001000000000" w:firstRow="0" w:lastRow="0" w:firstColumn="1" w:lastColumn="0" w:oddVBand="0" w:evenVBand="0" w:oddHBand="0" w:evenHBand="0" w:firstRowFirstColumn="0" w:firstRowLastColumn="0" w:lastRowFirstColumn="0" w:lastRowLastColumn="0"/>
            <w:tcW w:w="4531" w:type="dxa"/>
          </w:tcPr>
          <w:p w14:paraId="441BD750" w14:textId="53B2A32D" w:rsidR="0091110E" w:rsidRDefault="0091110E" w:rsidP="0091110E">
            <w:pPr>
              <w:jc w:val="both"/>
              <w:rPr>
                <w:rFonts w:ascii="Times New Roman" w:hAnsi="Times New Roman" w:cs="Times New Roman"/>
                <w:sz w:val="24"/>
                <w:szCs w:val="24"/>
              </w:rPr>
            </w:pPr>
            <w:r>
              <w:rPr>
                <w:rFonts w:ascii="Times New Roman" w:hAnsi="Times New Roman" w:cs="Times New Roman"/>
                <w:sz w:val="24"/>
                <w:szCs w:val="24"/>
                <w:lang w:val="en-GB"/>
              </w:rPr>
              <w:t>MEP</w:t>
            </w:r>
          </w:p>
        </w:tc>
        <w:tc>
          <w:tcPr>
            <w:tcW w:w="4531" w:type="dxa"/>
          </w:tcPr>
          <w:p w14:paraId="7B1FE17D" w14:textId="072AD902" w:rsidR="0091110E" w:rsidRPr="00D2227B" w:rsidRDefault="0091110E" w:rsidP="0091110E">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D2227B">
              <w:rPr>
                <w:rFonts w:ascii="Times New Roman" w:hAnsi="Times New Roman" w:cs="Times New Roman"/>
                <w:sz w:val="24"/>
                <w:szCs w:val="24"/>
                <w:lang w:val="en-GB"/>
              </w:rPr>
              <w:t>Member of the European Parliament</w:t>
            </w:r>
          </w:p>
        </w:tc>
      </w:tr>
      <w:tr w:rsidR="0091110E" w:rsidRPr="00415A11" w14:paraId="60859366" w14:textId="77777777" w:rsidTr="00D2227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1" w:type="dxa"/>
          </w:tcPr>
          <w:p w14:paraId="4202FC59" w14:textId="04F7751C" w:rsidR="0091110E" w:rsidRDefault="0091110E" w:rsidP="0091110E">
            <w:pPr>
              <w:jc w:val="both"/>
              <w:rPr>
                <w:rFonts w:ascii="Times New Roman" w:hAnsi="Times New Roman" w:cs="Times New Roman"/>
                <w:sz w:val="24"/>
                <w:szCs w:val="24"/>
              </w:rPr>
            </w:pPr>
            <w:r>
              <w:rPr>
                <w:rFonts w:ascii="Times New Roman" w:hAnsi="Times New Roman" w:cs="Times New Roman"/>
                <w:sz w:val="24"/>
                <w:szCs w:val="24"/>
                <w:lang w:val="en-GB"/>
              </w:rPr>
              <w:t>MPE</w:t>
            </w:r>
          </w:p>
        </w:tc>
        <w:tc>
          <w:tcPr>
            <w:tcW w:w="4531" w:type="dxa"/>
          </w:tcPr>
          <w:p w14:paraId="0797AAF1" w14:textId="24547556" w:rsidR="0091110E" w:rsidRPr="00D2227B" w:rsidRDefault="0091110E" w:rsidP="0091110E">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D2227B">
              <w:rPr>
                <w:rFonts w:ascii="Times New Roman" w:hAnsi="Times New Roman" w:cs="Times New Roman"/>
                <w:sz w:val="24"/>
                <w:szCs w:val="24"/>
                <w:lang w:val="en-GB"/>
              </w:rPr>
              <w:t>Market Power Europe</w:t>
            </w:r>
          </w:p>
        </w:tc>
      </w:tr>
      <w:tr w:rsidR="0091110E" w:rsidRPr="00415A11" w14:paraId="0012EF67" w14:textId="77777777" w:rsidTr="00D2227B">
        <w:tc>
          <w:tcPr>
            <w:cnfStyle w:val="001000000000" w:firstRow="0" w:lastRow="0" w:firstColumn="1" w:lastColumn="0" w:oddVBand="0" w:evenVBand="0" w:oddHBand="0" w:evenHBand="0" w:firstRowFirstColumn="0" w:firstRowLastColumn="0" w:lastRowFirstColumn="0" w:lastRowLastColumn="0"/>
            <w:tcW w:w="4531" w:type="dxa"/>
          </w:tcPr>
          <w:p w14:paraId="225CED22" w14:textId="572626A1" w:rsidR="0091110E" w:rsidRDefault="0091110E" w:rsidP="0091110E">
            <w:pPr>
              <w:jc w:val="both"/>
              <w:rPr>
                <w:rFonts w:ascii="Times New Roman" w:hAnsi="Times New Roman" w:cs="Times New Roman"/>
                <w:sz w:val="24"/>
                <w:szCs w:val="24"/>
              </w:rPr>
            </w:pPr>
            <w:r>
              <w:rPr>
                <w:rFonts w:ascii="Times New Roman" w:hAnsi="Times New Roman" w:cs="Times New Roman"/>
                <w:sz w:val="24"/>
                <w:szCs w:val="24"/>
                <w:lang w:val="en-GB"/>
              </w:rPr>
              <w:t>NPE</w:t>
            </w:r>
          </w:p>
        </w:tc>
        <w:tc>
          <w:tcPr>
            <w:tcW w:w="4531" w:type="dxa"/>
          </w:tcPr>
          <w:p w14:paraId="6201F4A3" w14:textId="6DA4C5C7" w:rsidR="0091110E" w:rsidRPr="00D2227B" w:rsidRDefault="0091110E" w:rsidP="0091110E">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D2227B">
              <w:rPr>
                <w:rFonts w:ascii="Times New Roman" w:hAnsi="Times New Roman" w:cs="Times New Roman"/>
                <w:sz w:val="24"/>
                <w:szCs w:val="24"/>
                <w:lang w:val="en-GB"/>
              </w:rPr>
              <w:t>Normative Power Europe</w:t>
            </w:r>
          </w:p>
        </w:tc>
      </w:tr>
      <w:tr w:rsidR="0091110E" w:rsidRPr="00A75177" w14:paraId="418A37F4" w14:textId="77777777" w:rsidTr="00D2227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1" w:type="dxa"/>
          </w:tcPr>
          <w:p w14:paraId="54001E59" w14:textId="1424DE4D" w:rsidR="0091110E" w:rsidRDefault="0091110E" w:rsidP="0091110E">
            <w:pPr>
              <w:jc w:val="both"/>
              <w:rPr>
                <w:rFonts w:ascii="Times New Roman" w:hAnsi="Times New Roman" w:cs="Times New Roman"/>
                <w:sz w:val="24"/>
                <w:szCs w:val="24"/>
              </w:rPr>
            </w:pPr>
            <w:r>
              <w:rPr>
                <w:rFonts w:ascii="Times New Roman" w:hAnsi="Times New Roman" w:cs="Times New Roman"/>
                <w:sz w:val="24"/>
                <w:szCs w:val="24"/>
                <w:lang w:val="en-GB"/>
              </w:rPr>
              <w:t>S&amp;D</w:t>
            </w:r>
          </w:p>
        </w:tc>
        <w:tc>
          <w:tcPr>
            <w:tcW w:w="4531" w:type="dxa"/>
          </w:tcPr>
          <w:p w14:paraId="23990CBB" w14:textId="6777ECB7" w:rsidR="0091110E" w:rsidRPr="00D2227B" w:rsidRDefault="0091110E" w:rsidP="0091110E">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D2227B">
              <w:rPr>
                <w:rFonts w:ascii="Times New Roman" w:hAnsi="Times New Roman" w:cs="Times New Roman"/>
                <w:sz w:val="24"/>
                <w:szCs w:val="24"/>
                <w:lang w:val="en-GB"/>
              </w:rPr>
              <w:t>Social Democrats,</w:t>
            </w:r>
            <w:r w:rsidR="00F651BB">
              <w:rPr>
                <w:rFonts w:ascii="Times New Roman" w:hAnsi="Times New Roman" w:cs="Times New Roman"/>
                <w:sz w:val="24"/>
                <w:szCs w:val="24"/>
                <w:lang w:val="en-GB"/>
              </w:rPr>
              <w:t xml:space="preserve"> </w:t>
            </w:r>
            <w:r w:rsidRPr="00D2227B">
              <w:rPr>
                <w:rFonts w:ascii="Times New Roman" w:hAnsi="Times New Roman" w:cs="Times New Roman"/>
                <w:sz w:val="24"/>
                <w:szCs w:val="24"/>
                <w:lang w:val="en-GB"/>
              </w:rPr>
              <w:t>party group in the European Parliament</w:t>
            </w:r>
          </w:p>
        </w:tc>
      </w:tr>
      <w:tr w:rsidR="0091110E" w:rsidRPr="00A75177" w14:paraId="5BAC9A13" w14:textId="77777777" w:rsidTr="00D2227B">
        <w:tc>
          <w:tcPr>
            <w:cnfStyle w:val="001000000000" w:firstRow="0" w:lastRow="0" w:firstColumn="1" w:lastColumn="0" w:oddVBand="0" w:evenVBand="0" w:oddHBand="0" w:evenHBand="0" w:firstRowFirstColumn="0" w:firstRowLastColumn="0" w:lastRowFirstColumn="0" w:lastRowLastColumn="0"/>
            <w:tcW w:w="4531" w:type="dxa"/>
          </w:tcPr>
          <w:p w14:paraId="13CB2E08" w14:textId="77777777" w:rsidR="0091110E" w:rsidRDefault="0091110E" w:rsidP="0091110E">
            <w:pPr>
              <w:jc w:val="both"/>
              <w:rPr>
                <w:rFonts w:ascii="Times New Roman" w:hAnsi="Times New Roman" w:cs="Times New Roman"/>
                <w:sz w:val="24"/>
                <w:szCs w:val="24"/>
              </w:rPr>
            </w:pPr>
            <w:r>
              <w:rPr>
                <w:rFonts w:ascii="Times New Roman" w:hAnsi="Times New Roman" w:cs="Times New Roman"/>
                <w:sz w:val="24"/>
                <w:szCs w:val="24"/>
              </w:rPr>
              <w:t>TEU</w:t>
            </w:r>
          </w:p>
        </w:tc>
        <w:tc>
          <w:tcPr>
            <w:tcW w:w="4531" w:type="dxa"/>
          </w:tcPr>
          <w:p w14:paraId="74B194F6" w14:textId="77777777" w:rsidR="0091110E" w:rsidRPr="00D2227B" w:rsidRDefault="0091110E" w:rsidP="0091110E">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D2227B">
              <w:rPr>
                <w:rFonts w:ascii="Times New Roman" w:hAnsi="Times New Roman" w:cs="Times New Roman"/>
                <w:sz w:val="24"/>
                <w:szCs w:val="24"/>
                <w:lang w:val="en-GB"/>
              </w:rPr>
              <w:t>Treaty on the European Union</w:t>
            </w:r>
          </w:p>
        </w:tc>
      </w:tr>
    </w:tbl>
    <w:p w14:paraId="3A730D0E" w14:textId="4FC148C1" w:rsidR="00F325C6" w:rsidRPr="00407E18" w:rsidRDefault="00F325C6" w:rsidP="00F325C6">
      <w:pPr>
        <w:pStyle w:val="Kop1"/>
        <w:rPr>
          <w:lang w:val="en-GB"/>
        </w:rPr>
      </w:pPr>
      <w:r w:rsidRPr="00407E18">
        <w:rPr>
          <w:lang w:val="en-GB"/>
        </w:rPr>
        <w:br w:type="page"/>
      </w:r>
    </w:p>
    <w:p w14:paraId="2AC7B662" w14:textId="06D0F66B" w:rsidR="00F325C6" w:rsidRPr="007E0F9E" w:rsidRDefault="00F325C6" w:rsidP="00F325C6">
      <w:pPr>
        <w:pStyle w:val="Kop1"/>
        <w:spacing w:line="360" w:lineRule="auto"/>
        <w:jc w:val="both"/>
        <w:rPr>
          <w:rFonts w:ascii="Times New Roman" w:hAnsi="Times New Roman" w:cs="Times New Roman"/>
          <w:color w:val="auto"/>
          <w:sz w:val="40"/>
          <w:szCs w:val="40"/>
          <w:lang w:val="en-GB"/>
        </w:rPr>
      </w:pPr>
      <w:bookmarkStart w:id="3" w:name="_Toc169873371"/>
      <w:r w:rsidRPr="40EE5880">
        <w:rPr>
          <w:rFonts w:ascii="Times New Roman" w:hAnsi="Times New Roman" w:cs="Times New Roman"/>
          <w:color w:val="auto"/>
          <w:sz w:val="40"/>
          <w:szCs w:val="40"/>
          <w:lang w:val="en-GB"/>
        </w:rPr>
        <w:lastRenderedPageBreak/>
        <w:t>Chapter 1 Introduction</w:t>
      </w:r>
      <w:bookmarkEnd w:id="3"/>
    </w:p>
    <w:p w14:paraId="4AAC9C5A" w14:textId="77777777" w:rsidR="00F325C6" w:rsidRPr="007E0F9E" w:rsidRDefault="00F325C6" w:rsidP="00F325C6">
      <w:pPr>
        <w:pStyle w:val="Kop2"/>
        <w:spacing w:line="360" w:lineRule="auto"/>
        <w:rPr>
          <w:rFonts w:ascii="Times New Roman" w:hAnsi="Times New Roman" w:cs="Times New Roman"/>
          <w:color w:val="auto"/>
          <w:u w:val="single"/>
          <w:lang w:val="en-GB"/>
        </w:rPr>
      </w:pPr>
      <w:bookmarkStart w:id="4" w:name="_Toc169873372"/>
      <w:r w:rsidRPr="40EE5880">
        <w:rPr>
          <w:rFonts w:ascii="Times New Roman" w:hAnsi="Times New Roman" w:cs="Times New Roman"/>
          <w:color w:val="auto"/>
          <w:u w:val="single"/>
          <w:lang w:val="en-GB"/>
        </w:rPr>
        <w:t>1.1 Qatargate and mutual neglect</w:t>
      </w:r>
      <w:bookmarkEnd w:id="4"/>
    </w:p>
    <w:p w14:paraId="1E8290E6" w14:textId="77777777" w:rsidR="005F1B83" w:rsidRDefault="032BC0E5" w:rsidP="40EE5880">
      <w:pPr>
        <w:spacing w:after="0" w:line="360" w:lineRule="auto"/>
        <w:jc w:val="both"/>
        <w:rPr>
          <w:rFonts w:ascii="Times New Roman" w:eastAsia="Times New Roman" w:hAnsi="Times New Roman" w:cs="Times New Roman"/>
          <w:sz w:val="24"/>
          <w:szCs w:val="24"/>
          <w:lang w:val="en-GB"/>
        </w:rPr>
      </w:pPr>
      <w:r w:rsidRPr="40EE5880">
        <w:rPr>
          <w:rFonts w:ascii="Times New Roman" w:eastAsia="Times New Roman" w:hAnsi="Times New Roman" w:cs="Times New Roman"/>
          <w:sz w:val="24"/>
          <w:szCs w:val="24"/>
          <w:lang w:val="en-GB"/>
        </w:rPr>
        <w:t xml:space="preserve">Since its founding in 1949, the (eventually named) European Union (EU) has been an important and powerful actor on the international stage. Its large internal market, the dominance of universal Western values and the military power </w:t>
      </w:r>
      <w:r w:rsidR="005F52A4" w:rsidRPr="40EE5880">
        <w:rPr>
          <w:rFonts w:ascii="Times New Roman" w:eastAsia="Times New Roman" w:hAnsi="Times New Roman" w:cs="Times New Roman"/>
          <w:sz w:val="24"/>
          <w:szCs w:val="24"/>
          <w:lang w:val="en-GB"/>
        </w:rPr>
        <w:t>it</w:t>
      </w:r>
      <w:r w:rsidRPr="40EE5880">
        <w:rPr>
          <w:rFonts w:ascii="Times New Roman" w:eastAsia="Times New Roman" w:hAnsi="Times New Roman" w:cs="Times New Roman"/>
          <w:sz w:val="24"/>
          <w:szCs w:val="24"/>
          <w:lang w:val="en-GB"/>
        </w:rPr>
        <w:t xml:space="preserve"> possesses have made it an attractive power for other states and entities to cooperate with. This does not only apply to actors on the same continent, but also for actors that are further away and seem less likely to be a partner for the EU. An example of the latter is the Gulf Region. This region, </w:t>
      </w:r>
      <w:r w:rsidR="005F52A4" w:rsidRPr="40EE5880">
        <w:rPr>
          <w:rFonts w:ascii="Times New Roman" w:eastAsia="Times New Roman" w:hAnsi="Times New Roman" w:cs="Times New Roman"/>
          <w:sz w:val="24"/>
          <w:szCs w:val="24"/>
          <w:lang w:val="en-GB"/>
        </w:rPr>
        <w:t>which</w:t>
      </w:r>
      <w:r w:rsidRPr="40EE5880">
        <w:rPr>
          <w:rFonts w:ascii="Times New Roman" w:eastAsia="Times New Roman" w:hAnsi="Times New Roman" w:cs="Times New Roman"/>
          <w:sz w:val="24"/>
          <w:szCs w:val="24"/>
          <w:lang w:val="en-GB"/>
        </w:rPr>
        <w:t xml:space="preserve"> includes countries and states such as Qatar and Saudi Arabia, has seen its ties with the EU being strengthened over the last couple of decades. </w:t>
      </w:r>
    </w:p>
    <w:p w14:paraId="43AA8351" w14:textId="77777777" w:rsidR="00882592" w:rsidRDefault="00882592" w:rsidP="40EE5880">
      <w:pPr>
        <w:spacing w:after="0" w:line="360" w:lineRule="auto"/>
        <w:jc w:val="both"/>
        <w:rPr>
          <w:rFonts w:ascii="Times New Roman" w:eastAsia="Times New Roman" w:hAnsi="Times New Roman" w:cs="Times New Roman"/>
          <w:sz w:val="24"/>
          <w:szCs w:val="24"/>
          <w:lang w:val="en-GB"/>
        </w:rPr>
      </w:pPr>
    </w:p>
    <w:p w14:paraId="1470A4DF" w14:textId="7419BDD4" w:rsidR="00BE3141" w:rsidRDefault="032BC0E5" w:rsidP="40EE5880">
      <w:pPr>
        <w:spacing w:after="0" w:line="360" w:lineRule="auto"/>
        <w:jc w:val="both"/>
        <w:rPr>
          <w:rFonts w:ascii="Times New Roman" w:eastAsia="Times New Roman" w:hAnsi="Times New Roman" w:cs="Times New Roman"/>
          <w:sz w:val="24"/>
          <w:szCs w:val="24"/>
          <w:lang w:val="en-GB"/>
        </w:rPr>
      </w:pPr>
      <w:r w:rsidRPr="40EE5880">
        <w:rPr>
          <w:rFonts w:ascii="Times New Roman" w:eastAsia="Times New Roman" w:hAnsi="Times New Roman" w:cs="Times New Roman"/>
          <w:sz w:val="24"/>
          <w:szCs w:val="24"/>
          <w:lang w:val="en-GB"/>
        </w:rPr>
        <w:t>The first steps to cooperation were being made in 1</w:t>
      </w:r>
      <w:r w:rsidR="00860E53">
        <w:rPr>
          <w:rFonts w:ascii="Times New Roman" w:eastAsia="Times New Roman" w:hAnsi="Times New Roman" w:cs="Times New Roman"/>
          <w:sz w:val="24"/>
          <w:szCs w:val="24"/>
          <w:lang w:val="en-GB"/>
        </w:rPr>
        <w:t>989 with the signing of the Cooperation Agreement</w:t>
      </w:r>
      <w:r w:rsidRPr="40EE5880">
        <w:rPr>
          <w:rFonts w:ascii="Times New Roman" w:eastAsia="Times New Roman" w:hAnsi="Times New Roman" w:cs="Times New Roman"/>
          <w:sz w:val="24"/>
          <w:szCs w:val="24"/>
          <w:lang w:val="en-GB"/>
        </w:rPr>
        <w:t xml:space="preserve"> as part of the Euro-Mediterranean Partnership (EMP) and </w:t>
      </w:r>
      <w:r w:rsidR="00EA343E" w:rsidRPr="40EE5880">
        <w:rPr>
          <w:rFonts w:ascii="Times New Roman" w:eastAsia="Times New Roman" w:hAnsi="Times New Roman" w:cs="Times New Roman"/>
          <w:sz w:val="24"/>
          <w:szCs w:val="24"/>
          <w:lang w:val="en-GB"/>
        </w:rPr>
        <w:t>later</w:t>
      </w:r>
      <w:r w:rsidRPr="40EE5880">
        <w:rPr>
          <w:rFonts w:ascii="Times New Roman" w:eastAsia="Times New Roman" w:hAnsi="Times New Roman" w:cs="Times New Roman"/>
          <w:sz w:val="24"/>
          <w:szCs w:val="24"/>
          <w:lang w:val="en-GB"/>
        </w:rPr>
        <w:t xml:space="preserve"> the European Neighbourhood Policy (ENP) (Schumacher, 2017). Since then, the EU and the Gulf States have only further increased their cooperation, with the climax being in 2022. In</w:t>
      </w:r>
      <w:r w:rsidR="005F1B83">
        <w:rPr>
          <w:rFonts w:ascii="Times New Roman" w:eastAsia="Times New Roman" w:hAnsi="Times New Roman" w:cs="Times New Roman"/>
          <w:sz w:val="24"/>
          <w:szCs w:val="24"/>
          <w:lang w:val="en-GB"/>
        </w:rPr>
        <w:t xml:space="preserve"> May</w:t>
      </w:r>
      <w:r w:rsidRPr="40EE5880">
        <w:rPr>
          <w:rFonts w:ascii="Times New Roman" w:eastAsia="Times New Roman" w:hAnsi="Times New Roman" w:cs="Times New Roman"/>
          <w:sz w:val="24"/>
          <w:szCs w:val="24"/>
          <w:lang w:val="en-GB"/>
        </w:rPr>
        <w:t xml:space="preserve"> 2022, the European Commission (</w:t>
      </w:r>
      <w:r w:rsidR="005F1B83">
        <w:rPr>
          <w:rFonts w:ascii="Times New Roman" w:eastAsia="Times New Roman" w:hAnsi="Times New Roman" w:cs="Times New Roman"/>
          <w:sz w:val="24"/>
          <w:szCs w:val="24"/>
          <w:lang w:val="en-GB"/>
        </w:rPr>
        <w:t>EC</w:t>
      </w:r>
      <w:r w:rsidRPr="40EE5880">
        <w:rPr>
          <w:rFonts w:ascii="Times New Roman" w:eastAsia="Times New Roman" w:hAnsi="Times New Roman" w:cs="Times New Roman"/>
          <w:sz w:val="24"/>
          <w:szCs w:val="24"/>
          <w:lang w:val="en-GB"/>
        </w:rPr>
        <w:t xml:space="preserve">), by means of the High Representative for Foreign Affairs (HR), published a document that focuses on a more strategic partnership with the Gulf States. In this communication, the Commission speaks of a strategic partnership between the EU and the Gulf states in order to increase prosperity and meet global challenges (European Commission, 2022, p.1). The document outlines a couple of goals and future prospects such as a ‘partnership for prosperity’ (p.2); ‘a partnership for regional stability and global security’ (p.8); and ‘a partnership for people’ (p.13) (European Commission, 2022). The European Commission has, concludingly, set out multiple ambitious goals that should be achieved by improving the relationship between the EU and the Gulf States. </w:t>
      </w:r>
    </w:p>
    <w:p w14:paraId="54C8D004" w14:textId="799F2F86" w:rsidR="00BE3141" w:rsidRDefault="032BC0E5" w:rsidP="40EE5880">
      <w:pPr>
        <w:spacing w:before="240" w:after="240" w:line="360" w:lineRule="auto"/>
        <w:jc w:val="both"/>
        <w:rPr>
          <w:rFonts w:ascii="Times New Roman" w:eastAsia="Times New Roman" w:hAnsi="Times New Roman" w:cs="Times New Roman"/>
          <w:sz w:val="24"/>
          <w:szCs w:val="24"/>
          <w:lang w:val="en-GB"/>
        </w:rPr>
      </w:pPr>
      <w:r w:rsidRPr="40EE5880">
        <w:rPr>
          <w:rFonts w:ascii="Times New Roman" w:eastAsia="Times New Roman" w:hAnsi="Times New Roman" w:cs="Times New Roman"/>
          <w:sz w:val="24"/>
          <w:szCs w:val="24"/>
          <w:lang w:val="en-GB"/>
        </w:rPr>
        <w:t xml:space="preserve">The story of the cooperation between the EU and the Gulf States sounds like there are only winners and positive aspects of the deal. However, this happy story quickly turned into a tragedy within the same year. In December 2022, the EU gained world-wide media attention when news leaked about a corruption scandal involving multiple members of the European Parliament (EP). This so-called Qatargate entailed an amount of more than four million euros that was used by officials from Qatar, Morocco, and Mauritania in order to influence political outcomes in the Parliament (Braun et al., 2023). Pictures of suitcases filled with stacks of euros dominated the news and caused political uproar (Joyner, 2023). Especially the involvement of Eva Kaili, </w:t>
      </w:r>
      <w:r w:rsidRPr="40EE5880">
        <w:rPr>
          <w:rFonts w:ascii="Times New Roman" w:eastAsia="Times New Roman" w:hAnsi="Times New Roman" w:cs="Times New Roman"/>
          <w:sz w:val="24"/>
          <w:szCs w:val="24"/>
          <w:lang w:val="en-GB"/>
        </w:rPr>
        <w:lastRenderedPageBreak/>
        <w:t>vice-president of the European Parliament, has caused uproar with Kaili still being in custody and tracked with electronic monitoring (NOS, 2023). Main political figures such as the President of the European Commission (EC) Ursula von der Leyen and multiple heads of states were quick to condemn the issue and to express that no stone should be left unturned until full clarity has been achieved (Lynch et al., 2022). Qatargate made a swift and abrupt end to a cooperation that seemed to be so succe</w:t>
      </w:r>
      <w:r w:rsidR="00642C47">
        <w:rPr>
          <w:rFonts w:ascii="Times New Roman" w:eastAsia="Times New Roman" w:hAnsi="Times New Roman" w:cs="Times New Roman"/>
          <w:sz w:val="24"/>
          <w:szCs w:val="24"/>
          <w:lang w:val="en-GB"/>
        </w:rPr>
        <w:t>s</w:t>
      </w:r>
      <w:r w:rsidRPr="40EE5880">
        <w:rPr>
          <w:rFonts w:ascii="Times New Roman" w:eastAsia="Times New Roman" w:hAnsi="Times New Roman" w:cs="Times New Roman"/>
          <w:sz w:val="24"/>
          <w:szCs w:val="24"/>
          <w:lang w:val="en-GB"/>
        </w:rPr>
        <w:t xml:space="preserve">sful for both the EU as well as the Gulf States and Qatar. </w:t>
      </w:r>
    </w:p>
    <w:p w14:paraId="3A26DBA1" w14:textId="77777777" w:rsidR="00033700" w:rsidRDefault="032BC0E5" w:rsidP="40EE5880">
      <w:pPr>
        <w:spacing w:before="240" w:after="240" w:line="360" w:lineRule="auto"/>
        <w:jc w:val="both"/>
        <w:rPr>
          <w:rFonts w:ascii="Times New Roman" w:eastAsia="Times New Roman" w:hAnsi="Times New Roman" w:cs="Times New Roman"/>
          <w:sz w:val="24"/>
          <w:szCs w:val="24"/>
          <w:lang w:val="en-GB"/>
        </w:rPr>
      </w:pPr>
      <w:r w:rsidRPr="40EE5880">
        <w:rPr>
          <w:rFonts w:ascii="Times New Roman" w:eastAsia="Times New Roman" w:hAnsi="Times New Roman" w:cs="Times New Roman"/>
          <w:sz w:val="24"/>
          <w:szCs w:val="24"/>
          <w:lang w:val="en-GB"/>
        </w:rPr>
        <w:t xml:space="preserve">At this point, it has to be brought forward that the relationship between the EU and Qatar was not without controversy. Critics were cynical about what was there to gain for the EU in the (further) strengthening of ties with Qatar. For example, trade deals with Qatar and the Gulf </w:t>
      </w:r>
      <w:r w:rsidR="00033700">
        <w:rPr>
          <w:rFonts w:ascii="Times New Roman" w:eastAsia="Times New Roman" w:hAnsi="Times New Roman" w:cs="Times New Roman"/>
          <w:sz w:val="24"/>
          <w:szCs w:val="24"/>
          <w:lang w:val="en-GB"/>
        </w:rPr>
        <w:t>S</w:t>
      </w:r>
      <w:r w:rsidRPr="40EE5880">
        <w:rPr>
          <w:rFonts w:ascii="Times New Roman" w:eastAsia="Times New Roman" w:hAnsi="Times New Roman" w:cs="Times New Roman"/>
          <w:sz w:val="24"/>
          <w:szCs w:val="24"/>
          <w:lang w:val="en-GB"/>
        </w:rPr>
        <w:t>tates represent a meagre 3% of EU trade in goods (Van Veen, 2022). It could be argued that the EU is increasingly dependent on the fossil fuels that the Gulf States have plenty of in light of the war between Ukraine and Russia, but fact remains that the EU does not benefit much from this trade deal. Furthermore, critics also raised points about the deviating views of the EU and the Qatari government when it comes to moral viewpoints and values. Rights of women, the LGBTQ-community</w:t>
      </w:r>
      <w:r w:rsidR="00033700">
        <w:rPr>
          <w:rFonts w:ascii="Times New Roman" w:eastAsia="Times New Roman" w:hAnsi="Times New Roman" w:cs="Times New Roman"/>
          <w:sz w:val="24"/>
          <w:szCs w:val="24"/>
          <w:lang w:val="en-GB"/>
        </w:rPr>
        <w:t>,</w:t>
      </w:r>
      <w:r w:rsidRPr="40EE5880">
        <w:rPr>
          <w:rFonts w:ascii="Times New Roman" w:eastAsia="Times New Roman" w:hAnsi="Times New Roman" w:cs="Times New Roman"/>
          <w:sz w:val="24"/>
          <w:szCs w:val="24"/>
          <w:lang w:val="en-GB"/>
        </w:rPr>
        <w:t xml:space="preserve"> and migrant workers are not respected and often violated (Amnesty International, n.d.). This forms a puzzling contrast when looking at Article 3 of the Treaty on the European Union (TEU), which states that the Union should promote peace, equality, and freedom (European Union, 2012, p.17).  </w:t>
      </w:r>
    </w:p>
    <w:p w14:paraId="5AA44B99" w14:textId="77777777" w:rsidR="00033700" w:rsidRDefault="032BC0E5" w:rsidP="40EE5880">
      <w:pPr>
        <w:spacing w:before="240" w:after="240" w:line="360" w:lineRule="auto"/>
        <w:jc w:val="both"/>
        <w:rPr>
          <w:rFonts w:ascii="Times New Roman" w:eastAsia="Times New Roman" w:hAnsi="Times New Roman" w:cs="Times New Roman"/>
          <w:sz w:val="24"/>
          <w:szCs w:val="24"/>
          <w:lang w:val="en-GB"/>
        </w:rPr>
      </w:pPr>
      <w:r w:rsidRPr="40EE5880">
        <w:rPr>
          <w:rFonts w:ascii="Times New Roman" w:eastAsia="Times New Roman" w:hAnsi="Times New Roman" w:cs="Times New Roman"/>
          <w:sz w:val="24"/>
          <w:szCs w:val="24"/>
          <w:lang w:val="en-GB"/>
        </w:rPr>
        <w:t>The points made above were not only heard by critics, but also by scholars who were puzzled by why the EU would still choose to cooperate with a state (and a region) that seems to offer very little in comparison to what it asks in</w:t>
      </w:r>
      <w:r w:rsidR="00033700">
        <w:rPr>
          <w:rFonts w:ascii="Times New Roman" w:eastAsia="Times New Roman" w:hAnsi="Times New Roman" w:cs="Times New Roman"/>
          <w:sz w:val="24"/>
          <w:szCs w:val="24"/>
          <w:lang w:val="en-GB"/>
        </w:rPr>
        <w:t>,</w:t>
      </w:r>
      <w:r w:rsidRPr="40EE5880">
        <w:rPr>
          <w:rFonts w:ascii="Times New Roman" w:eastAsia="Times New Roman" w:hAnsi="Times New Roman" w:cs="Times New Roman"/>
          <w:sz w:val="24"/>
          <w:szCs w:val="24"/>
          <w:lang w:val="en-GB"/>
        </w:rPr>
        <w:t xml:space="preserve"> for example</w:t>
      </w:r>
      <w:r w:rsidR="00033700">
        <w:rPr>
          <w:rFonts w:ascii="Times New Roman" w:eastAsia="Times New Roman" w:hAnsi="Times New Roman" w:cs="Times New Roman"/>
          <w:sz w:val="24"/>
          <w:szCs w:val="24"/>
          <w:lang w:val="en-GB"/>
        </w:rPr>
        <w:t>,</w:t>
      </w:r>
      <w:r w:rsidRPr="40EE5880">
        <w:rPr>
          <w:rFonts w:ascii="Times New Roman" w:eastAsia="Times New Roman" w:hAnsi="Times New Roman" w:cs="Times New Roman"/>
          <w:sz w:val="24"/>
          <w:szCs w:val="24"/>
          <w:lang w:val="en-GB"/>
        </w:rPr>
        <w:t xml:space="preserve"> the acceptance of morally deviating views. In more stronger words, why would the European Union want to deepen ties with a </w:t>
      </w:r>
      <w:r w:rsidR="005F52A4" w:rsidRPr="40EE5880">
        <w:rPr>
          <w:rFonts w:ascii="Times New Roman" w:eastAsia="Times New Roman" w:hAnsi="Times New Roman" w:cs="Times New Roman"/>
          <w:sz w:val="24"/>
          <w:szCs w:val="24"/>
          <w:lang w:val="en-GB"/>
        </w:rPr>
        <w:t>state</w:t>
      </w:r>
      <w:r w:rsidRPr="40EE5880">
        <w:rPr>
          <w:rFonts w:ascii="Times New Roman" w:eastAsia="Times New Roman" w:hAnsi="Times New Roman" w:cs="Times New Roman"/>
          <w:sz w:val="24"/>
          <w:szCs w:val="24"/>
          <w:lang w:val="en-GB"/>
        </w:rPr>
        <w:t xml:space="preserve"> that undermines the principles on which the EU was actually buil</w:t>
      </w:r>
      <w:r w:rsidR="00033700">
        <w:rPr>
          <w:rFonts w:ascii="Times New Roman" w:eastAsia="Times New Roman" w:hAnsi="Times New Roman" w:cs="Times New Roman"/>
          <w:sz w:val="24"/>
          <w:szCs w:val="24"/>
          <w:lang w:val="en-GB"/>
        </w:rPr>
        <w:t>t?</w:t>
      </w:r>
      <w:r w:rsidRPr="40EE5880">
        <w:rPr>
          <w:rFonts w:ascii="Times New Roman" w:eastAsia="Times New Roman" w:hAnsi="Times New Roman" w:cs="Times New Roman"/>
          <w:sz w:val="24"/>
          <w:szCs w:val="24"/>
          <w:lang w:val="en-GB"/>
        </w:rPr>
        <w:t xml:space="preserve"> This question has been studied by scholars and they did come up with an answer. </w:t>
      </w:r>
    </w:p>
    <w:p w14:paraId="2AEB66F0" w14:textId="5EBDBCA4" w:rsidR="00BE3141" w:rsidRDefault="032BC0E5" w:rsidP="40EE5880">
      <w:pPr>
        <w:spacing w:before="240" w:after="240" w:line="360" w:lineRule="auto"/>
        <w:jc w:val="both"/>
        <w:rPr>
          <w:rFonts w:ascii="Times New Roman" w:eastAsia="Times New Roman" w:hAnsi="Times New Roman" w:cs="Times New Roman"/>
          <w:sz w:val="24"/>
          <w:szCs w:val="24"/>
          <w:lang w:val="en-GB"/>
        </w:rPr>
      </w:pPr>
      <w:r w:rsidRPr="40EE5880">
        <w:rPr>
          <w:rFonts w:ascii="Times New Roman" w:eastAsia="Times New Roman" w:hAnsi="Times New Roman" w:cs="Times New Roman"/>
          <w:sz w:val="24"/>
          <w:szCs w:val="24"/>
          <w:lang w:val="en-GB"/>
        </w:rPr>
        <w:t>Research has shown, namely, that</w:t>
      </w:r>
      <w:r w:rsidR="25BDEE89" w:rsidRPr="40EE5880">
        <w:rPr>
          <w:rFonts w:ascii="Times New Roman" w:eastAsia="Times New Roman" w:hAnsi="Times New Roman" w:cs="Times New Roman"/>
          <w:sz w:val="24"/>
          <w:szCs w:val="24"/>
          <w:lang w:val="en-GB"/>
        </w:rPr>
        <w:t xml:space="preserve"> </w:t>
      </w:r>
      <w:r w:rsidRPr="40EE5880">
        <w:rPr>
          <w:rFonts w:ascii="Times New Roman" w:eastAsia="Times New Roman" w:hAnsi="Times New Roman" w:cs="Times New Roman"/>
          <w:sz w:val="24"/>
          <w:szCs w:val="24"/>
          <w:lang w:val="en-GB"/>
        </w:rPr>
        <w:t>the EU does in fact seem to hold a clear and distinct strategy when it comes to its actions regarding the Golf States. Research that was initiated by Wolfers (1962) and continued by Schunz (2018) and Schumacher (2018) introduce</w:t>
      </w:r>
      <w:r w:rsidR="00033700">
        <w:rPr>
          <w:rFonts w:ascii="Times New Roman" w:eastAsia="Times New Roman" w:hAnsi="Times New Roman" w:cs="Times New Roman"/>
          <w:sz w:val="24"/>
          <w:szCs w:val="24"/>
          <w:lang w:val="en-GB"/>
        </w:rPr>
        <w:t>s</w:t>
      </w:r>
      <w:r w:rsidRPr="40EE5880">
        <w:rPr>
          <w:rFonts w:ascii="Times New Roman" w:eastAsia="Times New Roman" w:hAnsi="Times New Roman" w:cs="Times New Roman"/>
          <w:sz w:val="24"/>
          <w:szCs w:val="24"/>
          <w:lang w:val="en-GB"/>
        </w:rPr>
        <w:t xml:space="preserve"> the concept of mutual neglect. This entails a strategy that is based on the international relations theory of realism that states can opt for multiple strategies, including a strategy of coexistence in order to ensure stability (Schunz et al, 2018). This idea is further developed by Schumacher (2018), who claims that this strategy is there to maintain the rules of the </w:t>
      </w:r>
      <w:r w:rsidR="005F52A4" w:rsidRPr="40EE5880">
        <w:rPr>
          <w:rFonts w:ascii="Times New Roman" w:eastAsia="Times New Roman" w:hAnsi="Times New Roman" w:cs="Times New Roman"/>
          <w:sz w:val="24"/>
          <w:szCs w:val="24"/>
          <w:lang w:val="en-GB"/>
        </w:rPr>
        <w:t>game,</w:t>
      </w:r>
      <w:r w:rsidRPr="40EE5880">
        <w:rPr>
          <w:rFonts w:ascii="Times New Roman" w:eastAsia="Times New Roman" w:hAnsi="Times New Roman" w:cs="Times New Roman"/>
          <w:sz w:val="24"/>
          <w:szCs w:val="24"/>
          <w:lang w:val="en-GB"/>
        </w:rPr>
        <w:t xml:space="preserve"> or, in other words, this strategy means to protect the status quo and prevent as much instability and conflict as possible. </w:t>
      </w:r>
      <w:r w:rsidRPr="40EE5880">
        <w:rPr>
          <w:rFonts w:ascii="Times New Roman" w:eastAsia="Times New Roman" w:hAnsi="Times New Roman" w:cs="Times New Roman"/>
          <w:sz w:val="24"/>
          <w:szCs w:val="24"/>
          <w:lang w:val="en-GB"/>
        </w:rPr>
        <w:lastRenderedPageBreak/>
        <w:t xml:space="preserve">Moreover, this strategy implies that the EU and the Gulf States have their own specific foreign policy goals and ambitions, but their common priority lies within the maintenance of the rules of the game (Schumacher, 2018). This proposition is confirmed by Keukeleire and Delreux (2015), who state that this is the reason why the EU continues to cooperate with the Gulf States and why they would allow for things such as the poor record on human rights. </w:t>
      </w:r>
    </w:p>
    <w:p w14:paraId="2838FD5E" w14:textId="17F857B0" w:rsidR="00BE3141" w:rsidRDefault="032BC0E5" w:rsidP="40EE5880">
      <w:pPr>
        <w:spacing w:before="240" w:after="240" w:line="360" w:lineRule="auto"/>
        <w:jc w:val="both"/>
        <w:rPr>
          <w:rFonts w:ascii="Times New Roman" w:eastAsia="Times New Roman" w:hAnsi="Times New Roman" w:cs="Times New Roman"/>
          <w:sz w:val="24"/>
          <w:szCs w:val="24"/>
          <w:lang w:val="en-GB"/>
        </w:rPr>
      </w:pPr>
      <w:r w:rsidRPr="40EE5880">
        <w:rPr>
          <w:rFonts w:ascii="Times New Roman" w:eastAsia="Times New Roman" w:hAnsi="Times New Roman" w:cs="Times New Roman"/>
          <w:sz w:val="24"/>
          <w:szCs w:val="24"/>
          <w:lang w:val="en-GB"/>
        </w:rPr>
        <w:t>In conclusion, research has provided a seemingly concrete and cohesive answer to why the EU would want to cooperate with Qatar. However, if the strategy of mutual neglect is indeed the strategy that is followed by the EU when it comes to the Gulf States, it does raise a question</w:t>
      </w:r>
      <w:r w:rsidR="00033700">
        <w:rPr>
          <w:rFonts w:ascii="Times New Roman" w:eastAsia="Times New Roman" w:hAnsi="Times New Roman" w:cs="Times New Roman"/>
          <w:sz w:val="24"/>
          <w:szCs w:val="24"/>
          <w:lang w:val="en-GB"/>
        </w:rPr>
        <w:t xml:space="preserve"> about </w:t>
      </w:r>
      <w:r w:rsidRPr="40EE5880">
        <w:rPr>
          <w:rFonts w:ascii="Times New Roman" w:eastAsia="Times New Roman" w:hAnsi="Times New Roman" w:cs="Times New Roman"/>
          <w:sz w:val="24"/>
          <w:szCs w:val="24"/>
          <w:lang w:val="en-GB"/>
        </w:rPr>
        <w:t xml:space="preserve">the reaction of the EU and its officials after the reveal of Qatargate. The </w:t>
      </w:r>
      <w:r w:rsidR="00033700">
        <w:rPr>
          <w:rFonts w:ascii="Times New Roman" w:eastAsia="Times New Roman" w:hAnsi="Times New Roman" w:cs="Times New Roman"/>
          <w:sz w:val="24"/>
          <w:szCs w:val="24"/>
          <w:lang w:val="en-GB"/>
        </w:rPr>
        <w:t>discovery</w:t>
      </w:r>
      <w:r w:rsidRPr="40EE5880">
        <w:rPr>
          <w:rFonts w:ascii="Times New Roman" w:eastAsia="Times New Roman" w:hAnsi="Times New Roman" w:cs="Times New Roman"/>
          <w:sz w:val="24"/>
          <w:szCs w:val="24"/>
          <w:lang w:val="en-GB"/>
        </w:rPr>
        <w:t xml:space="preserve"> of Qatargate and the further unravelling of its roots within the European Union have brought an acute halt to further cooperation of the EU with Qatar. The European</w:t>
      </w:r>
      <w:r w:rsidR="00033700">
        <w:rPr>
          <w:rFonts w:ascii="Times New Roman" w:eastAsia="Times New Roman" w:hAnsi="Times New Roman" w:cs="Times New Roman"/>
          <w:sz w:val="24"/>
          <w:szCs w:val="24"/>
          <w:lang w:val="en-GB"/>
        </w:rPr>
        <w:t xml:space="preserve"> Parliament</w:t>
      </w:r>
      <w:r w:rsidRPr="40EE5880">
        <w:rPr>
          <w:rFonts w:ascii="Times New Roman" w:eastAsia="Times New Roman" w:hAnsi="Times New Roman" w:cs="Times New Roman"/>
          <w:sz w:val="24"/>
          <w:szCs w:val="24"/>
          <w:lang w:val="en-GB"/>
        </w:rPr>
        <w:t xml:space="preserve"> decided to abruptly stop cooperation with Qatar and blocked any further work on policies that have been worked on for a long time and that would indicate s significant step forward in the direction of further tightened cooperation such as visa liberalisation (Posaner et al., 2022). Moreover, it was the same EP that decided upon several measures such as the introduction of an ethics framework and a strengthening of the already existing code of conduct. However, the implementation is difficult and has proven to be unsuccessful thus far according to research from the European Ombudsman (2023).  </w:t>
      </w:r>
    </w:p>
    <w:p w14:paraId="035E5D1F" w14:textId="1A28899C" w:rsidR="00BE3141" w:rsidRDefault="032BC0E5" w:rsidP="40EE5880">
      <w:pPr>
        <w:pStyle w:val="Kop2"/>
        <w:spacing w:before="0" w:line="360" w:lineRule="auto"/>
        <w:jc w:val="both"/>
        <w:rPr>
          <w:rFonts w:ascii="Times New Roman" w:eastAsia="Times New Roman" w:hAnsi="Times New Roman" w:cs="Times New Roman"/>
          <w:color w:val="auto"/>
          <w:lang w:val="en-GB"/>
        </w:rPr>
      </w:pPr>
      <w:bookmarkStart w:id="5" w:name="_Toc169873373"/>
      <w:r w:rsidRPr="40EE5880">
        <w:rPr>
          <w:rFonts w:ascii="Times New Roman" w:eastAsia="Times New Roman" w:hAnsi="Times New Roman" w:cs="Times New Roman"/>
          <w:color w:val="auto"/>
          <w:u w:val="single"/>
          <w:lang w:val="en-GB"/>
        </w:rPr>
        <w:t>1.2 Research question and design</w:t>
      </w:r>
      <w:bookmarkEnd w:id="5"/>
      <w:r w:rsidRPr="40EE5880">
        <w:rPr>
          <w:rFonts w:ascii="Times New Roman" w:eastAsia="Times New Roman" w:hAnsi="Times New Roman" w:cs="Times New Roman"/>
          <w:color w:val="auto"/>
          <w:lang w:val="en-GB"/>
        </w:rPr>
        <w:t xml:space="preserve"> </w:t>
      </w:r>
    </w:p>
    <w:p w14:paraId="1AA09B65" w14:textId="6A15F657" w:rsidR="00BE3141" w:rsidRDefault="032BC0E5" w:rsidP="40EE5880">
      <w:pPr>
        <w:spacing w:after="0" w:line="360" w:lineRule="auto"/>
        <w:jc w:val="both"/>
        <w:rPr>
          <w:rFonts w:ascii="Times New Roman" w:eastAsia="Times New Roman" w:hAnsi="Times New Roman" w:cs="Times New Roman"/>
          <w:sz w:val="24"/>
          <w:szCs w:val="24"/>
          <w:lang w:val="en-GB"/>
        </w:rPr>
      </w:pPr>
      <w:r w:rsidRPr="40EE5880">
        <w:rPr>
          <w:rFonts w:ascii="Times New Roman" w:eastAsia="Times New Roman" w:hAnsi="Times New Roman" w:cs="Times New Roman"/>
          <w:sz w:val="24"/>
          <w:szCs w:val="24"/>
          <w:lang w:val="en-GB"/>
        </w:rPr>
        <w:t>What can be derived from the observations above is that the EU did respond to Qatargate and, thereby, seems to have thrown the strategy of mutual neglect overboard. Instead, the EU has responded to the scandal with more prudence and firmness than it has done before in its relationship with Qatar and the Gulf States. This phenomenon is also observed in the literature, where it is stated that a system of power should respond firmly to a scandal in order to uphold its legitimacy and credibility as a system of power (Pratt, 2008). Empirically, the literature now seems unclear and incapable of providing an answer to why the EU responded to Qatargate and</w:t>
      </w:r>
      <w:r w:rsidR="00033700">
        <w:rPr>
          <w:rFonts w:ascii="Times New Roman" w:eastAsia="Times New Roman" w:hAnsi="Times New Roman" w:cs="Times New Roman"/>
          <w:sz w:val="24"/>
          <w:szCs w:val="24"/>
          <w:lang w:val="en-GB"/>
        </w:rPr>
        <w:t xml:space="preserve"> how </w:t>
      </w:r>
      <w:r w:rsidRPr="40EE5880">
        <w:rPr>
          <w:rFonts w:ascii="Times New Roman" w:eastAsia="Times New Roman" w:hAnsi="Times New Roman" w:cs="Times New Roman"/>
          <w:sz w:val="24"/>
          <w:szCs w:val="24"/>
          <w:lang w:val="en-GB"/>
        </w:rPr>
        <w:t>this scandal or crisis influenced the relationship between the EU and Qatar. More specifically, the literature is not able to provide a coherent motivation for the motives of the EU and the actions it undertakes in its damaged relationship with Qatar. The goal of this thesis is to unravel how Qatargate has influenced the relationship between the EU and Qatar and what theory and explanatory mechanisms are capable to explain this change</w:t>
      </w:r>
      <w:r w:rsidR="00125D55">
        <w:rPr>
          <w:rFonts w:ascii="Times New Roman" w:eastAsia="Times New Roman" w:hAnsi="Times New Roman" w:cs="Times New Roman"/>
          <w:sz w:val="24"/>
          <w:szCs w:val="24"/>
          <w:lang w:val="en-GB"/>
        </w:rPr>
        <w:t>.</w:t>
      </w:r>
      <w:r w:rsidRPr="40EE5880">
        <w:rPr>
          <w:rFonts w:ascii="Times New Roman" w:eastAsia="Times New Roman" w:hAnsi="Times New Roman" w:cs="Times New Roman"/>
          <w:sz w:val="24"/>
          <w:szCs w:val="24"/>
          <w:lang w:val="en-GB"/>
        </w:rPr>
        <w:t xml:space="preserve"> Consequently, this leads to the following research question: </w:t>
      </w:r>
    </w:p>
    <w:p w14:paraId="53BC7A46" w14:textId="08AD1746" w:rsidR="00BE3141" w:rsidRDefault="032BC0E5" w:rsidP="40EE5880">
      <w:pPr>
        <w:spacing w:after="0" w:line="360" w:lineRule="auto"/>
        <w:jc w:val="both"/>
        <w:rPr>
          <w:rFonts w:ascii="Times New Roman" w:eastAsia="Times New Roman" w:hAnsi="Times New Roman" w:cs="Times New Roman"/>
          <w:i/>
          <w:iCs/>
          <w:sz w:val="24"/>
          <w:szCs w:val="24"/>
          <w:lang w:val="en-GB"/>
        </w:rPr>
      </w:pPr>
      <w:r w:rsidRPr="40EE5880">
        <w:rPr>
          <w:rFonts w:ascii="Times New Roman" w:eastAsia="Times New Roman" w:hAnsi="Times New Roman" w:cs="Times New Roman"/>
          <w:i/>
          <w:iCs/>
          <w:sz w:val="24"/>
          <w:szCs w:val="24"/>
          <w:lang w:val="en-GB"/>
        </w:rPr>
        <w:lastRenderedPageBreak/>
        <w:t xml:space="preserve"> </w:t>
      </w:r>
    </w:p>
    <w:p w14:paraId="5599213B" w14:textId="2F973E29" w:rsidR="00BE3141" w:rsidRDefault="032BC0E5" w:rsidP="40EE5880">
      <w:pPr>
        <w:spacing w:after="0" w:line="360" w:lineRule="auto"/>
        <w:jc w:val="both"/>
        <w:rPr>
          <w:rFonts w:ascii="Times New Roman" w:eastAsia="Times New Roman" w:hAnsi="Times New Roman" w:cs="Times New Roman"/>
          <w:sz w:val="24"/>
          <w:szCs w:val="24"/>
          <w:lang w:val="en-GB"/>
        </w:rPr>
      </w:pPr>
      <w:r w:rsidRPr="40EE5880">
        <w:rPr>
          <w:rFonts w:ascii="Times New Roman" w:eastAsia="Times New Roman" w:hAnsi="Times New Roman" w:cs="Times New Roman"/>
          <w:i/>
          <w:iCs/>
          <w:sz w:val="24"/>
          <w:szCs w:val="24"/>
          <w:lang w:val="en-GB"/>
        </w:rPr>
        <w:t xml:space="preserve">How has Qatargate influenced the relationship between Qatar/the Gulf States and the European Union? </w:t>
      </w:r>
      <w:r w:rsidRPr="40EE5880">
        <w:rPr>
          <w:rFonts w:ascii="Times New Roman" w:eastAsia="Times New Roman" w:hAnsi="Times New Roman" w:cs="Times New Roman"/>
          <w:sz w:val="24"/>
          <w:szCs w:val="24"/>
          <w:lang w:val="en-GB"/>
        </w:rPr>
        <w:t xml:space="preserve"> </w:t>
      </w:r>
    </w:p>
    <w:p w14:paraId="4CE75004" w14:textId="5A33BEC8" w:rsidR="00BE3141" w:rsidRDefault="032BC0E5" w:rsidP="40EE5880">
      <w:pPr>
        <w:spacing w:after="0" w:line="360" w:lineRule="auto"/>
        <w:jc w:val="both"/>
        <w:rPr>
          <w:rFonts w:ascii="Times New Roman" w:eastAsia="Times New Roman" w:hAnsi="Times New Roman" w:cs="Times New Roman"/>
          <w:sz w:val="24"/>
          <w:szCs w:val="24"/>
          <w:lang w:val="en-GB"/>
        </w:rPr>
      </w:pPr>
      <w:r w:rsidRPr="40EE5880">
        <w:rPr>
          <w:rFonts w:ascii="Times New Roman" w:eastAsia="Times New Roman" w:hAnsi="Times New Roman" w:cs="Times New Roman"/>
          <w:sz w:val="24"/>
          <w:szCs w:val="24"/>
          <w:lang w:val="en-GB"/>
        </w:rPr>
        <w:t xml:space="preserve"> </w:t>
      </w:r>
    </w:p>
    <w:p w14:paraId="3AFEE334" w14:textId="679852C0" w:rsidR="00BE3141" w:rsidRDefault="032BC0E5" w:rsidP="40EE5880">
      <w:pPr>
        <w:spacing w:after="0" w:line="360" w:lineRule="auto"/>
        <w:jc w:val="both"/>
        <w:rPr>
          <w:rFonts w:ascii="Times New Roman" w:eastAsia="Times New Roman" w:hAnsi="Times New Roman" w:cs="Times New Roman"/>
          <w:sz w:val="24"/>
          <w:szCs w:val="24"/>
          <w:lang w:val="en-GB"/>
        </w:rPr>
      </w:pPr>
      <w:r w:rsidRPr="40EE5880">
        <w:rPr>
          <w:rFonts w:ascii="Times New Roman" w:eastAsia="Times New Roman" w:hAnsi="Times New Roman" w:cs="Times New Roman"/>
          <w:sz w:val="24"/>
          <w:szCs w:val="24"/>
          <w:lang w:val="en-GB"/>
        </w:rPr>
        <w:t>In order to answer this question</w:t>
      </w:r>
      <w:r w:rsidR="00125D55">
        <w:rPr>
          <w:rFonts w:ascii="Times New Roman" w:eastAsia="Times New Roman" w:hAnsi="Times New Roman" w:cs="Times New Roman"/>
          <w:sz w:val="24"/>
          <w:szCs w:val="24"/>
          <w:lang w:val="en-GB"/>
        </w:rPr>
        <w:t>,</w:t>
      </w:r>
      <w:r w:rsidRPr="40EE5880">
        <w:rPr>
          <w:rFonts w:ascii="Times New Roman" w:eastAsia="Times New Roman" w:hAnsi="Times New Roman" w:cs="Times New Roman"/>
          <w:sz w:val="24"/>
          <w:szCs w:val="24"/>
          <w:lang w:val="en-GB"/>
        </w:rPr>
        <w:t xml:space="preserve"> this thesis will make use of qualitative research methods to answer this question. The method of process tracing is the best way to analyse this question as process tracing allows for a thorough investigation of one case to see whether a theoretical explanation can be found for the observed phenomenon (Bennett, 2009). More specifically, process tracing is not only interested in explaining the correlation between two phenomena, but also how the underlying causal mechanisms work and how they bring about the observed correlation (Beach &amp; Pedersen, 2013). This is especially relevant for this thesis, as the observed actions and following correlation are clear and do not need any further elaboration. However, it is the motivation that lies underneath these actions and correlations that are puzzling and need further investigation. In this light, process tracing is the most suited method for this thesis.</w:t>
      </w:r>
    </w:p>
    <w:p w14:paraId="62F64DA9" w14:textId="14577A2B" w:rsidR="00BE3141" w:rsidRDefault="032BC0E5" w:rsidP="40EE5880">
      <w:pPr>
        <w:spacing w:after="0" w:line="360" w:lineRule="auto"/>
        <w:jc w:val="both"/>
        <w:rPr>
          <w:rFonts w:ascii="Times New Roman" w:eastAsia="Times New Roman" w:hAnsi="Times New Roman" w:cs="Times New Roman"/>
          <w:sz w:val="24"/>
          <w:szCs w:val="24"/>
          <w:lang w:val="en-GB"/>
        </w:rPr>
      </w:pPr>
      <w:r w:rsidRPr="40EE5880">
        <w:rPr>
          <w:rFonts w:ascii="Times New Roman" w:eastAsia="Times New Roman" w:hAnsi="Times New Roman" w:cs="Times New Roman"/>
          <w:sz w:val="24"/>
          <w:szCs w:val="24"/>
          <w:lang w:val="en-GB"/>
        </w:rPr>
        <w:t xml:space="preserve"> </w:t>
      </w:r>
    </w:p>
    <w:p w14:paraId="67D94F6E" w14:textId="77777777" w:rsidR="001A5E39" w:rsidRDefault="032BC0E5" w:rsidP="40EE5880">
      <w:pPr>
        <w:spacing w:after="0" w:line="360" w:lineRule="auto"/>
        <w:jc w:val="both"/>
        <w:rPr>
          <w:rFonts w:ascii="Times New Roman" w:eastAsia="Times New Roman" w:hAnsi="Times New Roman" w:cs="Times New Roman"/>
          <w:sz w:val="24"/>
          <w:szCs w:val="24"/>
          <w:lang w:val="en-GB"/>
        </w:rPr>
      </w:pPr>
      <w:r w:rsidRPr="40EE5880">
        <w:rPr>
          <w:rFonts w:ascii="Times New Roman" w:eastAsia="Times New Roman" w:hAnsi="Times New Roman" w:cs="Times New Roman"/>
          <w:sz w:val="24"/>
          <w:szCs w:val="24"/>
          <w:lang w:val="en-GB"/>
        </w:rPr>
        <w:t>It is also for this reason that this thesis is of scientific relevance as it deals with a void in the literature. There are multiple theories that provide explanations for how the EU behaves as an actor in the international context. Examples of these theories are the classical theories of international relations such as realism, liberalism, and constructivism. Moreover, there are theories and conceptual ideas that focus specifically on the EU such as Normative Power Europe and Market Power Europe. Normative Power Europe places emphasis on the idea that the EU uses its normative power as its foundation for international conduct and cooperation (Manners, 2002), whereas Market Power Europe uses the internal market and the view of the EU as an economic power as its foundation for international conduct and cooperation (Damro, 2012). From a combination of both classical international relations theories (specifically realism) and the EU-specific theories, scholars have developed an idea on why the EU would choose to cooperate with states with controversial conduct such as Qatar: the theory of mutual neglect.</w:t>
      </w:r>
    </w:p>
    <w:p w14:paraId="3EB314F9" w14:textId="77777777" w:rsidR="001A5E39" w:rsidRDefault="001A5E39" w:rsidP="40EE5880">
      <w:pPr>
        <w:spacing w:after="0" w:line="360" w:lineRule="auto"/>
        <w:jc w:val="both"/>
        <w:rPr>
          <w:rFonts w:ascii="Times New Roman" w:eastAsia="Times New Roman" w:hAnsi="Times New Roman" w:cs="Times New Roman"/>
          <w:sz w:val="24"/>
          <w:szCs w:val="24"/>
          <w:lang w:val="en-GB"/>
        </w:rPr>
      </w:pPr>
    </w:p>
    <w:p w14:paraId="4BF1BF83" w14:textId="77777777" w:rsidR="001A5E39" w:rsidRDefault="032BC0E5" w:rsidP="40EE5880">
      <w:pPr>
        <w:spacing w:after="0" w:line="360" w:lineRule="auto"/>
        <w:jc w:val="both"/>
        <w:rPr>
          <w:rFonts w:ascii="Times New Roman" w:eastAsia="Times New Roman" w:hAnsi="Times New Roman" w:cs="Times New Roman"/>
          <w:sz w:val="24"/>
          <w:szCs w:val="24"/>
          <w:lang w:val="en-GB"/>
        </w:rPr>
      </w:pPr>
      <w:r w:rsidRPr="40EE5880">
        <w:rPr>
          <w:rFonts w:ascii="Times New Roman" w:eastAsia="Times New Roman" w:hAnsi="Times New Roman" w:cs="Times New Roman"/>
          <w:sz w:val="24"/>
          <w:szCs w:val="24"/>
          <w:lang w:val="en-GB"/>
        </w:rPr>
        <w:t xml:space="preserve"> Furthermore, there are also theories that deal with the consequences of scandals and crises on the behaviour and responses of states and other actors. These theories do not come solely from a political science perspective, but also include ideas about psychology when it comes to concepts such as reputation (Chanley, 2002</w:t>
      </w:r>
      <w:r w:rsidR="00125D55">
        <w:rPr>
          <w:rFonts w:ascii="Times New Roman" w:eastAsia="Times New Roman" w:hAnsi="Times New Roman" w:cs="Times New Roman"/>
          <w:sz w:val="24"/>
          <w:szCs w:val="24"/>
          <w:lang w:val="en-GB"/>
        </w:rPr>
        <w:t xml:space="preserve">; </w:t>
      </w:r>
      <w:r w:rsidRPr="40EE5880">
        <w:rPr>
          <w:rFonts w:ascii="Times New Roman" w:eastAsia="Times New Roman" w:hAnsi="Times New Roman" w:cs="Times New Roman"/>
          <w:sz w:val="24"/>
          <w:szCs w:val="24"/>
          <w:lang w:val="en-GB"/>
        </w:rPr>
        <w:t xml:space="preserve">Lambert et al., 2011). More political </w:t>
      </w:r>
      <w:r w:rsidR="005F52A4" w:rsidRPr="40EE5880">
        <w:rPr>
          <w:rFonts w:ascii="Times New Roman" w:eastAsia="Times New Roman" w:hAnsi="Times New Roman" w:cs="Times New Roman"/>
          <w:sz w:val="24"/>
          <w:szCs w:val="24"/>
          <w:lang w:val="en-GB"/>
        </w:rPr>
        <w:t>science-</w:t>
      </w:r>
      <w:r w:rsidR="005F52A4" w:rsidRPr="40EE5880">
        <w:rPr>
          <w:rFonts w:ascii="Times New Roman" w:eastAsia="Times New Roman" w:hAnsi="Times New Roman" w:cs="Times New Roman"/>
          <w:sz w:val="24"/>
          <w:szCs w:val="24"/>
          <w:lang w:val="en-GB"/>
        </w:rPr>
        <w:lastRenderedPageBreak/>
        <w:t>oriented</w:t>
      </w:r>
      <w:r w:rsidRPr="40EE5880">
        <w:rPr>
          <w:rFonts w:ascii="Times New Roman" w:eastAsia="Times New Roman" w:hAnsi="Times New Roman" w:cs="Times New Roman"/>
          <w:sz w:val="24"/>
          <w:szCs w:val="24"/>
          <w:lang w:val="en-GB"/>
        </w:rPr>
        <w:t xml:space="preserve"> concepts such as rally round the flag and legitimacy also provide answers to how and why actors (should) respond to scandals and crises. The concept of rally round the flag entails the idea that a crisis increases the trust in political leadership (Van der Meer et al</w:t>
      </w:r>
      <w:r w:rsidR="001A5E39">
        <w:rPr>
          <w:rFonts w:ascii="Times New Roman" w:eastAsia="Times New Roman" w:hAnsi="Times New Roman" w:cs="Times New Roman"/>
          <w:sz w:val="24"/>
          <w:szCs w:val="24"/>
          <w:lang w:val="en-GB"/>
        </w:rPr>
        <w:t>.</w:t>
      </w:r>
      <w:r w:rsidRPr="40EE5880">
        <w:rPr>
          <w:rFonts w:ascii="Times New Roman" w:eastAsia="Times New Roman" w:hAnsi="Times New Roman" w:cs="Times New Roman"/>
          <w:sz w:val="24"/>
          <w:szCs w:val="24"/>
          <w:lang w:val="en-GB"/>
        </w:rPr>
        <w:t>, 2023), whereas</w:t>
      </w:r>
      <w:r w:rsidR="001A5E39">
        <w:rPr>
          <w:rFonts w:ascii="Times New Roman" w:eastAsia="Times New Roman" w:hAnsi="Times New Roman" w:cs="Times New Roman"/>
          <w:sz w:val="24"/>
          <w:szCs w:val="24"/>
          <w:lang w:val="en-GB"/>
        </w:rPr>
        <w:t xml:space="preserve"> scholars studying the</w:t>
      </w:r>
      <w:r w:rsidRPr="40EE5880">
        <w:rPr>
          <w:rFonts w:ascii="Times New Roman" w:eastAsia="Times New Roman" w:hAnsi="Times New Roman" w:cs="Times New Roman"/>
          <w:sz w:val="24"/>
          <w:szCs w:val="24"/>
          <w:lang w:val="en-GB"/>
        </w:rPr>
        <w:t xml:space="preserve"> concept of legitimacy</w:t>
      </w:r>
      <w:r w:rsidR="001A5E39">
        <w:rPr>
          <w:rFonts w:ascii="Times New Roman" w:eastAsia="Times New Roman" w:hAnsi="Times New Roman" w:cs="Times New Roman"/>
          <w:sz w:val="24"/>
          <w:szCs w:val="24"/>
          <w:lang w:val="en-GB"/>
        </w:rPr>
        <w:t xml:space="preserve"> </w:t>
      </w:r>
      <w:r w:rsidRPr="40EE5880">
        <w:rPr>
          <w:rFonts w:ascii="Times New Roman" w:eastAsia="Times New Roman" w:hAnsi="Times New Roman" w:cs="Times New Roman"/>
          <w:sz w:val="24"/>
          <w:szCs w:val="24"/>
          <w:lang w:val="en-GB"/>
        </w:rPr>
        <w:t>state that a response to a crisis/scandal should be swift and adequate in order to keep legitimacy in place (Weisiger et al., 2015).</w:t>
      </w:r>
    </w:p>
    <w:p w14:paraId="02B9E738" w14:textId="77777777" w:rsidR="001A5E39" w:rsidRDefault="001A5E39" w:rsidP="40EE5880">
      <w:pPr>
        <w:spacing w:after="0" w:line="360" w:lineRule="auto"/>
        <w:jc w:val="both"/>
        <w:rPr>
          <w:rFonts w:ascii="Times New Roman" w:eastAsia="Times New Roman" w:hAnsi="Times New Roman" w:cs="Times New Roman"/>
          <w:sz w:val="24"/>
          <w:szCs w:val="24"/>
          <w:lang w:val="en-GB"/>
        </w:rPr>
      </w:pPr>
    </w:p>
    <w:p w14:paraId="0C0AAE47" w14:textId="7D59F282" w:rsidR="00BE3141" w:rsidRDefault="032BC0E5" w:rsidP="40EE5880">
      <w:pPr>
        <w:spacing w:after="0" w:line="360" w:lineRule="auto"/>
        <w:jc w:val="both"/>
        <w:rPr>
          <w:rFonts w:ascii="Times New Roman" w:eastAsia="Times New Roman" w:hAnsi="Times New Roman" w:cs="Times New Roman"/>
          <w:sz w:val="24"/>
          <w:szCs w:val="24"/>
          <w:lang w:val="en-GB"/>
        </w:rPr>
      </w:pPr>
      <w:r w:rsidRPr="40EE5880">
        <w:rPr>
          <w:rFonts w:ascii="Times New Roman" w:eastAsia="Times New Roman" w:hAnsi="Times New Roman" w:cs="Times New Roman"/>
          <w:sz w:val="24"/>
          <w:szCs w:val="24"/>
          <w:lang w:val="en-GB"/>
        </w:rPr>
        <w:t>In conclusion, there are many theoretical ideas and concepts that seem to be part of the puzzle that explain the position of the EU and how and why it should response to external events such as crises and scandals. In more abstract terms, these theoretical ideas and concepts are capable of explaining the observed relation. There are theories that explain the development of the relationship between Qatar and the EU</w:t>
      </w:r>
      <w:r w:rsidR="001A5E39">
        <w:rPr>
          <w:rFonts w:ascii="Times New Roman" w:eastAsia="Times New Roman" w:hAnsi="Times New Roman" w:cs="Times New Roman"/>
          <w:sz w:val="24"/>
          <w:szCs w:val="24"/>
          <w:lang w:val="en-GB"/>
        </w:rPr>
        <w:t>,</w:t>
      </w:r>
      <w:r w:rsidRPr="40EE5880">
        <w:rPr>
          <w:rFonts w:ascii="Times New Roman" w:eastAsia="Times New Roman" w:hAnsi="Times New Roman" w:cs="Times New Roman"/>
          <w:sz w:val="24"/>
          <w:szCs w:val="24"/>
          <w:lang w:val="en-GB"/>
        </w:rPr>
        <w:t xml:space="preserve"> and there are theories that explain how a crisis can alter this relationship and how states respond to such crises. In other words, the mentioned theories are capable of explaining the start and the finish of the relationship between the EU and Qatar, but they are not capable yet to explain the underlying causal mechanisms. What motives</w:t>
      </w:r>
      <w:r w:rsidR="001A5E39">
        <w:rPr>
          <w:rFonts w:ascii="Times New Roman" w:eastAsia="Times New Roman" w:hAnsi="Times New Roman" w:cs="Times New Roman"/>
          <w:sz w:val="24"/>
          <w:szCs w:val="24"/>
          <w:lang w:val="en-GB"/>
        </w:rPr>
        <w:t xml:space="preserve"> were</w:t>
      </w:r>
      <w:r w:rsidRPr="40EE5880">
        <w:rPr>
          <w:rFonts w:ascii="Times New Roman" w:eastAsia="Times New Roman" w:hAnsi="Times New Roman" w:cs="Times New Roman"/>
          <w:sz w:val="24"/>
          <w:szCs w:val="24"/>
          <w:lang w:val="en-GB"/>
        </w:rPr>
        <w:t xml:space="preserve"> underneath the actions of the EU</w:t>
      </w:r>
      <w:r w:rsidR="001A5E39">
        <w:rPr>
          <w:rFonts w:ascii="Times New Roman" w:eastAsia="Times New Roman" w:hAnsi="Times New Roman" w:cs="Times New Roman"/>
          <w:sz w:val="24"/>
          <w:szCs w:val="24"/>
          <w:lang w:val="en-GB"/>
        </w:rPr>
        <w:t>,</w:t>
      </w:r>
      <w:r w:rsidRPr="40EE5880">
        <w:rPr>
          <w:rFonts w:ascii="Times New Roman" w:eastAsia="Times New Roman" w:hAnsi="Times New Roman" w:cs="Times New Roman"/>
          <w:sz w:val="24"/>
          <w:szCs w:val="24"/>
          <w:lang w:val="en-GB"/>
        </w:rPr>
        <w:t xml:space="preserve"> and why did exactly these motives prevail? Which causal mechanisms were at play in creating the response of the EU</w:t>
      </w:r>
      <w:r w:rsidR="001A5E39">
        <w:rPr>
          <w:rFonts w:ascii="Times New Roman" w:eastAsia="Times New Roman" w:hAnsi="Times New Roman" w:cs="Times New Roman"/>
          <w:sz w:val="24"/>
          <w:szCs w:val="24"/>
          <w:lang w:val="en-GB"/>
        </w:rPr>
        <w:t>,</w:t>
      </w:r>
      <w:r w:rsidRPr="40EE5880">
        <w:rPr>
          <w:rFonts w:ascii="Times New Roman" w:eastAsia="Times New Roman" w:hAnsi="Times New Roman" w:cs="Times New Roman"/>
          <w:sz w:val="24"/>
          <w:szCs w:val="24"/>
          <w:lang w:val="en-GB"/>
        </w:rPr>
        <w:t xml:space="preserve"> and how did these causal mechanisms change the relationship between the EU and Qatar? The theories are not able to answer these questions yet. Therefore, this thesis, by means of the method of process tracing, tries to answer </w:t>
      </w:r>
      <w:r w:rsidR="005F52A4" w:rsidRPr="40EE5880">
        <w:rPr>
          <w:rFonts w:ascii="Times New Roman" w:eastAsia="Times New Roman" w:hAnsi="Times New Roman" w:cs="Times New Roman"/>
          <w:sz w:val="24"/>
          <w:szCs w:val="24"/>
          <w:lang w:val="en-GB"/>
        </w:rPr>
        <w:t>this question</w:t>
      </w:r>
      <w:r w:rsidRPr="40EE5880">
        <w:rPr>
          <w:rFonts w:ascii="Times New Roman" w:eastAsia="Times New Roman" w:hAnsi="Times New Roman" w:cs="Times New Roman"/>
          <w:sz w:val="24"/>
          <w:szCs w:val="24"/>
          <w:lang w:val="en-GB"/>
        </w:rPr>
        <w:t xml:space="preserve"> and identify the causal mechanisms at play to provide an answer to the void in the literature. </w:t>
      </w:r>
    </w:p>
    <w:p w14:paraId="133DEFD6" w14:textId="25F79733" w:rsidR="00BE3141" w:rsidRDefault="032BC0E5" w:rsidP="40EE5880">
      <w:pPr>
        <w:spacing w:after="0" w:line="360" w:lineRule="auto"/>
        <w:jc w:val="both"/>
        <w:rPr>
          <w:rFonts w:ascii="Times New Roman" w:eastAsia="Times New Roman" w:hAnsi="Times New Roman" w:cs="Times New Roman"/>
          <w:sz w:val="24"/>
          <w:szCs w:val="24"/>
          <w:lang w:val="en-GB"/>
        </w:rPr>
      </w:pPr>
      <w:r w:rsidRPr="40EE5880">
        <w:rPr>
          <w:rFonts w:ascii="Times New Roman" w:eastAsia="Times New Roman" w:hAnsi="Times New Roman" w:cs="Times New Roman"/>
          <w:sz w:val="24"/>
          <w:szCs w:val="24"/>
          <w:lang w:val="en-GB"/>
        </w:rPr>
        <w:t xml:space="preserve"> </w:t>
      </w:r>
    </w:p>
    <w:p w14:paraId="7EC59E69" w14:textId="58A74842" w:rsidR="00905658" w:rsidRDefault="032BC0E5" w:rsidP="40EE5880">
      <w:pPr>
        <w:spacing w:after="0" w:line="360" w:lineRule="auto"/>
        <w:jc w:val="both"/>
        <w:rPr>
          <w:rFonts w:ascii="Times New Roman" w:eastAsia="Times New Roman" w:hAnsi="Times New Roman" w:cs="Times New Roman"/>
          <w:sz w:val="24"/>
          <w:szCs w:val="24"/>
          <w:lang w:val="en-GB"/>
        </w:rPr>
      </w:pPr>
      <w:r w:rsidRPr="40EE5880">
        <w:rPr>
          <w:rFonts w:ascii="Times New Roman" w:eastAsia="Times New Roman" w:hAnsi="Times New Roman" w:cs="Times New Roman"/>
          <w:sz w:val="24"/>
          <w:szCs w:val="24"/>
          <w:lang w:val="en-GB"/>
        </w:rPr>
        <w:t>The societal relevance of this thesis can be found in the idea that this thesis will help to understand how the EU responds to crises in the light of deepened cooperation. This could help (member) states, international organisations, and non-governmental organisations to think of a more coherent approach to cooperation. If states and other entities know how the EU might position itself as an international actor, it will help states and other entities to provide a coherent and encompassing strategy for its conduct with the EU. Furthermore, it allows for states and other entities to have prior knowledge on how the EU might act when the relationship becomes troubled. This is especially relevant in the complex (geo)political world of today where instability and unpredictability are on the rise.</w:t>
      </w:r>
      <w:r w:rsidR="00905658">
        <w:rPr>
          <w:rFonts w:ascii="Times New Roman" w:eastAsia="Times New Roman" w:hAnsi="Times New Roman" w:cs="Times New Roman"/>
          <w:sz w:val="24"/>
          <w:szCs w:val="24"/>
          <w:lang w:val="en-GB"/>
        </w:rPr>
        <w:t xml:space="preserve"> The</w:t>
      </w:r>
      <w:r w:rsidRPr="40EE5880">
        <w:rPr>
          <w:rFonts w:ascii="Times New Roman" w:eastAsia="Times New Roman" w:hAnsi="Times New Roman" w:cs="Times New Roman"/>
          <w:sz w:val="24"/>
          <w:szCs w:val="24"/>
          <w:lang w:val="en-GB"/>
        </w:rPr>
        <w:t xml:space="preserve">refore, providing insights in what drives the EU and other actors in their responses might add to the return of more stability in geopolitics. </w:t>
      </w:r>
    </w:p>
    <w:p w14:paraId="089509D8" w14:textId="77777777" w:rsidR="00905658" w:rsidRDefault="00905658" w:rsidP="40EE5880">
      <w:pPr>
        <w:spacing w:after="0" w:line="360" w:lineRule="auto"/>
        <w:jc w:val="both"/>
        <w:rPr>
          <w:rFonts w:ascii="Times New Roman" w:eastAsia="Times New Roman" w:hAnsi="Times New Roman" w:cs="Times New Roman"/>
          <w:sz w:val="24"/>
          <w:szCs w:val="24"/>
          <w:lang w:val="en-GB"/>
        </w:rPr>
      </w:pPr>
    </w:p>
    <w:p w14:paraId="0CE77CD7" w14:textId="468F7E69" w:rsidR="00BE3141" w:rsidRDefault="032BC0E5" w:rsidP="40EE5880">
      <w:pPr>
        <w:spacing w:after="0" w:line="360" w:lineRule="auto"/>
        <w:jc w:val="both"/>
        <w:rPr>
          <w:rFonts w:ascii="Times New Roman" w:eastAsia="Times New Roman" w:hAnsi="Times New Roman" w:cs="Times New Roman"/>
          <w:sz w:val="24"/>
          <w:szCs w:val="24"/>
          <w:lang w:val="en-GB"/>
        </w:rPr>
      </w:pPr>
      <w:r w:rsidRPr="40EE5880">
        <w:rPr>
          <w:rFonts w:ascii="Times New Roman" w:eastAsia="Times New Roman" w:hAnsi="Times New Roman" w:cs="Times New Roman"/>
          <w:sz w:val="24"/>
          <w:szCs w:val="24"/>
          <w:lang w:val="en-GB"/>
        </w:rPr>
        <w:lastRenderedPageBreak/>
        <w:t>Furthermore, the EU becoming a more predictable and, therefore, a more reliable actor, might also lead to the EU being perceived as more legitimate and trustworthy to citizens. This would be of relevance to the EU as it has been struggling with its legitimacy and trustworthiness among the general public. This problem, that</w:t>
      </w:r>
      <w:r w:rsidR="00905658">
        <w:rPr>
          <w:rFonts w:ascii="Times New Roman" w:eastAsia="Times New Roman" w:hAnsi="Times New Roman" w:cs="Times New Roman"/>
          <w:sz w:val="24"/>
          <w:szCs w:val="24"/>
          <w:lang w:val="en-GB"/>
        </w:rPr>
        <w:t>, for example,</w:t>
      </w:r>
      <w:r w:rsidRPr="40EE5880">
        <w:rPr>
          <w:rFonts w:ascii="Times New Roman" w:eastAsia="Times New Roman" w:hAnsi="Times New Roman" w:cs="Times New Roman"/>
          <w:sz w:val="24"/>
          <w:szCs w:val="24"/>
          <w:lang w:val="en-GB"/>
        </w:rPr>
        <w:t xml:space="preserve"> entails the democratic deficit that will be discussed in this thesis as well, is especially relevant in a year in which millions of Europeans are allowed to vote for the EP again. </w:t>
      </w:r>
    </w:p>
    <w:p w14:paraId="4D821657" w14:textId="2C5E4B29" w:rsidR="00BE3141" w:rsidRDefault="032BC0E5" w:rsidP="40EE5880">
      <w:pPr>
        <w:pStyle w:val="Kop2"/>
        <w:spacing w:before="0" w:line="360" w:lineRule="auto"/>
        <w:jc w:val="both"/>
        <w:rPr>
          <w:rFonts w:ascii="Times New Roman" w:eastAsia="Times New Roman" w:hAnsi="Times New Roman" w:cs="Times New Roman"/>
          <w:sz w:val="24"/>
          <w:szCs w:val="24"/>
          <w:lang w:val="en-GB"/>
        </w:rPr>
      </w:pPr>
      <w:r w:rsidRPr="40EE5880">
        <w:rPr>
          <w:rFonts w:ascii="Times New Roman" w:eastAsia="Times New Roman" w:hAnsi="Times New Roman" w:cs="Times New Roman"/>
          <w:sz w:val="24"/>
          <w:szCs w:val="24"/>
          <w:lang w:val="en-GB"/>
        </w:rPr>
        <w:t xml:space="preserve"> </w:t>
      </w:r>
    </w:p>
    <w:p w14:paraId="62EB5B52" w14:textId="1C0C8ECF" w:rsidR="00BE3141" w:rsidRDefault="032BC0E5" w:rsidP="40EE5880">
      <w:pPr>
        <w:pStyle w:val="Kop2"/>
        <w:rPr>
          <w:rFonts w:ascii="Times New Roman" w:eastAsia="Times New Roman" w:hAnsi="Times New Roman" w:cs="Times New Roman"/>
          <w:color w:val="auto"/>
          <w:sz w:val="24"/>
          <w:szCs w:val="24"/>
          <w:u w:val="single"/>
          <w:lang w:val="en-GB"/>
        </w:rPr>
      </w:pPr>
      <w:bookmarkStart w:id="6" w:name="_Toc169873374"/>
      <w:r w:rsidRPr="40EE5880">
        <w:rPr>
          <w:rFonts w:ascii="Times New Roman" w:eastAsia="Times New Roman" w:hAnsi="Times New Roman" w:cs="Times New Roman"/>
          <w:color w:val="auto"/>
          <w:u w:val="single"/>
          <w:lang w:val="en-GB"/>
        </w:rPr>
        <w:t>1.3 Outline of thesis</w:t>
      </w:r>
      <w:bookmarkEnd w:id="6"/>
      <w:r w:rsidRPr="40EE5880">
        <w:rPr>
          <w:rFonts w:ascii="Times New Roman" w:eastAsia="Times New Roman" w:hAnsi="Times New Roman" w:cs="Times New Roman"/>
          <w:color w:val="auto"/>
          <w:u w:val="single"/>
          <w:lang w:val="en-GB"/>
        </w:rPr>
        <w:t xml:space="preserve"> </w:t>
      </w:r>
    </w:p>
    <w:p w14:paraId="52A2299F" w14:textId="56541ABF" w:rsidR="00BE3141" w:rsidRDefault="032BC0E5" w:rsidP="40EE5880">
      <w:pPr>
        <w:spacing w:after="0" w:line="360" w:lineRule="auto"/>
        <w:jc w:val="both"/>
        <w:rPr>
          <w:rFonts w:ascii="Times New Roman" w:eastAsia="Times New Roman" w:hAnsi="Times New Roman" w:cs="Times New Roman"/>
          <w:sz w:val="24"/>
          <w:szCs w:val="24"/>
          <w:lang w:val="en-GB"/>
        </w:rPr>
      </w:pPr>
      <w:r w:rsidRPr="40EE5880">
        <w:rPr>
          <w:rFonts w:ascii="Times New Roman" w:eastAsia="Times New Roman" w:hAnsi="Times New Roman" w:cs="Times New Roman"/>
          <w:sz w:val="24"/>
          <w:szCs w:val="24"/>
          <w:lang w:val="en-GB"/>
        </w:rPr>
        <w:t>After this introduction, the following chapter will outline the theoretical framework in which there will be an in-depth discussion of the theories and concepts that prevail in this context. It will start with a discussion o</w:t>
      </w:r>
      <w:r w:rsidR="00905658">
        <w:rPr>
          <w:rFonts w:ascii="Times New Roman" w:eastAsia="Times New Roman" w:hAnsi="Times New Roman" w:cs="Times New Roman"/>
          <w:sz w:val="24"/>
          <w:szCs w:val="24"/>
          <w:lang w:val="en-GB"/>
        </w:rPr>
        <w:t>f</w:t>
      </w:r>
      <w:r w:rsidRPr="40EE5880">
        <w:rPr>
          <w:rFonts w:ascii="Times New Roman" w:eastAsia="Times New Roman" w:hAnsi="Times New Roman" w:cs="Times New Roman"/>
          <w:sz w:val="24"/>
          <w:szCs w:val="24"/>
          <w:lang w:val="en-GB"/>
        </w:rPr>
        <w:t xml:space="preserve"> theories on how the EU positions itself as an international actor, which is followed by a discussion on theories that deal with response to crises and Qatargate. After that, theoretical expectations and a causal model will be drawn that will serve as the basis for the empirical analysis. Following the theoretical framework, the next chapter will deal with the method and its benefits and downsides when it comes validity and reliability. Furthermore, the core concepts will be operationalised in order to make them ready for the empirical analysis in the following chapter. This analysis will be split into two separate </w:t>
      </w:r>
      <w:r w:rsidR="00905658">
        <w:rPr>
          <w:rFonts w:ascii="Times New Roman" w:eastAsia="Times New Roman" w:hAnsi="Times New Roman" w:cs="Times New Roman"/>
          <w:sz w:val="24"/>
          <w:szCs w:val="24"/>
          <w:lang w:val="en-GB"/>
        </w:rPr>
        <w:t>parts</w:t>
      </w:r>
      <w:r w:rsidRPr="40EE5880">
        <w:rPr>
          <w:rFonts w:ascii="Times New Roman" w:eastAsia="Times New Roman" w:hAnsi="Times New Roman" w:cs="Times New Roman"/>
          <w:sz w:val="24"/>
          <w:szCs w:val="24"/>
          <w:lang w:val="en-GB"/>
        </w:rPr>
        <w:t xml:space="preserve"> in which the first </w:t>
      </w:r>
      <w:r w:rsidR="00905658">
        <w:rPr>
          <w:rFonts w:ascii="Times New Roman" w:eastAsia="Times New Roman" w:hAnsi="Times New Roman" w:cs="Times New Roman"/>
          <w:sz w:val="24"/>
          <w:szCs w:val="24"/>
          <w:lang w:val="en-GB"/>
        </w:rPr>
        <w:t>part</w:t>
      </w:r>
      <w:r w:rsidRPr="40EE5880">
        <w:rPr>
          <w:rFonts w:ascii="Times New Roman" w:eastAsia="Times New Roman" w:hAnsi="Times New Roman" w:cs="Times New Roman"/>
          <w:sz w:val="24"/>
          <w:szCs w:val="24"/>
          <w:lang w:val="en-GB"/>
        </w:rPr>
        <w:t xml:space="preserve"> deals with more background information and how the relationship between the EU and Qatar came to be</w:t>
      </w:r>
      <w:r w:rsidR="00905658">
        <w:rPr>
          <w:rFonts w:ascii="Times New Roman" w:eastAsia="Times New Roman" w:hAnsi="Times New Roman" w:cs="Times New Roman"/>
          <w:sz w:val="24"/>
          <w:szCs w:val="24"/>
          <w:lang w:val="en-GB"/>
        </w:rPr>
        <w:t>.</w:t>
      </w:r>
      <w:r w:rsidRPr="40EE5880">
        <w:rPr>
          <w:rFonts w:ascii="Times New Roman" w:eastAsia="Times New Roman" w:hAnsi="Times New Roman" w:cs="Times New Roman"/>
          <w:sz w:val="24"/>
          <w:szCs w:val="24"/>
          <w:lang w:val="en-GB"/>
        </w:rPr>
        <w:t xml:space="preserve"> The second </w:t>
      </w:r>
      <w:r w:rsidR="00905658">
        <w:rPr>
          <w:rFonts w:ascii="Times New Roman" w:eastAsia="Times New Roman" w:hAnsi="Times New Roman" w:cs="Times New Roman"/>
          <w:sz w:val="24"/>
          <w:szCs w:val="24"/>
          <w:lang w:val="en-GB"/>
        </w:rPr>
        <w:t>part</w:t>
      </w:r>
      <w:r w:rsidRPr="40EE5880">
        <w:rPr>
          <w:rFonts w:ascii="Times New Roman" w:eastAsia="Times New Roman" w:hAnsi="Times New Roman" w:cs="Times New Roman"/>
          <w:sz w:val="24"/>
          <w:szCs w:val="24"/>
          <w:lang w:val="en-GB"/>
        </w:rPr>
        <w:t xml:space="preserve"> will then deal with the</w:t>
      </w:r>
      <w:r w:rsidR="00905658">
        <w:rPr>
          <w:rFonts w:ascii="Times New Roman" w:eastAsia="Times New Roman" w:hAnsi="Times New Roman" w:cs="Times New Roman"/>
          <w:sz w:val="24"/>
          <w:szCs w:val="24"/>
          <w:lang w:val="en-GB"/>
        </w:rPr>
        <w:t xml:space="preserve"> discovery and the</w:t>
      </w:r>
      <w:r w:rsidRPr="40EE5880">
        <w:rPr>
          <w:rFonts w:ascii="Times New Roman" w:eastAsia="Times New Roman" w:hAnsi="Times New Roman" w:cs="Times New Roman"/>
          <w:sz w:val="24"/>
          <w:szCs w:val="24"/>
          <w:lang w:val="en-GB"/>
        </w:rPr>
        <w:t xml:space="preserve"> consequences of Qatargate and what theories and concepts explain these consequences. All these results will be wrapped up in the concluding chapter where a conclusion will be drawn and a more general reflection on this thesis will be made.</w:t>
      </w:r>
    </w:p>
    <w:p w14:paraId="0F06D4B0" w14:textId="1B51FA94" w:rsidR="00BE3141" w:rsidRDefault="00BE3141" w:rsidP="40EE5880">
      <w:pPr>
        <w:rPr>
          <w:lang w:val="en-GB"/>
        </w:rPr>
      </w:pPr>
    </w:p>
    <w:p w14:paraId="211658CF" w14:textId="77777777" w:rsidR="00F325C6" w:rsidRDefault="00F325C6">
      <w:pPr>
        <w:rPr>
          <w:lang w:val="en-GB"/>
        </w:rPr>
      </w:pPr>
    </w:p>
    <w:p w14:paraId="19826705" w14:textId="77777777" w:rsidR="00F325C6" w:rsidRDefault="00F325C6">
      <w:pPr>
        <w:rPr>
          <w:lang w:val="en-GB"/>
        </w:rPr>
      </w:pPr>
    </w:p>
    <w:p w14:paraId="18D602BE" w14:textId="77777777" w:rsidR="00F325C6" w:rsidRDefault="00F325C6">
      <w:pPr>
        <w:rPr>
          <w:lang w:val="en-GB"/>
        </w:rPr>
      </w:pPr>
    </w:p>
    <w:p w14:paraId="14E4B9BE" w14:textId="77777777" w:rsidR="00F325C6" w:rsidRDefault="00F325C6">
      <w:pPr>
        <w:rPr>
          <w:lang w:val="en-GB"/>
        </w:rPr>
      </w:pPr>
    </w:p>
    <w:p w14:paraId="60DE3C23" w14:textId="77777777" w:rsidR="00F325C6" w:rsidRDefault="00F325C6">
      <w:pPr>
        <w:rPr>
          <w:lang w:val="en-GB"/>
        </w:rPr>
      </w:pPr>
    </w:p>
    <w:p w14:paraId="05CBA4BA" w14:textId="77777777" w:rsidR="00F325C6" w:rsidRDefault="00F325C6">
      <w:pPr>
        <w:rPr>
          <w:lang w:val="en-GB"/>
        </w:rPr>
      </w:pPr>
    </w:p>
    <w:p w14:paraId="3F004FC2" w14:textId="77777777" w:rsidR="00F325C6" w:rsidRDefault="00F325C6">
      <w:pPr>
        <w:rPr>
          <w:lang w:val="en-GB"/>
        </w:rPr>
      </w:pPr>
    </w:p>
    <w:p w14:paraId="67B32737" w14:textId="77777777" w:rsidR="000E0F5B" w:rsidRDefault="000E0F5B">
      <w:pPr>
        <w:rPr>
          <w:lang w:val="en-GB"/>
        </w:rPr>
      </w:pPr>
    </w:p>
    <w:p w14:paraId="1FE00A8A" w14:textId="710100FC" w:rsidR="006A780F" w:rsidRPr="006A780F" w:rsidRDefault="00F325C6" w:rsidP="006A780F">
      <w:pPr>
        <w:pStyle w:val="Kop1"/>
        <w:jc w:val="both"/>
        <w:rPr>
          <w:rFonts w:ascii="Times New Roman" w:hAnsi="Times New Roman" w:cs="Times New Roman"/>
          <w:color w:val="auto"/>
          <w:sz w:val="40"/>
          <w:szCs w:val="40"/>
          <w:lang w:val="en-GB"/>
        </w:rPr>
      </w:pPr>
      <w:bookmarkStart w:id="7" w:name="_Toc169873375"/>
      <w:r w:rsidRPr="40EE5880">
        <w:rPr>
          <w:rFonts w:ascii="Times New Roman" w:hAnsi="Times New Roman" w:cs="Times New Roman"/>
          <w:color w:val="auto"/>
          <w:sz w:val="40"/>
          <w:szCs w:val="40"/>
          <w:lang w:val="en-GB"/>
        </w:rPr>
        <w:lastRenderedPageBreak/>
        <w:t>Chapter 2 – Theoretical framework</w:t>
      </w:r>
      <w:bookmarkEnd w:id="7"/>
    </w:p>
    <w:p w14:paraId="424996D0" w14:textId="212BB88C" w:rsidR="00F325C6" w:rsidRPr="00E90F09" w:rsidRDefault="0092069D" w:rsidP="00E90F09">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This chapter will outline the most important literatures that will form the basis for the method and the analysis that follow in this thesis. It will start with a general overview of debates on how the EU positions itself within the international order and how this positioning can be explained from various perspectives. </w:t>
      </w:r>
      <w:r w:rsidR="00DA1439">
        <w:rPr>
          <w:rFonts w:ascii="Times New Roman" w:hAnsi="Times New Roman" w:cs="Times New Roman"/>
          <w:sz w:val="24"/>
          <w:szCs w:val="24"/>
          <w:lang w:val="en-GB"/>
        </w:rPr>
        <w:t>Furthermore, this chapter will also outline the theoretical pinpoints on the consequences of crises on international institutions and, specifically, how crises influence the EU as an international actor. With these theoretical ideas outlined, this chapter will end with a coherent overview of what these theories can say about the influence of Qatargate on the relationship between the EU and the Gulf States.</w:t>
      </w:r>
    </w:p>
    <w:p w14:paraId="1C2B8E0B" w14:textId="56BF696D" w:rsidR="00F325C6" w:rsidRDefault="00F325C6" w:rsidP="00F325C6">
      <w:pPr>
        <w:pStyle w:val="Kop2"/>
        <w:rPr>
          <w:rFonts w:ascii="Times New Roman" w:hAnsi="Times New Roman" w:cs="Times New Roman"/>
          <w:color w:val="auto"/>
          <w:u w:val="single"/>
          <w:lang w:val="en-GB"/>
        </w:rPr>
      </w:pPr>
      <w:bookmarkStart w:id="8" w:name="_Toc169873376"/>
      <w:r w:rsidRPr="40EE5880">
        <w:rPr>
          <w:rFonts w:ascii="Times New Roman" w:hAnsi="Times New Roman" w:cs="Times New Roman"/>
          <w:color w:val="auto"/>
          <w:u w:val="single"/>
          <w:lang w:val="en-GB"/>
        </w:rPr>
        <w:t xml:space="preserve">2.1 </w:t>
      </w:r>
      <w:r w:rsidR="006464B6" w:rsidRPr="40EE5880">
        <w:rPr>
          <w:rFonts w:ascii="Times New Roman" w:hAnsi="Times New Roman" w:cs="Times New Roman"/>
          <w:color w:val="auto"/>
          <w:u w:val="single"/>
          <w:lang w:val="en-GB"/>
        </w:rPr>
        <w:t>The EU as an international actor</w:t>
      </w:r>
      <w:bookmarkEnd w:id="8"/>
    </w:p>
    <w:p w14:paraId="41EAA576" w14:textId="77777777" w:rsidR="00CD205B" w:rsidRDefault="00CD205B" w:rsidP="00CD205B">
      <w:pPr>
        <w:spacing w:line="360" w:lineRule="auto"/>
        <w:jc w:val="both"/>
        <w:rPr>
          <w:rFonts w:ascii="Times New Roman" w:hAnsi="Times New Roman" w:cs="Times New Roman"/>
          <w:sz w:val="24"/>
          <w:szCs w:val="24"/>
          <w:lang w:val="en-GB"/>
        </w:rPr>
      </w:pPr>
      <w:r w:rsidRPr="00800360">
        <w:rPr>
          <w:rFonts w:ascii="Times New Roman" w:hAnsi="Times New Roman" w:cs="Times New Roman"/>
          <w:sz w:val="24"/>
          <w:szCs w:val="24"/>
          <w:lang w:val="en-GB"/>
        </w:rPr>
        <w:t>The field of international r</w:t>
      </w:r>
      <w:r>
        <w:rPr>
          <w:rFonts w:ascii="Times New Roman" w:hAnsi="Times New Roman" w:cs="Times New Roman"/>
          <w:sz w:val="24"/>
          <w:szCs w:val="24"/>
          <w:lang w:val="en-GB"/>
        </w:rPr>
        <w:t xml:space="preserve">elations is a wide and extensive field of research in political science. It has brought forward theories that are still widely accepted and applied today as they continue to provide different theoretical perspectives and answers as to why and how actors in the field of international relations act. One of the founding theories in the field of international relations is the theory of realism. There are many subversions of this theory, including e.g. Morgenthau’s classical realism and Waltz’s neorealism, that each have their own propositions. However, most scholars agree with the idea that states are the most important actor in a world that is known for its anarchic structure (Lebow, 2021). In this world, actors look for (military) alliances in which they work together with other states to ensure their security and perseverance. As a result, the world is constructed in a so-called balance of power that must be upheld in order to guarantee peace and stability (Waltz, 1959). However, an important feature of realism is that it considers states to be the prominent actor in international relations. Realism would then be difficult to apply to the EU, which in the literature is considered to be a comprehensive, multipurpose regional organisation (Pease, 2019). This view is supported by Pollack (2016), who states that realism is not completely incapable of explaining development of and actions by the EU, but its contributions are limited and scarce. </w:t>
      </w:r>
    </w:p>
    <w:p w14:paraId="61DA6579" w14:textId="77777777" w:rsidR="00CD205B" w:rsidRDefault="00CD205B" w:rsidP="00CD205B">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Another theory of international relations that has influenced the field of international relations remarkably is the theory of liberalism. Liberalism, like realism, is one of the grand theories of international relations, but it differs it in its primary statement that domestic and transnational contexts shape state behaviour as well (Moravcsik, 1997). As a result, states are more interdependent than a realist would assume and need cooperation in order to survive and maximise its needs. This cooperation often points towards economic cooperation, as states need cooperation and peace in order for an economy to develop (Russett, 2021). Following the </w:t>
      </w:r>
      <w:r>
        <w:rPr>
          <w:rFonts w:ascii="Times New Roman" w:hAnsi="Times New Roman" w:cs="Times New Roman"/>
          <w:sz w:val="24"/>
          <w:szCs w:val="24"/>
          <w:lang w:val="en-GB"/>
        </w:rPr>
        <w:lastRenderedPageBreak/>
        <w:t xml:space="preserve">economic argument, the link to the EU is easily made as the EU is an economic project in its core (Genschel &amp; Jachtenfuchs, 2017). This economic project is often perceived as a power, resulting into the EU being referred to as Market Power Europe (Damro, 2012), a concept that will come back later. However, as liberalism tends to look at economic aspects, this implies that liberalism and its theories look more at European integration and the (economic) incentives behind this (Schimmelfennig, 2013a).  </w:t>
      </w:r>
    </w:p>
    <w:p w14:paraId="1273C959" w14:textId="77777777" w:rsidR="00CD205B" w:rsidRDefault="00CD205B" w:rsidP="00CD205B">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A final theory of international relations that needs to be mentioned despite its difference compared to the previous two theories is the theory of constructivism. The theory of constructivism differs substantially from realism and liberalism as it does not look at power and the international arena as a material, rational phenomenon. Instead, constructivists believe that the world is socially constructed, meaning that actors act based on the meanings that they adhere to the world around them (Hurd, 2009).  As a result, norms, values, and beliefs play an essential role in shaping an actor’s behaviour in international relations. This so-called logic of appropriateness (Schimmelfennig, 2012) implies that actors judge and weigh alternative choices of action in terms of whether they fit within their set of norms, values, and beliefs rather than a more cost-benefit analysis that e.g. realists follow. The idea that the EU uses this logic of appropriateness has been widely applied in research on European integration by e.g. Schimmelfennig (2012) and Christiansen et al. (1999), but it can also be used to explain actions and motivations of an international actor. </w:t>
      </w:r>
    </w:p>
    <w:p w14:paraId="7F000E81" w14:textId="77777777" w:rsidR="00CD205B" w:rsidRDefault="00CD205B" w:rsidP="00CD205B">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In conclusion, the grand theories of international relations have played an important role in providing theoretical explanations and frameworks for European Union and its behaviour in international relations. However, there are more concepts that deal more explicitly with the notion of the EU as an international actor and how the EU behaves in the international context in the way it does. One of the key concepts in that regard is the concept of Normative Power Europe (NPE). This concept was introduced by Manners (2002), who states that the fact that the EU was created on the basis of (liberal) values such as democracy, social justice and rule of law caused the EU to commit to placing universal norms and values at the heart of its relations with external actors. In other words, the relationship between the EU and an external actor is founded on the power of ideas and norms and these are more powerful than economic and military power (Palm &amp; Crum, 2019).</w:t>
      </w:r>
    </w:p>
    <w:p w14:paraId="40396D64" w14:textId="77777777" w:rsidR="00CD205B" w:rsidRDefault="00CD205B" w:rsidP="00CD205B">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 However, there is great contestation among scholars whether the EU should indeed be perceived as a normative power. Scholars such as Pollack (2021) argue that the EU might be </w:t>
      </w:r>
      <w:r>
        <w:rPr>
          <w:rFonts w:ascii="Times New Roman" w:hAnsi="Times New Roman" w:cs="Times New Roman"/>
          <w:sz w:val="24"/>
          <w:szCs w:val="24"/>
          <w:lang w:val="en-GB"/>
        </w:rPr>
        <w:lastRenderedPageBreak/>
        <w:t>funded on certain normative principles, but that its actions are also funded on other motives than merely normative stances. Motives are often mixed and based on a combination of normative and economic interests. Kelemen and Vogel (2009) show that actions by the EU in the field of climate change were often not taken as a means to promote high environmental standards and the normative concern for the environment, but these actions were also highly motivated by a concern to level the economic playing field with states such as the United States. Therefore, it seems that it cannot be denied that the EU sees its actions being motivated by normative concerns and beliefs, but that other concerns such as economic power and stability also play a role.</w:t>
      </w:r>
    </w:p>
    <w:p w14:paraId="762658FC" w14:textId="77777777" w:rsidR="00CD205B" w:rsidRDefault="00CD205B" w:rsidP="00CD205B">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A concept that ties in with the mentioned economic concerns is the concept of Market Power Europe (MPE). MPE is a concept that was introduced by Damro (2015), who starts with the premise that the EU is an economic power as well as a normative power. Scholars such as Damro argue that the EU was funded on the principles of market integration and the creation of the internal market. As such, MPE and its scholars provide an opportunity to analyse how the EU exercises its power through the externalisation of market- and trade-related policies and measures. In general, there are three dimensions that determine the identity of a market power (Damro, 2012):</w:t>
      </w:r>
    </w:p>
    <w:p w14:paraId="3830BC93" w14:textId="77777777" w:rsidR="00CD205B" w:rsidRDefault="00CD205B" w:rsidP="00CD205B">
      <w:pPr>
        <w:pStyle w:val="Lijstalinea"/>
        <w:numPr>
          <w:ilvl w:val="0"/>
          <w:numId w:val="1"/>
        </w:num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Material existence in terms of market size</w:t>
      </w:r>
    </w:p>
    <w:p w14:paraId="40BF2526" w14:textId="77777777" w:rsidR="00CD205B" w:rsidRDefault="00CD205B" w:rsidP="00CD205B">
      <w:pPr>
        <w:pStyle w:val="Lijstalinea"/>
        <w:numPr>
          <w:ilvl w:val="0"/>
          <w:numId w:val="1"/>
        </w:num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Institutional features such as regulatory capacity </w:t>
      </w:r>
    </w:p>
    <w:p w14:paraId="0001032B" w14:textId="77777777" w:rsidR="00CD205B" w:rsidRPr="001008AF" w:rsidRDefault="00CD205B" w:rsidP="00CD205B">
      <w:pPr>
        <w:pStyle w:val="Lijstalinea"/>
        <w:numPr>
          <w:ilvl w:val="0"/>
          <w:numId w:val="1"/>
        </w:num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Interest contestation </w:t>
      </w:r>
    </w:p>
    <w:p w14:paraId="41E32C5D" w14:textId="77777777" w:rsidR="00CD205B" w:rsidRDefault="00CD205B" w:rsidP="00CD205B">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The combination of these three features determine to what extent a power can be determined to be a market power. When applied to the context of the EU, it can be clearly seen that the EU largely fulfils the requirements of MPE. The EU has a large internal market due to its successful market integration. Furthermore, this market integration has gone hand in hand with the creation of a large institutional framework that regulates its policy. Lastly, as shown by NPE, the EU is a key actor when it comes to the field of interest contestation. In other words, MPE seems to be a concept that explains that the EU acts as a market power in the international context and that the EU, moreover, is capable to use its market power to influence international politics. </w:t>
      </w:r>
    </w:p>
    <w:p w14:paraId="4329B7EA" w14:textId="77777777" w:rsidR="00CD205B" w:rsidRDefault="00CD205B" w:rsidP="00CD205B">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Thus far, the EU has been discussed as an actor who acts based on either normative or economic motives and concerns. However, the EU also seems to act out of mere realist motives that are funded in the principle of upholding its power and guaranteeing stability. In this context, the EU acts as a more realist power that is concerned with its military power and its power or </w:t>
      </w:r>
      <w:r>
        <w:rPr>
          <w:rFonts w:ascii="Times New Roman" w:hAnsi="Times New Roman" w:cs="Times New Roman"/>
          <w:sz w:val="24"/>
          <w:szCs w:val="24"/>
          <w:lang w:val="en-GB"/>
        </w:rPr>
        <w:lastRenderedPageBreak/>
        <w:t xml:space="preserve">military position in the international context. The concept of mutual neglect deals with this position. The concept of mutual neglect, a concept that was initiated by Wolfers (1962) and continued by Schunz (2018) and Schumacher (2018), provides a theoretical basis for this claim. The concept introduces a strategy that is based on the international relations theory of realism. It projects that states can opt for multiple strategies in the conflict- and instability-driven world. One of these strategies would be a strategy of coexistence that would ensure stability (Schunz et al., 2018). This means that states acknowledge the fact that other states act against one’s personal preferences, but states choose to coexist in order to ensure stability. In other words, states can be seen as rational actors who view the benefits of coexistence higher than risking conflict over the instalment of one’s own preferences. </w:t>
      </w:r>
    </w:p>
    <w:p w14:paraId="32816254" w14:textId="77777777" w:rsidR="00CD205B" w:rsidRDefault="00CD205B" w:rsidP="00CD205B">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This idea is further developed by Schumacher (2018), who claims that mutual neglect can also be seen as a way to maintain the rules of the game. This strategy implies that the EU and the Gulf States have their own specific foreign policy goals and ambitions, but their common priority lies within the maintenance of the rules of the game (Schumacher, 2018). Therefore, behaviour of states might be different than intended or desired as shown above, but as the common priority lies in ensuring the maintenance of the rules of the game, states will accept the current status quo.</w:t>
      </w:r>
    </w:p>
    <w:p w14:paraId="28A5ED95" w14:textId="77777777" w:rsidR="00CD205B" w:rsidRDefault="00CD205B" w:rsidP="00CD205B">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 This idea of the rules of the game is inspired by the international relations theory of realism that has the so-called balance of power as one of its core features. Realists believe that states’ powers are dispersed in such a manner that a balance exists. Once this balance is disrupted, one state will often grow more powerful at the expense of another state. This disbalance can only be restored by reestablishing the balance of power, which comes at the expense of (violent) conflict (Mearsheimer, 2021). Therefore, to avoid conflict and war, it is necessary to leave the balance of power intact and stick to how the game is played at the moment and adhere to the rules that come along with it, even if it implies that one has to accept a loss of authority or credibility. This proposition is confirmed by Keukeleire and Delreux (2015), who state that this is the reason why the EU continues to cooperate with the Gulf States and why they would allow for things such as the poor record on human rights and military interventions in e.g. Yemen. Multiple motives such as the importance of energy supply, and the fight of terrorist organisations such as Al-Qaeda, are of such importance that no sanctions or measures are imposed.</w:t>
      </w:r>
    </w:p>
    <w:p w14:paraId="00984865" w14:textId="77777777" w:rsidR="00CD205B" w:rsidRDefault="00CD205B" w:rsidP="00CD205B">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lastRenderedPageBreak/>
        <w:t xml:space="preserve">A final, recent debate surrounding the position of the EU in international relations is the growing importance of geopolitics. The EU has been confronted with crises since the eurocrisis of 2010, resulting into some kind of polycrisis that has not been solved up till now (Zeitlin et al., 2019). Examples of these crises are the financial crisis of 2008-2010, the immigration crisis of 2015/2016, the Covid-19 pandemic, and the Russian invasion of Ukraine in 2022. These crises have forced the EU in general to rethink its position as an international actor and on what topics it should focus in light of this polycrisis and the general future of the EU. Consequently, the EU and its institutions have shifted towards what Roch and Oleart (2024) call more European sovereignty. This implies that the EU, especially the core executive actor the EC, takes back power on policies that are crucial to the threats that are posed by the polycrisis. This proposition is confirmed by Håkansson (2023), who states that the EC has expanded its role when it comes to security and defence policy in several ways to display that it does want to play a role in the response to the polycrisis. Håkansson (2023) applies his research to the Ukraine war and the consequences of the Russian invasion, something that it also done by Genschel et al. (2023). What is interesting to mention is that both papers refer to a growing proliferation of the EC as an international actor when it comes to security and defence issues. The EU is not afraid anymore to position itself on topics that it has, historically speaking, no or limited competences on. It stresses how geopolitical implications have altered the position of the EU as an international actor. </w:t>
      </w:r>
    </w:p>
    <w:p w14:paraId="3FD36CCB" w14:textId="23128178" w:rsidR="00CD205B" w:rsidRPr="00CD205B" w:rsidRDefault="00CD205B" w:rsidP="00CD205B">
      <w:pPr>
        <w:spacing w:line="360" w:lineRule="auto"/>
        <w:jc w:val="both"/>
        <w:rPr>
          <w:lang w:val="en-GB"/>
        </w:rPr>
      </w:pPr>
      <w:r>
        <w:rPr>
          <w:rFonts w:ascii="Times New Roman" w:hAnsi="Times New Roman" w:cs="Times New Roman"/>
          <w:sz w:val="24"/>
          <w:szCs w:val="24"/>
          <w:lang w:val="en-GB"/>
        </w:rPr>
        <w:t xml:space="preserve">In conclusion, there are multiple strands of literature that deal with how the EU positions itself as an international actor in the international context. Normative, economic, military, and geopolitical motives each explain how the EU can position itself in the context of international politics and why it chooses to act in a certain way. However, it does not state anything about the relationship between the EU and Qatar/Gulf States and how external events such as crises might influence or affect this relationship. The following part of this chapter will focus on </w:t>
      </w:r>
      <w:r w:rsidR="00EA343E">
        <w:rPr>
          <w:rFonts w:ascii="Times New Roman" w:hAnsi="Times New Roman" w:cs="Times New Roman"/>
          <w:sz w:val="24"/>
          <w:szCs w:val="24"/>
          <w:lang w:val="en-GB"/>
        </w:rPr>
        <w:t>that.</w:t>
      </w:r>
    </w:p>
    <w:p w14:paraId="7F96C170" w14:textId="246BEF64" w:rsidR="005D4B09" w:rsidRDefault="001011FC" w:rsidP="005D4B09">
      <w:pPr>
        <w:pStyle w:val="Kop2"/>
        <w:rPr>
          <w:rFonts w:ascii="Times New Roman" w:hAnsi="Times New Roman" w:cs="Times New Roman"/>
          <w:color w:val="auto"/>
          <w:u w:val="single"/>
          <w:lang w:val="en-GB"/>
        </w:rPr>
      </w:pPr>
      <w:bookmarkStart w:id="9" w:name="_Toc169873377"/>
      <w:r w:rsidRPr="40EE5880">
        <w:rPr>
          <w:rFonts w:ascii="Times New Roman" w:hAnsi="Times New Roman" w:cs="Times New Roman"/>
          <w:color w:val="auto"/>
          <w:u w:val="single"/>
          <w:lang w:val="en-GB"/>
        </w:rPr>
        <w:t>2.2 The EU</w:t>
      </w:r>
      <w:r w:rsidR="00DA2490">
        <w:rPr>
          <w:rFonts w:ascii="Times New Roman" w:hAnsi="Times New Roman" w:cs="Times New Roman"/>
          <w:color w:val="auto"/>
          <w:u w:val="single"/>
          <w:lang w:val="en-GB"/>
        </w:rPr>
        <w:t xml:space="preserve"> and Qatar: foundations of a partnership</w:t>
      </w:r>
      <w:bookmarkEnd w:id="9"/>
    </w:p>
    <w:p w14:paraId="45278C4C" w14:textId="77777777" w:rsidR="00CD205B" w:rsidRDefault="00CD205B" w:rsidP="00CD205B">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In the section above, the more macro theories on state conduct and the international system were discussed. Now, it is time to move into the theoretical discussions on the relationship between the EU, the Gulf States, and Qatar in specific. In order to dive into the concrete details of this relationship, it is necessary to discuss the foundation of this partnership: the European Neighbourhood Policy (ENP). </w:t>
      </w:r>
    </w:p>
    <w:p w14:paraId="193E2AC2" w14:textId="77777777" w:rsidR="00CD205B" w:rsidRDefault="00CD205B" w:rsidP="00CD205B">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lastRenderedPageBreak/>
        <w:t>The goal of the ENP is, according to the Commission (2024), to promote stabilisation of the EU’s closest Eastern and Southern neighbours. This stabilisation comes into the way of political, economic, and security related support, resulting into partnerships and deals with currently 16 countries</w:t>
      </w:r>
      <w:r>
        <w:rPr>
          <w:rStyle w:val="Voetnootmarkering"/>
          <w:rFonts w:ascii="Times New Roman" w:hAnsi="Times New Roman" w:cs="Times New Roman"/>
          <w:sz w:val="24"/>
          <w:szCs w:val="24"/>
          <w:lang w:val="en-GB"/>
        </w:rPr>
        <w:footnoteReference w:id="1"/>
      </w:r>
      <w:r>
        <w:rPr>
          <w:rFonts w:ascii="Times New Roman" w:hAnsi="Times New Roman" w:cs="Times New Roman"/>
          <w:sz w:val="24"/>
          <w:szCs w:val="24"/>
          <w:lang w:val="en-GB"/>
        </w:rPr>
        <w:t xml:space="preserve">, including the Gulf States and Qatar (up till Qatargate). Salient in this perspective is the fact that the Commission states that all cooperation under the ENP should be based on the values of democracy, rule of law and respect of human rights (European Commission, 2024). Although the goals and objectives of the ENP sound very reasonable and hard to object to, the ENP has been criticised by various scholars. Some scholars argue that the ENP in itself is a somewhat neoliberal project aimed at promoting the economic hegemony of the EU (Browning et al., 2008). Other scholars see it as way to still promote the idea of Normative Power Europe without being able to actually enlarge as the targeted countries are not part of the European continent (Haukkala, 2008). However, there are also scholars who state that the ENP is an absolute necessity to guarantee the existence of the EU in a world filled with instability and insecurity. If enlargement is not a viable option, it is better to promote the values and keep threats as limited as possible (Browning et al, 2008). </w:t>
      </w:r>
    </w:p>
    <w:p w14:paraId="00FB2494" w14:textId="77777777" w:rsidR="00CD205B" w:rsidRDefault="00CD205B" w:rsidP="00CD205B">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However ambitious and uncontested the goals of the ENP might seem to be at the start, scholars have pointed out that the ENP comes with consequences as well. Scholars such as Dandashly and Noutcheva (2020) point out that the democratic support policies of the ENP (the promotion, instalment, and implementation of democratic elements of government) have multiple unintended consequences that might affect the domestic situation as well as the regional or international situation. An interesting consequence to point out when looking at Qatar and the Gulf States, is the strengthening of authoritarian regimes through economic support and security cooperation rather than developing democratic regimes, something that it is especially observed in the Southern states of the ENP (Dandashly &amp; Noutcheva, 2020). Therefore, it can be concluded that the EU created a system where authoritarian regimes could flourish by means of a system that was designed to prevent the actual development of authoritarianism in the region. </w:t>
      </w:r>
    </w:p>
    <w:p w14:paraId="2DC41834" w14:textId="7C4FF4A1" w:rsidR="00DA2490" w:rsidRDefault="00DA2490" w:rsidP="00DA2490">
      <w:pPr>
        <w:pStyle w:val="Kop2"/>
        <w:jc w:val="both"/>
        <w:rPr>
          <w:rFonts w:ascii="Times New Roman" w:hAnsi="Times New Roman" w:cs="Times New Roman"/>
          <w:color w:val="auto"/>
          <w:u w:val="single"/>
          <w:lang w:val="en-GB"/>
        </w:rPr>
      </w:pPr>
      <w:bookmarkStart w:id="10" w:name="_Toc169873378"/>
      <w:r>
        <w:rPr>
          <w:rFonts w:ascii="Times New Roman" w:hAnsi="Times New Roman" w:cs="Times New Roman"/>
          <w:color w:val="auto"/>
          <w:u w:val="single"/>
          <w:lang w:val="en-GB"/>
        </w:rPr>
        <w:t>2.3 Crises and the EU-Qatar partnership</w:t>
      </w:r>
      <w:bookmarkEnd w:id="10"/>
    </w:p>
    <w:p w14:paraId="7A3106A3" w14:textId="77777777" w:rsidR="00CD205B" w:rsidRDefault="00CD205B" w:rsidP="00CD205B">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In essence, it can be concluded that the ENP is the foundation of the relationship between the EU and Qatar and the Gulf States. However, as stated above, questions can be raised about the nature of the relationship and how the relationship has developed. Moreover, what it interesting </w:t>
      </w:r>
      <w:r>
        <w:rPr>
          <w:rFonts w:ascii="Times New Roman" w:hAnsi="Times New Roman" w:cs="Times New Roman"/>
          <w:sz w:val="24"/>
          <w:szCs w:val="24"/>
          <w:lang w:val="en-GB"/>
        </w:rPr>
        <w:lastRenderedPageBreak/>
        <w:t xml:space="preserve">to investigate is to see how this relationship holds when it is confronted with crises and how each actor responds these crises. There are multiple strands of literature that deal with the effect of crises on (state) behaviour in (international) politics. One strand of literature that is worth mentioning is the rally round the flag effect. This term, which is often associated with foreign policy analysis, implies that external conflicts or effects lead to rising support for political authorities who respond to this external effect (Van der Meer et al., 2023). There are several explanations for why such a crisis would increase trust in political leadership. Baker and O’Neal (2001) come up with the idea of opinion leadership, which states that crises come along with a temporary reduction in criticism of the political leaders, leading to a perception that there is support for the leadership. Lambert et al. (2011), whose ideas are rooted in social identity theory, argue that people like to see the world as a safe place in which their life and consequences of their actions are predictable. As a result, people tend to lean towards and associate themselves more with political and cultural institutions that offer a sense of stability and security such as political leaders (Lambert et al, 2011). Although this idea is based on the American president, it does provide a useful explanation for why citizens tend to move more towards political leaders in times of crises. </w:t>
      </w:r>
    </w:p>
    <w:p w14:paraId="45D895A6" w14:textId="77777777" w:rsidR="00CD205B" w:rsidRDefault="00CD205B" w:rsidP="00CD205B">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Another feature of the rally round the flag that is crucial when trying to explain growing support for the political authorities is the notion of an external threat. An external threat, namely, pulls a nation together to address this concern in order to defend its national security, leading to an increase in the trust in government (Chanley, 2002). This theoretical idea has been tested and contested by many scholars, including those who research the response of the EU towards external crises such as the Covid-19 pandemic and the Russian invasion in Ukraine. In both situations, scholar found that the rally round the flag effect did take place and that trust in the EU did grow (e.g. Van der Meer et al., 2019; Steiner et al., 2022). When wanting to connect this phenomenon to the case of Qatargate, it does raise the question to what extent Qatargate was unforeseen (so it is really an external, acute crisis?) and to what extent it actually is an external threat or a mere result of internal institutional misconstruction? In other words, does the EU have to deal with an unforeseen external threat or could this threat be foreseen as the EU is institutionally so complicated that a crisis was bound to happen?</w:t>
      </w:r>
    </w:p>
    <w:p w14:paraId="20F1D3A7" w14:textId="77777777" w:rsidR="00CD205B" w:rsidRDefault="00CD205B" w:rsidP="00CD205B">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An answer to the last question could lay in the more normative field of legitimacy. Since its founding in the 1950s, the EU has suffered from problems with its legitimacy. When speaking of legitimacy, there are many definitions and subfields that are extensively covered by multiple scholars. In the context of the EU, scholars often point to the idea that European integration has </w:t>
      </w:r>
      <w:r>
        <w:rPr>
          <w:rFonts w:ascii="Times New Roman" w:hAnsi="Times New Roman" w:cs="Times New Roman"/>
          <w:sz w:val="24"/>
          <w:szCs w:val="24"/>
          <w:lang w:val="en-GB"/>
        </w:rPr>
        <w:lastRenderedPageBreak/>
        <w:t xml:space="preserve">moved from a permissive consensus to a constraining dissensus. This implies that citizens have grown to be more critical of the integration process and are less likely to accept the results of the integration process (Hooghe &amp; Marks, 2009). Consequently, levels of trust in the institutions of the EU have fallen and the EU has had to deal with extensive debates on its legitimacy (Sánchez-Cuenca, 2017). With the only democratically elected institution being the EP, the EU seems to be struggling with a so-called democratic deficit as well (Moravcsik, 2002). Qatargate could then be seen as a significant catalysator to this democratic deficit as it put the legitimacy and trustworthiness of the EP into questionable daylight. </w:t>
      </w:r>
    </w:p>
    <w:p w14:paraId="7851790B" w14:textId="77777777" w:rsidR="00CD205B" w:rsidRDefault="00CD205B" w:rsidP="00CD205B">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Moreover, another field of research has connected issues of legitimacy and accountability to reputation. Bovens (2007) identifies accountability as an essential part of legitimacy in which an actor has to explain and justify its choices and actions. Busuioc and Lodge (2016) connect this argument to reputation, stating that those who have to hold account for their actions take their reputation as a crucial element in their conduct. Therefore, a damaged reputation for those who have to hold account could increase the accountability deficit and must be limited in order to protect the legitimacy of the actor. When it comes to the rebuilding of (damaged) reputation, Weisiger and Yarhi-Milo (2015) put forward that only an actor who is consistent in carrying out promises, actions and threats to restore its reputation will be successful in doing so. In other words, to restore one’s reputation, one must be consistent and follow through in order to (re)establish its position in the international context. </w:t>
      </w:r>
    </w:p>
    <w:p w14:paraId="689D90DB" w14:textId="66F8ACED" w:rsidR="00CD205B" w:rsidRDefault="00CD205B" w:rsidP="00CD205B">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In conclusion, when reflecting on the literature and scholars discussed above, the views of how the EU can position itself as an </w:t>
      </w:r>
      <w:r w:rsidR="00EA343E">
        <w:rPr>
          <w:rFonts w:ascii="Times New Roman" w:hAnsi="Times New Roman" w:cs="Times New Roman"/>
          <w:sz w:val="24"/>
          <w:szCs w:val="24"/>
          <w:lang w:val="en-GB"/>
        </w:rPr>
        <w:t>international actor result</w:t>
      </w:r>
      <w:r>
        <w:rPr>
          <w:rFonts w:ascii="Times New Roman" w:hAnsi="Times New Roman" w:cs="Times New Roman"/>
          <w:sz w:val="24"/>
          <w:szCs w:val="24"/>
          <w:lang w:val="en-GB"/>
        </w:rPr>
        <w:t xml:space="preserve"> in puzzling contradictions when these views are compared to how the EU positions itself in the relationship with Qatar and the Gulf States. As mentioned and discussed above, the relationship between the EU and Qatar before Qatargate was founded on the ENP. Mentioned in the introduction as well, the EU strengthened ties with Qatar and the Gulf States at the end of the 1980’s with the Cooperation Agreement (European Communities, 1989). This relationship was initially founded on the following principles and objectives (European External Action Service, 2021):</w:t>
      </w:r>
    </w:p>
    <w:p w14:paraId="7FCB171E" w14:textId="77777777" w:rsidR="00CD205B" w:rsidRDefault="00CD205B" w:rsidP="00CD205B">
      <w:pPr>
        <w:pStyle w:val="Lijstalinea"/>
        <w:numPr>
          <w:ilvl w:val="0"/>
          <w:numId w:val="2"/>
        </w:num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Improve stability in ‘the strategically important region’</w:t>
      </w:r>
    </w:p>
    <w:p w14:paraId="2D42D9E1" w14:textId="77777777" w:rsidR="00CD205B" w:rsidRDefault="00CD205B" w:rsidP="00CD205B">
      <w:pPr>
        <w:pStyle w:val="Lijstalinea"/>
        <w:numPr>
          <w:ilvl w:val="0"/>
          <w:numId w:val="2"/>
        </w:num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Facilitate political and economic relations</w:t>
      </w:r>
    </w:p>
    <w:p w14:paraId="78AD4981" w14:textId="77777777" w:rsidR="00CD205B" w:rsidRDefault="00CD205B" w:rsidP="00CD205B">
      <w:pPr>
        <w:pStyle w:val="Lijstalinea"/>
        <w:numPr>
          <w:ilvl w:val="0"/>
          <w:numId w:val="2"/>
        </w:num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Stimulate further economic and technical cooperation</w:t>
      </w:r>
    </w:p>
    <w:p w14:paraId="2AE9BF9E" w14:textId="77777777" w:rsidR="00CD205B" w:rsidRDefault="00CD205B" w:rsidP="00CD205B">
      <w:pPr>
        <w:pStyle w:val="Lijstalinea"/>
        <w:numPr>
          <w:ilvl w:val="0"/>
          <w:numId w:val="2"/>
        </w:num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Cooperate more deeply on sectors such as energy, trade, science, and environment </w:t>
      </w:r>
    </w:p>
    <w:p w14:paraId="6468DDA6" w14:textId="77777777" w:rsidR="00CD205B" w:rsidRDefault="00CD205B" w:rsidP="00CD205B">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lastRenderedPageBreak/>
        <w:t>Although the list of goals and intentions is vaguely formulated, it can be clearly seen that the EU tries to position itself both as a normative power as well as an economic power in the relation between Qatar. Stability and peace in the region should be upheld, but focus should also be laid on the facilitation of further economic development and cooperation. This combination of MPE and NPE is even more visible when looking at further cooperations and deals that were signed with Qatar and the Gulf States. Prominent evidence of this further cooperation is the Strategic Partnership that was published in May 2022 in which the foundations for further cooperation were established.</w:t>
      </w:r>
    </w:p>
    <w:p w14:paraId="260C0D90" w14:textId="77777777" w:rsidR="00CD205B" w:rsidRDefault="00CD205B" w:rsidP="00CD205B">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Meanwhile, controversies around the relationship with Qatar remained, especially in the light of the apparent harming of principles of human rights in Qatar. Based on the literature, it can be stated that the EU, as a result of the ENP, positioned itself as a combination of NPE and MPE in the relationship with Qatar. However, as mentioned above, the (unintended) consequences of ENP have led to a situation in which Qatar developed into a state that displays behaviour that is in sharp contrast to the beliefs and ideals of the EU. It is in this view that the theory of mutual neglect comes to rise, as the goal of promoting stability in the ‘strategically important region’, and by this end upholding the rules of the game seems to be the reason for the EU to neglect the behaviour of Qatar. </w:t>
      </w:r>
    </w:p>
    <w:p w14:paraId="04B6F711" w14:textId="541A8C2F" w:rsidR="00CD205B" w:rsidRPr="00CD205B" w:rsidRDefault="00CD205B" w:rsidP="00CD205B">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In conclusion, the EU positions itself as a combination of NPE and MPE within the international context and sees its relationship with Qatar drifting towards mutual neglect as a result of the (unintended) consequences of the ENP. After Qatargate, the EU cut almost all ties with Qatar and the Gulf States. As stated in the introduction, plans for further and strengthened cooperation with the region were put on hold and most plans are not even brought back into the legislative and adoption procedure. The EU has positioned itself differently in the international context as well as in its relationship with Qatar. The following section will identify the causal mechanism that is expected to lay underneath this different position.</w:t>
      </w:r>
    </w:p>
    <w:p w14:paraId="5724F625" w14:textId="62E16EC8" w:rsidR="008F7B49" w:rsidRPr="008F7B49" w:rsidRDefault="008F7B49" w:rsidP="008F7B49">
      <w:pPr>
        <w:pStyle w:val="Kop2"/>
        <w:rPr>
          <w:rFonts w:ascii="Times New Roman" w:hAnsi="Times New Roman" w:cs="Times New Roman"/>
          <w:color w:val="auto"/>
          <w:u w:val="single"/>
          <w:lang w:val="en-GB"/>
        </w:rPr>
      </w:pPr>
      <w:bookmarkStart w:id="11" w:name="_Toc169873379"/>
      <w:r w:rsidRPr="40EE5880">
        <w:rPr>
          <w:rFonts w:ascii="Times New Roman" w:hAnsi="Times New Roman" w:cs="Times New Roman"/>
          <w:color w:val="auto"/>
          <w:u w:val="single"/>
          <w:lang w:val="en-GB"/>
        </w:rPr>
        <w:t>2.</w:t>
      </w:r>
      <w:r>
        <w:rPr>
          <w:rFonts w:ascii="Times New Roman" w:hAnsi="Times New Roman" w:cs="Times New Roman"/>
          <w:color w:val="auto"/>
          <w:u w:val="single"/>
          <w:lang w:val="en-GB"/>
        </w:rPr>
        <w:t>4</w:t>
      </w:r>
      <w:r w:rsidRPr="40EE5880">
        <w:rPr>
          <w:rFonts w:ascii="Times New Roman" w:hAnsi="Times New Roman" w:cs="Times New Roman"/>
          <w:color w:val="auto"/>
          <w:u w:val="single"/>
          <w:lang w:val="en-GB"/>
        </w:rPr>
        <w:t xml:space="preserve"> Causal mechanism and expectation</w:t>
      </w:r>
      <w:bookmarkEnd w:id="11"/>
    </w:p>
    <w:p w14:paraId="08515806" w14:textId="77777777" w:rsidR="00CD205B" w:rsidRPr="00444621" w:rsidRDefault="00CD205B" w:rsidP="00CD205B">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As stated in the introduction, this thesis will make use of theory testing process tracing. A more elaborate view on the method will be given in the next chapter, but for now it is important to mention that this thesis is intending to fill up the causal mechanism that lays underneath the existence and discovery of Qatargate and the response of the EU to this crisis. </w:t>
      </w:r>
      <w:r w:rsidRPr="00444621">
        <w:rPr>
          <w:rFonts w:ascii="Times New Roman" w:hAnsi="Times New Roman" w:cs="Times New Roman"/>
          <w:sz w:val="24"/>
          <w:szCs w:val="24"/>
          <w:lang w:val="en-GB"/>
        </w:rPr>
        <w:t xml:space="preserve">Based on the literature, it can be concluded that the EU is confronted with a crisis that has caused it to move </w:t>
      </w:r>
      <w:r w:rsidRPr="00444621">
        <w:rPr>
          <w:rFonts w:ascii="Times New Roman" w:hAnsi="Times New Roman" w:cs="Times New Roman"/>
          <w:sz w:val="24"/>
          <w:szCs w:val="24"/>
          <w:lang w:val="en-GB"/>
        </w:rPr>
        <w:lastRenderedPageBreak/>
        <w:t xml:space="preserve">into another position. Under this assumption, there are multiple steps that are expected to be there based on the literature. </w:t>
      </w:r>
    </w:p>
    <w:p w14:paraId="33AA8EA9" w14:textId="076352AD" w:rsidR="00CD205B" w:rsidRDefault="00CD205B" w:rsidP="00CD205B">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To start off with the first step, Qatargate has been brought to light in December 2022. As a result, wide media coverage across the whole world caused increasing attention to the EU and the EP and the corruption that it apparently grew victim to. Such media coverage does not do good to the image of the EU, in the sense that critics can now argue that the policy cycle of the EU is severely harmed and the EU is now seriously hindered in creating and implementing effective policies. Although this aspect should be acknowledged as well, it does not hold enough to be the most important driver and the start of the causal mechanism for two reasons. Although the EP and its proper functioning can be questioned when it is proven to be prone to corruption, it has not been completely dismantled. Until February 2024, only four</w:t>
      </w:r>
      <w:r w:rsidR="00826F58">
        <w:rPr>
          <w:rFonts w:ascii="Times New Roman" w:hAnsi="Times New Roman" w:cs="Times New Roman"/>
          <w:sz w:val="24"/>
          <w:szCs w:val="24"/>
          <w:lang w:val="en-GB"/>
        </w:rPr>
        <w:t xml:space="preserve"> members of the European Parliament</w:t>
      </w:r>
      <w:r>
        <w:rPr>
          <w:rFonts w:ascii="Times New Roman" w:hAnsi="Times New Roman" w:cs="Times New Roman"/>
          <w:sz w:val="24"/>
          <w:szCs w:val="24"/>
          <w:lang w:val="en-GB"/>
        </w:rPr>
        <w:t xml:space="preserve"> </w:t>
      </w:r>
      <w:r w:rsidR="00826F58">
        <w:rPr>
          <w:rFonts w:ascii="Times New Roman" w:hAnsi="Times New Roman" w:cs="Times New Roman"/>
          <w:sz w:val="24"/>
          <w:szCs w:val="24"/>
          <w:lang w:val="en-GB"/>
        </w:rPr>
        <w:t>(</w:t>
      </w:r>
      <w:r>
        <w:rPr>
          <w:rFonts w:ascii="Times New Roman" w:hAnsi="Times New Roman" w:cs="Times New Roman"/>
          <w:sz w:val="24"/>
          <w:szCs w:val="24"/>
          <w:lang w:val="en-GB"/>
        </w:rPr>
        <w:t>MEP</w:t>
      </w:r>
      <w:r w:rsidR="00826F58">
        <w:rPr>
          <w:rFonts w:ascii="Times New Roman" w:hAnsi="Times New Roman" w:cs="Times New Roman"/>
          <w:sz w:val="24"/>
          <w:szCs w:val="24"/>
          <w:lang w:val="en-GB"/>
        </w:rPr>
        <w:t>)</w:t>
      </w:r>
      <w:r>
        <w:rPr>
          <w:rFonts w:ascii="Times New Roman" w:hAnsi="Times New Roman" w:cs="Times New Roman"/>
          <w:sz w:val="24"/>
          <w:szCs w:val="24"/>
          <w:lang w:val="en-GB"/>
        </w:rPr>
        <w:t xml:space="preserve">’s have been charged as a result of Qatargate (Wax, 2024). This means that there are still 701 MEP’s left who can do the work that is required to ensure the continuation of the policy making process of the EU. Therefore, the EU does not necessarily lose the absolute power or ability to capacity to continue the policy making process. However, the media coverage and attention that the EU gains as a result of Qatargate does also harm the image of the EU, specifically that of the EP. </w:t>
      </w:r>
      <w:r w:rsidRPr="00444621">
        <w:rPr>
          <w:rFonts w:ascii="Times New Roman" w:hAnsi="Times New Roman" w:cs="Times New Roman"/>
          <w:sz w:val="24"/>
          <w:szCs w:val="24"/>
          <w:lang w:val="en-GB"/>
        </w:rPr>
        <w:t>The fact that it concerns the EP is especially relevant in the light of the idea that it is the only institution that is directly elected by the European population and already suffers from the so-called democratic deficit</w:t>
      </w:r>
      <w:r>
        <w:rPr>
          <w:rFonts w:ascii="Times New Roman" w:hAnsi="Times New Roman" w:cs="Times New Roman"/>
          <w:sz w:val="24"/>
          <w:szCs w:val="24"/>
          <w:lang w:val="en-GB"/>
        </w:rPr>
        <w:t xml:space="preserve"> (Moravcsik, 2002)</w:t>
      </w:r>
      <w:r w:rsidRPr="00444621">
        <w:rPr>
          <w:rFonts w:ascii="Times New Roman" w:hAnsi="Times New Roman" w:cs="Times New Roman"/>
          <w:sz w:val="24"/>
          <w:szCs w:val="24"/>
          <w:lang w:val="en-GB"/>
        </w:rPr>
        <w:t>.</w:t>
      </w:r>
      <w:r>
        <w:rPr>
          <w:rFonts w:ascii="Times New Roman" w:hAnsi="Times New Roman" w:cs="Times New Roman"/>
          <w:sz w:val="24"/>
          <w:szCs w:val="24"/>
          <w:lang w:val="en-GB"/>
        </w:rPr>
        <w:t xml:space="preserve"> Therefore, the damage that it does to the outlook and the problems the EP has are expected to be far greater than the position the EP has within the EU legislative framework. It is, therefore, expected that this harm to the outlook of the EP (and inherently the EU on a whole as well) will be the most prominent and visible in media responses. </w:t>
      </w:r>
    </w:p>
    <w:p w14:paraId="312FB0E1" w14:textId="77777777" w:rsidR="00CD205B" w:rsidRDefault="00CD205B" w:rsidP="00CD205B">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The EU now sees a that one of its institutions faces a crisis that not only affects one of its institutions, but also affects the image of the organisation as a whole. Therefore, the EU has to respond swiftly and smoothly in order to restore this reputation. This expectation can be justified when looking back at the literature and the articles of Weisiger and Yarhi-Milo (2015), who state that an actor must be consistent and coherent when it aims to restore its reputation. In order to restore the reputation, it is, therefore, expected that multiple EU officials will respond to Qatargate. It is expected that EU officials of at least the EP and the EC will respond to Qatargate. The first official response will come from the EP as this is the targeted institution. </w:t>
      </w:r>
    </w:p>
    <w:p w14:paraId="0DA16628" w14:textId="77777777" w:rsidR="00CD205B" w:rsidRDefault="00CD205B" w:rsidP="00CD205B">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lastRenderedPageBreak/>
        <w:t xml:space="preserve">However, an important distinction has to be made. Within the literature, it is often stated that the EP should be seen as an unitary actor that speaks with one voice in e.g. its fight for more legislative and executive power (Van der Veer &amp; Otjes, 2021). In this process of parliamentarisation, it is indeed logical that MEP’s speak with one voice as this is likely to increase their power. However, the EP is constructed of different political groups that each strive to be the loudest voice in the EP. As the first targeted MEP’s of Qatargate belonged to the group of the social-democrats, it is expected that not only an official of the EP as a whole will publish a statement, but also opponents of the social-democrats such as the liberals and more (extreme) right-wing parties will publish reactions and statements in order to increase their own (relative) power in the Parliament. Consequently, a contradiction will exist between a statement from the EP official, who represents the Parliament on a whole, and the parties, who represent their own interest and see an opportunity to get more (relative) power at the expense of the social-democrats. </w:t>
      </w:r>
    </w:p>
    <w:p w14:paraId="03D8CBC6" w14:textId="6BC6D10A" w:rsidR="00CD205B" w:rsidRDefault="00CD205B" w:rsidP="00CD205B">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Whereas in the previous paragraph Qatargate only seemed to be a problem for the image and reputation of the EP, it now starts to become a problem for the whole EU when the EP itself is divided and parties as well as formal representatives and officials start to bicker. Not only does the image of a divided and bickering institution hold a negative influence on the EU as a whole, </w:t>
      </w:r>
      <w:r w:rsidR="00EA343E">
        <w:rPr>
          <w:rFonts w:ascii="Times New Roman" w:hAnsi="Times New Roman" w:cs="Times New Roman"/>
          <w:sz w:val="24"/>
          <w:szCs w:val="24"/>
          <w:lang w:val="en-GB"/>
        </w:rPr>
        <w:t>but it</w:t>
      </w:r>
      <w:r>
        <w:rPr>
          <w:rFonts w:ascii="Times New Roman" w:hAnsi="Times New Roman" w:cs="Times New Roman"/>
          <w:sz w:val="24"/>
          <w:szCs w:val="24"/>
          <w:lang w:val="en-GB"/>
        </w:rPr>
        <w:t xml:space="preserve"> also has the potential to become a problem for the continuation of the policy making process. Therefore, the EC will also respond to Qatargate when it sees that the EP is internally divided as explained above. Research has, namely, shown that the EC is very sensitive to how the general public evaluates the EU (Rauh, 2018). As the public evaluation of the EP is likely to decrease due to the negative attention of Qatargate and the internal division, the EC will feel that it has to step in and respond in order to prevent further deterioration of the general image of the EU and to prevent further misfunctioning of the policy making process. Furthermore, it is expected that in the responses issued by officials of the EC and the EP, that will probably come in the form of a press conference or a written statement, the officials will emphasise the idea of a crisis</w:t>
      </w:r>
      <w:r w:rsidRPr="00390463">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or external threat and the consequences this has for the EU as an independent actor and its internal structure. This expectation is based on the mentioned ideas by Chanley (2002), who stresses that such emphasis on the notion of a crisis is necessary in order to unite the public in their support for the political leadership (Lambert et al., 2011). </w:t>
      </w:r>
    </w:p>
    <w:p w14:paraId="2F0E2A18" w14:textId="3505F5E5" w:rsidR="00CD205B" w:rsidRDefault="00CD205B" w:rsidP="00CD205B">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Consequently, this expression will result into a rally</w:t>
      </w:r>
      <w:r w:rsidR="00882592">
        <w:rPr>
          <w:rFonts w:ascii="Times New Roman" w:hAnsi="Times New Roman" w:cs="Times New Roman"/>
          <w:sz w:val="24"/>
          <w:szCs w:val="24"/>
          <w:lang w:val="en-GB"/>
        </w:rPr>
        <w:t xml:space="preserve"> </w:t>
      </w:r>
      <w:r>
        <w:rPr>
          <w:rFonts w:ascii="Times New Roman" w:hAnsi="Times New Roman" w:cs="Times New Roman"/>
          <w:sz w:val="24"/>
          <w:szCs w:val="24"/>
          <w:lang w:val="en-GB"/>
        </w:rPr>
        <w:t>round</w:t>
      </w:r>
      <w:r w:rsidR="00882592">
        <w:rPr>
          <w:rFonts w:ascii="Times New Roman" w:hAnsi="Times New Roman" w:cs="Times New Roman"/>
          <w:sz w:val="24"/>
          <w:szCs w:val="24"/>
          <w:lang w:val="en-GB"/>
        </w:rPr>
        <w:t xml:space="preserve"> </w:t>
      </w:r>
      <w:r>
        <w:rPr>
          <w:rFonts w:ascii="Times New Roman" w:hAnsi="Times New Roman" w:cs="Times New Roman"/>
          <w:sz w:val="24"/>
          <w:szCs w:val="24"/>
          <w:lang w:val="en-GB"/>
        </w:rPr>
        <w:t>the</w:t>
      </w:r>
      <w:r w:rsidR="00882592">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flag effect, binding people together in their fear that the external threat and its possible consequences, leading to more institutional trust and support for the political leaders as previously identified by Van der Meer </w:t>
      </w:r>
      <w:r>
        <w:rPr>
          <w:rFonts w:ascii="Times New Roman" w:hAnsi="Times New Roman" w:cs="Times New Roman"/>
          <w:sz w:val="24"/>
          <w:szCs w:val="24"/>
          <w:lang w:val="en-GB"/>
        </w:rPr>
        <w:lastRenderedPageBreak/>
        <w:t xml:space="preserve">et al. (2023). It is especially relevant that it is the EC that publishes this statement as scholars generally agree that the EC is the most known to the public (Schmidt &amp; Wonka, 2012). In other words, in order to indeed improve the general evaluation of the EU by the public, the most well-known institution should publish this statement. In conclusion, both EP-officials as well as EP-parties will respond to Qatargate, in which the former will focus on the EP and the policy making process as a whole and in which the latter will focus on increasing its relative power and position at the cost of the ‘victims’ of Qatargate. Because of this internally divided EP and the consequences it has for the image of the EU as a whole, an EC official will respond as well. In this response, the EC-official will highlight the idea of a crisis, which in turn will result into more institutional trust and support. </w:t>
      </w:r>
    </w:p>
    <w:p w14:paraId="4D71B947" w14:textId="77777777" w:rsidR="00CD205B" w:rsidRDefault="00CD205B" w:rsidP="00CD205B">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With the growing internal support, it is expected that the EU now will respond to the occurrence of the crisis and come up with a plan to restore its credibility and reputation as again supported by Busuioc and Lodge (2016). Just like the previous step, a different strategy is expected from the EP and the EC. Both institutions will focus on the restoration of the institutional credibility and its reputation, but there is a difference regarding the level of focus. The EP is more likely to focus on its own reputation and position within the wider EU-framework in order to restore its legitimacy and position as the democratically elected body of the EU and reduce the democratic deficit (Moravcsik, 2022; Bovens, 2007). This is especially relevant in light to the idea expressed in the previous paragraph in which the EP is internally divided as well and different parties seek to grow more powerful at the cost of other parties. Therefore, it is expected that the President of the EP or another high official will propose plans to decrease the internal divisions by emphasising the need for a strong and united EP. </w:t>
      </w:r>
    </w:p>
    <w:p w14:paraId="1EDDBB7A" w14:textId="77777777" w:rsidR="00CD205B" w:rsidRDefault="00CD205B" w:rsidP="00CD205B">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The EC, in contrast to the EP, will focus more on the reputation of the EU as a whole as it is the executive body of the EU that is seen as the most prominent institution of the EU that is also responsible for the external relations (and thus perception) of the EU. This expectation is supported by Rauh (2018) and Schmidt and Wonka (2018), who states that the EC is especially sensitive to general evaluation of the EC and the EU as well as the best known and implicitly most powerful institution of the EU. In conclusion, the EP will propose a plan that focuses on internal restoration and reputation-building, whereas the EC will propose a plan that focuses on external reputation-building. In this plan, it will mention the need of the EP to reestablish and reunite as a key actor in the decision-making process. However, the restoration of the credibility and reputation of the EU also means that the core of the problem has to be solved: the involvement of Qatar in EU’s internal affairs. </w:t>
      </w:r>
    </w:p>
    <w:p w14:paraId="3B6DF343" w14:textId="77777777" w:rsidR="00CD205B" w:rsidRDefault="00CD205B" w:rsidP="00CD205B">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lastRenderedPageBreak/>
        <w:t>This external reputation-building automatically results into the next step. In this next phase, it is expected that the EP will move more to the background and that the relationship with Qatar starts to get to the spotlight more. As it is expected from the EC to propose a plan that focuses on external reputation-building, the EC will now have to deal with Qatar as well. As described in the literature (Waltz, 1959), it is expected that the EC will somehow mention that the balance of power is disrupted and that it needs to be restored, a proposition that is based on Mearsheimer (2021). In order for the balance of power to restore again, the EC needs to increase its power in relation to Qatar. As the nature of Qatargate and its effect deal with informal or normative perceptions of power rather than military power, it is expected that the EC will propose more economic or normative measures in order to restore its power rather than military measures. Examples of such measures are the suspension of past agreement based on normative concerns, the condemnation of actions of the Qatari government, and the limitation of trade with Qatar. It is expected that these measures will restore the balance of power.</w:t>
      </w:r>
    </w:p>
    <w:p w14:paraId="041A372C" w14:textId="77777777" w:rsidR="00CD205B" w:rsidRDefault="00CD205B" w:rsidP="00CD205B">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With the balance of power restored, it is expected that the EU will seize this opportunity to alter the rules of the game. This final step will see the EU, more specifically the EC as the primary responsible actor for external relations, use the opportunity it now has as its power increases to change the rules of the game. As the strategy of mutual neglect has clearly been thrown overboard by Qatar as a result of Qatargate, the EC now has room to opt for a strategy that fits its growing power in relation to Qatar again (Håkansson, 2023). Therefore, the EC will reposition itself as an international actor, specifically moving towards more emphasis on NPE to establish the difference between Qatar and the EU and to show that it is still a credible and normative actor. This shift to NPE can be explained by the idea that the EC can now easily distance itself from normative questionable actions by the Qatari government and reestablish its position as a credible and normative actor in the international context. The game is, therefore, not a game in which the players ignore each other by means of the strategy of mutual neglect, but a game in which one actor tries to position itself as the (normatively) superior actor over the other actor. </w:t>
      </w:r>
    </w:p>
    <w:p w14:paraId="7CC340B0" w14:textId="77777777" w:rsidR="00CD205B" w:rsidRDefault="00CD205B" w:rsidP="00CD205B">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In conclusion, the following steps must be visible:</w:t>
      </w:r>
    </w:p>
    <w:p w14:paraId="6995987F" w14:textId="77777777" w:rsidR="00CD205B" w:rsidRPr="00444621" w:rsidRDefault="00CD205B" w:rsidP="00CD205B">
      <w:pPr>
        <w:pStyle w:val="Lijstalinea"/>
        <w:numPr>
          <w:ilvl w:val="0"/>
          <w:numId w:val="7"/>
        </w:numPr>
        <w:spacing w:line="360" w:lineRule="auto"/>
        <w:jc w:val="both"/>
        <w:rPr>
          <w:rFonts w:ascii="Times New Roman" w:hAnsi="Times New Roman" w:cs="Times New Roman"/>
          <w:sz w:val="24"/>
          <w:szCs w:val="24"/>
          <w:lang w:val="en-GB"/>
        </w:rPr>
      </w:pPr>
      <w:r w:rsidRPr="00444621">
        <w:rPr>
          <w:rFonts w:ascii="Times New Roman" w:hAnsi="Times New Roman" w:cs="Times New Roman"/>
          <w:sz w:val="24"/>
          <w:szCs w:val="24"/>
          <w:lang w:val="en-GB"/>
        </w:rPr>
        <w:t>Qatargate is brought to light: the EU sees a loss of reputation as a result of wide media coverage</w:t>
      </w:r>
    </w:p>
    <w:p w14:paraId="2B082405" w14:textId="77777777" w:rsidR="00CD205B" w:rsidRPr="00444621" w:rsidRDefault="00CD205B" w:rsidP="00CD205B">
      <w:pPr>
        <w:pStyle w:val="Lijstalinea"/>
        <w:numPr>
          <w:ilvl w:val="0"/>
          <w:numId w:val="7"/>
        </w:numPr>
        <w:spacing w:line="360" w:lineRule="auto"/>
        <w:jc w:val="both"/>
        <w:rPr>
          <w:rFonts w:ascii="Times New Roman" w:hAnsi="Times New Roman" w:cs="Times New Roman"/>
          <w:sz w:val="24"/>
          <w:szCs w:val="24"/>
          <w:lang w:val="en-GB"/>
        </w:rPr>
      </w:pPr>
      <w:r w:rsidRPr="00444621">
        <w:rPr>
          <w:rFonts w:ascii="Times New Roman" w:hAnsi="Times New Roman" w:cs="Times New Roman"/>
          <w:sz w:val="24"/>
          <w:szCs w:val="24"/>
          <w:lang w:val="en-GB"/>
        </w:rPr>
        <w:t>EU officials respond to Qatargate, thereby increasing internal support</w:t>
      </w:r>
    </w:p>
    <w:p w14:paraId="725A8C29" w14:textId="77777777" w:rsidR="00CD205B" w:rsidRPr="00444621" w:rsidRDefault="00CD205B" w:rsidP="00CD205B">
      <w:pPr>
        <w:pStyle w:val="Lijstalinea"/>
        <w:numPr>
          <w:ilvl w:val="0"/>
          <w:numId w:val="7"/>
        </w:numPr>
        <w:spacing w:line="360" w:lineRule="auto"/>
        <w:jc w:val="both"/>
        <w:rPr>
          <w:rFonts w:ascii="Times New Roman" w:hAnsi="Times New Roman" w:cs="Times New Roman"/>
          <w:sz w:val="24"/>
          <w:szCs w:val="24"/>
          <w:lang w:val="en-GB"/>
        </w:rPr>
      </w:pPr>
      <w:r w:rsidRPr="00444621">
        <w:rPr>
          <w:rFonts w:ascii="Times New Roman" w:hAnsi="Times New Roman" w:cs="Times New Roman"/>
          <w:sz w:val="24"/>
          <w:szCs w:val="24"/>
          <w:lang w:val="en-GB"/>
        </w:rPr>
        <w:t>EU institutions initiate a plan to restore credibility and reputation</w:t>
      </w:r>
    </w:p>
    <w:p w14:paraId="16BFF184" w14:textId="77777777" w:rsidR="00CD205B" w:rsidRPr="00444621" w:rsidRDefault="00CD205B" w:rsidP="00CD205B">
      <w:pPr>
        <w:pStyle w:val="Lijstalinea"/>
        <w:numPr>
          <w:ilvl w:val="0"/>
          <w:numId w:val="7"/>
        </w:numPr>
        <w:spacing w:line="360" w:lineRule="auto"/>
        <w:jc w:val="both"/>
        <w:rPr>
          <w:rFonts w:ascii="Times New Roman" w:hAnsi="Times New Roman" w:cs="Times New Roman"/>
          <w:sz w:val="24"/>
          <w:szCs w:val="24"/>
          <w:lang w:val="en-GB"/>
        </w:rPr>
      </w:pPr>
      <w:r w:rsidRPr="00444621">
        <w:rPr>
          <w:rFonts w:ascii="Times New Roman" w:hAnsi="Times New Roman" w:cs="Times New Roman"/>
          <w:sz w:val="24"/>
          <w:szCs w:val="24"/>
          <w:lang w:val="en-GB"/>
        </w:rPr>
        <w:lastRenderedPageBreak/>
        <w:t>Based on the restoration plans, the EU alters the rules of game</w:t>
      </w:r>
      <w:r>
        <w:rPr>
          <w:rFonts w:ascii="Times New Roman" w:hAnsi="Times New Roman" w:cs="Times New Roman"/>
          <w:sz w:val="24"/>
          <w:szCs w:val="24"/>
          <w:lang w:val="en-GB"/>
        </w:rPr>
        <w:t xml:space="preserve"> and constructs a new relationship with Qatar</w:t>
      </w:r>
    </w:p>
    <w:p w14:paraId="5CA108BA" w14:textId="77777777" w:rsidR="00CD205B" w:rsidRPr="00C57370" w:rsidRDefault="00CD205B" w:rsidP="00CD205B">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In the next chapter, this causal mechanism will be operationalised. Furthermore, the research method will be further explained before heading into the empirical analysis. </w:t>
      </w:r>
    </w:p>
    <w:p w14:paraId="35EA35DE" w14:textId="3599D65C" w:rsidR="00F325C6" w:rsidRDefault="00F325C6">
      <w:pPr>
        <w:rPr>
          <w:rFonts w:ascii="Times New Roman" w:hAnsi="Times New Roman" w:cs="Times New Roman"/>
          <w:sz w:val="24"/>
          <w:szCs w:val="24"/>
          <w:lang w:val="en-GB"/>
        </w:rPr>
      </w:pPr>
      <w:r>
        <w:rPr>
          <w:rFonts w:ascii="Times New Roman" w:hAnsi="Times New Roman" w:cs="Times New Roman"/>
          <w:sz w:val="24"/>
          <w:szCs w:val="24"/>
          <w:lang w:val="en-GB"/>
        </w:rPr>
        <w:br w:type="page"/>
      </w:r>
    </w:p>
    <w:p w14:paraId="69C159FE" w14:textId="040E39B6" w:rsidR="00F325C6" w:rsidRDefault="00F325C6" w:rsidP="006A780F">
      <w:pPr>
        <w:pStyle w:val="Kop1"/>
        <w:jc w:val="both"/>
        <w:rPr>
          <w:rFonts w:ascii="Times New Roman" w:hAnsi="Times New Roman" w:cs="Times New Roman"/>
          <w:color w:val="auto"/>
          <w:sz w:val="40"/>
          <w:szCs w:val="40"/>
          <w:lang w:val="en-GB"/>
        </w:rPr>
      </w:pPr>
      <w:bookmarkStart w:id="12" w:name="_Toc169873380"/>
      <w:r w:rsidRPr="40EE5880">
        <w:rPr>
          <w:rFonts w:ascii="Times New Roman" w:hAnsi="Times New Roman" w:cs="Times New Roman"/>
          <w:color w:val="auto"/>
          <w:sz w:val="40"/>
          <w:szCs w:val="40"/>
          <w:lang w:val="en-GB"/>
        </w:rPr>
        <w:lastRenderedPageBreak/>
        <w:t>Chapter 3 Method &amp; operationalisation</w:t>
      </w:r>
      <w:bookmarkEnd w:id="12"/>
    </w:p>
    <w:p w14:paraId="01174620" w14:textId="1E313935" w:rsidR="00BA3DB5" w:rsidRDefault="003333A3" w:rsidP="00BA3DB5">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In order to be able to answer the research question </w:t>
      </w:r>
      <w:r w:rsidR="00BA3DB5">
        <w:rPr>
          <w:rFonts w:ascii="Times New Roman" w:hAnsi="Times New Roman" w:cs="Times New Roman"/>
          <w:i/>
          <w:iCs/>
          <w:sz w:val="24"/>
          <w:szCs w:val="24"/>
          <w:lang w:val="en-GB"/>
        </w:rPr>
        <w:t>How has Qatargate influenced the relationship between Qatar/the Gulf States and the European Union?</w:t>
      </w:r>
      <w:r w:rsidR="00BA3DB5">
        <w:rPr>
          <w:rFonts w:ascii="Times New Roman" w:hAnsi="Times New Roman" w:cs="Times New Roman"/>
          <w:sz w:val="24"/>
          <w:szCs w:val="24"/>
          <w:lang w:val="en-GB"/>
        </w:rPr>
        <w:t xml:space="preserve">, this thesis will make use of the </w:t>
      </w:r>
      <w:r w:rsidR="00ED2E1D">
        <w:rPr>
          <w:rFonts w:ascii="Times New Roman" w:hAnsi="Times New Roman" w:cs="Times New Roman"/>
          <w:sz w:val="24"/>
          <w:szCs w:val="24"/>
          <w:lang w:val="en-GB"/>
        </w:rPr>
        <w:t xml:space="preserve">method of process tracing. This chapter will first introduce the method of process tracing and discuss </w:t>
      </w:r>
      <w:r w:rsidR="008803D5">
        <w:rPr>
          <w:rFonts w:ascii="Times New Roman" w:hAnsi="Times New Roman" w:cs="Times New Roman"/>
          <w:sz w:val="24"/>
          <w:szCs w:val="24"/>
          <w:lang w:val="en-GB"/>
        </w:rPr>
        <w:t xml:space="preserve">its benefits and potential downfalls when it comes to this study. </w:t>
      </w:r>
      <w:r w:rsidR="00797507">
        <w:rPr>
          <w:rFonts w:ascii="Times New Roman" w:hAnsi="Times New Roman" w:cs="Times New Roman"/>
          <w:sz w:val="24"/>
          <w:szCs w:val="24"/>
          <w:lang w:val="en-GB"/>
        </w:rPr>
        <w:t xml:space="preserve">After that, the earlier mentioned causal mechanism will be </w:t>
      </w:r>
      <w:r w:rsidR="005F52A4">
        <w:rPr>
          <w:rFonts w:ascii="Times New Roman" w:hAnsi="Times New Roman" w:cs="Times New Roman"/>
          <w:sz w:val="24"/>
          <w:szCs w:val="24"/>
          <w:lang w:val="en-GB"/>
        </w:rPr>
        <w:t>operationalised,</w:t>
      </w:r>
      <w:r w:rsidR="00797507">
        <w:rPr>
          <w:rFonts w:ascii="Times New Roman" w:hAnsi="Times New Roman" w:cs="Times New Roman"/>
          <w:sz w:val="24"/>
          <w:szCs w:val="24"/>
          <w:lang w:val="en-GB"/>
        </w:rPr>
        <w:t xml:space="preserve"> and the data selection will be explained. This chapter will end with </w:t>
      </w:r>
      <w:r w:rsidR="00296FFC">
        <w:rPr>
          <w:rFonts w:ascii="Times New Roman" w:hAnsi="Times New Roman" w:cs="Times New Roman"/>
          <w:sz w:val="24"/>
          <w:szCs w:val="24"/>
          <w:lang w:val="en-GB"/>
        </w:rPr>
        <w:t xml:space="preserve">a reflection on the validity and reliability of this research and how this might affect the empirical analysis and possible conclusions. </w:t>
      </w:r>
    </w:p>
    <w:p w14:paraId="59A3739F" w14:textId="10E1DBB9" w:rsidR="00296FFC" w:rsidRDefault="005C7CA8" w:rsidP="005C7CA8">
      <w:pPr>
        <w:pStyle w:val="Kop2"/>
        <w:rPr>
          <w:rFonts w:ascii="Times New Roman" w:hAnsi="Times New Roman" w:cs="Times New Roman"/>
          <w:color w:val="auto"/>
          <w:u w:val="single"/>
          <w:lang w:val="en-GB"/>
        </w:rPr>
      </w:pPr>
      <w:bookmarkStart w:id="13" w:name="_Toc169873381"/>
      <w:r w:rsidRPr="40EE5880">
        <w:rPr>
          <w:rFonts w:ascii="Times New Roman" w:hAnsi="Times New Roman" w:cs="Times New Roman"/>
          <w:color w:val="auto"/>
          <w:u w:val="single"/>
          <w:lang w:val="en-GB"/>
        </w:rPr>
        <w:t>3.1 Methodology:</w:t>
      </w:r>
      <w:r w:rsidR="00A16D31">
        <w:rPr>
          <w:rFonts w:ascii="Times New Roman" w:hAnsi="Times New Roman" w:cs="Times New Roman"/>
          <w:color w:val="auto"/>
          <w:u w:val="single"/>
          <w:lang w:val="en-GB"/>
        </w:rPr>
        <w:t xml:space="preserve"> benefits and limitations</w:t>
      </w:r>
      <w:bookmarkEnd w:id="13"/>
    </w:p>
    <w:p w14:paraId="1F1A7C2E" w14:textId="27356598" w:rsidR="005C7CA8" w:rsidRDefault="00696937" w:rsidP="005C7CA8">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Process tracing is a qualitative research methodology that allows for </w:t>
      </w:r>
      <w:r w:rsidR="005F7D4E">
        <w:rPr>
          <w:rFonts w:ascii="Times New Roman" w:hAnsi="Times New Roman" w:cs="Times New Roman"/>
          <w:sz w:val="24"/>
          <w:szCs w:val="24"/>
          <w:lang w:val="en-GB"/>
        </w:rPr>
        <w:t xml:space="preserve">the investigation and understanding of causal mechanisms </w:t>
      </w:r>
      <w:r w:rsidR="0061573E">
        <w:rPr>
          <w:rFonts w:ascii="Times New Roman" w:hAnsi="Times New Roman" w:cs="Times New Roman"/>
          <w:sz w:val="24"/>
          <w:szCs w:val="24"/>
          <w:lang w:val="en-GB"/>
        </w:rPr>
        <w:t xml:space="preserve">that </w:t>
      </w:r>
      <w:r w:rsidR="006878F2">
        <w:rPr>
          <w:rFonts w:ascii="Times New Roman" w:hAnsi="Times New Roman" w:cs="Times New Roman"/>
          <w:sz w:val="24"/>
          <w:szCs w:val="24"/>
          <w:lang w:val="en-GB"/>
        </w:rPr>
        <w:t>lay under</w:t>
      </w:r>
      <w:r w:rsidR="009F52AE">
        <w:rPr>
          <w:rFonts w:ascii="Times New Roman" w:hAnsi="Times New Roman" w:cs="Times New Roman"/>
          <w:sz w:val="24"/>
          <w:szCs w:val="24"/>
          <w:lang w:val="en-GB"/>
        </w:rPr>
        <w:t>neath</w:t>
      </w:r>
      <w:r w:rsidR="006878F2">
        <w:rPr>
          <w:rFonts w:ascii="Times New Roman" w:hAnsi="Times New Roman" w:cs="Times New Roman"/>
          <w:sz w:val="24"/>
          <w:szCs w:val="24"/>
          <w:lang w:val="en-GB"/>
        </w:rPr>
        <w:t xml:space="preserve"> a correlation (Beach &amp; Pedersen, </w:t>
      </w:r>
      <w:r w:rsidR="007D2E5B">
        <w:rPr>
          <w:rFonts w:ascii="Times New Roman" w:hAnsi="Times New Roman" w:cs="Times New Roman"/>
          <w:sz w:val="24"/>
          <w:szCs w:val="24"/>
          <w:lang w:val="en-GB"/>
        </w:rPr>
        <w:t xml:space="preserve">2013). </w:t>
      </w:r>
      <w:r w:rsidR="00812280">
        <w:rPr>
          <w:rFonts w:ascii="Times New Roman" w:hAnsi="Times New Roman" w:cs="Times New Roman"/>
          <w:sz w:val="24"/>
          <w:szCs w:val="24"/>
          <w:lang w:val="en-GB"/>
        </w:rPr>
        <w:t>The identification and understanding of causal mechanisms is relevant and useful in the sense that it allows for the opening of the bla</w:t>
      </w:r>
      <w:r w:rsidR="00513139">
        <w:rPr>
          <w:rFonts w:ascii="Times New Roman" w:hAnsi="Times New Roman" w:cs="Times New Roman"/>
          <w:sz w:val="24"/>
          <w:szCs w:val="24"/>
          <w:lang w:val="en-GB"/>
        </w:rPr>
        <w:t xml:space="preserve">ck box. This is a metaphor that is used to describe the idea that </w:t>
      </w:r>
      <w:r w:rsidR="006A5737">
        <w:rPr>
          <w:rFonts w:ascii="Times New Roman" w:hAnsi="Times New Roman" w:cs="Times New Roman"/>
          <w:sz w:val="24"/>
          <w:szCs w:val="24"/>
          <w:lang w:val="en-GB"/>
        </w:rPr>
        <w:t>a correlation between two variables works in a certai</w:t>
      </w:r>
      <w:r w:rsidR="00DE6845">
        <w:rPr>
          <w:rFonts w:ascii="Times New Roman" w:hAnsi="Times New Roman" w:cs="Times New Roman"/>
          <w:sz w:val="24"/>
          <w:szCs w:val="24"/>
          <w:lang w:val="en-GB"/>
        </w:rPr>
        <w:t>n way that is difficult to empirically observe. Process tracing allows for the opening of this black box</w:t>
      </w:r>
      <w:r w:rsidR="00E92F89">
        <w:rPr>
          <w:rFonts w:ascii="Times New Roman" w:hAnsi="Times New Roman" w:cs="Times New Roman"/>
          <w:sz w:val="24"/>
          <w:szCs w:val="24"/>
          <w:lang w:val="en-GB"/>
        </w:rPr>
        <w:t xml:space="preserve"> and makes visible how and in what sense properties and relations produce the observed outcome (Hedström &amp; Ylikoski, </w:t>
      </w:r>
      <w:r w:rsidR="00CC588E">
        <w:rPr>
          <w:rFonts w:ascii="Times New Roman" w:hAnsi="Times New Roman" w:cs="Times New Roman"/>
          <w:sz w:val="24"/>
          <w:szCs w:val="24"/>
          <w:lang w:val="en-GB"/>
        </w:rPr>
        <w:t xml:space="preserve">2010). </w:t>
      </w:r>
      <w:r w:rsidR="000701BA">
        <w:rPr>
          <w:rFonts w:ascii="Times New Roman" w:hAnsi="Times New Roman" w:cs="Times New Roman"/>
          <w:sz w:val="24"/>
          <w:szCs w:val="24"/>
          <w:lang w:val="en-GB"/>
        </w:rPr>
        <w:t>The core idea of process tracing, therefore, revolves around the idea of causal mechanisms.</w:t>
      </w:r>
      <w:r w:rsidR="00EA282F">
        <w:rPr>
          <w:rFonts w:ascii="Times New Roman" w:hAnsi="Times New Roman" w:cs="Times New Roman"/>
          <w:sz w:val="24"/>
          <w:szCs w:val="24"/>
          <w:lang w:val="en-GB"/>
        </w:rPr>
        <w:t xml:space="preserve"> Important to mention in this context is the concept of Coleman’s bathtub. </w:t>
      </w:r>
      <w:r w:rsidR="00440265">
        <w:rPr>
          <w:rFonts w:ascii="Times New Roman" w:hAnsi="Times New Roman" w:cs="Times New Roman"/>
          <w:sz w:val="24"/>
          <w:szCs w:val="24"/>
          <w:lang w:val="en-GB"/>
        </w:rPr>
        <w:t>This model, designed by Coleman, implies that a macro level action</w:t>
      </w:r>
      <w:r w:rsidR="00244532">
        <w:rPr>
          <w:rFonts w:ascii="Times New Roman" w:hAnsi="Times New Roman" w:cs="Times New Roman"/>
          <w:sz w:val="24"/>
          <w:szCs w:val="24"/>
          <w:lang w:val="en-GB"/>
        </w:rPr>
        <w:t xml:space="preserve"> should be explained by the </w:t>
      </w:r>
      <w:r w:rsidR="008B76B8">
        <w:rPr>
          <w:rFonts w:ascii="Times New Roman" w:hAnsi="Times New Roman" w:cs="Times New Roman"/>
          <w:sz w:val="24"/>
          <w:szCs w:val="24"/>
          <w:lang w:val="en-GB"/>
        </w:rPr>
        <w:t xml:space="preserve">level underneath the observed action (Ramström, 2018). </w:t>
      </w:r>
      <w:r w:rsidR="00AA53CE">
        <w:rPr>
          <w:rFonts w:ascii="Times New Roman" w:hAnsi="Times New Roman" w:cs="Times New Roman"/>
          <w:sz w:val="24"/>
          <w:szCs w:val="24"/>
          <w:lang w:val="en-GB"/>
        </w:rPr>
        <w:t xml:space="preserve">This leads to a model that looks like a bathtub, in which </w:t>
      </w:r>
      <w:r w:rsidR="00571B0C">
        <w:rPr>
          <w:rFonts w:ascii="Times New Roman" w:hAnsi="Times New Roman" w:cs="Times New Roman"/>
          <w:sz w:val="24"/>
          <w:szCs w:val="24"/>
          <w:lang w:val="en-GB"/>
        </w:rPr>
        <w:t xml:space="preserve">three mechanisms connect the original </w:t>
      </w:r>
      <w:r w:rsidR="00571B0C">
        <w:rPr>
          <w:rFonts w:ascii="Times New Roman" w:hAnsi="Times New Roman" w:cs="Times New Roman"/>
          <w:i/>
          <w:iCs/>
          <w:sz w:val="24"/>
          <w:szCs w:val="24"/>
          <w:lang w:val="en-GB"/>
        </w:rPr>
        <w:t xml:space="preserve">x </w:t>
      </w:r>
      <w:r w:rsidR="00571B0C">
        <w:rPr>
          <w:rFonts w:ascii="Times New Roman" w:hAnsi="Times New Roman" w:cs="Times New Roman"/>
          <w:sz w:val="24"/>
          <w:szCs w:val="24"/>
          <w:lang w:val="en-GB"/>
        </w:rPr>
        <w:t xml:space="preserve">to the original </w:t>
      </w:r>
      <w:r w:rsidR="00571B0C">
        <w:rPr>
          <w:rFonts w:ascii="Times New Roman" w:hAnsi="Times New Roman" w:cs="Times New Roman"/>
          <w:i/>
          <w:iCs/>
          <w:sz w:val="24"/>
          <w:szCs w:val="24"/>
          <w:lang w:val="en-GB"/>
        </w:rPr>
        <w:t>y</w:t>
      </w:r>
      <w:r w:rsidR="00571B0C">
        <w:rPr>
          <w:rFonts w:ascii="Times New Roman" w:hAnsi="Times New Roman" w:cs="Times New Roman"/>
          <w:sz w:val="24"/>
          <w:szCs w:val="24"/>
          <w:lang w:val="en-GB"/>
        </w:rPr>
        <w:t xml:space="preserve">. </w:t>
      </w:r>
      <w:r w:rsidR="00625B11">
        <w:rPr>
          <w:rFonts w:ascii="Times New Roman" w:hAnsi="Times New Roman" w:cs="Times New Roman"/>
          <w:sz w:val="24"/>
          <w:szCs w:val="24"/>
          <w:lang w:val="en-GB"/>
        </w:rPr>
        <w:t>These mechanisms are the following</w:t>
      </w:r>
      <w:r w:rsidR="00CB5B9C">
        <w:rPr>
          <w:rFonts w:ascii="Times New Roman" w:hAnsi="Times New Roman" w:cs="Times New Roman"/>
          <w:sz w:val="24"/>
          <w:szCs w:val="24"/>
          <w:lang w:val="en-GB"/>
        </w:rPr>
        <w:t xml:space="preserve"> (Hedström</w:t>
      </w:r>
      <w:r w:rsidR="002D4E16">
        <w:rPr>
          <w:rFonts w:ascii="Times New Roman" w:hAnsi="Times New Roman" w:cs="Times New Roman"/>
          <w:sz w:val="24"/>
          <w:szCs w:val="24"/>
          <w:lang w:val="en-GB"/>
        </w:rPr>
        <w:t xml:space="preserve"> &amp; Ylikoski, 2010)</w:t>
      </w:r>
      <w:r w:rsidR="00625B11">
        <w:rPr>
          <w:rFonts w:ascii="Times New Roman" w:hAnsi="Times New Roman" w:cs="Times New Roman"/>
          <w:sz w:val="24"/>
          <w:szCs w:val="24"/>
          <w:lang w:val="en-GB"/>
        </w:rPr>
        <w:t>:</w:t>
      </w:r>
    </w:p>
    <w:p w14:paraId="2FE55BB8" w14:textId="119D62DD" w:rsidR="00625B11" w:rsidRDefault="00861E0E" w:rsidP="00625B11">
      <w:pPr>
        <w:pStyle w:val="Lijstalinea"/>
        <w:numPr>
          <w:ilvl w:val="0"/>
          <w:numId w:val="2"/>
        </w:num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Situational mechanisms</w:t>
      </w:r>
      <w:r w:rsidR="004149B2">
        <w:rPr>
          <w:rFonts w:ascii="Times New Roman" w:hAnsi="Times New Roman" w:cs="Times New Roman"/>
          <w:sz w:val="24"/>
          <w:szCs w:val="24"/>
          <w:lang w:val="en-GB"/>
        </w:rPr>
        <w:t>: the situation that shapes the actions, desires and beliefs</w:t>
      </w:r>
    </w:p>
    <w:p w14:paraId="2E8A8C01" w14:textId="5005B234" w:rsidR="00B35382" w:rsidRDefault="00B35382" w:rsidP="00625B11">
      <w:pPr>
        <w:pStyle w:val="Lijstalinea"/>
        <w:numPr>
          <w:ilvl w:val="0"/>
          <w:numId w:val="2"/>
        </w:num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Action-formation mechanisms</w:t>
      </w:r>
      <w:r w:rsidR="004149B2">
        <w:rPr>
          <w:rFonts w:ascii="Times New Roman" w:hAnsi="Times New Roman" w:cs="Times New Roman"/>
          <w:sz w:val="24"/>
          <w:szCs w:val="24"/>
          <w:lang w:val="en-GB"/>
        </w:rPr>
        <w:t xml:space="preserve">: the actions are linked to </w:t>
      </w:r>
      <w:r w:rsidR="00CB5B9C">
        <w:rPr>
          <w:rFonts w:ascii="Times New Roman" w:hAnsi="Times New Roman" w:cs="Times New Roman"/>
          <w:sz w:val="24"/>
          <w:szCs w:val="24"/>
          <w:lang w:val="en-GB"/>
        </w:rPr>
        <w:t>desires and beliefs</w:t>
      </w:r>
    </w:p>
    <w:p w14:paraId="0DFB0DD4" w14:textId="040428A6" w:rsidR="00B35382" w:rsidRPr="00625B11" w:rsidRDefault="00B35382" w:rsidP="00625B11">
      <w:pPr>
        <w:pStyle w:val="Lijstalinea"/>
        <w:numPr>
          <w:ilvl w:val="0"/>
          <w:numId w:val="2"/>
        </w:num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Transformational mechanism:</w:t>
      </w:r>
      <w:r w:rsidR="00CB5B9C">
        <w:rPr>
          <w:rFonts w:ascii="Times New Roman" w:hAnsi="Times New Roman" w:cs="Times New Roman"/>
          <w:sz w:val="24"/>
          <w:szCs w:val="24"/>
          <w:lang w:val="en-GB"/>
        </w:rPr>
        <w:t xml:space="preserve"> the actions shape the observed outcomes</w:t>
      </w:r>
    </w:p>
    <w:p w14:paraId="4ACE435B" w14:textId="732652C4" w:rsidR="00BF2FB0" w:rsidRDefault="002D4E16" w:rsidP="003333A3">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Although very </w:t>
      </w:r>
      <w:r w:rsidR="005F52A4">
        <w:rPr>
          <w:rFonts w:ascii="Times New Roman" w:hAnsi="Times New Roman" w:cs="Times New Roman"/>
          <w:sz w:val="24"/>
          <w:szCs w:val="24"/>
          <w:lang w:val="en-GB"/>
        </w:rPr>
        <w:t>individually oriented</w:t>
      </w:r>
      <w:r>
        <w:rPr>
          <w:rFonts w:ascii="Times New Roman" w:hAnsi="Times New Roman" w:cs="Times New Roman"/>
          <w:sz w:val="24"/>
          <w:szCs w:val="24"/>
          <w:lang w:val="en-GB"/>
        </w:rPr>
        <w:t xml:space="preserve">, </w:t>
      </w:r>
      <w:r w:rsidR="00F22B68">
        <w:rPr>
          <w:rFonts w:ascii="Times New Roman" w:hAnsi="Times New Roman" w:cs="Times New Roman"/>
          <w:sz w:val="24"/>
          <w:szCs w:val="24"/>
          <w:lang w:val="en-GB"/>
        </w:rPr>
        <w:t>the idea of Coleman’s ba</w:t>
      </w:r>
      <w:r w:rsidR="00642C47">
        <w:rPr>
          <w:rFonts w:ascii="Times New Roman" w:hAnsi="Times New Roman" w:cs="Times New Roman"/>
          <w:sz w:val="24"/>
          <w:szCs w:val="24"/>
          <w:lang w:val="en-GB"/>
        </w:rPr>
        <w:t>t</w:t>
      </w:r>
      <w:r w:rsidR="00F22B68">
        <w:rPr>
          <w:rFonts w:ascii="Times New Roman" w:hAnsi="Times New Roman" w:cs="Times New Roman"/>
          <w:sz w:val="24"/>
          <w:szCs w:val="24"/>
          <w:lang w:val="en-GB"/>
        </w:rPr>
        <w:t xml:space="preserve">htub is useful when applied to this study. It does provide a very systematic way of thinking when it comes to </w:t>
      </w:r>
      <w:r w:rsidR="008A0B48">
        <w:rPr>
          <w:rFonts w:ascii="Times New Roman" w:hAnsi="Times New Roman" w:cs="Times New Roman"/>
          <w:sz w:val="24"/>
          <w:szCs w:val="24"/>
          <w:lang w:val="en-GB"/>
        </w:rPr>
        <w:t xml:space="preserve">unravelling and understanding a causal mechanism. Furthermore, </w:t>
      </w:r>
      <w:r w:rsidR="004E3B26">
        <w:rPr>
          <w:rFonts w:ascii="Times New Roman" w:hAnsi="Times New Roman" w:cs="Times New Roman"/>
          <w:sz w:val="24"/>
          <w:szCs w:val="24"/>
          <w:lang w:val="en-GB"/>
        </w:rPr>
        <w:t xml:space="preserve">it adds to the further understanding of what a causal mechanism can look like and how it should be interpreted by </w:t>
      </w:r>
      <w:r w:rsidR="00244EA3">
        <w:rPr>
          <w:rFonts w:ascii="Times New Roman" w:hAnsi="Times New Roman" w:cs="Times New Roman"/>
          <w:sz w:val="24"/>
          <w:szCs w:val="24"/>
          <w:lang w:val="en-GB"/>
        </w:rPr>
        <w:t>scholars.</w:t>
      </w:r>
    </w:p>
    <w:p w14:paraId="4310957F" w14:textId="560C2A35" w:rsidR="005F205B" w:rsidRDefault="00BF2FB0" w:rsidP="003333A3">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Process tracing, thus, seems to be a </w:t>
      </w:r>
      <w:r w:rsidR="00EE10EB">
        <w:rPr>
          <w:rFonts w:ascii="Times New Roman" w:hAnsi="Times New Roman" w:cs="Times New Roman"/>
          <w:sz w:val="24"/>
          <w:szCs w:val="24"/>
          <w:lang w:val="en-GB"/>
        </w:rPr>
        <w:t xml:space="preserve">well-suited method to be able to answer the research question. </w:t>
      </w:r>
      <w:r w:rsidR="007A0E15">
        <w:rPr>
          <w:rFonts w:ascii="Times New Roman" w:hAnsi="Times New Roman" w:cs="Times New Roman"/>
          <w:sz w:val="24"/>
          <w:szCs w:val="24"/>
          <w:lang w:val="en-GB"/>
        </w:rPr>
        <w:t xml:space="preserve">However, as with every method, the method of process tracing comes with downfalls as well. It is important that the researcher is aware of these potential downfalls before the </w:t>
      </w:r>
      <w:r w:rsidR="007A0E15">
        <w:rPr>
          <w:rFonts w:ascii="Times New Roman" w:hAnsi="Times New Roman" w:cs="Times New Roman"/>
          <w:sz w:val="24"/>
          <w:szCs w:val="24"/>
          <w:lang w:val="en-GB"/>
        </w:rPr>
        <w:lastRenderedPageBreak/>
        <w:t xml:space="preserve">empirical analysis starts in order to prevent </w:t>
      </w:r>
      <w:r w:rsidR="005F205B">
        <w:rPr>
          <w:rFonts w:ascii="Times New Roman" w:hAnsi="Times New Roman" w:cs="Times New Roman"/>
          <w:sz w:val="24"/>
          <w:szCs w:val="24"/>
          <w:lang w:val="en-GB"/>
        </w:rPr>
        <w:t xml:space="preserve">mistakes that potentially affect the credibility of the drawn conclusions. </w:t>
      </w:r>
      <w:r w:rsidR="00ED4273">
        <w:rPr>
          <w:rFonts w:ascii="Times New Roman" w:hAnsi="Times New Roman" w:cs="Times New Roman"/>
          <w:sz w:val="24"/>
          <w:szCs w:val="24"/>
          <w:lang w:val="en-GB"/>
        </w:rPr>
        <w:t xml:space="preserve">One of the largest issues with process tracing lies with its generalisation or </w:t>
      </w:r>
      <w:r w:rsidR="00F76E12">
        <w:rPr>
          <w:rFonts w:ascii="Times New Roman" w:hAnsi="Times New Roman" w:cs="Times New Roman"/>
          <w:sz w:val="24"/>
          <w:szCs w:val="24"/>
          <w:lang w:val="en-GB"/>
        </w:rPr>
        <w:t>external validity.</w:t>
      </w:r>
      <w:r w:rsidR="001E57D1">
        <w:rPr>
          <w:rFonts w:ascii="Times New Roman" w:hAnsi="Times New Roman" w:cs="Times New Roman"/>
          <w:sz w:val="24"/>
          <w:szCs w:val="24"/>
          <w:lang w:val="en-GB"/>
        </w:rPr>
        <w:t xml:space="preserve"> </w:t>
      </w:r>
      <w:r w:rsidR="00EA2206">
        <w:rPr>
          <w:rFonts w:ascii="Times New Roman" w:hAnsi="Times New Roman" w:cs="Times New Roman"/>
          <w:sz w:val="24"/>
          <w:szCs w:val="24"/>
          <w:lang w:val="en-GB"/>
        </w:rPr>
        <w:t>Process tracing f</w:t>
      </w:r>
      <w:r w:rsidR="00B536C2">
        <w:rPr>
          <w:rFonts w:ascii="Times New Roman" w:hAnsi="Times New Roman" w:cs="Times New Roman"/>
          <w:sz w:val="24"/>
          <w:szCs w:val="24"/>
          <w:lang w:val="en-GB"/>
        </w:rPr>
        <w:t xml:space="preserve">ocuses on a single (historical) case. It aims to extensively investigate what happened and </w:t>
      </w:r>
      <w:r w:rsidR="009E5C64">
        <w:rPr>
          <w:rFonts w:ascii="Times New Roman" w:hAnsi="Times New Roman" w:cs="Times New Roman"/>
          <w:sz w:val="24"/>
          <w:szCs w:val="24"/>
          <w:lang w:val="en-GB"/>
        </w:rPr>
        <w:t xml:space="preserve">understand the causal mechanisms that lead to the observed outcomes. </w:t>
      </w:r>
      <w:r w:rsidR="00EC1ED6">
        <w:rPr>
          <w:rFonts w:ascii="Times New Roman" w:hAnsi="Times New Roman" w:cs="Times New Roman"/>
          <w:sz w:val="24"/>
          <w:szCs w:val="24"/>
          <w:lang w:val="en-GB"/>
        </w:rPr>
        <w:t xml:space="preserve">However, the choice for a single, unique case </w:t>
      </w:r>
      <w:r w:rsidR="005F52A4">
        <w:rPr>
          <w:rFonts w:ascii="Times New Roman" w:hAnsi="Times New Roman" w:cs="Times New Roman"/>
          <w:sz w:val="24"/>
          <w:szCs w:val="24"/>
          <w:lang w:val="en-GB"/>
        </w:rPr>
        <w:t>makes</w:t>
      </w:r>
      <w:r w:rsidR="00EC1ED6">
        <w:rPr>
          <w:rFonts w:ascii="Times New Roman" w:hAnsi="Times New Roman" w:cs="Times New Roman"/>
          <w:sz w:val="24"/>
          <w:szCs w:val="24"/>
          <w:lang w:val="en-GB"/>
        </w:rPr>
        <w:t xml:space="preserve"> it difficult for its outcomes to be generalised to a b</w:t>
      </w:r>
      <w:r w:rsidR="00621B6D">
        <w:rPr>
          <w:rFonts w:ascii="Times New Roman" w:hAnsi="Times New Roman" w:cs="Times New Roman"/>
          <w:sz w:val="24"/>
          <w:szCs w:val="24"/>
          <w:lang w:val="en-GB"/>
        </w:rPr>
        <w:t>roader</w:t>
      </w:r>
      <w:r w:rsidR="009F52AE">
        <w:rPr>
          <w:rFonts w:ascii="Times New Roman" w:hAnsi="Times New Roman" w:cs="Times New Roman"/>
          <w:sz w:val="24"/>
          <w:szCs w:val="24"/>
          <w:lang w:val="en-GB"/>
        </w:rPr>
        <w:t>, more generalised set of statements</w:t>
      </w:r>
      <w:r w:rsidR="00621B6D">
        <w:rPr>
          <w:rFonts w:ascii="Times New Roman" w:hAnsi="Times New Roman" w:cs="Times New Roman"/>
          <w:sz w:val="24"/>
          <w:szCs w:val="24"/>
          <w:lang w:val="en-GB"/>
        </w:rPr>
        <w:t xml:space="preserve">. The uniqueness and different contexts of </w:t>
      </w:r>
      <w:r w:rsidR="006C76BC">
        <w:rPr>
          <w:rFonts w:ascii="Times New Roman" w:hAnsi="Times New Roman" w:cs="Times New Roman"/>
          <w:sz w:val="24"/>
          <w:szCs w:val="24"/>
          <w:lang w:val="en-GB"/>
        </w:rPr>
        <w:t>a case make it almost impossible for a researcher to generalise the results to a broader context</w:t>
      </w:r>
      <w:r w:rsidR="009D1059">
        <w:rPr>
          <w:rFonts w:ascii="Times New Roman" w:hAnsi="Times New Roman" w:cs="Times New Roman"/>
          <w:sz w:val="24"/>
          <w:szCs w:val="24"/>
          <w:lang w:val="en-GB"/>
        </w:rPr>
        <w:t xml:space="preserve"> and make it less encouraging for a researcher to apply this method (Schimmelfennig, 2013).</w:t>
      </w:r>
      <w:r w:rsidR="00F50779">
        <w:rPr>
          <w:rFonts w:ascii="Times New Roman" w:hAnsi="Times New Roman" w:cs="Times New Roman"/>
          <w:sz w:val="24"/>
          <w:szCs w:val="24"/>
          <w:lang w:val="en-GB"/>
        </w:rPr>
        <w:t xml:space="preserve"> Although this sounds like an extensive problem for the researcher and this paper, Beach and Pedersen (2013) nuance this by stating that the application of other methods such as QCA allow for detection of other cases and make cross-case references possible. The chosen case might then still be not applicable to generalise to a wider extent, but QCA and cross-case references can prove it to be a least-likely case, which (partially) solves and accounts for the problem of external validity.</w:t>
      </w:r>
      <w:r w:rsidR="009D1059">
        <w:rPr>
          <w:rFonts w:ascii="Times New Roman" w:hAnsi="Times New Roman" w:cs="Times New Roman"/>
          <w:sz w:val="24"/>
          <w:szCs w:val="24"/>
          <w:lang w:val="en-GB"/>
        </w:rPr>
        <w:t xml:space="preserve"> </w:t>
      </w:r>
      <w:r w:rsidR="00CB6BAE">
        <w:rPr>
          <w:rFonts w:ascii="Times New Roman" w:hAnsi="Times New Roman" w:cs="Times New Roman"/>
          <w:sz w:val="24"/>
          <w:szCs w:val="24"/>
          <w:lang w:val="en-GB"/>
        </w:rPr>
        <w:t>However,</w:t>
      </w:r>
      <w:r w:rsidR="00D039C5">
        <w:rPr>
          <w:rFonts w:ascii="Times New Roman" w:hAnsi="Times New Roman" w:cs="Times New Roman"/>
          <w:sz w:val="24"/>
          <w:szCs w:val="24"/>
          <w:lang w:val="en-GB"/>
        </w:rPr>
        <w:t xml:space="preserve"> as internal and external validity often come with a certain trade-off (Schimmelfennig, 2013), </w:t>
      </w:r>
      <w:r w:rsidR="001E181D">
        <w:rPr>
          <w:rFonts w:ascii="Times New Roman" w:hAnsi="Times New Roman" w:cs="Times New Roman"/>
          <w:sz w:val="24"/>
          <w:szCs w:val="24"/>
          <w:lang w:val="en-GB"/>
        </w:rPr>
        <w:t>the internal validity of process tracing is rather high</w:t>
      </w:r>
      <w:r w:rsidR="00242E60">
        <w:rPr>
          <w:rFonts w:ascii="Times New Roman" w:hAnsi="Times New Roman" w:cs="Times New Roman"/>
          <w:sz w:val="24"/>
          <w:szCs w:val="24"/>
          <w:lang w:val="en-GB"/>
        </w:rPr>
        <w:t xml:space="preserve">. Instead of </w:t>
      </w:r>
      <w:r w:rsidR="001814A1">
        <w:rPr>
          <w:rFonts w:ascii="Times New Roman" w:hAnsi="Times New Roman" w:cs="Times New Roman"/>
          <w:sz w:val="24"/>
          <w:szCs w:val="24"/>
          <w:lang w:val="en-GB"/>
        </w:rPr>
        <w:t xml:space="preserve">going looking for evidence that might be supporting the hypothesis, process tracing </w:t>
      </w:r>
      <w:r w:rsidR="002308B4">
        <w:rPr>
          <w:rFonts w:ascii="Times New Roman" w:hAnsi="Times New Roman" w:cs="Times New Roman"/>
          <w:sz w:val="24"/>
          <w:szCs w:val="24"/>
          <w:lang w:val="en-GB"/>
        </w:rPr>
        <w:t xml:space="preserve">aims at seeking evidence that enables the researcher to </w:t>
      </w:r>
      <w:r w:rsidR="00DD46FF">
        <w:rPr>
          <w:rFonts w:ascii="Times New Roman" w:hAnsi="Times New Roman" w:cs="Times New Roman"/>
          <w:sz w:val="24"/>
          <w:szCs w:val="24"/>
          <w:lang w:val="en-GB"/>
        </w:rPr>
        <w:t>determine whether the predicted causal mechanism is indeed present</w:t>
      </w:r>
      <w:r w:rsidR="00982C02">
        <w:rPr>
          <w:rFonts w:ascii="Times New Roman" w:hAnsi="Times New Roman" w:cs="Times New Roman"/>
          <w:sz w:val="24"/>
          <w:szCs w:val="24"/>
          <w:lang w:val="en-GB"/>
        </w:rPr>
        <w:t xml:space="preserve">. This, consequently, asks the researcher to be critical of its evidence at every stage of the </w:t>
      </w:r>
      <w:r w:rsidR="00553793">
        <w:rPr>
          <w:rFonts w:ascii="Times New Roman" w:hAnsi="Times New Roman" w:cs="Times New Roman"/>
          <w:sz w:val="24"/>
          <w:szCs w:val="24"/>
          <w:lang w:val="en-GB"/>
        </w:rPr>
        <w:t xml:space="preserve">analysis in order to ensure that the quality of the evidence remains high enough to support the </w:t>
      </w:r>
      <w:r w:rsidR="000D0222">
        <w:rPr>
          <w:rFonts w:ascii="Times New Roman" w:hAnsi="Times New Roman" w:cs="Times New Roman"/>
          <w:sz w:val="24"/>
          <w:szCs w:val="24"/>
          <w:lang w:val="en-GB"/>
        </w:rPr>
        <w:t>causal mechanism</w:t>
      </w:r>
      <w:r w:rsidR="00405BD8">
        <w:rPr>
          <w:rFonts w:ascii="Times New Roman" w:hAnsi="Times New Roman" w:cs="Times New Roman"/>
          <w:sz w:val="24"/>
          <w:szCs w:val="24"/>
          <w:lang w:val="en-GB"/>
        </w:rPr>
        <w:t xml:space="preserve">. Such a critical reflection of the evidence </w:t>
      </w:r>
      <w:r w:rsidR="00F638E3">
        <w:rPr>
          <w:rFonts w:ascii="Times New Roman" w:hAnsi="Times New Roman" w:cs="Times New Roman"/>
          <w:sz w:val="24"/>
          <w:szCs w:val="24"/>
          <w:lang w:val="en-GB"/>
        </w:rPr>
        <w:t>is achieved by multiple tests</w:t>
      </w:r>
      <w:r w:rsidR="00AC758A">
        <w:rPr>
          <w:rFonts w:ascii="Times New Roman" w:hAnsi="Times New Roman" w:cs="Times New Roman"/>
          <w:sz w:val="24"/>
          <w:szCs w:val="24"/>
          <w:lang w:val="en-GB"/>
        </w:rPr>
        <w:t xml:space="preserve"> (Bennett, 2009)</w:t>
      </w:r>
      <w:r w:rsidR="00F638E3">
        <w:rPr>
          <w:rFonts w:ascii="Times New Roman" w:hAnsi="Times New Roman" w:cs="Times New Roman"/>
          <w:sz w:val="24"/>
          <w:szCs w:val="24"/>
          <w:lang w:val="en-GB"/>
        </w:rPr>
        <w:t>:</w:t>
      </w:r>
    </w:p>
    <w:p w14:paraId="714B0746" w14:textId="00846A93" w:rsidR="00AB4112" w:rsidRDefault="009005D2" w:rsidP="00AB4112">
      <w:pPr>
        <w:pStyle w:val="Lijstalinea"/>
        <w:numPr>
          <w:ilvl w:val="0"/>
          <w:numId w:val="2"/>
        </w:num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Hoop tests: </w:t>
      </w:r>
      <w:r w:rsidR="00C06A5D">
        <w:rPr>
          <w:rFonts w:ascii="Times New Roman" w:hAnsi="Times New Roman" w:cs="Times New Roman"/>
          <w:sz w:val="24"/>
          <w:szCs w:val="24"/>
          <w:lang w:val="en-GB"/>
        </w:rPr>
        <w:t xml:space="preserve">evidence is certain, but not unique. If a piece of evidence passes this test, it does not hugely increase the confidence in the </w:t>
      </w:r>
      <w:r w:rsidR="00AC758A">
        <w:rPr>
          <w:rFonts w:ascii="Times New Roman" w:hAnsi="Times New Roman" w:cs="Times New Roman"/>
          <w:sz w:val="24"/>
          <w:szCs w:val="24"/>
          <w:lang w:val="en-GB"/>
        </w:rPr>
        <w:t>claim that is supported by this piece of evidence</w:t>
      </w:r>
      <w:r w:rsidR="00AB4112">
        <w:rPr>
          <w:rFonts w:ascii="Times New Roman" w:hAnsi="Times New Roman" w:cs="Times New Roman"/>
          <w:sz w:val="24"/>
          <w:szCs w:val="24"/>
          <w:lang w:val="en-GB"/>
        </w:rPr>
        <w:t>. However, it can exclude alternative hypotheses.</w:t>
      </w:r>
    </w:p>
    <w:p w14:paraId="5BEC9494" w14:textId="263C8312" w:rsidR="00AB4112" w:rsidRDefault="00F51683" w:rsidP="00AB4112">
      <w:pPr>
        <w:pStyle w:val="Lijstalinea"/>
        <w:numPr>
          <w:ilvl w:val="0"/>
          <w:numId w:val="2"/>
        </w:num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Smoking gun tests: evidence is unique, but not certain. If a piece of evidence passes this test, it </w:t>
      </w:r>
      <w:r w:rsidR="00E66056">
        <w:rPr>
          <w:rFonts w:ascii="Times New Roman" w:hAnsi="Times New Roman" w:cs="Times New Roman"/>
          <w:sz w:val="24"/>
          <w:szCs w:val="24"/>
          <w:lang w:val="en-GB"/>
        </w:rPr>
        <w:t xml:space="preserve">strongly supports a hypothesis, but failure does not automatically imply </w:t>
      </w:r>
      <w:r w:rsidR="00397D1D">
        <w:rPr>
          <w:rFonts w:ascii="Times New Roman" w:hAnsi="Times New Roman" w:cs="Times New Roman"/>
          <w:sz w:val="24"/>
          <w:szCs w:val="24"/>
          <w:lang w:val="en-GB"/>
        </w:rPr>
        <w:t>the discard of the hypothesis</w:t>
      </w:r>
    </w:p>
    <w:p w14:paraId="62D19B8E" w14:textId="0C232C61" w:rsidR="0021289D" w:rsidRDefault="00780972" w:rsidP="0021289D">
      <w:pPr>
        <w:pStyle w:val="Lijstalinea"/>
        <w:numPr>
          <w:ilvl w:val="0"/>
          <w:numId w:val="2"/>
        </w:num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Doubly decisive test: evidence is both unique and certain. </w:t>
      </w:r>
      <w:r w:rsidR="00866444">
        <w:rPr>
          <w:rFonts w:ascii="Times New Roman" w:hAnsi="Times New Roman" w:cs="Times New Roman"/>
          <w:sz w:val="24"/>
          <w:szCs w:val="24"/>
          <w:lang w:val="en-GB"/>
        </w:rPr>
        <w:t>A researcher ultimately wants a piece of evidence to pass this tes</w:t>
      </w:r>
      <w:r w:rsidR="0021289D">
        <w:rPr>
          <w:rFonts w:ascii="Times New Roman" w:hAnsi="Times New Roman" w:cs="Times New Roman"/>
          <w:sz w:val="24"/>
          <w:szCs w:val="24"/>
          <w:lang w:val="en-GB"/>
        </w:rPr>
        <w:t>t</w:t>
      </w:r>
    </w:p>
    <w:p w14:paraId="48D85333" w14:textId="77777777" w:rsidR="00636658" w:rsidRDefault="0021289D" w:rsidP="0021289D">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In conclusion, by critically and constantly reflecting at the gathered evidence, the internal validity of process tracing can be easily increased and remain at a high standard. </w:t>
      </w:r>
    </w:p>
    <w:p w14:paraId="5398646F" w14:textId="0C8A332F" w:rsidR="0021289D" w:rsidRDefault="00465BDA" w:rsidP="0021289D">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lastRenderedPageBreak/>
        <w:t>A final issue that has to be discussed when it comes to the method of process tracing is the fact that it is an extensive and intensive</w:t>
      </w:r>
      <w:r w:rsidR="00AC6870">
        <w:rPr>
          <w:rFonts w:ascii="Times New Roman" w:hAnsi="Times New Roman" w:cs="Times New Roman"/>
          <w:sz w:val="24"/>
          <w:szCs w:val="24"/>
          <w:lang w:val="en-GB"/>
        </w:rPr>
        <w:t xml:space="preserve"> research method</w:t>
      </w:r>
      <w:r w:rsidR="00406EC7">
        <w:rPr>
          <w:rFonts w:ascii="Times New Roman" w:hAnsi="Times New Roman" w:cs="Times New Roman"/>
          <w:sz w:val="24"/>
          <w:szCs w:val="24"/>
          <w:lang w:val="en-GB"/>
        </w:rPr>
        <w:t xml:space="preserve">. </w:t>
      </w:r>
      <w:r w:rsidR="002E3C13">
        <w:rPr>
          <w:rFonts w:ascii="Times New Roman" w:hAnsi="Times New Roman" w:cs="Times New Roman"/>
          <w:sz w:val="24"/>
          <w:szCs w:val="24"/>
          <w:lang w:val="en-GB"/>
        </w:rPr>
        <w:t xml:space="preserve">In </w:t>
      </w:r>
      <w:r w:rsidR="005F52A4">
        <w:rPr>
          <w:rFonts w:ascii="Times New Roman" w:hAnsi="Times New Roman" w:cs="Times New Roman"/>
          <w:sz w:val="24"/>
          <w:szCs w:val="24"/>
          <w:lang w:val="en-GB"/>
        </w:rPr>
        <w:t>an</w:t>
      </w:r>
      <w:r w:rsidR="002E3C13">
        <w:rPr>
          <w:rFonts w:ascii="Times New Roman" w:hAnsi="Times New Roman" w:cs="Times New Roman"/>
          <w:sz w:val="24"/>
          <w:szCs w:val="24"/>
          <w:lang w:val="en-GB"/>
        </w:rPr>
        <w:t xml:space="preserve"> ordinary comparative analysis, a researcher often needs a couple of </w:t>
      </w:r>
      <w:r w:rsidR="00BC1A1D">
        <w:rPr>
          <w:rFonts w:ascii="Times New Roman" w:hAnsi="Times New Roman" w:cs="Times New Roman"/>
          <w:sz w:val="24"/>
          <w:szCs w:val="24"/>
          <w:lang w:val="en-GB"/>
        </w:rPr>
        <w:t xml:space="preserve">high-quality observations to work with, whereas process tracing requires </w:t>
      </w:r>
      <w:r w:rsidR="00840A70">
        <w:rPr>
          <w:rFonts w:ascii="Times New Roman" w:hAnsi="Times New Roman" w:cs="Times New Roman"/>
          <w:sz w:val="24"/>
          <w:szCs w:val="24"/>
          <w:lang w:val="en-GB"/>
        </w:rPr>
        <w:t>many causal-process observations</w:t>
      </w:r>
      <w:r w:rsidR="00E80A08">
        <w:rPr>
          <w:rFonts w:ascii="Times New Roman" w:hAnsi="Times New Roman" w:cs="Times New Roman"/>
          <w:sz w:val="24"/>
          <w:szCs w:val="24"/>
          <w:lang w:val="en-GB"/>
        </w:rPr>
        <w:t xml:space="preserve"> in order to make proper claims.</w:t>
      </w:r>
      <w:r w:rsidR="00A16D31">
        <w:rPr>
          <w:rFonts w:ascii="Times New Roman" w:hAnsi="Times New Roman" w:cs="Times New Roman"/>
          <w:sz w:val="24"/>
          <w:szCs w:val="24"/>
          <w:lang w:val="en-GB"/>
        </w:rPr>
        <w:t xml:space="preserve"> As a result, the time and resources that are required to conduct proper process tracing are high compared to comparative analyses (Schimmelfennig, 2013). It is, therefore, crucial to accurately specify what data during what timespan can be chosen in order to limit the choice and make the process more comprehensive for the researcher. In the following section, the data selection will be explained before heading into the operationalisation of the hypotheses. </w:t>
      </w:r>
    </w:p>
    <w:p w14:paraId="78AF5851" w14:textId="1F7F681A" w:rsidR="00A16D31" w:rsidRDefault="00A16D31" w:rsidP="00A16D31">
      <w:pPr>
        <w:pStyle w:val="Kop2"/>
        <w:rPr>
          <w:rFonts w:ascii="Times New Roman" w:hAnsi="Times New Roman" w:cs="Times New Roman"/>
          <w:color w:val="auto"/>
          <w:u w:val="single"/>
          <w:lang w:val="en-GB"/>
        </w:rPr>
      </w:pPr>
      <w:bookmarkStart w:id="14" w:name="_Toc169873382"/>
      <w:r>
        <w:rPr>
          <w:rFonts w:ascii="Times New Roman" w:hAnsi="Times New Roman" w:cs="Times New Roman"/>
          <w:color w:val="auto"/>
          <w:u w:val="single"/>
          <w:lang w:val="en-GB"/>
        </w:rPr>
        <w:t>3.2 Data selection</w:t>
      </w:r>
      <w:r w:rsidR="00575404">
        <w:rPr>
          <w:rFonts w:ascii="Times New Roman" w:hAnsi="Times New Roman" w:cs="Times New Roman"/>
          <w:color w:val="auto"/>
          <w:u w:val="single"/>
          <w:lang w:val="en-GB"/>
        </w:rPr>
        <w:t xml:space="preserve"> and operationalisation</w:t>
      </w:r>
      <w:bookmarkEnd w:id="14"/>
    </w:p>
    <w:p w14:paraId="52D6CAAC" w14:textId="7319BF4A" w:rsidR="000F038F" w:rsidRDefault="000F038F" w:rsidP="00A16D31">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Before it is possible to establish what kind of evidence and data are useful and should be taken into account, it is necessary to determine the period of time that can be used to attract data from. </w:t>
      </w:r>
      <w:r w:rsidR="005F52A4">
        <w:rPr>
          <w:rFonts w:ascii="Times New Roman" w:hAnsi="Times New Roman" w:cs="Times New Roman"/>
          <w:sz w:val="24"/>
          <w:szCs w:val="24"/>
          <w:lang w:val="en-GB"/>
        </w:rPr>
        <w:t>Based on that, the operationalisation of the hypothesised causal mechanisms can start.</w:t>
      </w:r>
    </w:p>
    <w:p w14:paraId="4BD001E5" w14:textId="17561097" w:rsidR="00A16D31" w:rsidRDefault="000F038F" w:rsidP="00A16D31">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The first part of the empirical analysis will look at how the relationship between the EU and Qatar came about and how these actors behaved towards each other before Qatargate. This means that it should start at the year 19</w:t>
      </w:r>
      <w:r w:rsidR="00A5380A">
        <w:rPr>
          <w:rFonts w:ascii="Times New Roman" w:hAnsi="Times New Roman" w:cs="Times New Roman"/>
          <w:sz w:val="24"/>
          <w:szCs w:val="24"/>
          <w:lang w:val="en-GB"/>
        </w:rPr>
        <w:t>89</w:t>
      </w:r>
      <w:r>
        <w:rPr>
          <w:rFonts w:ascii="Times New Roman" w:hAnsi="Times New Roman" w:cs="Times New Roman"/>
          <w:sz w:val="24"/>
          <w:szCs w:val="24"/>
          <w:lang w:val="en-GB"/>
        </w:rPr>
        <w:t>: the year the</w:t>
      </w:r>
      <w:r w:rsidR="00A5380A">
        <w:rPr>
          <w:rFonts w:ascii="Times New Roman" w:hAnsi="Times New Roman" w:cs="Times New Roman"/>
          <w:sz w:val="24"/>
          <w:szCs w:val="24"/>
          <w:lang w:val="en-GB"/>
        </w:rPr>
        <w:t xml:space="preserve"> European Communities signed a Cooperation Agreement with a group of states, including Qatar, and the formal cooperation between the EU and Qatar started</w:t>
      </w:r>
      <w:r>
        <w:rPr>
          <w:rFonts w:ascii="Times New Roman" w:hAnsi="Times New Roman" w:cs="Times New Roman"/>
          <w:sz w:val="24"/>
          <w:szCs w:val="24"/>
          <w:lang w:val="en-GB"/>
        </w:rPr>
        <w:t>. The ending point of that chapter is also clear</w:t>
      </w:r>
      <w:r w:rsidR="00A5380A">
        <w:rPr>
          <w:rFonts w:ascii="Times New Roman" w:hAnsi="Times New Roman" w:cs="Times New Roman"/>
          <w:sz w:val="24"/>
          <w:szCs w:val="24"/>
          <w:lang w:val="en-GB"/>
        </w:rPr>
        <w:t>:</w:t>
      </w:r>
      <w:r>
        <w:rPr>
          <w:rFonts w:ascii="Times New Roman" w:hAnsi="Times New Roman" w:cs="Times New Roman"/>
          <w:sz w:val="24"/>
          <w:szCs w:val="24"/>
          <w:lang w:val="en-GB"/>
        </w:rPr>
        <w:t xml:space="preserve"> the point when Qatargate started, which was in December 2022. This means that the first part of the empirical analysis has to focus on a large timespan. However, as it will focus on the development of the relationship between the EU and Qatar, the focus of the data should be merely on official documents and statements from the EU and Qatar. These documents</w:t>
      </w:r>
      <w:r w:rsidR="00FB444B">
        <w:rPr>
          <w:rFonts w:ascii="Times New Roman" w:hAnsi="Times New Roman" w:cs="Times New Roman"/>
          <w:sz w:val="24"/>
          <w:szCs w:val="24"/>
          <w:lang w:val="en-GB"/>
        </w:rPr>
        <w:t>, namely,</w:t>
      </w:r>
      <w:r>
        <w:rPr>
          <w:rFonts w:ascii="Times New Roman" w:hAnsi="Times New Roman" w:cs="Times New Roman"/>
          <w:sz w:val="24"/>
          <w:szCs w:val="24"/>
          <w:lang w:val="en-GB"/>
        </w:rPr>
        <w:t xml:space="preserve"> officially determine the steps and outcomes of the unfolding relationship, meaning that these documents are the only sour</w:t>
      </w:r>
      <w:r w:rsidR="00CA3151">
        <w:rPr>
          <w:rFonts w:ascii="Times New Roman" w:hAnsi="Times New Roman" w:cs="Times New Roman"/>
          <w:sz w:val="24"/>
          <w:szCs w:val="24"/>
          <w:lang w:val="en-GB"/>
        </w:rPr>
        <w:t>c</w:t>
      </w:r>
      <w:r>
        <w:rPr>
          <w:rFonts w:ascii="Times New Roman" w:hAnsi="Times New Roman" w:cs="Times New Roman"/>
          <w:sz w:val="24"/>
          <w:szCs w:val="24"/>
          <w:lang w:val="en-GB"/>
        </w:rPr>
        <w:t xml:space="preserve">es of evidence that possess a legal, political, and authoritative status that qualify them to be of enough value to make well substantiated claims. </w:t>
      </w:r>
      <w:r w:rsidR="00705D70">
        <w:rPr>
          <w:rFonts w:ascii="Times New Roman" w:hAnsi="Times New Roman" w:cs="Times New Roman"/>
          <w:sz w:val="24"/>
          <w:szCs w:val="24"/>
          <w:lang w:val="en-GB"/>
        </w:rPr>
        <w:t>As the main focus of this thesis is on Qatargate and its consequences, this part will be relatively short. However, to see where the relationship between Qatar and the EU was built on initially provides a concrete starting point that is useful in the further development</w:t>
      </w:r>
      <w:r w:rsidR="00FB444B">
        <w:rPr>
          <w:rFonts w:ascii="Times New Roman" w:hAnsi="Times New Roman" w:cs="Times New Roman"/>
          <w:sz w:val="24"/>
          <w:szCs w:val="24"/>
          <w:lang w:val="en-GB"/>
        </w:rPr>
        <w:t xml:space="preserve"> and understanding</w:t>
      </w:r>
      <w:r w:rsidR="00705D70">
        <w:rPr>
          <w:rFonts w:ascii="Times New Roman" w:hAnsi="Times New Roman" w:cs="Times New Roman"/>
          <w:sz w:val="24"/>
          <w:szCs w:val="24"/>
          <w:lang w:val="en-GB"/>
        </w:rPr>
        <w:t xml:space="preserve"> of the relationship between Qatar and the EU. </w:t>
      </w:r>
    </w:p>
    <w:p w14:paraId="4348C2B3" w14:textId="5534DB53" w:rsidR="000F038F" w:rsidRDefault="000F038F" w:rsidP="00A16D31">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The second part of the empirical analysis will start where the first part left of: the start of Qatargate in December 2022. </w:t>
      </w:r>
      <w:r w:rsidR="001C089C">
        <w:rPr>
          <w:rFonts w:ascii="Times New Roman" w:hAnsi="Times New Roman" w:cs="Times New Roman"/>
          <w:sz w:val="24"/>
          <w:szCs w:val="24"/>
          <w:lang w:val="en-GB"/>
        </w:rPr>
        <w:t xml:space="preserve">The ending point of this part of the empirical analysis is harder to determine as Qatargate is formally still going on and </w:t>
      </w:r>
      <w:r w:rsidR="005F52A4">
        <w:rPr>
          <w:rFonts w:ascii="Times New Roman" w:hAnsi="Times New Roman" w:cs="Times New Roman"/>
          <w:sz w:val="24"/>
          <w:szCs w:val="24"/>
          <w:lang w:val="en-GB"/>
        </w:rPr>
        <w:t>MEPs</w:t>
      </w:r>
      <w:r w:rsidR="001C089C">
        <w:rPr>
          <w:rFonts w:ascii="Times New Roman" w:hAnsi="Times New Roman" w:cs="Times New Roman"/>
          <w:sz w:val="24"/>
          <w:szCs w:val="24"/>
          <w:lang w:val="en-GB"/>
        </w:rPr>
        <w:t xml:space="preserve"> are still being persecuted (Wax </w:t>
      </w:r>
      <w:r w:rsidR="001C089C">
        <w:rPr>
          <w:rFonts w:ascii="Times New Roman" w:hAnsi="Times New Roman" w:cs="Times New Roman"/>
          <w:sz w:val="24"/>
          <w:szCs w:val="24"/>
          <w:lang w:val="en-GB"/>
        </w:rPr>
        <w:lastRenderedPageBreak/>
        <w:t xml:space="preserve">et al., 2023). However, the ending point of the chapter and the empirical analysis will be put at July 2023. It is at this point that the EP formally responded to Qatargate and proposed </w:t>
      </w:r>
      <w:r w:rsidR="00A25A9F">
        <w:rPr>
          <w:rFonts w:ascii="Times New Roman" w:hAnsi="Times New Roman" w:cs="Times New Roman"/>
          <w:sz w:val="24"/>
          <w:szCs w:val="24"/>
          <w:lang w:val="en-GB"/>
        </w:rPr>
        <w:t xml:space="preserve">many legislative initiatives to prevent further corruption and protect the integrity of MEP’s (Wax &amp; Weaton, 2023). The choice for this date can be explained when acknowledging that Qatargate started in the EP, meaning that it would be only logical to end an analysis of its consequences when the </w:t>
      </w:r>
      <w:r w:rsidR="00FB444B">
        <w:rPr>
          <w:rFonts w:ascii="Times New Roman" w:hAnsi="Times New Roman" w:cs="Times New Roman"/>
          <w:sz w:val="24"/>
          <w:szCs w:val="24"/>
          <w:lang w:val="en-GB"/>
        </w:rPr>
        <w:t>main target</w:t>
      </w:r>
      <w:r w:rsidR="00A25A9F">
        <w:rPr>
          <w:rFonts w:ascii="Times New Roman" w:hAnsi="Times New Roman" w:cs="Times New Roman"/>
          <w:sz w:val="24"/>
          <w:szCs w:val="24"/>
          <w:lang w:val="en-GB"/>
        </w:rPr>
        <w:t xml:space="preserve"> initiated its formal response. Furthermore, other institutions such as EC and the Council published responses to Qatargate in the meanwhile as well, meaning that the chosen period encompasses all EU institutions</w:t>
      </w:r>
      <w:r w:rsidR="00B47A53">
        <w:rPr>
          <w:rFonts w:ascii="Times New Roman" w:hAnsi="Times New Roman" w:cs="Times New Roman"/>
          <w:sz w:val="24"/>
          <w:szCs w:val="24"/>
          <w:lang w:val="en-GB"/>
        </w:rPr>
        <w:t xml:space="preserve"> and their responses. </w:t>
      </w:r>
      <w:r w:rsidR="00D2094D">
        <w:rPr>
          <w:rFonts w:ascii="Times New Roman" w:hAnsi="Times New Roman" w:cs="Times New Roman"/>
          <w:sz w:val="24"/>
          <w:szCs w:val="24"/>
          <w:lang w:val="en-GB"/>
        </w:rPr>
        <w:t xml:space="preserve">This implies that </w:t>
      </w:r>
      <w:r w:rsidR="00A92741">
        <w:rPr>
          <w:rFonts w:ascii="Times New Roman" w:hAnsi="Times New Roman" w:cs="Times New Roman"/>
          <w:sz w:val="24"/>
          <w:szCs w:val="24"/>
          <w:lang w:val="en-GB"/>
        </w:rPr>
        <w:t>the chosen time period reflects the position of ‘the whole EU’</w:t>
      </w:r>
      <w:r w:rsidR="00705D70">
        <w:rPr>
          <w:rFonts w:ascii="Times New Roman" w:hAnsi="Times New Roman" w:cs="Times New Roman"/>
          <w:sz w:val="24"/>
          <w:szCs w:val="24"/>
          <w:lang w:val="en-GB"/>
        </w:rPr>
        <w:t xml:space="preserve"> (or not, depending on whether positions and tactics differ per institution)</w:t>
      </w:r>
      <w:r w:rsidR="00A92741">
        <w:rPr>
          <w:rFonts w:ascii="Times New Roman" w:hAnsi="Times New Roman" w:cs="Times New Roman"/>
          <w:sz w:val="24"/>
          <w:szCs w:val="24"/>
          <w:lang w:val="en-GB"/>
        </w:rPr>
        <w:t xml:space="preserve">, allowing for a more general statement. </w:t>
      </w:r>
      <w:r w:rsidR="006033B0">
        <w:rPr>
          <w:rFonts w:ascii="Times New Roman" w:hAnsi="Times New Roman" w:cs="Times New Roman"/>
          <w:sz w:val="24"/>
          <w:szCs w:val="24"/>
          <w:lang w:val="en-GB"/>
        </w:rPr>
        <w:t>When looking at the possible data that can be used</w:t>
      </w:r>
      <w:r w:rsidR="00F35419">
        <w:rPr>
          <w:rFonts w:ascii="Times New Roman" w:hAnsi="Times New Roman" w:cs="Times New Roman"/>
          <w:sz w:val="24"/>
          <w:szCs w:val="24"/>
          <w:lang w:val="en-GB"/>
        </w:rPr>
        <w:t xml:space="preserve">, there are roughly two categories of data. The first category encompasses </w:t>
      </w:r>
      <w:r w:rsidR="000D405E">
        <w:rPr>
          <w:rFonts w:ascii="Times New Roman" w:hAnsi="Times New Roman" w:cs="Times New Roman"/>
          <w:sz w:val="24"/>
          <w:szCs w:val="24"/>
          <w:lang w:val="en-GB"/>
        </w:rPr>
        <w:t>formal documents</w:t>
      </w:r>
      <w:r w:rsidR="00A71A31">
        <w:rPr>
          <w:rFonts w:ascii="Times New Roman" w:hAnsi="Times New Roman" w:cs="Times New Roman"/>
          <w:sz w:val="24"/>
          <w:szCs w:val="24"/>
          <w:lang w:val="en-GB"/>
        </w:rPr>
        <w:t>, publications and statements published by the E</w:t>
      </w:r>
      <w:r w:rsidR="00FB444B">
        <w:rPr>
          <w:rFonts w:ascii="Times New Roman" w:hAnsi="Times New Roman" w:cs="Times New Roman"/>
          <w:sz w:val="24"/>
          <w:szCs w:val="24"/>
          <w:lang w:val="en-GB"/>
        </w:rPr>
        <w:t>U</w:t>
      </w:r>
      <w:r w:rsidR="00A71A31">
        <w:rPr>
          <w:rFonts w:ascii="Times New Roman" w:hAnsi="Times New Roman" w:cs="Times New Roman"/>
          <w:sz w:val="24"/>
          <w:szCs w:val="24"/>
          <w:lang w:val="en-GB"/>
        </w:rPr>
        <w:t xml:space="preserve"> and its institutions. </w:t>
      </w:r>
      <w:r w:rsidR="00095DD7">
        <w:rPr>
          <w:rFonts w:ascii="Times New Roman" w:hAnsi="Times New Roman" w:cs="Times New Roman"/>
          <w:sz w:val="24"/>
          <w:szCs w:val="24"/>
          <w:lang w:val="en-GB"/>
        </w:rPr>
        <w:t>The choice for these types of documents can be justified by the same explanation as mentioned above</w:t>
      </w:r>
      <w:r w:rsidR="00CA3151">
        <w:rPr>
          <w:rFonts w:ascii="Times New Roman" w:hAnsi="Times New Roman" w:cs="Times New Roman"/>
          <w:sz w:val="24"/>
          <w:szCs w:val="24"/>
          <w:lang w:val="en-GB"/>
        </w:rPr>
        <w:t>: these documents are the only sources of evidence that possess a legal, political, and authoritative status that qualify them to be of enough value to make well substantiated claims</w:t>
      </w:r>
      <w:r w:rsidR="006E29E2">
        <w:rPr>
          <w:rFonts w:ascii="Times New Roman" w:hAnsi="Times New Roman" w:cs="Times New Roman"/>
          <w:sz w:val="24"/>
          <w:szCs w:val="24"/>
          <w:lang w:val="en-GB"/>
        </w:rPr>
        <w:t xml:space="preserve"> about the EU’s formal position. However, as </w:t>
      </w:r>
      <w:r w:rsidR="00CD7EE6">
        <w:rPr>
          <w:rFonts w:ascii="Times New Roman" w:hAnsi="Times New Roman" w:cs="Times New Roman"/>
          <w:sz w:val="24"/>
          <w:szCs w:val="24"/>
          <w:lang w:val="en-GB"/>
        </w:rPr>
        <w:t>this part of the analysis also deals with the consequences of the scandal, it is likely that not all</w:t>
      </w:r>
      <w:r w:rsidR="009F733F">
        <w:rPr>
          <w:rFonts w:ascii="Times New Roman" w:hAnsi="Times New Roman" w:cs="Times New Roman"/>
          <w:sz w:val="24"/>
          <w:szCs w:val="24"/>
          <w:lang w:val="en-GB"/>
        </w:rPr>
        <w:t xml:space="preserve"> </w:t>
      </w:r>
      <w:r w:rsidR="00CD7EE6">
        <w:rPr>
          <w:rFonts w:ascii="Times New Roman" w:hAnsi="Times New Roman" w:cs="Times New Roman"/>
          <w:sz w:val="24"/>
          <w:szCs w:val="24"/>
          <w:lang w:val="en-GB"/>
        </w:rPr>
        <w:t xml:space="preserve">necessary information will be published in official statements as the EU likely wants to keep the scandal and its consequences as quiet as possible. Therefore, articles from news sources are of value as well, because they often display more behind-the-scenes information that is necessary to construct and explain the motives of the EU. However, as not every news source is as credible, this thesis will focus on news sources who are known for their credible journalism when it comes to the EU such as </w:t>
      </w:r>
      <w:r w:rsidR="00CD7EE6">
        <w:rPr>
          <w:rFonts w:ascii="Times New Roman" w:hAnsi="Times New Roman" w:cs="Times New Roman"/>
          <w:i/>
          <w:iCs/>
          <w:sz w:val="24"/>
          <w:szCs w:val="24"/>
          <w:lang w:val="en-GB"/>
        </w:rPr>
        <w:t>Politico, EU Observer</w:t>
      </w:r>
      <w:r w:rsidR="00CD7EE6">
        <w:rPr>
          <w:rFonts w:ascii="Times New Roman" w:hAnsi="Times New Roman" w:cs="Times New Roman"/>
          <w:sz w:val="24"/>
          <w:szCs w:val="24"/>
          <w:lang w:val="en-GB"/>
        </w:rPr>
        <w:t xml:space="preserve">, and </w:t>
      </w:r>
      <w:r w:rsidR="00CD7EE6">
        <w:rPr>
          <w:rFonts w:ascii="Times New Roman" w:hAnsi="Times New Roman" w:cs="Times New Roman"/>
          <w:i/>
          <w:iCs/>
          <w:sz w:val="24"/>
          <w:szCs w:val="24"/>
          <w:lang w:val="en-GB"/>
        </w:rPr>
        <w:t>EURactiv</w:t>
      </w:r>
      <w:r w:rsidR="00CD7EE6">
        <w:rPr>
          <w:rFonts w:ascii="Times New Roman" w:hAnsi="Times New Roman" w:cs="Times New Roman"/>
          <w:sz w:val="24"/>
          <w:szCs w:val="24"/>
          <w:lang w:val="en-GB"/>
        </w:rPr>
        <w:t xml:space="preserve">. </w:t>
      </w:r>
    </w:p>
    <w:p w14:paraId="2D9D3C41" w14:textId="359BD0A3" w:rsidR="001C5920" w:rsidRDefault="00B52337" w:rsidP="001C5920">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Now that it is established what data is available, it is necessary to operationalise the causal mechanisms and hypotheses. </w:t>
      </w:r>
      <w:r w:rsidR="00211370">
        <w:rPr>
          <w:rFonts w:ascii="Times New Roman" w:hAnsi="Times New Roman" w:cs="Times New Roman"/>
          <w:sz w:val="24"/>
          <w:szCs w:val="24"/>
          <w:lang w:val="en-GB"/>
        </w:rPr>
        <w:t xml:space="preserve">In order to make sure that the causal mechanisms are measurable and observable, it is </w:t>
      </w:r>
      <w:r w:rsidR="00D1080A">
        <w:rPr>
          <w:rFonts w:ascii="Times New Roman" w:hAnsi="Times New Roman" w:cs="Times New Roman"/>
          <w:sz w:val="24"/>
          <w:szCs w:val="24"/>
          <w:lang w:val="en-GB"/>
        </w:rPr>
        <w:t>necessary to establish to what extent certain empirical elements should be present in order to determine whether the causal mechanism is present. Beach and Pedersen (2013) highlight this, emphasising that it is important to formulate case-specific predictions per part of the causal mechanism. This evidence then, in line with what is mentioned above, should be found in the case if the hypothesised causal mechanism is indeed present. However, this is not enough to perform a successful operationalisation. Beach and Pedersen (2013) mention that the type of evidence plays a role in the operationalisation as well. Th</w:t>
      </w:r>
      <w:r w:rsidR="00705D70">
        <w:rPr>
          <w:rFonts w:ascii="Times New Roman" w:hAnsi="Times New Roman" w:cs="Times New Roman"/>
          <w:sz w:val="24"/>
          <w:szCs w:val="24"/>
          <w:lang w:val="en-GB"/>
        </w:rPr>
        <w:t xml:space="preserve">is categorisation of evidence </w:t>
      </w:r>
      <w:r w:rsidR="001C5920">
        <w:rPr>
          <w:rFonts w:ascii="Times New Roman" w:hAnsi="Times New Roman" w:cs="Times New Roman"/>
          <w:sz w:val="24"/>
          <w:szCs w:val="24"/>
          <w:lang w:val="en-GB"/>
        </w:rPr>
        <w:t xml:space="preserve">provides a useful tool for the researcher to make the operationalisation more </w:t>
      </w:r>
      <w:r w:rsidR="001C5920">
        <w:rPr>
          <w:rFonts w:ascii="Times New Roman" w:hAnsi="Times New Roman" w:cs="Times New Roman"/>
          <w:sz w:val="24"/>
          <w:szCs w:val="24"/>
          <w:lang w:val="en-GB"/>
        </w:rPr>
        <w:lastRenderedPageBreak/>
        <w:t xml:space="preserve">insightful. The naming of evidence, namely, establishes some kind of checklist that can be followed. If a vast majority of the elements of the hypothesised causal mechanism are indeed found present, we can claim that the hypothesis is true. This implies for </w:t>
      </w:r>
      <w:r w:rsidR="00705D70">
        <w:rPr>
          <w:rFonts w:ascii="Times New Roman" w:hAnsi="Times New Roman" w:cs="Times New Roman"/>
          <w:sz w:val="24"/>
          <w:szCs w:val="24"/>
          <w:lang w:val="en-GB"/>
        </w:rPr>
        <w:t>the causal framework</w:t>
      </w:r>
      <w:r w:rsidR="001C5920">
        <w:rPr>
          <w:rFonts w:ascii="Times New Roman" w:hAnsi="Times New Roman" w:cs="Times New Roman"/>
          <w:sz w:val="24"/>
          <w:szCs w:val="24"/>
          <w:lang w:val="en-GB"/>
        </w:rPr>
        <w:t xml:space="preserve"> in this study that it is necessary to formulate specific expectations per mechanism</w:t>
      </w:r>
      <w:r w:rsidR="00705D70">
        <w:rPr>
          <w:rFonts w:ascii="Times New Roman" w:hAnsi="Times New Roman" w:cs="Times New Roman"/>
          <w:sz w:val="24"/>
          <w:szCs w:val="24"/>
          <w:lang w:val="en-GB"/>
        </w:rPr>
        <w:t xml:space="preserve"> or step</w:t>
      </w:r>
      <w:r w:rsidR="001C5920">
        <w:rPr>
          <w:rFonts w:ascii="Times New Roman" w:hAnsi="Times New Roman" w:cs="Times New Roman"/>
          <w:sz w:val="24"/>
          <w:szCs w:val="24"/>
          <w:lang w:val="en-GB"/>
        </w:rPr>
        <w:t xml:space="preserve"> and </w:t>
      </w:r>
      <w:r w:rsidR="00484486">
        <w:rPr>
          <w:rFonts w:ascii="Times New Roman" w:hAnsi="Times New Roman" w:cs="Times New Roman"/>
          <w:sz w:val="24"/>
          <w:szCs w:val="24"/>
          <w:lang w:val="en-GB"/>
        </w:rPr>
        <w:t xml:space="preserve">to </w:t>
      </w:r>
      <w:r w:rsidR="001C5920">
        <w:rPr>
          <w:rFonts w:ascii="Times New Roman" w:hAnsi="Times New Roman" w:cs="Times New Roman"/>
          <w:sz w:val="24"/>
          <w:szCs w:val="24"/>
          <w:lang w:val="en-GB"/>
        </w:rPr>
        <w:t xml:space="preserve">determine what type of evidence is needed and must be observed in order to claim that the mechanism is present. This will be done in the following section per causal mechanism. </w:t>
      </w:r>
    </w:p>
    <w:p w14:paraId="03DF07A5" w14:textId="0F843099" w:rsidR="00705D70" w:rsidRDefault="00705D70" w:rsidP="001C5920">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The first step of the causal </w:t>
      </w:r>
      <w:r w:rsidR="004560B0">
        <w:rPr>
          <w:rFonts w:ascii="Times New Roman" w:hAnsi="Times New Roman" w:cs="Times New Roman"/>
          <w:sz w:val="24"/>
          <w:szCs w:val="24"/>
          <w:lang w:val="en-GB"/>
        </w:rPr>
        <w:t>framework</w:t>
      </w:r>
      <w:r>
        <w:rPr>
          <w:rFonts w:ascii="Times New Roman" w:hAnsi="Times New Roman" w:cs="Times New Roman"/>
          <w:sz w:val="24"/>
          <w:szCs w:val="24"/>
          <w:lang w:val="en-GB"/>
        </w:rPr>
        <w:t xml:space="preserve"> deals with the occurrence of Qatargate and the loss of reputation that the EU is confronted with as a result of the wide media attention. </w:t>
      </w:r>
      <w:r w:rsidR="004560B0">
        <w:rPr>
          <w:rFonts w:ascii="Times New Roman" w:hAnsi="Times New Roman" w:cs="Times New Roman"/>
          <w:sz w:val="24"/>
          <w:szCs w:val="24"/>
          <w:lang w:val="en-GB"/>
        </w:rPr>
        <w:t>It is hypothesised that the EP will be displayed in the media as an institution that sees a loss of reputation. Therefore, it is necessary to see direct notions of a fall in trust or faith in the EP. The quality of legislation or work of the EP can be mentioned as well, but this does have to be directly linked to a perception of loss of legitimacy or the democratic deficit in order for it to account as sequence or trace evidence for a loss of reputation. This data should be found in news articles and other outlets that are not official publications of the EU as this part deals with the perceived loss of reputation by external actors (so actors that are not part of or directly involved within the EU).</w:t>
      </w:r>
    </w:p>
    <w:p w14:paraId="7310BCAF" w14:textId="74B4631D" w:rsidR="00705D70" w:rsidRDefault="004560B0" w:rsidP="001C5920">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The second step deals with the response to Qatargate and the increase in support as a result of this response. This step has to be divided into several expectations:</w:t>
      </w:r>
    </w:p>
    <w:p w14:paraId="303BCC07" w14:textId="75498F30" w:rsidR="004560B0" w:rsidRDefault="00E70359" w:rsidP="004560B0">
      <w:pPr>
        <w:pStyle w:val="Lijstalinea"/>
        <w:numPr>
          <w:ilvl w:val="0"/>
          <w:numId w:val="8"/>
        </w:num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EP-officials will issue a statement in which they highlight the stability of the EP and the policy-making process on a whole</w:t>
      </w:r>
    </w:p>
    <w:p w14:paraId="08268D1E" w14:textId="709D05A6" w:rsidR="00E70359" w:rsidRDefault="00E70359" w:rsidP="004560B0">
      <w:pPr>
        <w:pStyle w:val="Lijstalinea"/>
        <w:numPr>
          <w:ilvl w:val="0"/>
          <w:numId w:val="8"/>
        </w:num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EP-parties will issue a statement in which they put emphasis on the corruption of the ‘victims’ </w:t>
      </w:r>
    </w:p>
    <w:p w14:paraId="270EBD27" w14:textId="641FF19A" w:rsidR="00E70359" w:rsidRDefault="00E70359" w:rsidP="004560B0">
      <w:pPr>
        <w:pStyle w:val="Lijstalinea"/>
        <w:numPr>
          <w:ilvl w:val="0"/>
          <w:numId w:val="8"/>
        </w:num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EC-officials see a divided EP and issue a statement in which they highlight the idea of a crisis in order to unite the EU</w:t>
      </w:r>
    </w:p>
    <w:p w14:paraId="4E13BAEE" w14:textId="39465637" w:rsidR="00E70359" w:rsidRPr="004560B0" w:rsidRDefault="00E70359" w:rsidP="004560B0">
      <w:pPr>
        <w:pStyle w:val="Lijstalinea"/>
        <w:numPr>
          <w:ilvl w:val="0"/>
          <w:numId w:val="8"/>
        </w:num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The EU sees a rise in internal support as a result of the notion of a crisis</w:t>
      </w:r>
    </w:p>
    <w:p w14:paraId="6574AE78" w14:textId="39063E88" w:rsidR="00B27CD9" w:rsidRDefault="00AE7FC1" w:rsidP="00BB1F15">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Both the first and the second expectation deal with a statement issued by the EP. The first expectation deals with an EP-official. This means that merely statements by the official outlet of the EP or personal accounts of high officials such as presidents of the Parliament can account as trace or sequence evidence in this light. Furthermore, in th</w:t>
      </w:r>
      <w:r w:rsidR="00D61D9A">
        <w:rPr>
          <w:rFonts w:ascii="Times New Roman" w:hAnsi="Times New Roman" w:cs="Times New Roman"/>
          <w:sz w:val="24"/>
          <w:szCs w:val="24"/>
          <w:lang w:val="en-GB"/>
        </w:rPr>
        <w:t>ese</w:t>
      </w:r>
      <w:r>
        <w:rPr>
          <w:rFonts w:ascii="Times New Roman" w:hAnsi="Times New Roman" w:cs="Times New Roman"/>
          <w:sz w:val="24"/>
          <w:szCs w:val="24"/>
          <w:lang w:val="en-GB"/>
        </w:rPr>
        <w:t xml:space="preserve"> statements there should be clear signals of </w:t>
      </w:r>
      <w:r w:rsidR="00B27CD9">
        <w:rPr>
          <w:rFonts w:ascii="Times New Roman" w:hAnsi="Times New Roman" w:cs="Times New Roman"/>
          <w:sz w:val="24"/>
          <w:szCs w:val="24"/>
          <w:lang w:val="en-GB"/>
        </w:rPr>
        <w:t xml:space="preserve">the stability of the EP and the consequences of Qatargate on this stability. This is different from the second expectation that deals with EP-parties in the idea that it is expected that they focus on the corruption on the victims. It is necessary to see some type of </w:t>
      </w:r>
      <w:r w:rsidR="00B27CD9">
        <w:rPr>
          <w:rFonts w:ascii="Times New Roman" w:hAnsi="Times New Roman" w:cs="Times New Roman"/>
          <w:sz w:val="24"/>
          <w:szCs w:val="24"/>
          <w:lang w:val="en-GB"/>
        </w:rPr>
        <w:lastRenderedPageBreak/>
        <w:t>acknowledgement of the idea that parties see a potential to win at the cost of the victims of Qatargate. Evidence of this light should be found in official statements issued by parties or party groups or statements fraction leaders make in news outlets. The third expectation is similar compared to the first expectation, only differing</w:t>
      </w:r>
      <w:r w:rsidR="00253257">
        <w:rPr>
          <w:rFonts w:ascii="Times New Roman" w:hAnsi="Times New Roman" w:cs="Times New Roman"/>
          <w:sz w:val="24"/>
          <w:szCs w:val="24"/>
          <w:lang w:val="en-GB"/>
        </w:rPr>
        <w:t xml:space="preserve"> in</w:t>
      </w:r>
      <w:r w:rsidR="00B27CD9">
        <w:rPr>
          <w:rFonts w:ascii="Times New Roman" w:hAnsi="Times New Roman" w:cs="Times New Roman"/>
          <w:sz w:val="24"/>
          <w:szCs w:val="24"/>
          <w:lang w:val="en-GB"/>
        </w:rPr>
        <w:t xml:space="preserve"> the fact that is the EC this time that publishes a statement and will, therefore, see EC-outlets and EC-officials instead of EP-outlets and EP-officials. Furthermore, there should be a clear notion of a crisis and the idea that unity is necessary in order to face this crisis.</w:t>
      </w:r>
      <w:r w:rsidR="0008261C">
        <w:rPr>
          <w:rFonts w:ascii="Times New Roman" w:hAnsi="Times New Roman" w:cs="Times New Roman"/>
          <w:sz w:val="24"/>
          <w:szCs w:val="24"/>
          <w:lang w:val="en-GB"/>
        </w:rPr>
        <w:t xml:space="preserve"> This clear is notion is necessary for two reasons. Firstly, it confirms the idea that it is the fear of a loss of </w:t>
      </w:r>
      <w:r w:rsidR="00EA343E">
        <w:rPr>
          <w:rFonts w:ascii="Times New Roman" w:hAnsi="Times New Roman" w:cs="Times New Roman"/>
          <w:sz w:val="24"/>
          <w:szCs w:val="24"/>
          <w:lang w:val="en-GB"/>
        </w:rPr>
        <w:t>reputation</w:t>
      </w:r>
      <w:r w:rsidR="0008261C">
        <w:rPr>
          <w:rFonts w:ascii="Times New Roman" w:hAnsi="Times New Roman" w:cs="Times New Roman"/>
          <w:sz w:val="24"/>
          <w:szCs w:val="24"/>
          <w:lang w:val="en-GB"/>
        </w:rPr>
        <w:t xml:space="preserve"> is indeed the driving force behind </w:t>
      </w:r>
      <w:r w:rsidR="00072554">
        <w:rPr>
          <w:rFonts w:ascii="Times New Roman" w:hAnsi="Times New Roman" w:cs="Times New Roman"/>
          <w:sz w:val="24"/>
          <w:szCs w:val="24"/>
          <w:lang w:val="en-GB"/>
        </w:rPr>
        <w:t>EU-officials taking action. Secondly, it sets the scene for the start of a rally round the flag effect, an effect that is expected to take place as a result of the discussed literature in the previous chapter.</w:t>
      </w:r>
      <w:r w:rsidR="00B27CD9">
        <w:rPr>
          <w:rFonts w:ascii="Times New Roman" w:hAnsi="Times New Roman" w:cs="Times New Roman"/>
          <w:sz w:val="24"/>
          <w:szCs w:val="24"/>
          <w:lang w:val="en-GB"/>
        </w:rPr>
        <w:t xml:space="preserve"> The last expectation can be operationalised</w:t>
      </w:r>
      <w:r w:rsidR="008D6E3B" w:rsidRPr="00BB1F15">
        <w:rPr>
          <w:rFonts w:ascii="Times New Roman" w:hAnsi="Times New Roman" w:cs="Times New Roman"/>
          <w:sz w:val="24"/>
          <w:szCs w:val="24"/>
          <w:lang w:val="en-GB"/>
        </w:rPr>
        <w:t xml:space="preserve"> and measured using pattern evidence. Eurostat and Eurobarometer provide statistical data that allow for a cross-time comparison of levels in trust in both the EU as a whole as well as its institutions. In this case, it is mostly necessary to look at the numbers of the EP and the EC as these are the institutions that are dealt with the most. The numbers of the EU as a whole can then serve as a confirmatory measure. </w:t>
      </w:r>
    </w:p>
    <w:p w14:paraId="2CDE1B00" w14:textId="22A05A6C" w:rsidR="00B27CD9" w:rsidRDefault="00D23847" w:rsidP="00BB1F15">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The third step deals with the initiation of plans by the different institutions in order to tackle the crisis and restore credibility and reputation. Just like the previous step, this step should also be divided into different expectations:</w:t>
      </w:r>
    </w:p>
    <w:p w14:paraId="76B5F9D9" w14:textId="469A86EB" w:rsidR="00D23847" w:rsidRDefault="00D23847" w:rsidP="00D23847">
      <w:pPr>
        <w:pStyle w:val="Lijstalinea"/>
        <w:numPr>
          <w:ilvl w:val="0"/>
          <w:numId w:val="9"/>
        </w:num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The EP-officials present a plan that aims at decreasing internal divisions and strengthening the EP: the internal restoration and reputation-building</w:t>
      </w:r>
    </w:p>
    <w:p w14:paraId="445E9544" w14:textId="616931EA" w:rsidR="00D23847" w:rsidRPr="00D23847" w:rsidRDefault="00D23847" w:rsidP="00D23847">
      <w:pPr>
        <w:pStyle w:val="Lijstalinea"/>
        <w:numPr>
          <w:ilvl w:val="0"/>
          <w:numId w:val="9"/>
        </w:num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The EC-officials present a plan that focuses on external reputation-building and how it will respond to Qatar</w:t>
      </w:r>
    </w:p>
    <w:p w14:paraId="7D858E2B" w14:textId="24199244" w:rsidR="00EF5907" w:rsidRDefault="00C45151" w:rsidP="00C45151">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For</w:t>
      </w:r>
      <w:r w:rsidR="00D23847">
        <w:rPr>
          <w:rFonts w:ascii="Times New Roman" w:hAnsi="Times New Roman" w:cs="Times New Roman"/>
          <w:sz w:val="24"/>
          <w:szCs w:val="24"/>
          <w:lang w:val="en-GB"/>
        </w:rPr>
        <w:t xml:space="preserve"> both </w:t>
      </w:r>
      <w:r>
        <w:rPr>
          <w:rFonts w:ascii="Times New Roman" w:hAnsi="Times New Roman" w:cs="Times New Roman"/>
          <w:sz w:val="24"/>
          <w:szCs w:val="24"/>
          <w:lang w:val="en-GB"/>
        </w:rPr>
        <w:t>prediction</w:t>
      </w:r>
      <w:r w:rsidR="00D23847">
        <w:rPr>
          <w:rFonts w:ascii="Times New Roman" w:hAnsi="Times New Roman" w:cs="Times New Roman"/>
          <w:sz w:val="24"/>
          <w:szCs w:val="24"/>
          <w:lang w:val="en-GB"/>
        </w:rPr>
        <w:t>s</w:t>
      </w:r>
      <w:r>
        <w:rPr>
          <w:rFonts w:ascii="Times New Roman" w:hAnsi="Times New Roman" w:cs="Times New Roman"/>
          <w:sz w:val="24"/>
          <w:szCs w:val="24"/>
          <w:lang w:val="en-GB"/>
        </w:rPr>
        <w:t xml:space="preserve">, it is necessary to see how reputation should be operationalised. As mentioned in the previous chapter, reputation should be seen as a two-folded concept. On the one hand, reputation is at risk when an actor is involved in a </w:t>
      </w:r>
      <w:r w:rsidR="005F52A4">
        <w:rPr>
          <w:rFonts w:ascii="Times New Roman" w:hAnsi="Times New Roman" w:cs="Times New Roman"/>
          <w:sz w:val="24"/>
          <w:szCs w:val="24"/>
          <w:lang w:val="en-GB"/>
        </w:rPr>
        <w:t>crisis</w:t>
      </w:r>
      <w:r>
        <w:rPr>
          <w:rFonts w:ascii="Times New Roman" w:hAnsi="Times New Roman" w:cs="Times New Roman"/>
          <w:sz w:val="24"/>
          <w:szCs w:val="24"/>
          <w:lang w:val="en-GB"/>
        </w:rPr>
        <w:t xml:space="preserve"> and, therefore, its credibility and legitimacy are at risk of getting harmed. On the other hand, reputation can be restored when an actor </w:t>
      </w:r>
      <w:r w:rsidR="00790903">
        <w:rPr>
          <w:rFonts w:ascii="Times New Roman" w:hAnsi="Times New Roman" w:cs="Times New Roman"/>
          <w:sz w:val="24"/>
          <w:szCs w:val="24"/>
          <w:lang w:val="en-GB"/>
        </w:rPr>
        <w:t xml:space="preserve">acknowledges that it is dealing with a </w:t>
      </w:r>
      <w:r w:rsidR="005F52A4">
        <w:rPr>
          <w:rFonts w:ascii="Times New Roman" w:hAnsi="Times New Roman" w:cs="Times New Roman"/>
          <w:sz w:val="24"/>
          <w:szCs w:val="24"/>
          <w:lang w:val="en-GB"/>
        </w:rPr>
        <w:t>crisis</w:t>
      </w:r>
      <w:r w:rsidR="00790903">
        <w:rPr>
          <w:rFonts w:ascii="Times New Roman" w:hAnsi="Times New Roman" w:cs="Times New Roman"/>
          <w:sz w:val="24"/>
          <w:szCs w:val="24"/>
          <w:lang w:val="en-GB"/>
        </w:rPr>
        <w:t xml:space="preserve"> and, therefore, proposes concrete and swift measures to deal with the crisis. </w:t>
      </w:r>
      <w:r w:rsidR="00D23847">
        <w:rPr>
          <w:rFonts w:ascii="Times New Roman" w:hAnsi="Times New Roman" w:cs="Times New Roman"/>
          <w:sz w:val="24"/>
          <w:szCs w:val="24"/>
          <w:lang w:val="en-GB"/>
        </w:rPr>
        <w:t xml:space="preserve">Both expectations deal with the restoration of </w:t>
      </w:r>
      <w:r w:rsidR="00983090">
        <w:rPr>
          <w:rFonts w:ascii="Times New Roman" w:hAnsi="Times New Roman" w:cs="Times New Roman"/>
          <w:sz w:val="24"/>
          <w:szCs w:val="24"/>
          <w:lang w:val="en-GB"/>
        </w:rPr>
        <w:t xml:space="preserve">reputation. This implies that it is necessary to </w:t>
      </w:r>
      <w:r w:rsidR="00D23847">
        <w:rPr>
          <w:rFonts w:ascii="Times New Roman" w:hAnsi="Times New Roman" w:cs="Times New Roman"/>
          <w:sz w:val="24"/>
          <w:szCs w:val="24"/>
          <w:lang w:val="en-GB"/>
        </w:rPr>
        <w:t>see both institutions</w:t>
      </w:r>
      <w:r w:rsidR="00983090">
        <w:rPr>
          <w:rFonts w:ascii="Times New Roman" w:hAnsi="Times New Roman" w:cs="Times New Roman"/>
          <w:sz w:val="24"/>
          <w:szCs w:val="24"/>
          <w:lang w:val="en-GB"/>
        </w:rPr>
        <w:t xml:space="preserve"> </w:t>
      </w:r>
      <w:r w:rsidR="00AB4555">
        <w:rPr>
          <w:rFonts w:ascii="Times New Roman" w:hAnsi="Times New Roman" w:cs="Times New Roman"/>
          <w:sz w:val="24"/>
          <w:szCs w:val="24"/>
          <w:lang w:val="en-GB"/>
        </w:rPr>
        <w:t xml:space="preserve">proposing clear measures and following these measures by means of evaluations in order to maintain swift and concrete implementation of measures. Therefore, in the first instance trace evidence of introducing concrete measures should be seen, which should be followed by sequence evidence of constant evaluation and </w:t>
      </w:r>
      <w:r w:rsidR="00AB4555">
        <w:rPr>
          <w:rFonts w:ascii="Times New Roman" w:hAnsi="Times New Roman" w:cs="Times New Roman"/>
          <w:sz w:val="24"/>
          <w:szCs w:val="24"/>
          <w:lang w:val="en-GB"/>
        </w:rPr>
        <w:lastRenderedPageBreak/>
        <w:t xml:space="preserve">reflection of the measures </w:t>
      </w:r>
      <w:r w:rsidR="00593CA7">
        <w:rPr>
          <w:rFonts w:ascii="Times New Roman" w:hAnsi="Times New Roman" w:cs="Times New Roman"/>
          <w:sz w:val="24"/>
          <w:szCs w:val="24"/>
          <w:lang w:val="en-GB"/>
        </w:rPr>
        <w:t>and (if necessary) adaptation.</w:t>
      </w:r>
      <w:r w:rsidR="00D23847">
        <w:rPr>
          <w:rFonts w:ascii="Times New Roman" w:hAnsi="Times New Roman" w:cs="Times New Roman"/>
          <w:sz w:val="24"/>
          <w:szCs w:val="24"/>
          <w:lang w:val="en-GB"/>
        </w:rPr>
        <w:t xml:space="preserve"> The first expectation should then focus more on the EP and internal procedures of the EP and whether and how these are followed through, whereas the second expectation should then focus on </w:t>
      </w:r>
      <w:r w:rsidR="00EF5907">
        <w:rPr>
          <w:rFonts w:ascii="Times New Roman" w:hAnsi="Times New Roman" w:cs="Times New Roman"/>
          <w:sz w:val="24"/>
          <w:szCs w:val="24"/>
          <w:lang w:val="en-GB"/>
        </w:rPr>
        <w:t xml:space="preserve">the EC and what measures it proposes to restore its reputation in relation to Qatar. </w:t>
      </w:r>
    </w:p>
    <w:p w14:paraId="70F2069F" w14:textId="079E4DFC" w:rsidR="00C45151" w:rsidRDefault="00EF5907" w:rsidP="00C45151">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The fourth</w:t>
      </w:r>
      <w:r w:rsidR="00BF7F2E">
        <w:rPr>
          <w:rFonts w:ascii="Times New Roman" w:hAnsi="Times New Roman" w:cs="Times New Roman"/>
          <w:sz w:val="24"/>
          <w:szCs w:val="24"/>
          <w:lang w:val="en-GB"/>
        </w:rPr>
        <w:t xml:space="preserve"> and final</w:t>
      </w:r>
      <w:r>
        <w:rPr>
          <w:rFonts w:ascii="Times New Roman" w:hAnsi="Times New Roman" w:cs="Times New Roman"/>
          <w:sz w:val="24"/>
          <w:szCs w:val="24"/>
          <w:lang w:val="en-GB"/>
        </w:rPr>
        <w:t xml:space="preserve"> step deals with the alteration of the rule of the game by the EU. </w:t>
      </w:r>
      <w:r w:rsidR="00593CA7">
        <w:rPr>
          <w:rFonts w:ascii="Times New Roman" w:hAnsi="Times New Roman" w:cs="Times New Roman"/>
          <w:sz w:val="24"/>
          <w:szCs w:val="24"/>
          <w:lang w:val="en-GB"/>
        </w:rPr>
        <w:t xml:space="preserve"> </w:t>
      </w:r>
      <w:r>
        <w:rPr>
          <w:rFonts w:ascii="Times New Roman" w:hAnsi="Times New Roman" w:cs="Times New Roman"/>
          <w:sz w:val="24"/>
          <w:szCs w:val="24"/>
          <w:lang w:val="en-GB"/>
        </w:rPr>
        <w:t>It is expected that the EU implements and introduces policies and plans that clearly alter the balance of power and make it tilt more towards the EU.</w:t>
      </w:r>
      <w:r w:rsidR="00BF7F2E">
        <w:rPr>
          <w:rFonts w:ascii="Times New Roman" w:hAnsi="Times New Roman" w:cs="Times New Roman"/>
          <w:sz w:val="24"/>
          <w:szCs w:val="24"/>
          <w:lang w:val="en-GB"/>
        </w:rPr>
        <w:t xml:space="preserve"> As a result, </w:t>
      </w:r>
      <w:r w:rsidR="00E4306D">
        <w:rPr>
          <w:rFonts w:ascii="Times New Roman" w:hAnsi="Times New Roman" w:cs="Times New Roman"/>
          <w:sz w:val="24"/>
          <w:szCs w:val="24"/>
          <w:lang w:val="en-GB"/>
        </w:rPr>
        <w:t>the relationship with Qatar is changed and that the EU repositions itself as a more NPE-oriented actor towards Qatar.</w:t>
      </w:r>
      <w:r w:rsidR="001E63A3">
        <w:rPr>
          <w:rFonts w:ascii="Times New Roman" w:hAnsi="Times New Roman" w:cs="Times New Roman"/>
          <w:sz w:val="24"/>
          <w:szCs w:val="24"/>
          <w:lang w:val="en-GB"/>
        </w:rPr>
        <w:t xml:space="preserve"> This implies that the EU puts i</w:t>
      </w:r>
      <w:r w:rsidR="009A0F49">
        <w:rPr>
          <w:rFonts w:ascii="Times New Roman" w:hAnsi="Times New Roman" w:cs="Times New Roman"/>
          <w:sz w:val="24"/>
          <w:szCs w:val="24"/>
          <w:lang w:val="en-GB"/>
        </w:rPr>
        <w:t xml:space="preserve">ts positions on (Western) norms and values central in its conduct with Qatar. Therefore, </w:t>
      </w:r>
      <w:r w:rsidR="0028119F">
        <w:rPr>
          <w:rFonts w:ascii="Times New Roman" w:hAnsi="Times New Roman" w:cs="Times New Roman"/>
          <w:sz w:val="24"/>
          <w:szCs w:val="24"/>
          <w:lang w:val="en-GB"/>
        </w:rPr>
        <w:t>it is expected that the EU will highlight values such as the rule of the law, liberal democracy, and human rig</w:t>
      </w:r>
      <w:r w:rsidR="000E7AFC">
        <w:rPr>
          <w:rFonts w:ascii="Times New Roman" w:hAnsi="Times New Roman" w:cs="Times New Roman"/>
          <w:sz w:val="24"/>
          <w:szCs w:val="24"/>
          <w:lang w:val="en-GB"/>
        </w:rPr>
        <w:t xml:space="preserve">hts in establishing the new relationship with Qatar to show that it holds a certain normative power against Qatar. </w:t>
      </w:r>
      <w:r>
        <w:rPr>
          <w:rFonts w:ascii="Times New Roman" w:hAnsi="Times New Roman" w:cs="Times New Roman"/>
          <w:sz w:val="24"/>
          <w:szCs w:val="24"/>
          <w:lang w:val="en-GB"/>
        </w:rPr>
        <w:t>Such trace evidence should then be found in concrete policy responses of the EU in which the EU indeed formulates its response and stipulates its actions. Furthermore, media outlet and articles can be used as some sort of backup and further elucidation of the statements of the EU.</w:t>
      </w:r>
      <w:r w:rsidR="007572B5">
        <w:rPr>
          <w:rFonts w:ascii="Times New Roman" w:hAnsi="Times New Roman" w:cs="Times New Roman"/>
          <w:sz w:val="24"/>
          <w:szCs w:val="24"/>
          <w:lang w:val="en-GB"/>
        </w:rPr>
        <w:t xml:space="preserve"> In these statements, it is necessary to see measures that directly make the EU more powerful at the cost of Qatar. The EU getting more powerful without a decrease in power for Qatar is not viable evidence in this part as it does not say something about the alteration of the balance of power.</w:t>
      </w:r>
      <w:r w:rsidR="00E4306D">
        <w:rPr>
          <w:rFonts w:ascii="Times New Roman" w:hAnsi="Times New Roman" w:cs="Times New Roman"/>
          <w:sz w:val="24"/>
          <w:szCs w:val="24"/>
          <w:lang w:val="en-GB"/>
        </w:rPr>
        <w:t xml:space="preserve"> Furthermore, notions of NPE-oriented behaviour should be visible as well. The EU should clearly express norms and values that it adheres and sticks to in its conduct with Qatar. </w:t>
      </w:r>
      <w:r w:rsidR="007572B5">
        <w:rPr>
          <w:rFonts w:ascii="Times New Roman" w:hAnsi="Times New Roman" w:cs="Times New Roman"/>
          <w:sz w:val="24"/>
          <w:szCs w:val="24"/>
          <w:lang w:val="en-GB"/>
        </w:rPr>
        <w:t xml:space="preserve"> </w:t>
      </w:r>
    </w:p>
    <w:p w14:paraId="628E6813" w14:textId="0BDA55ED" w:rsidR="008B2095" w:rsidRPr="008B2095" w:rsidRDefault="008B2095" w:rsidP="008B2095">
      <w:pPr>
        <w:pStyle w:val="Kop2"/>
        <w:rPr>
          <w:rFonts w:ascii="Times New Roman" w:hAnsi="Times New Roman" w:cs="Times New Roman"/>
          <w:color w:val="auto"/>
          <w:u w:val="single"/>
          <w:lang w:val="en-GB"/>
        </w:rPr>
      </w:pPr>
      <w:bookmarkStart w:id="15" w:name="_Toc169873383"/>
      <w:r w:rsidRPr="008B2095">
        <w:rPr>
          <w:rFonts w:ascii="Times New Roman" w:hAnsi="Times New Roman" w:cs="Times New Roman"/>
          <w:color w:val="auto"/>
          <w:u w:val="single"/>
          <w:lang w:val="en-GB"/>
        </w:rPr>
        <w:t>3.3 Validity and reliability: a short reflection</w:t>
      </w:r>
      <w:bookmarkEnd w:id="15"/>
    </w:p>
    <w:p w14:paraId="3B2965A2" w14:textId="21787EF0" w:rsidR="00CE3040" w:rsidRDefault="008B2095" w:rsidP="00C45151">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With the operationalisation now finished, the empirical analysis can start after a short reflection on validity and reliability of this method and its outcome.</w:t>
      </w:r>
      <w:r w:rsidR="00D3490F">
        <w:rPr>
          <w:rFonts w:ascii="Times New Roman" w:hAnsi="Times New Roman" w:cs="Times New Roman"/>
          <w:sz w:val="24"/>
          <w:szCs w:val="24"/>
          <w:lang w:val="en-GB"/>
        </w:rPr>
        <w:t xml:space="preserve"> The validity of this research and this research method has already been discussed at the beginning of this chapter. As stated there, the internal validity of this study is rather high due to the rich and detailed amount of evidence. However, this comes at the expense of the external validity as we deal with a single, unique case, which results in trouble with generalisation. However, as the goal of this thesis is to contribute to predictability of states and organisations like the EU by understanding underlying causal mechanisms, the further understanding and outcome of this case help to gain more understanding towards this bigger goal. In that sense, it possible to speak of a more generalising effect, which in turn increases the external validity of this study. Reliability, </w:t>
      </w:r>
      <w:r w:rsidR="00CB1E0A">
        <w:rPr>
          <w:rFonts w:ascii="Times New Roman" w:hAnsi="Times New Roman" w:cs="Times New Roman"/>
          <w:sz w:val="24"/>
          <w:szCs w:val="24"/>
          <w:lang w:val="en-GB"/>
        </w:rPr>
        <w:t xml:space="preserve">a non-systematic error that comes to light when repeating the research (Beach &amp; Pedersen, 2013), can also be an issue with process tracing as the interpretation </w:t>
      </w:r>
      <w:r w:rsidR="005F52A4">
        <w:rPr>
          <w:rFonts w:ascii="Times New Roman" w:hAnsi="Times New Roman" w:cs="Times New Roman"/>
          <w:sz w:val="24"/>
          <w:szCs w:val="24"/>
          <w:lang w:val="en-GB"/>
        </w:rPr>
        <w:t>of events</w:t>
      </w:r>
      <w:r w:rsidR="00CB1E0A">
        <w:rPr>
          <w:rFonts w:ascii="Times New Roman" w:hAnsi="Times New Roman" w:cs="Times New Roman"/>
          <w:sz w:val="24"/>
          <w:szCs w:val="24"/>
          <w:lang w:val="en-GB"/>
        </w:rPr>
        <w:t xml:space="preserve"> and corresponding evidence can </w:t>
      </w:r>
      <w:r w:rsidR="00CB1E0A">
        <w:rPr>
          <w:rFonts w:ascii="Times New Roman" w:hAnsi="Times New Roman" w:cs="Times New Roman"/>
          <w:sz w:val="24"/>
          <w:szCs w:val="24"/>
          <w:lang w:val="en-GB"/>
        </w:rPr>
        <w:lastRenderedPageBreak/>
        <w:t xml:space="preserve">sharply differ between researchers. However, in order to solve this problem, this thesis makes use of </w:t>
      </w:r>
      <w:r w:rsidR="00EB1316">
        <w:rPr>
          <w:rFonts w:ascii="Times New Roman" w:hAnsi="Times New Roman" w:cs="Times New Roman"/>
          <w:sz w:val="24"/>
          <w:szCs w:val="24"/>
          <w:lang w:val="en-GB"/>
        </w:rPr>
        <w:t xml:space="preserve">a very specific </w:t>
      </w:r>
      <w:r w:rsidR="00B65132">
        <w:rPr>
          <w:rFonts w:ascii="Times New Roman" w:hAnsi="Times New Roman" w:cs="Times New Roman"/>
          <w:sz w:val="24"/>
          <w:szCs w:val="24"/>
          <w:lang w:val="en-GB"/>
        </w:rPr>
        <w:t xml:space="preserve">operationalisation </w:t>
      </w:r>
      <w:r w:rsidR="00E14399">
        <w:rPr>
          <w:rFonts w:ascii="Times New Roman" w:hAnsi="Times New Roman" w:cs="Times New Roman"/>
          <w:sz w:val="24"/>
          <w:szCs w:val="24"/>
          <w:lang w:val="en-GB"/>
        </w:rPr>
        <w:t>and data selection that leave little room for interpretation.</w:t>
      </w:r>
      <w:r w:rsidR="00CB1E0A">
        <w:rPr>
          <w:rFonts w:ascii="Times New Roman" w:hAnsi="Times New Roman" w:cs="Times New Roman"/>
          <w:sz w:val="24"/>
          <w:szCs w:val="24"/>
          <w:lang w:val="en-GB"/>
        </w:rPr>
        <w:t xml:space="preserve"> In that way, similar results and outcomes can be achieve</w:t>
      </w:r>
      <w:r w:rsidR="00E14399">
        <w:rPr>
          <w:rFonts w:ascii="Times New Roman" w:hAnsi="Times New Roman" w:cs="Times New Roman"/>
          <w:sz w:val="24"/>
          <w:szCs w:val="24"/>
          <w:lang w:val="en-GB"/>
        </w:rPr>
        <w:t xml:space="preserve">d when this research is repeated. </w:t>
      </w:r>
      <w:r w:rsidR="00CB1E0A">
        <w:rPr>
          <w:rFonts w:ascii="Times New Roman" w:hAnsi="Times New Roman" w:cs="Times New Roman"/>
          <w:sz w:val="24"/>
          <w:szCs w:val="24"/>
          <w:lang w:val="en-GB"/>
        </w:rPr>
        <w:t xml:space="preserve"> </w:t>
      </w:r>
    </w:p>
    <w:p w14:paraId="24B23FBD" w14:textId="77777777" w:rsidR="00CE3040" w:rsidRDefault="00CE3040">
      <w:pPr>
        <w:rPr>
          <w:rFonts w:ascii="Times New Roman" w:hAnsi="Times New Roman" w:cs="Times New Roman"/>
          <w:sz w:val="24"/>
          <w:szCs w:val="24"/>
          <w:lang w:val="en-GB"/>
        </w:rPr>
      </w:pPr>
      <w:r>
        <w:rPr>
          <w:rFonts w:ascii="Times New Roman" w:hAnsi="Times New Roman" w:cs="Times New Roman"/>
          <w:sz w:val="24"/>
          <w:szCs w:val="24"/>
          <w:lang w:val="en-GB"/>
        </w:rPr>
        <w:br w:type="page"/>
      </w:r>
    </w:p>
    <w:p w14:paraId="07C0E609" w14:textId="41219493" w:rsidR="00A16D31" w:rsidRPr="00CB1E0A" w:rsidRDefault="00CB1E0A" w:rsidP="00CB1E0A">
      <w:pPr>
        <w:pStyle w:val="Kop1"/>
        <w:rPr>
          <w:rFonts w:ascii="Times New Roman" w:hAnsi="Times New Roman" w:cs="Times New Roman"/>
          <w:color w:val="auto"/>
          <w:sz w:val="40"/>
          <w:szCs w:val="40"/>
          <w:lang w:val="en-GB"/>
        </w:rPr>
      </w:pPr>
      <w:bookmarkStart w:id="16" w:name="_Toc169873384"/>
      <w:r w:rsidRPr="00CB1E0A">
        <w:rPr>
          <w:rFonts w:ascii="Times New Roman" w:hAnsi="Times New Roman" w:cs="Times New Roman"/>
          <w:color w:val="auto"/>
          <w:sz w:val="40"/>
          <w:szCs w:val="40"/>
          <w:lang w:val="en-GB"/>
        </w:rPr>
        <w:lastRenderedPageBreak/>
        <w:t>Chapter 4: Empirical an</w:t>
      </w:r>
      <w:r w:rsidR="009F39EA">
        <w:rPr>
          <w:rFonts w:ascii="Times New Roman" w:hAnsi="Times New Roman" w:cs="Times New Roman"/>
          <w:color w:val="auto"/>
          <w:sz w:val="40"/>
          <w:szCs w:val="40"/>
          <w:lang w:val="en-GB"/>
        </w:rPr>
        <w:t>alysis</w:t>
      </w:r>
      <w:bookmarkEnd w:id="16"/>
    </w:p>
    <w:p w14:paraId="0F2DC472" w14:textId="69AFC225" w:rsidR="00742F09" w:rsidRDefault="00742F09" w:rsidP="00742F09">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The empirical analysis will be, as mentioned before, divided into two parts. The first part will provide a </w:t>
      </w:r>
      <w:r w:rsidR="005434F6">
        <w:rPr>
          <w:rFonts w:ascii="Times New Roman" w:hAnsi="Times New Roman" w:cs="Times New Roman"/>
          <w:sz w:val="24"/>
          <w:szCs w:val="24"/>
          <w:lang w:val="en-GB"/>
        </w:rPr>
        <w:t>short</w:t>
      </w:r>
      <w:r>
        <w:rPr>
          <w:rFonts w:ascii="Times New Roman" w:hAnsi="Times New Roman" w:cs="Times New Roman"/>
          <w:sz w:val="24"/>
          <w:szCs w:val="24"/>
          <w:lang w:val="en-GB"/>
        </w:rPr>
        <w:t xml:space="preserve"> overview of the development of the relationship between Qatar and the EU before Qatargate. This will serve as a foundation for the second part of the empirical analysis, in which the actual causal mechanism will be tested. This will take up </w:t>
      </w:r>
      <w:r w:rsidR="00EA343E">
        <w:rPr>
          <w:rFonts w:ascii="Times New Roman" w:hAnsi="Times New Roman" w:cs="Times New Roman"/>
          <w:sz w:val="24"/>
          <w:szCs w:val="24"/>
          <w:lang w:val="en-GB"/>
        </w:rPr>
        <w:t>most</w:t>
      </w:r>
      <w:r>
        <w:rPr>
          <w:rFonts w:ascii="Times New Roman" w:hAnsi="Times New Roman" w:cs="Times New Roman"/>
          <w:sz w:val="24"/>
          <w:szCs w:val="24"/>
          <w:lang w:val="en-GB"/>
        </w:rPr>
        <w:t xml:space="preserve"> of the chapter and is in light of the thesis the most relevant part. However, to understand how the relationship between Qatar and the EU changed, it is first important to know how this relationship came to be. The next</w:t>
      </w:r>
      <w:r w:rsidR="00CA11B0">
        <w:rPr>
          <w:rFonts w:ascii="Times New Roman" w:hAnsi="Times New Roman" w:cs="Times New Roman"/>
          <w:sz w:val="24"/>
          <w:szCs w:val="24"/>
          <w:lang w:val="en-GB"/>
        </w:rPr>
        <w:t xml:space="preserve"> short</w:t>
      </w:r>
      <w:r>
        <w:rPr>
          <w:rFonts w:ascii="Times New Roman" w:hAnsi="Times New Roman" w:cs="Times New Roman"/>
          <w:sz w:val="24"/>
          <w:szCs w:val="24"/>
          <w:lang w:val="en-GB"/>
        </w:rPr>
        <w:t xml:space="preserve"> section will focus on this development. </w:t>
      </w:r>
    </w:p>
    <w:p w14:paraId="362834C5" w14:textId="586D4B3A" w:rsidR="00FA0F79" w:rsidRPr="00FA0F79" w:rsidRDefault="00FA0F79" w:rsidP="00FA0F79">
      <w:pPr>
        <w:pStyle w:val="Kop2"/>
        <w:rPr>
          <w:rFonts w:ascii="Times New Roman" w:hAnsi="Times New Roman" w:cs="Times New Roman"/>
          <w:color w:val="auto"/>
          <w:u w:val="single"/>
          <w:lang w:val="en-GB"/>
        </w:rPr>
      </w:pPr>
      <w:bookmarkStart w:id="17" w:name="_Toc169873385"/>
      <w:r w:rsidRPr="00FA0F79">
        <w:rPr>
          <w:rFonts w:ascii="Times New Roman" w:hAnsi="Times New Roman" w:cs="Times New Roman"/>
          <w:color w:val="auto"/>
          <w:u w:val="single"/>
          <w:lang w:val="en-GB"/>
        </w:rPr>
        <w:t>4.1 The start and the end of the relationship</w:t>
      </w:r>
      <w:bookmarkEnd w:id="17"/>
    </w:p>
    <w:p w14:paraId="2BE45D6A" w14:textId="37497758" w:rsidR="00947AAC" w:rsidRDefault="003B2139" w:rsidP="00947AAC">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In 1989, the European Communities (the preamble of the European Union that existed until the signing of the Maastricht Treaty in 1992) signed a cooperation agreement with the Charter of the Cooperation Council for the Arab States of the Gulf. Specifically, it was the European Economic Community</w:t>
      </w:r>
      <w:r w:rsidR="00345A37">
        <w:rPr>
          <w:rFonts w:ascii="Times New Roman" w:hAnsi="Times New Roman" w:cs="Times New Roman"/>
          <w:sz w:val="24"/>
          <w:szCs w:val="24"/>
          <w:lang w:val="en-GB"/>
        </w:rPr>
        <w:t xml:space="preserve"> (EEC)</w:t>
      </w:r>
      <w:r>
        <w:rPr>
          <w:rFonts w:ascii="Times New Roman" w:hAnsi="Times New Roman" w:cs="Times New Roman"/>
          <w:sz w:val="24"/>
          <w:szCs w:val="24"/>
          <w:lang w:val="en-GB"/>
        </w:rPr>
        <w:t xml:space="preserve"> that signed this deals with the Cooperation Council, a body that existed of the United Arab Emirates, Bahrain, Saudi Arabia, Oman, Qatar and Kuwait (European Communities, 1989). The goal of the cooperation agreement is clearly stated</w:t>
      </w:r>
      <w:r w:rsidR="001854FC">
        <w:rPr>
          <w:rFonts w:ascii="Times New Roman" w:hAnsi="Times New Roman" w:cs="Times New Roman"/>
          <w:sz w:val="24"/>
          <w:szCs w:val="24"/>
          <w:lang w:val="en-GB"/>
        </w:rPr>
        <w:t xml:space="preserve"> at</w:t>
      </w:r>
      <w:r w:rsidR="00EE75E9">
        <w:rPr>
          <w:rFonts w:ascii="Times New Roman" w:hAnsi="Times New Roman" w:cs="Times New Roman"/>
          <w:sz w:val="24"/>
          <w:szCs w:val="24"/>
          <w:lang w:val="en-GB"/>
        </w:rPr>
        <w:t xml:space="preserve"> </w:t>
      </w:r>
      <w:r>
        <w:rPr>
          <w:rFonts w:ascii="Times New Roman" w:hAnsi="Times New Roman" w:cs="Times New Roman"/>
          <w:sz w:val="24"/>
          <w:szCs w:val="24"/>
          <w:lang w:val="en-GB"/>
        </w:rPr>
        <w:t>the start</w:t>
      </w:r>
      <w:r w:rsidR="00EE75E9">
        <w:rPr>
          <w:rFonts w:ascii="Times New Roman" w:hAnsi="Times New Roman" w:cs="Times New Roman"/>
          <w:sz w:val="24"/>
          <w:szCs w:val="24"/>
          <w:lang w:val="en-GB"/>
        </w:rPr>
        <w:t xml:space="preserve"> of the document</w:t>
      </w:r>
      <w:r>
        <w:rPr>
          <w:rFonts w:ascii="Times New Roman" w:hAnsi="Times New Roman" w:cs="Times New Roman"/>
          <w:sz w:val="24"/>
          <w:szCs w:val="24"/>
          <w:lang w:val="en-GB"/>
        </w:rPr>
        <w:t>: economic cooperation and</w:t>
      </w:r>
      <w:r w:rsidR="00EE75E9">
        <w:rPr>
          <w:rFonts w:ascii="Times New Roman" w:hAnsi="Times New Roman" w:cs="Times New Roman"/>
          <w:sz w:val="24"/>
          <w:szCs w:val="24"/>
          <w:lang w:val="en-GB"/>
        </w:rPr>
        <w:t xml:space="preserve"> the</w:t>
      </w:r>
      <w:r>
        <w:rPr>
          <w:rFonts w:ascii="Times New Roman" w:hAnsi="Times New Roman" w:cs="Times New Roman"/>
          <w:sz w:val="24"/>
          <w:szCs w:val="24"/>
          <w:lang w:val="en-GB"/>
        </w:rPr>
        <w:t xml:space="preserve"> strengthen</w:t>
      </w:r>
      <w:r w:rsidR="00EE75E9">
        <w:rPr>
          <w:rFonts w:ascii="Times New Roman" w:hAnsi="Times New Roman" w:cs="Times New Roman"/>
          <w:sz w:val="24"/>
          <w:szCs w:val="24"/>
          <w:lang w:val="en-GB"/>
        </w:rPr>
        <w:t>ing of</w:t>
      </w:r>
      <w:r>
        <w:rPr>
          <w:rFonts w:ascii="Times New Roman" w:hAnsi="Times New Roman" w:cs="Times New Roman"/>
          <w:sz w:val="24"/>
          <w:szCs w:val="24"/>
          <w:lang w:val="en-GB"/>
        </w:rPr>
        <w:t xml:space="preserve"> economic and technical cooperation. </w:t>
      </w:r>
      <w:r w:rsidR="00D91D8E">
        <w:rPr>
          <w:rFonts w:ascii="Times New Roman" w:hAnsi="Times New Roman" w:cs="Times New Roman"/>
          <w:sz w:val="24"/>
          <w:szCs w:val="24"/>
          <w:lang w:val="en-GB"/>
        </w:rPr>
        <w:t>The rest of the agreement includes specific clauses that determine per field what the cooperation will look like and how each</w:t>
      </w:r>
      <w:r w:rsidR="00E22739">
        <w:rPr>
          <w:rFonts w:ascii="Times New Roman" w:hAnsi="Times New Roman" w:cs="Times New Roman"/>
          <w:sz w:val="24"/>
          <w:szCs w:val="24"/>
          <w:lang w:val="en-GB"/>
        </w:rPr>
        <w:t xml:space="preserve"> part of the</w:t>
      </w:r>
      <w:r w:rsidR="00D91D8E">
        <w:rPr>
          <w:rFonts w:ascii="Times New Roman" w:hAnsi="Times New Roman" w:cs="Times New Roman"/>
          <w:sz w:val="24"/>
          <w:szCs w:val="24"/>
          <w:lang w:val="en-GB"/>
        </w:rPr>
        <w:t xml:space="preserve"> cooperation is to benefit the EEC and the Cooperation Council. After the signature of this cooperation agreement, there is no further official document signed until 2018. This gap is remarkably long and explanations for why the signature of a new formal expression or strengthening of the cooperation took almost 30 years are </w:t>
      </w:r>
      <w:r w:rsidR="008C33D0">
        <w:rPr>
          <w:rFonts w:ascii="Times New Roman" w:hAnsi="Times New Roman" w:cs="Times New Roman"/>
          <w:sz w:val="24"/>
          <w:szCs w:val="24"/>
          <w:lang w:val="en-GB"/>
        </w:rPr>
        <w:t xml:space="preserve">difficult to find. An explanation can be found in the introductory text of the Cooperation Arrangement. This document was </w:t>
      </w:r>
      <w:r w:rsidR="002E6097">
        <w:rPr>
          <w:rFonts w:ascii="Times New Roman" w:hAnsi="Times New Roman" w:cs="Times New Roman"/>
          <w:sz w:val="24"/>
          <w:szCs w:val="24"/>
          <w:lang w:val="en-GB"/>
        </w:rPr>
        <w:t>signed</w:t>
      </w:r>
      <w:r w:rsidR="008C33D0">
        <w:rPr>
          <w:rFonts w:ascii="Times New Roman" w:hAnsi="Times New Roman" w:cs="Times New Roman"/>
          <w:sz w:val="24"/>
          <w:szCs w:val="24"/>
          <w:lang w:val="en-GB"/>
        </w:rPr>
        <w:t xml:space="preserve"> in 2018 by the EEAS and the ministry of foreign affairs of Qatar. In this document, both parties state that they want to “enhance the dialogue in order to achieve common goals and objectives in are</w:t>
      </w:r>
      <w:r w:rsidR="00066C48">
        <w:rPr>
          <w:rFonts w:ascii="Times New Roman" w:hAnsi="Times New Roman" w:cs="Times New Roman"/>
          <w:sz w:val="24"/>
          <w:szCs w:val="24"/>
          <w:lang w:val="en-GB"/>
        </w:rPr>
        <w:t>a</w:t>
      </w:r>
      <w:r w:rsidR="008C33D0">
        <w:rPr>
          <w:rFonts w:ascii="Times New Roman" w:hAnsi="Times New Roman" w:cs="Times New Roman"/>
          <w:sz w:val="24"/>
          <w:szCs w:val="24"/>
          <w:lang w:val="en-GB"/>
        </w:rPr>
        <w:t xml:space="preserve">s of mutual interest” (EEAS, 2018). Therefore, it can be concluded that this Arrangement is there to formalise already existing extensive dialogue. Without looking at content, it has to be noticed that this document is not signed by all the parties of the Cooperation Council, but that it only includes the Qatari government. </w:t>
      </w:r>
      <w:r w:rsidR="00F9045D">
        <w:rPr>
          <w:rFonts w:ascii="Times New Roman" w:hAnsi="Times New Roman" w:cs="Times New Roman"/>
          <w:sz w:val="24"/>
          <w:szCs w:val="24"/>
          <w:lang w:val="en-GB"/>
        </w:rPr>
        <w:t xml:space="preserve">This means that the EU has chosen to focus specifically on Qatar. </w:t>
      </w:r>
      <w:r w:rsidR="00326F09">
        <w:rPr>
          <w:rFonts w:ascii="Times New Roman" w:hAnsi="Times New Roman" w:cs="Times New Roman"/>
          <w:sz w:val="24"/>
          <w:szCs w:val="24"/>
          <w:lang w:val="en-GB"/>
        </w:rPr>
        <w:t xml:space="preserve">The question why and how this focus should be seen can be answered when looking at the Arrangement. The Arrangement states that the document should serve as a build-up to a specific EU-Qatar Framework Agreement as a complementary document to the Cooperation Agreement of 1989 (EEAS, 2018). This complementary aspect should then be seen, according to the Arrangement, </w:t>
      </w:r>
      <w:r w:rsidR="00326F09">
        <w:rPr>
          <w:rFonts w:ascii="Times New Roman" w:hAnsi="Times New Roman" w:cs="Times New Roman"/>
          <w:sz w:val="24"/>
          <w:szCs w:val="24"/>
          <w:lang w:val="en-GB"/>
        </w:rPr>
        <w:lastRenderedPageBreak/>
        <w:t xml:space="preserve">in increasing understanding and cooperation on political and security issues (EEAS, 2018). This constitutes an interesting enrichment when compared to the Cooperation Agreement of 1989 in which the focus was only on economic cooperation and the strengthening of the economic and technological sectors of both partners. However, the implementation of this Arrangement means that political and </w:t>
      </w:r>
      <w:r w:rsidR="0031684B">
        <w:rPr>
          <w:rFonts w:ascii="Times New Roman" w:hAnsi="Times New Roman" w:cs="Times New Roman"/>
          <w:sz w:val="24"/>
          <w:szCs w:val="24"/>
          <w:lang w:val="en-GB"/>
        </w:rPr>
        <w:t>security</w:t>
      </w:r>
      <w:r w:rsidR="00326F09">
        <w:rPr>
          <w:rFonts w:ascii="Times New Roman" w:hAnsi="Times New Roman" w:cs="Times New Roman"/>
          <w:sz w:val="24"/>
          <w:szCs w:val="24"/>
          <w:lang w:val="en-GB"/>
        </w:rPr>
        <w:t xml:space="preserve"> </w:t>
      </w:r>
      <w:r w:rsidR="0031684B">
        <w:rPr>
          <w:rFonts w:ascii="Times New Roman" w:hAnsi="Times New Roman" w:cs="Times New Roman"/>
          <w:sz w:val="24"/>
          <w:szCs w:val="24"/>
          <w:lang w:val="en-GB"/>
        </w:rPr>
        <w:t>issues</w:t>
      </w:r>
      <w:r w:rsidR="00326F09">
        <w:rPr>
          <w:rFonts w:ascii="Times New Roman" w:hAnsi="Times New Roman" w:cs="Times New Roman"/>
          <w:sz w:val="24"/>
          <w:szCs w:val="24"/>
          <w:lang w:val="en-GB"/>
        </w:rPr>
        <w:t xml:space="preserve"> are on the table as well. What is exactly meant by political and security issues is not mentioned in the Arrangement</w:t>
      </w:r>
      <w:r w:rsidR="006C424C">
        <w:rPr>
          <w:rFonts w:ascii="Times New Roman" w:hAnsi="Times New Roman" w:cs="Times New Roman"/>
          <w:sz w:val="24"/>
          <w:szCs w:val="24"/>
          <w:lang w:val="en-GB"/>
        </w:rPr>
        <w:t xml:space="preserve">. </w:t>
      </w:r>
      <w:r w:rsidR="009F39EA">
        <w:rPr>
          <w:rFonts w:ascii="Times New Roman" w:hAnsi="Times New Roman" w:cs="Times New Roman"/>
          <w:sz w:val="24"/>
          <w:szCs w:val="24"/>
          <w:lang w:val="en-GB"/>
        </w:rPr>
        <w:t xml:space="preserve">However, the EEAS does make a comment on its website that seems to provide an answer to this unanswered question. It namely states that Qatar played “an instrumental role” in the crisis in Afghanistan in 2021 when the Taliban took power after the United States withdrew their military staff. This role includes the evacuation of EU citizens as well as facilitating </w:t>
      </w:r>
      <w:r w:rsidR="00947AAC">
        <w:rPr>
          <w:rFonts w:ascii="Times New Roman" w:hAnsi="Times New Roman" w:cs="Times New Roman"/>
          <w:sz w:val="24"/>
          <w:szCs w:val="24"/>
          <w:lang w:val="en-GB"/>
        </w:rPr>
        <w:t xml:space="preserve">the international community in the effort to find a peaceful solution for Afghanistan (EEAS, 2021). </w:t>
      </w:r>
    </w:p>
    <w:p w14:paraId="41B916C8" w14:textId="24070E89" w:rsidR="002233BF" w:rsidRDefault="00947AAC" w:rsidP="00947AAC">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The importance of Qatar as a partner to the EU is even more expressed by the signing of the Strategic Partnership in May 2022. </w:t>
      </w:r>
      <w:r w:rsidR="002233BF">
        <w:rPr>
          <w:rFonts w:ascii="Times New Roman" w:hAnsi="Times New Roman" w:cs="Times New Roman"/>
          <w:sz w:val="24"/>
          <w:szCs w:val="24"/>
          <w:lang w:val="en-GB"/>
        </w:rPr>
        <w:t>In its introductory text, the EC speaks of a region wh</w:t>
      </w:r>
      <w:r w:rsidR="00FF4277">
        <w:rPr>
          <w:rFonts w:ascii="Times New Roman" w:hAnsi="Times New Roman" w:cs="Times New Roman"/>
          <w:sz w:val="24"/>
          <w:szCs w:val="24"/>
          <w:lang w:val="en-GB"/>
        </w:rPr>
        <w:t>ose</w:t>
      </w:r>
      <w:r w:rsidR="002233BF">
        <w:rPr>
          <w:rFonts w:ascii="Times New Roman" w:hAnsi="Times New Roman" w:cs="Times New Roman"/>
          <w:sz w:val="24"/>
          <w:szCs w:val="24"/>
          <w:lang w:val="en-GB"/>
        </w:rPr>
        <w:t xml:space="preserve"> stability and security entails direct consequences for the EU. However, the benefits are reciprocal: the EU’s single market and its role as promoter of values such as democracy are of benefit to Qatar as well (European Commission, 2022). The goal of this Partnership is to increase cooperation on multiple policy areas and deliver results. The range of these policy areas is wide and includes topics such as prosperity, energy transition and security, regional stability and global security, and humanitarian cooperation (European Commission, 2022). In the conclusion of the document, the EC clearly stipulates that it will apply all methods it has to ensure a proper implementation of the Partnership, including critical conversations on topics such as the rule of law and human rights (European Commission, 2022). However, the implementation of this Partnership lasted a little more than six months since Qatargate gained media attention in December 2022. </w:t>
      </w:r>
    </w:p>
    <w:p w14:paraId="457440C9" w14:textId="77777777" w:rsidR="007E53B2" w:rsidRDefault="002233BF" w:rsidP="00947AAC">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In conclusion, it can be seen that the</w:t>
      </w:r>
      <w:r w:rsidR="007E53B2">
        <w:rPr>
          <w:rFonts w:ascii="Times New Roman" w:hAnsi="Times New Roman" w:cs="Times New Roman"/>
          <w:sz w:val="24"/>
          <w:szCs w:val="24"/>
          <w:lang w:val="en-GB"/>
        </w:rPr>
        <w:t xml:space="preserve"> relationship between the EU and Qatar was founded on economic principles. The strengthening of economic cooperation stood at the centre of the cooperation and other political issues such as normative or security concerns were not on the table. This changed over the years and came to a formal conclusion with the signature of the Arrangement in 2018 and the Partnership in 2022, in which security issues came to rise as well. Although normative issues were mentioned in clauses of the Partnership, it has to be concluded that economic and security issues were at heart of the relationship. In other words, the strategy of mutual neglect can be confirmed when looking at the contents of the several official documents signed. The importance of Qatar in terms of economic and security cooperation were </w:t>
      </w:r>
      <w:r w:rsidR="007E53B2">
        <w:rPr>
          <w:rFonts w:ascii="Times New Roman" w:hAnsi="Times New Roman" w:cs="Times New Roman"/>
          <w:sz w:val="24"/>
          <w:szCs w:val="24"/>
          <w:lang w:val="en-GB"/>
        </w:rPr>
        <w:lastRenderedPageBreak/>
        <w:t>too large to give up in relation to normative concerns. However, Qatargate marked an end to the foundation of this relationship and the next part will focus on how Qatargate did change this relationship.</w:t>
      </w:r>
    </w:p>
    <w:p w14:paraId="0CEB1004" w14:textId="2114221E" w:rsidR="006808EB" w:rsidRDefault="006808EB" w:rsidP="006808EB">
      <w:pPr>
        <w:pStyle w:val="Kop2"/>
        <w:rPr>
          <w:rFonts w:ascii="Times New Roman" w:hAnsi="Times New Roman" w:cs="Times New Roman"/>
          <w:color w:val="auto"/>
          <w:u w:val="single"/>
          <w:lang w:val="en-GB"/>
        </w:rPr>
      </w:pPr>
      <w:bookmarkStart w:id="18" w:name="_Toc169873386"/>
      <w:r w:rsidRPr="006808EB">
        <w:rPr>
          <w:rFonts w:ascii="Times New Roman" w:hAnsi="Times New Roman" w:cs="Times New Roman"/>
          <w:color w:val="auto"/>
          <w:u w:val="single"/>
          <w:lang w:val="en-GB"/>
        </w:rPr>
        <w:t>4.</w:t>
      </w:r>
      <w:r>
        <w:rPr>
          <w:rFonts w:ascii="Times New Roman" w:hAnsi="Times New Roman" w:cs="Times New Roman"/>
          <w:color w:val="auto"/>
          <w:u w:val="single"/>
          <w:lang w:val="en-GB"/>
        </w:rPr>
        <w:t>2 The discovery of Qatargate: reactions and responses</w:t>
      </w:r>
      <w:bookmarkEnd w:id="18"/>
    </w:p>
    <w:p w14:paraId="520A8D3F" w14:textId="77777777" w:rsidR="00D83F2C" w:rsidRDefault="00EF2437" w:rsidP="004D36AA">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It is 9 December 2022 and what will turn out to become the biggest corruption scandal in the history of the European Parliament and the European Union is about to start. It is at this day that the Belgian police searched over fifteen houses and detained four people at the suspicion of taking part in a criminal organisation, corruption</w:t>
      </w:r>
      <w:r w:rsidR="00F51055">
        <w:rPr>
          <w:rFonts w:ascii="Times New Roman" w:hAnsi="Times New Roman" w:cs="Times New Roman"/>
          <w:sz w:val="24"/>
          <w:szCs w:val="24"/>
          <w:lang w:val="en-GB"/>
        </w:rPr>
        <w:t>,</w:t>
      </w:r>
      <w:r>
        <w:rPr>
          <w:rFonts w:ascii="Times New Roman" w:hAnsi="Times New Roman" w:cs="Times New Roman"/>
          <w:sz w:val="24"/>
          <w:szCs w:val="24"/>
          <w:lang w:val="en-GB"/>
        </w:rPr>
        <w:t xml:space="preserve"> and money laundering (Wheaton et al., 2022)</w:t>
      </w:r>
      <w:r w:rsidR="008C6564">
        <w:rPr>
          <w:rFonts w:ascii="Times New Roman" w:hAnsi="Times New Roman" w:cs="Times New Roman"/>
          <w:sz w:val="24"/>
          <w:szCs w:val="24"/>
          <w:lang w:val="en-GB"/>
        </w:rPr>
        <w:t>. Although the police could not tell much at that time, Belgian newspaper were quick to tell that</w:t>
      </w:r>
      <w:r w:rsidR="00F51055">
        <w:rPr>
          <w:rFonts w:ascii="Times New Roman" w:hAnsi="Times New Roman" w:cs="Times New Roman"/>
          <w:sz w:val="24"/>
          <w:szCs w:val="24"/>
          <w:lang w:val="en-GB"/>
        </w:rPr>
        <w:t xml:space="preserve"> the </w:t>
      </w:r>
      <w:r w:rsidR="008C6564">
        <w:rPr>
          <w:rFonts w:ascii="Times New Roman" w:hAnsi="Times New Roman" w:cs="Times New Roman"/>
          <w:sz w:val="24"/>
          <w:szCs w:val="24"/>
          <w:lang w:val="en-GB"/>
        </w:rPr>
        <w:t xml:space="preserve">suspects were accused of receiving favours from Qatar (Matriche et al., 2022). Despite wanting to keep things safe and confidential, names were quickly thrown out on the streets, of which at least one caused an incredible uproar: Eva Kaili. </w:t>
      </w:r>
    </w:p>
    <w:p w14:paraId="125E76FE" w14:textId="77777777" w:rsidR="00D91E7E" w:rsidRDefault="008C6564" w:rsidP="004D36AA">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Eva Kaili, at that time, was a well-known and influential MEP. She was chosen in 2014 as a member of the EP</w:t>
      </w:r>
      <w:r w:rsidR="00FC2864">
        <w:rPr>
          <w:rFonts w:ascii="Times New Roman" w:hAnsi="Times New Roman" w:cs="Times New Roman"/>
          <w:sz w:val="24"/>
          <w:szCs w:val="24"/>
          <w:lang w:val="en-GB"/>
        </w:rPr>
        <w:t xml:space="preserve"> as a part of the social-democratic party group (S&amp;D) and became one of the vice-presidents of the EP in 2019. She got arrested and when the police went through her house, they found cash money with a value of a little under a million euros that Kaili got as a reward for improving the image of Qatar on topics such as human rights (Van Drope et al, 2024). Other names that became public later on all turned out be MEP’s or at least involved with MEP’s of the S&amp;D. The S&amp;D could, therefore, not wait and released an official statement that same day. In that statement, </w:t>
      </w:r>
      <w:r w:rsidR="004D36AA">
        <w:rPr>
          <w:rFonts w:ascii="Times New Roman" w:hAnsi="Times New Roman" w:cs="Times New Roman"/>
          <w:sz w:val="24"/>
          <w:szCs w:val="24"/>
          <w:lang w:val="en-GB"/>
        </w:rPr>
        <w:t xml:space="preserve">the S&amp;D declared zero tolerance for corruption and that they would do everything to cooperate with the responsible authorities to investigate the matter (S&amp;D, 2022). </w:t>
      </w:r>
    </w:p>
    <w:p w14:paraId="1A9BC9CA" w14:textId="4F914059" w:rsidR="004D36AA" w:rsidRDefault="000876AF" w:rsidP="004D36AA">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It is interesting to note that reputation does not appear to be important for the whole EU or the whole EP, but also for EP party groups. </w:t>
      </w:r>
      <w:r w:rsidR="00A1035B">
        <w:rPr>
          <w:rFonts w:ascii="Times New Roman" w:hAnsi="Times New Roman" w:cs="Times New Roman"/>
          <w:sz w:val="24"/>
          <w:szCs w:val="24"/>
          <w:lang w:val="en-GB"/>
        </w:rPr>
        <w:t>This, however, could be logically explained when referring back to</w:t>
      </w:r>
      <w:r w:rsidR="00986847">
        <w:rPr>
          <w:rFonts w:ascii="Times New Roman" w:hAnsi="Times New Roman" w:cs="Times New Roman"/>
          <w:sz w:val="24"/>
          <w:szCs w:val="24"/>
          <w:lang w:val="en-GB"/>
        </w:rPr>
        <w:t xml:space="preserve"> Bovens (2007), who referred to the idea that accountability and legitimacy are closely related. </w:t>
      </w:r>
      <w:r w:rsidR="00C57166">
        <w:rPr>
          <w:rFonts w:ascii="Times New Roman" w:hAnsi="Times New Roman" w:cs="Times New Roman"/>
          <w:sz w:val="24"/>
          <w:szCs w:val="24"/>
          <w:lang w:val="en-GB"/>
        </w:rPr>
        <w:t>Therefore, in order to hold a good reputation and remain to be perceived as a legitimate actor, it is crucial to hold yourself accountable as well</w:t>
      </w:r>
      <w:r w:rsidR="00D91E7E">
        <w:rPr>
          <w:rFonts w:ascii="Times New Roman" w:hAnsi="Times New Roman" w:cs="Times New Roman"/>
          <w:sz w:val="24"/>
          <w:szCs w:val="24"/>
          <w:lang w:val="en-GB"/>
        </w:rPr>
        <w:t>, something that the S&amp;D did by putting out a statement that aimed at protecting or (perhaps already) restoring their reputation.</w:t>
      </w:r>
    </w:p>
    <w:p w14:paraId="4ACACF74" w14:textId="77777777" w:rsidR="00E93973" w:rsidRDefault="004D36AA" w:rsidP="004D36AA">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On </w:t>
      </w:r>
      <w:r w:rsidR="00A43420">
        <w:rPr>
          <w:rFonts w:ascii="Times New Roman" w:hAnsi="Times New Roman" w:cs="Times New Roman"/>
          <w:sz w:val="24"/>
          <w:szCs w:val="24"/>
          <w:lang w:val="en-GB"/>
        </w:rPr>
        <w:t>9 December 2022</w:t>
      </w:r>
      <w:r>
        <w:rPr>
          <w:rFonts w:ascii="Times New Roman" w:hAnsi="Times New Roman" w:cs="Times New Roman"/>
          <w:sz w:val="24"/>
          <w:szCs w:val="24"/>
          <w:lang w:val="en-GB"/>
        </w:rPr>
        <w:t>, Qatargate</w:t>
      </w:r>
      <w:r w:rsidR="00E54D47">
        <w:rPr>
          <w:rFonts w:ascii="Times New Roman" w:hAnsi="Times New Roman" w:cs="Times New Roman"/>
          <w:sz w:val="24"/>
          <w:szCs w:val="24"/>
          <w:lang w:val="en-GB"/>
        </w:rPr>
        <w:t xml:space="preserve"> thus</w:t>
      </w:r>
      <w:r>
        <w:rPr>
          <w:rFonts w:ascii="Times New Roman" w:hAnsi="Times New Roman" w:cs="Times New Roman"/>
          <w:sz w:val="24"/>
          <w:szCs w:val="24"/>
          <w:lang w:val="en-GB"/>
        </w:rPr>
        <w:t xml:space="preserve"> officially started and political leaders and figures were quick to respond to this issue. However, for the first part of the causal mechanism it is necessary to look at the media and see whether there is indeed a fall of trust in the EP. </w:t>
      </w:r>
      <w:r w:rsidR="00406465">
        <w:rPr>
          <w:rFonts w:ascii="Times New Roman" w:hAnsi="Times New Roman" w:cs="Times New Roman"/>
          <w:sz w:val="24"/>
          <w:szCs w:val="24"/>
          <w:lang w:val="en-GB"/>
        </w:rPr>
        <w:t xml:space="preserve">Almost all news outlets speak of a scandal or a ‘gate’. POLITICO speaks of a ‘corruption scandal’ (Wheaton et </w:t>
      </w:r>
      <w:r w:rsidR="00406465">
        <w:rPr>
          <w:rFonts w:ascii="Times New Roman" w:hAnsi="Times New Roman" w:cs="Times New Roman"/>
          <w:sz w:val="24"/>
          <w:szCs w:val="24"/>
          <w:lang w:val="en-GB"/>
        </w:rPr>
        <w:lastRenderedPageBreak/>
        <w:t xml:space="preserve">al., 2022), the BBC talks about ‘alleged bribery’ (Maishman. 2022), and </w:t>
      </w:r>
      <w:r w:rsidR="007D4462">
        <w:rPr>
          <w:rFonts w:ascii="Times New Roman" w:hAnsi="Times New Roman" w:cs="Times New Roman"/>
          <w:sz w:val="24"/>
          <w:szCs w:val="24"/>
          <w:lang w:val="en-GB"/>
        </w:rPr>
        <w:t>CNN keeps it to a ‘corruption probe’ (Kennedy et al., 2022).</w:t>
      </w:r>
      <w:r w:rsidR="00406465">
        <w:rPr>
          <w:rFonts w:ascii="Times New Roman" w:hAnsi="Times New Roman" w:cs="Times New Roman"/>
          <w:sz w:val="24"/>
          <w:szCs w:val="24"/>
          <w:lang w:val="en-GB"/>
        </w:rPr>
        <w:t xml:space="preserve">  The fact that a new word was formed to refer to this affair does indicate that there is a certain urgency when it comes to these allegations. However, </w:t>
      </w:r>
      <w:r w:rsidR="007D4462">
        <w:rPr>
          <w:rFonts w:ascii="Times New Roman" w:hAnsi="Times New Roman" w:cs="Times New Roman"/>
          <w:sz w:val="24"/>
          <w:szCs w:val="24"/>
          <w:lang w:val="en-GB"/>
        </w:rPr>
        <w:t>almost none of the news outlets connect Qatargate to a loss of reputation or a legitimacy risk for the EP. Most news outlets, including the ones discussed above, present a factual oversight of what happened and what was known at the time. It is only that after a couple of days news outlets start to publish analyses of what exactly happened, how it could happen and what consequences Qatargate had for the EP. A good example of such an article is an analysis published by POLITICO on 17 December 2022, in which an independent news outlet starts to talk about the democratic integrity of the EU and the destabilising effects of Qatargate</w:t>
      </w:r>
      <w:r w:rsidR="00E93973">
        <w:rPr>
          <w:rFonts w:ascii="Times New Roman" w:hAnsi="Times New Roman" w:cs="Times New Roman"/>
          <w:sz w:val="24"/>
          <w:szCs w:val="24"/>
          <w:lang w:val="en-GB"/>
        </w:rPr>
        <w:t xml:space="preserve"> for the first time</w:t>
      </w:r>
      <w:r w:rsidR="007D4462">
        <w:rPr>
          <w:rFonts w:ascii="Times New Roman" w:hAnsi="Times New Roman" w:cs="Times New Roman"/>
          <w:sz w:val="24"/>
          <w:szCs w:val="24"/>
          <w:lang w:val="en-GB"/>
        </w:rPr>
        <w:t xml:space="preserve"> (Lynch, 2022). </w:t>
      </w:r>
    </w:p>
    <w:p w14:paraId="3AB35006" w14:textId="66A730DF" w:rsidR="004D36AA" w:rsidRDefault="009E1F67" w:rsidP="004D36AA">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It is remarkable to see that little to almost no attention is spend on the effects of Qatargate on the European democracy or the reputation of the EP as the democratically elected institution. It is outside of the scope of this thesis to reflect on why there would be little to no media attention to this side of the topic. However, the observation can be made that </w:t>
      </w:r>
      <w:r w:rsidR="00A726FD">
        <w:rPr>
          <w:rFonts w:ascii="Times New Roman" w:hAnsi="Times New Roman" w:cs="Times New Roman"/>
          <w:sz w:val="24"/>
          <w:szCs w:val="24"/>
          <w:lang w:val="en-GB"/>
        </w:rPr>
        <w:t>little information was known to the media and the public at that time. Therefore, it is plausible that</w:t>
      </w:r>
      <w:r w:rsidR="004B273D">
        <w:rPr>
          <w:rFonts w:ascii="Times New Roman" w:hAnsi="Times New Roman" w:cs="Times New Roman"/>
          <w:sz w:val="24"/>
          <w:szCs w:val="24"/>
          <w:lang w:val="en-GB"/>
        </w:rPr>
        <w:t xml:space="preserve"> the</w:t>
      </w:r>
      <w:r w:rsidR="00A726FD">
        <w:rPr>
          <w:rFonts w:ascii="Times New Roman" w:hAnsi="Times New Roman" w:cs="Times New Roman"/>
          <w:sz w:val="24"/>
          <w:szCs w:val="24"/>
          <w:lang w:val="en-GB"/>
        </w:rPr>
        <w:t xml:space="preserve"> media spent more time on finding out what actually happened and who were involved rather than focusing on side-effects of Qatargate. Thus, despite the media naming it as a scandal, probe or allegation, the hypothesised mechanism that the media gave explicit attention to the loss of reputation is not confirmed. </w:t>
      </w:r>
    </w:p>
    <w:p w14:paraId="6797159D" w14:textId="6336570B" w:rsidR="00A726FD" w:rsidRDefault="00EB4B56" w:rsidP="004D36AA">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With the discovery of Qatargate taking place on a Friday, EU-officials could take some time to prepare a statement. The first leader that published a statement on Qatargate was Roberta Metsola, the president of the EP. In a plenary session on December 12, Metsola took the word right from the start and she was clear from the start. It is not necessary to cite the whole speech</w:t>
      </w:r>
      <w:r>
        <w:rPr>
          <w:rStyle w:val="Voetnootmarkering"/>
          <w:rFonts w:ascii="Times New Roman" w:hAnsi="Times New Roman" w:cs="Times New Roman"/>
          <w:sz w:val="24"/>
          <w:szCs w:val="24"/>
          <w:lang w:val="en-GB"/>
        </w:rPr>
        <w:footnoteReference w:id="2"/>
      </w:r>
      <w:r>
        <w:rPr>
          <w:rFonts w:ascii="Times New Roman" w:hAnsi="Times New Roman" w:cs="Times New Roman"/>
          <w:sz w:val="24"/>
          <w:szCs w:val="24"/>
          <w:lang w:val="en-GB"/>
        </w:rPr>
        <w:t xml:space="preserve"> of Metsola, but some passages are worth mentioning. After declaring that she felt angry and tired, Metsola immediately made clear how she, as president of the EP, felt about the discovery of a corruption scandal in her Parliament. </w:t>
      </w:r>
      <w:r w:rsidR="006165A0">
        <w:rPr>
          <w:rFonts w:ascii="Times New Roman" w:hAnsi="Times New Roman" w:cs="Times New Roman"/>
          <w:sz w:val="24"/>
          <w:szCs w:val="24"/>
          <w:lang w:val="en-GB"/>
        </w:rPr>
        <w:t>She gave the following opening statement (Metsola, 2022):</w:t>
      </w:r>
    </w:p>
    <w:p w14:paraId="3F202BE1" w14:textId="05F0183F" w:rsidR="006165A0" w:rsidRPr="006105A2" w:rsidRDefault="006165A0" w:rsidP="006165A0">
      <w:pPr>
        <w:spacing w:line="360" w:lineRule="auto"/>
        <w:ind w:left="567" w:right="567"/>
        <w:jc w:val="both"/>
        <w:rPr>
          <w:rFonts w:ascii="Times New Roman" w:hAnsi="Times New Roman" w:cs="Times New Roman"/>
          <w:sz w:val="24"/>
          <w:szCs w:val="24"/>
          <w:lang w:val="en-US"/>
        </w:rPr>
      </w:pPr>
      <w:r w:rsidRPr="006165A0">
        <w:rPr>
          <w:rFonts w:ascii="Times New Roman" w:hAnsi="Times New Roman" w:cs="Times New Roman"/>
          <w:sz w:val="24"/>
          <w:szCs w:val="24"/>
          <w:lang w:val="en-US"/>
        </w:rPr>
        <w:t xml:space="preserve">Make no mistake: the European Parliament, dear colleagues, is under attack. European democracy is under attack. And our way of open, free democratic </w:t>
      </w:r>
      <w:r w:rsidRPr="006165A0">
        <w:rPr>
          <w:rFonts w:ascii="Times New Roman" w:hAnsi="Times New Roman" w:cs="Times New Roman"/>
          <w:sz w:val="24"/>
          <w:szCs w:val="24"/>
          <w:lang w:val="en-US"/>
        </w:rPr>
        <w:lastRenderedPageBreak/>
        <w:t xml:space="preserve">societies are under attack. The enemies of democracy for whom the very existence of this Parliament is a threat, will stop at nothing. These malign actors linked to autocratic third countries have allegedly weaponised NGOs, unions, individuals, assistants and Members of the European Parliament in an effort to subdue our processes. </w:t>
      </w:r>
      <w:r w:rsidRPr="006105A2">
        <w:rPr>
          <w:rFonts w:ascii="Times New Roman" w:hAnsi="Times New Roman" w:cs="Times New Roman"/>
          <w:sz w:val="24"/>
          <w:szCs w:val="24"/>
          <w:lang w:val="en-US"/>
        </w:rPr>
        <w:t xml:space="preserve">Their malicious plans failed. </w:t>
      </w:r>
    </w:p>
    <w:p w14:paraId="5A319D1A" w14:textId="3F33543C" w:rsidR="006165A0" w:rsidRDefault="00BC7A11" w:rsidP="006165A0">
      <w:pPr>
        <w:spacing w:line="360" w:lineRule="auto"/>
        <w:jc w:val="both"/>
        <w:rPr>
          <w:rFonts w:ascii="Times New Roman" w:hAnsi="Times New Roman" w:cs="Times New Roman"/>
          <w:sz w:val="24"/>
          <w:szCs w:val="24"/>
          <w:lang w:val="en-US"/>
        </w:rPr>
      </w:pPr>
      <w:r w:rsidRPr="00BC7A11">
        <w:rPr>
          <w:rFonts w:ascii="Times New Roman" w:hAnsi="Times New Roman" w:cs="Times New Roman"/>
          <w:sz w:val="24"/>
          <w:szCs w:val="24"/>
          <w:lang w:val="en-US"/>
        </w:rPr>
        <w:t>A</w:t>
      </w:r>
      <w:r>
        <w:rPr>
          <w:rFonts w:ascii="Times New Roman" w:hAnsi="Times New Roman" w:cs="Times New Roman"/>
          <w:sz w:val="24"/>
          <w:szCs w:val="24"/>
          <w:lang w:val="en-US"/>
        </w:rPr>
        <w:t xml:space="preserve">fter this clear and tough opening of Metsola, she continued by expressing her full commitment to cooperating with the official investigation. Furthermore, she introduced the suspension of the vice-president (it was not officially known that it was Kaili at that time); a measure she saw necessary in “effort to protect the integrity of the House” (Metsola, 2022). </w:t>
      </w:r>
      <w:r w:rsidR="00C115E4">
        <w:rPr>
          <w:rFonts w:ascii="Times New Roman" w:hAnsi="Times New Roman" w:cs="Times New Roman"/>
          <w:sz w:val="24"/>
          <w:szCs w:val="24"/>
          <w:lang w:val="en-US"/>
        </w:rPr>
        <w:t>Moreover, she then turned her attention directly to all MEP’s by stating the following (Metsola, 2022):</w:t>
      </w:r>
    </w:p>
    <w:p w14:paraId="7C7E6E1F" w14:textId="77777777" w:rsidR="00C115E4" w:rsidRDefault="00C115E4" w:rsidP="00C115E4">
      <w:pPr>
        <w:spacing w:line="360" w:lineRule="auto"/>
        <w:ind w:left="567" w:right="567"/>
        <w:jc w:val="both"/>
        <w:rPr>
          <w:rFonts w:ascii="Times New Roman" w:hAnsi="Times New Roman" w:cs="Times New Roman"/>
          <w:sz w:val="24"/>
          <w:szCs w:val="24"/>
          <w:lang w:val="en-US"/>
        </w:rPr>
      </w:pPr>
      <w:r w:rsidRPr="00C115E4">
        <w:rPr>
          <w:rFonts w:ascii="Times New Roman" w:hAnsi="Times New Roman" w:cs="Times New Roman"/>
          <w:sz w:val="24"/>
          <w:szCs w:val="24"/>
          <w:lang w:val="en-US"/>
        </w:rPr>
        <w:t xml:space="preserve">And I must be clear: the allegations are not about left or right or north or south. This is about right and wrong. And I would appeal to you to resist the temptation to exploit this moment for political gain. </w:t>
      </w:r>
      <w:r w:rsidRPr="006105A2">
        <w:rPr>
          <w:rFonts w:ascii="Times New Roman" w:hAnsi="Times New Roman" w:cs="Times New Roman"/>
          <w:sz w:val="24"/>
          <w:szCs w:val="24"/>
          <w:lang w:val="en-US"/>
        </w:rPr>
        <w:t>Do not cheapen the threat that we are facing.</w:t>
      </w:r>
    </w:p>
    <w:p w14:paraId="7FB80D0B" w14:textId="77777777" w:rsidR="00CD1BD1" w:rsidRDefault="005A096F" w:rsidP="005A096F">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It is especially this statement that is relevant for the hypothesised causal mechanism. Metsola directly calls out all MEP’s to not make politics over Qatargate. Moreover, she does so by expressing unity and making it a moral question or dilemma of being good or being wrong. This question for unity is expressed multiple times in the further parts of her speech. For example, she expresses that she needs every MEP to help her turn over every stone and that only cooperation can get the EP get stronger out of the situation (Metsola, 2022).</w:t>
      </w:r>
      <w:r w:rsidR="00432CF1">
        <w:rPr>
          <w:rFonts w:ascii="Times New Roman" w:hAnsi="Times New Roman" w:cs="Times New Roman"/>
          <w:sz w:val="24"/>
          <w:szCs w:val="24"/>
          <w:lang w:val="en-GB"/>
        </w:rPr>
        <w:t xml:space="preserve"> </w:t>
      </w:r>
      <w:r w:rsidR="0076505C">
        <w:rPr>
          <w:rFonts w:ascii="Times New Roman" w:hAnsi="Times New Roman" w:cs="Times New Roman"/>
          <w:sz w:val="24"/>
          <w:szCs w:val="24"/>
          <w:lang w:val="en-GB"/>
        </w:rPr>
        <w:t>Although not explicitly, Metsola does refer to the stability of the EP. She does</w:t>
      </w:r>
      <w:r w:rsidR="005814FD">
        <w:rPr>
          <w:rFonts w:ascii="Times New Roman" w:hAnsi="Times New Roman" w:cs="Times New Roman"/>
          <w:sz w:val="24"/>
          <w:szCs w:val="24"/>
          <w:lang w:val="en-GB"/>
        </w:rPr>
        <w:t xml:space="preserve"> so</w:t>
      </w:r>
      <w:r w:rsidR="0076505C">
        <w:rPr>
          <w:rFonts w:ascii="Times New Roman" w:hAnsi="Times New Roman" w:cs="Times New Roman"/>
          <w:sz w:val="24"/>
          <w:szCs w:val="24"/>
          <w:lang w:val="en-GB"/>
        </w:rPr>
        <w:t xml:space="preserve"> by referring to the fact that Qatargate is not a political issue. Furthermore, by emphasising that every single MEP is needed in order to solve the issue and get through it, she does incite a certain feeling of threat that implies that the continuation and, thus, stability of the EP is at stake. </w:t>
      </w:r>
      <w:r w:rsidR="005814FD">
        <w:rPr>
          <w:rFonts w:ascii="Times New Roman" w:hAnsi="Times New Roman" w:cs="Times New Roman"/>
          <w:sz w:val="24"/>
          <w:szCs w:val="24"/>
          <w:lang w:val="en-GB"/>
        </w:rPr>
        <w:t>Therefore, although not directly hinting at stability and the policy-making process, it remains still very plausible to confirm this part of the causal mechanism.</w:t>
      </w:r>
      <w:r w:rsidR="001501EF">
        <w:rPr>
          <w:rFonts w:ascii="Times New Roman" w:hAnsi="Times New Roman" w:cs="Times New Roman"/>
          <w:sz w:val="24"/>
          <w:szCs w:val="24"/>
          <w:lang w:val="en-GB"/>
        </w:rPr>
        <w:t xml:space="preserve"> </w:t>
      </w:r>
    </w:p>
    <w:p w14:paraId="5C2ECDCD" w14:textId="137F0646" w:rsidR="005814FD" w:rsidRDefault="001501EF" w:rsidP="005A096F">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Linking this back to the discussed theory, it is clear that the words of Metsola can be identified in two ways. The first idea deals with rally round the flag effect. </w:t>
      </w:r>
      <w:r w:rsidR="00260AF4">
        <w:rPr>
          <w:rFonts w:ascii="Times New Roman" w:hAnsi="Times New Roman" w:cs="Times New Roman"/>
          <w:sz w:val="24"/>
          <w:szCs w:val="24"/>
          <w:lang w:val="en-GB"/>
        </w:rPr>
        <w:t xml:space="preserve">By </w:t>
      </w:r>
      <w:r w:rsidR="008B4FB1">
        <w:rPr>
          <w:rFonts w:ascii="Times New Roman" w:hAnsi="Times New Roman" w:cs="Times New Roman"/>
          <w:sz w:val="24"/>
          <w:szCs w:val="24"/>
          <w:lang w:val="en-GB"/>
        </w:rPr>
        <w:t>emphasising</w:t>
      </w:r>
      <w:r w:rsidR="00260AF4">
        <w:rPr>
          <w:rFonts w:ascii="Times New Roman" w:hAnsi="Times New Roman" w:cs="Times New Roman"/>
          <w:sz w:val="24"/>
          <w:szCs w:val="24"/>
          <w:lang w:val="en-GB"/>
        </w:rPr>
        <w:t xml:space="preserve"> the need for a united and strong EP</w:t>
      </w:r>
      <w:r w:rsidR="00E12DE8">
        <w:rPr>
          <w:rFonts w:ascii="Times New Roman" w:hAnsi="Times New Roman" w:cs="Times New Roman"/>
          <w:sz w:val="24"/>
          <w:szCs w:val="24"/>
          <w:lang w:val="en-GB"/>
        </w:rPr>
        <w:t xml:space="preserve"> that does not quarrel over the political side of the conflict, she highlights the idea expressed by </w:t>
      </w:r>
      <w:r w:rsidR="0012780F">
        <w:rPr>
          <w:rFonts w:ascii="Times New Roman" w:hAnsi="Times New Roman" w:cs="Times New Roman"/>
          <w:sz w:val="24"/>
          <w:szCs w:val="24"/>
          <w:lang w:val="en-GB"/>
        </w:rPr>
        <w:t xml:space="preserve">Chanley (2002) that </w:t>
      </w:r>
      <w:r w:rsidR="00FA1299">
        <w:rPr>
          <w:rFonts w:ascii="Times New Roman" w:hAnsi="Times New Roman" w:cs="Times New Roman"/>
          <w:sz w:val="24"/>
          <w:szCs w:val="24"/>
          <w:lang w:val="en-GB"/>
        </w:rPr>
        <w:t xml:space="preserve">a united political entity is needed to confront the external threat that is posed to this exact entity. </w:t>
      </w:r>
      <w:r w:rsidR="00CD1BD1">
        <w:rPr>
          <w:rFonts w:ascii="Times New Roman" w:hAnsi="Times New Roman" w:cs="Times New Roman"/>
          <w:sz w:val="24"/>
          <w:szCs w:val="24"/>
          <w:lang w:val="en-GB"/>
        </w:rPr>
        <w:t xml:space="preserve">Moreover, </w:t>
      </w:r>
      <w:r w:rsidR="00D65B0F">
        <w:rPr>
          <w:rFonts w:ascii="Times New Roman" w:hAnsi="Times New Roman" w:cs="Times New Roman"/>
          <w:sz w:val="24"/>
          <w:szCs w:val="24"/>
          <w:lang w:val="en-GB"/>
        </w:rPr>
        <w:t xml:space="preserve">Metsola automatically </w:t>
      </w:r>
      <w:r w:rsidR="008B4FB1">
        <w:rPr>
          <w:rFonts w:ascii="Times New Roman" w:hAnsi="Times New Roman" w:cs="Times New Roman"/>
          <w:sz w:val="24"/>
          <w:szCs w:val="24"/>
          <w:lang w:val="en-GB"/>
        </w:rPr>
        <w:t>makes</w:t>
      </w:r>
      <w:r w:rsidR="00D65B0F">
        <w:rPr>
          <w:rFonts w:ascii="Times New Roman" w:hAnsi="Times New Roman" w:cs="Times New Roman"/>
          <w:sz w:val="24"/>
          <w:szCs w:val="24"/>
          <w:lang w:val="en-GB"/>
        </w:rPr>
        <w:t xml:space="preserve"> the connection to the legitimacy and the reputation of the institution. She does so by </w:t>
      </w:r>
      <w:r w:rsidR="003721B7">
        <w:rPr>
          <w:rFonts w:ascii="Times New Roman" w:hAnsi="Times New Roman" w:cs="Times New Roman"/>
          <w:sz w:val="24"/>
          <w:szCs w:val="24"/>
          <w:lang w:val="en-GB"/>
        </w:rPr>
        <w:t xml:space="preserve">connecting the idea of the external threat to </w:t>
      </w:r>
      <w:r w:rsidR="00E06533">
        <w:rPr>
          <w:rFonts w:ascii="Times New Roman" w:hAnsi="Times New Roman" w:cs="Times New Roman"/>
          <w:sz w:val="24"/>
          <w:szCs w:val="24"/>
          <w:lang w:val="en-GB"/>
        </w:rPr>
        <w:t>the dangers this threat may cause for the future of the EP. She does</w:t>
      </w:r>
      <w:r w:rsidR="000F5451">
        <w:rPr>
          <w:rFonts w:ascii="Times New Roman" w:hAnsi="Times New Roman" w:cs="Times New Roman"/>
          <w:sz w:val="24"/>
          <w:szCs w:val="24"/>
          <w:lang w:val="en-GB"/>
        </w:rPr>
        <w:t xml:space="preserve"> </w:t>
      </w:r>
      <w:r w:rsidR="000F5451">
        <w:rPr>
          <w:rFonts w:ascii="Times New Roman" w:hAnsi="Times New Roman" w:cs="Times New Roman"/>
          <w:sz w:val="24"/>
          <w:szCs w:val="24"/>
          <w:lang w:val="en-GB"/>
        </w:rPr>
        <w:lastRenderedPageBreak/>
        <w:t>so</w:t>
      </w:r>
      <w:r w:rsidR="00E06533">
        <w:rPr>
          <w:rFonts w:ascii="Times New Roman" w:hAnsi="Times New Roman" w:cs="Times New Roman"/>
          <w:sz w:val="24"/>
          <w:szCs w:val="24"/>
          <w:lang w:val="en-GB"/>
        </w:rPr>
        <w:t xml:space="preserve"> by using many hyperboles</w:t>
      </w:r>
      <w:r w:rsidR="00DF70E5">
        <w:rPr>
          <w:rFonts w:ascii="Times New Roman" w:hAnsi="Times New Roman" w:cs="Times New Roman"/>
          <w:sz w:val="24"/>
          <w:szCs w:val="24"/>
          <w:lang w:val="en-GB"/>
        </w:rPr>
        <w:t xml:space="preserve"> and drawing a bigger, more dramatic picture such as that societies are under attack. </w:t>
      </w:r>
      <w:r w:rsidR="00ED7AC0">
        <w:rPr>
          <w:rFonts w:ascii="Times New Roman" w:hAnsi="Times New Roman" w:cs="Times New Roman"/>
          <w:sz w:val="24"/>
          <w:szCs w:val="24"/>
          <w:lang w:val="en-GB"/>
        </w:rPr>
        <w:t xml:space="preserve">However, it does tie </w:t>
      </w:r>
      <w:r w:rsidR="00EA343E">
        <w:rPr>
          <w:rFonts w:ascii="Times New Roman" w:hAnsi="Times New Roman" w:cs="Times New Roman"/>
          <w:sz w:val="24"/>
          <w:szCs w:val="24"/>
          <w:lang w:val="en-GB"/>
        </w:rPr>
        <w:t>into</w:t>
      </w:r>
      <w:r w:rsidR="00ED7AC0">
        <w:rPr>
          <w:rFonts w:ascii="Times New Roman" w:hAnsi="Times New Roman" w:cs="Times New Roman"/>
          <w:sz w:val="24"/>
          <w:szCs w:val="24"/>
          <w:lang w:val="en-GB"/>
        </w:rPr>
        <w:t xml:space="preserve"> the idea expressed by Busuioc and Lodge (2016)</w:t>
      </w:r>
      <w:r w:rsidR="00F310C8">
        <w:rPr>
          <w:rFonts w:ascii="Times New Roman" w:hAnsi="Times New Roman" w:cs="Times New Roman"/>
          <w:sz w:val="24"/>
          <w:szCs w:val="24"/>
          <w:lang w:val="en-GB"/>
        </w:rPr>
        <w:t xml:space="preserve"> that actors who have to hold account for their actions </w:t>
      </w:r>
      <w:r w:rsidR="00C11769">
        <w:rPr>
          <w:rFonts w:ascii="Times New Roman" w:hAnsi="Times New Roman" w:cs="Times New Roman"/>
          <w:sz w:val="24"/>
          <w:szCs w:val="24"/>
          <w:lang w:val="en-GB"/>
        </w:rPr>
        <w:t>hold their reputation as a crucial element in their conduct. Metsola does this as well</w:t>
      </w:r>
      <w:r w:rsidR="00312601">
        <w:rPr>
          <w:rFonts w:ascii="Times New Roman" w:hAnsi="Times New Roman" w:cs="Times New Roman"/>
          <w:sz w:val="24"/>
          <w:szCs w:val="24"/>
          <w:lang w:val="en-GB"/>
        </w:rPr>
        <w:t xml:space="preserve"> by connecting her initial response to the idea that she is responsible for the reputation of the EP as well. </w:t>
      </w:r>
      <w:r w:rsidR="00314B1B">
        <w:rPr>
          <w:rFonts w:ascii="Times New Roman" w:hAnsi="Times New Roman" w:cs="Times New Roman"/>
          <w:sz w:val="24"/>
          <w:szCs w:val="24"/>
          <w:lang w:val="en-GB"/>
        </w:rPr>
        <w:t xml:space="preserve">Therefore, </w:t>
      </w:r>
      <w:r w:rsidR="009A4877">
        <w:rPr>
          <w:rFonts w:ascii="Times New Roman" w:hAnsi="Times New Roman" w:cs="Times New Roman"/>
          <w:sz w:val="24"/>
          <w:szCs w:val="24"/>
          <w:lang w:val="en-GB"/>
        </w:rPr>
        <w:t xml:space="preserve">she implicitly hints at the stability of the EP by connecting it implicitly to reputation and the </w:t>
      </w:r>
      <w:r w:rsidR="00967459">
        <w:rPr>
          <w:rFonts w:ascii="Times New Roman" w:hAnsi="Times New Roman" w:cs="Times New Roman"/>
          <w:sz w:val="24"/>
          <w:szCs w:val="24"/>
          <w:lang w:val="en-GB"/>
        </w:rPr>
        <w:t xml:space="preserve">posed threat to the policy-making process, making it very plausible to confirm the first part of the causal mechanism. </w:t>
      </w:r>
    </w:p>
    <w:p w14:paraId="63B628EA" w14:textId="77777777" w:rsidR="00D64C6F" w:rsidRDefault="005814FD" w:rsidP="005A096F">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As stated in her speech, Metsola urged party leaders to not make party politics out of Qatargate. After her speech, she gave the floor to the leaders of the different party families to give a statement to the EP. </w:t>
      </w:r>
      <w:r w:rsidR="00F50BE0">
        <w:rPr>
          <w:rFonts w:ascii="Times New Roman" w:hAnsi="Times New Roman" w:cs="Times New Roman"/>
          <w:sz w:val="24"/>
          <w:szCs w:val="24"/>
          <w:lang w:val="en-GB"/>
        </w:rPr>
        <w:t>Not surprisingly, the leaders followed the example set by Metsola and did not refer to party politics, but instead referred to the feeling of disbelief and solidarity that were necessary to solve this problem (European Parliament, 2022). However, despite the good example</w:t>
      </w:r>
      <w:r w:rsidR="00D656BC">
        <w:rPr>
          <w:rFonts w:ascii="Times New Roman" w:hAnsi="Times New Roman" w:cs="Times New Roman"/>
          <w:sz w:val="24"/>
          <w:szCs w:val="24"/>
          <w:lang w:val="en-GB"/>
        </w:rPr>
        <w:t xml:space="preserve"> set in the plenary session of the EP on December 12, it was only a couple of days later that the first party political rift took place. </w:t>
      </w:r>
    </w:p>
    <w:p w14:paraId="5CA210F6" w14:textId="77777777" w:rsidR="00896469" w:rsidRDefault="00D656BC" w:rsidP="005A096F">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On December 15, only three days after the leaders claimed solidarity in the EP, the centre-right group of Christian-democrats (EPP) launched an attack at the S&amp;D. </w:t>
      </w:r>
      <w:r w:rsidR="007334C2">
        <w:rPr>
          <w:rFonts w:ascii="Times New Roman" w:hAnsi="Times New Roman" w:cs="Times New Roman"/>
          <w:sz w:val="24"/>
          <w:szCs w:val="24"/>
          <w:lang w:val="en-GB"/>
        </w:rPr>
        <w:t>On different social media platforms, the EPP blamed the S&amp;D that they were being hypocritical about Qatargate and adhered to a “holier-than-thou” attitude that was not fit for them to adhere to in light of the discovery (EPP, 2022). Moreover, the EPP declared that it was time for the S&amp;D to be held accountable (EPP, 2022). A poster that was published on Twitter (currently renamed to X) stated that it was no</w:t>
      </w:r>
      <w:r w:rsidR="003542F1">
        <w:rPr>
          <w:rFonts w:ascii="Times New Roman" w:hAnsi="Times New Roman" w:cs="Times New Roman"/>
          <w:sz w:val="24"/>
          <w:szCs w:val="24"/>
          <w:lang w:val="en-GB"/>
        </w:rPr>
        <w:t xml:space="preserve">t just Qatargate, but an S&amp;D scandal (EPP, 2022). This line was followed by other groups on the right side of the EP. Members of the conservative group (ECR) and the more radical-right group (I&amp;D) condemned the fact that it was the S&amp;D that was involved in this scandal. </w:t>
      </w:r>
    </w:p>
    <w:p w14:paraId="50B7E2D9" w14:textId="77777777" w:rsidR="004A2036" w:rsidRDefault="003542F1" w:rsidP="005A096F">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In general, the sentiment expressed was that the discovery of Qatargate merely supported the double standards that the left side of the EP uses to have when condemning behaviour of others while failing to stick to clean behaviour (Vinocur, 2022). </w:t>
      </w:r>
      <w:r w:rsidR="00534D59">
        <w:rPr>
          <w:rFonts w:ascii="Times New Roman" w:hAnsi="Times New Roman" w:cs="Times New Roman"/>
          <w:sz w:val="24"/>
          <w:szCs w:val="24"/>
          <w:lang w:val="en-GB"/>
        </w:rPr>
        <w:t xml:space="preserve">Moreover, even on the left side of the EP multiple individuals made comments about Qatargate. Left-wing members of the EP declared that the allegations of Qatargate and the impact they have on the S&amp;D fraction </w:t>
      </w:r>
      <w:r w:rsidR="00CF1023">
        <w:rPr>
          <w:rFonts w:ascii="Times New Roman" w:hAnsi="Times New Roman" w:cs="Times New Roman"/>
          <w:sz w:val="24"/>
          <w:szCs w:val="24"/>
          <w:lang w:val="en-GB"/>
        </w:rPr>
        <w:t xml:space="preserve">could place the left in the same position as the right when it comes to allegations of corruption, something that should be avoided at all cost (Vinocur, 2022). </w:t>
      </w:r>
    </w:p>
    <w:p w14:paraId="79592BDE" w14:textId="77777777" w:rsidR="000779C4" w:rsidRDefault="00CF1023" w:rsidP="005A096F">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lastRenderedPageBreak/>
        <w:t>In conclusion, we can see that all parties accuse the S&amp;D for the occurrence of Qatargate and blame them for the position the EP has found itself in after the discovery of Qatargate. As a result, there is bickering amongst the parties. Furthermore, this bickering and finger pointing does indicate that parties want to position themselves as better or morally superior to the S&amp;D. A proper example of this is the tweet and the poster posted by the EPP on Twitter in which they clearly blame the S&amp;D for Qatargate and place themselves directly above the S&amp;D. Given the combination of the above mentioned evidence, the second part of the causal mechanism can be confirmed as well.</w:t>
      </w:r>
      <w:r w:rsidR="00585F53">
        <w:rPr>
          <w:rFonts w:ascii="Times New Roman" w:hAnsi="Times New Roman" w:cs="Times New Roman"/>
          <w:sz w:val="24"/>
          <w:szCs w:val="24"/>
          <w:lang w:val="en-GB"/>
        </w:rPr>
        <w:t xml:space="preserve"> </w:t>
      </w:r>
    </w:p>
    <w:p w14:paraId="00294937" w14:textId="54A3BD98" w:rsidR="00CF1023" w:rsidRDefault="00585F53" w:rsidP="005A096F">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Although it be</w:t>
      </w:r>
      <w:r w:rsidR="00DD41C2">
        <w:rPr>
          <w:rFonts w:ascii="Times New Roman" w:hAnsi="Times New Roman" w:cs="Times New Roman"/>
          <w:sz w:val="24"/>
          <w:szCs w:val="24"/>
          <w:lang w:val="en-GB"/>
        </w:rPr>
        <w:t xml:space="preserve">ing instinctively logical that the party groups </w:t>
      </w:r>
      <w:r w:rsidR="00787B94">
        <w:rPr>
          <w:rFonts w:ascii="Times New Roman" w:hAnsi="Times New Roman" w:cs="Times New Roman"/>
          <w:sz w:val="24"/>
          <w:szCs w:val="24"/>
          <w:lang w:val="en-GB"/>
        </w:rPr>
        <w:t xml:space="preserve">bicker amongst themselves and try to blame the opposition, </w:t>
      </w:r>
      <w:r w:rsidR="0016184D">
        <w:rPr>
          <w:rFonts w:ascii="Times New Roman" w:hAnsi="Times New Roman" w:cs="Times New Roman"/>
          <w:sz w:val="24"/>
          <w:szCs w:val="24"/>
          <w:lang w:val="en-GB"/>
        </w:rPr>
        <w:t xml:space="preserve">it would be interesting to further investigate what theoretical background this has. Based on the idea by Bovens </w:t>
      </w:r>
      <w:r w:rsidR="00ED5FC6">
        <w:rPr>
          <w:rFonts w:ascii="Times New Roman" w:hAnsi="Times New Roman" w:cs="Times New Roman"/>
          <w:sz w:val="24"/>
          <w:szCs w:val="24"/>
          <w:lang w:val="en-GB"/>
        </w:rPr>
        <w:t>(2007) and Lambert et al. (</w:t>
      </w:r>
      <w:r w:rsidR="00F074C6">
        <w:rPr>
          <w:rFonts w:ascii="Times New Roman" w:hAnsi="Times New Roman" w:cs="Times New Roman"/>
          <w:sz w:val="24"/>
          <w:szCs w:val="24"/>
          <w:lang w:val="en-GB"/>
        </w:rPr>
        <w:t xml:space="preserve">2011), it would be logical for the EP to remain united as this would only increase the support for the EP instead of a bickering image that could </w:t>
      </w:r>
      <w:r w:rsidR="006A24FB">
        <w:rPr>
          <w:rFonts w:ascii="Times New Roman" w:hAnsi="Times New Roman" w:cs="Times New Roman"/>
          <w:sz w:val="24"/>
          <w:szCs w:val="24"/>
          <w:lang w:val="en-GB"/>
        </w:rPr>
        <w:t xml:space="preserve">further </w:t>
      </w:r>
      <w:r w:rsidR="00FC1A75">
        <w:rPr>
          <w:rFonts w:ascii="Times New Roman" w:hAnsi="Times New Roman" w:cs="Times New Roman"/>
          <w:sz w:val="24"/>
          <w:szCs w:val="24"/>
          <w:lang w:val="en-GB"/>
        </w:rPr>
        <w:t>deteriorate</w:t>
      </w:r>
      <w:r w:rsidR="006A24FB">
        <w:rPr>
          <w:rFonts w:ascii="Times New Roman" w:hAnsi="Times New Roman" w:cs="Times New Roman"/>
          <w:sz w:val="24"/>
          <w:szCs w:val="24"/>
          <w:lang w:val="en-GB"/>
        </w:rPr>
        <w:t xml:space="preserve"> the image of the EP. Furthermore, </w:t>
      </w:r>
      <w:r w:rsidR="00FC1A75">
        <w:rPr>
          <w:rFonts w:ascii="Times New Roman" w:hAnsi="Times New Roman" w:cs="Times New Roman"/>
          <w:sz w:val="24"/>
          <w:szCs w:val="24"/>
          <w:lang w:val="en-GB"/>
        </w:rPr>
        <w:t>the elections for the EP were at that t</w:t>
      </w:r>
      <w:r w:rsidR="0079487F">
        <w:rPr>
          <w:rFonts w:ascii="Times New Roman" w:hAnsi="Times New Roman" w:cs="Times New Roman"/>
          <w:sz w:val="24"/>
          <w:szCs w:val="24"/>
          <w:lang w:val="en-GB"/>
        </w:rPr>
        <w:t xml:space="preserve">ime one and a half year away, </w:t>
      </w:r>
      <w:r w:rsidR="007E07FB">
        <w:rPr>
          <w:rFonts w:ascii="Times New Roman" w:hAnsi="Times New Roman" w:cs="Times New Roman"/>
          <w:sz w:val="24"/>
          <w:szCs w:val="24"/>
          <w:lang w:val="en-GB"/>
        </w:rPr>
        <w:t xml:space="preserve">which implies that electoral opportunism or campaigning also seems to be illogical. Therefore, it would be interesting to investigate this further, something that is not in the current scope of this thesis. </w:t>
      </w:r>
    </w:p>
    <w:p w14:paraId="50EC0739" w14:textId="74E886CE" w:rsidR="003373C0" w:rsidRDefault="00245F07" w:rsidP="005A096F">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The only actor that has not been discussed yet is the European Commission. </w:t>
      </w:r>
      <w:r w:rsidR="00066C48">
        <w:rPr>
          <w:rFonts w:ascii="Times New Roman" w:hAnsi="Times New Roman" w:cs="Times New Roman"/>
          <w:sz w:val="24"/>
          <w:szCs w:val="24"/>
          <w:lang w:val="en-GB"/>
        </w:rPr>
        <w:t xml:space="preserve">Although the issue involved the EP at the start, the EC did not wait with a response. On December 12, the same day that Metsola issued her statement at the plenary session of the EP, Joseph Borrell made a statement as well. Why it was not the EC president Ursula von der Leyen who made the statement is not clear. However, Borrell is a former president of the EP, which implies that he has a proper understanding of the impact of such a scandal on the EP (European Commission, </w:t>
      </w:r>
      <w:r w:rsidR="00476EDB">
        <w:rPr>
          <w:rFonts w:ascii="Times New Roman" w:hAnsi="Times New Roman" w:cs="Times New Roman"/>
          <w:sz w:val="24"/>
          <w:szCs w:val="24"/>
          <w:lang w:val="en-GB"/>
        </w:rPr>
        <w:t>2024</w:t>
      </w:r>
      <w:r w:rsidR="00066C48">
        <w:rPr>
          <w:rFonts w:ascii="Times New Roman" w:hAnsi="Times New Roman" w:cs="Times New Roman"/>
          <w:sz w:val="24"/>
          <w:szCs w:val="24"/>
          <w:lang w:val="en-GB"/>
        </w:rPr>
        <w:t>). Moreover, Borrell is the High Representative for Foreign Affairs</w:t>
      </w:r>
      <w:r w:rsidR="003D694A">
        <w:rPr>
          <w:rFonts w:ascii="Times New Roman" w:hAnsi="Times New Roman" w:cs="Times New Roman"/>
          <w:sz w:val="24"/>
          <w:szCs w:val="24"/>
          <w:lang w:val="en-GB"/>
        </w:rPr>
        <w:t xml:space="preserve"> and Security Policy and vice-president of the EC, making him the most important member of the EC next to Von der Leyen. </w:t>
      </w:r>
      <w:r w:rsidR="005D7087">
        <w:rPr>
          <w:rFonts w:ascii="Times New Roman" w:hAnsi="Times New Roman" w:cs="Times New Roman"/>
          <w:sz w:val="24"/>
          <w:szCs w:val="24"/>
          <w:lang w:val="en-GB"/>
        </w:rPr>
        <w:t xml:space="preserve">Borrell, who was precautious as he did not want to disturb the judicial process, called the developments “very, very worrisome” (Prüssen, 2022). </w:t>
      </w:r>
      <w:r w:rsidR="00646750">
        <w:rPr>
          <w:rFonts w:ascii="Times New Roman" w:hAnsi="Times New Roman" w:cs="Times New Roman"/>
          <w:sz w:val="24"/>
          <w:szCs w:val="24"/>
          <w:lang w:val="en-GB"/>
        </w:rPr>
        <w:t>The response from Von der Leyen initially resembled the response from Borrell.</w:t>
      </w:r>
      <w:r w:rsidR="00E36EE5">
        <w:rPr>
          <w:rFonts w:ascii="Times New Roman" w:hAnsi="Times New Roman" w:cs="Times New Roman"/>
          <w:sz w:val="24"/>
          <w:szCs w:val="24"/>
          <w:lang w:val="en-GB"/>
        </w:rPr>
        <w:t xml:space="preserve"> She called the news and developments very </w:t>
      </w:r>
      <w:r w:rsidR="00EA343E">
        <w:rPr>
          <w:rFonts w:ascii="Times New Roman" w:hAnsi="Times New Roman" w:cs="Times New Roman"/>
          <w:sz w:val="24"/>
          <w:szCs w:val="24"/>
          <w:lang w:val="en-GB"/>
        </w:rPr>
        <w:t>concerning,</w:t>
      </w:r>
      <w:r w:rsidR="00E36EE5">
        <w:rPr>
          <w:rFonts w:ascii="Times New Roman" w:hAnsi="Times New Roman" w:cs="Times New Roman"/>
          <w:sz w:val="24"/>
          <w:szCs w:val="24"/>
          <w:lang w:val="en-GB"/>
        </w:rPr>
        <w:t xml:space="preserve"> and she even raised questions about the public confidence and trust in EU institutions (Rankin, 2022). However,</w:t>
      </w:r>
      <w:r w:rsidR="00646750">
        <w:rPr>
          <w:rFonts w:ascii="Times New Roman" w:hAnsi="Times New Roman" w:cs="Times New Roman"/>
          <w:sz w:val="24"/>
          <w:szCs w:val="24"/>
          <w:lang w:val="en-GB"/>
        </w:rPr>
        <w:t xml:space="preserve"> </w:t>
      </w:r>
      <w:r w:rsidR="00E36EE5">
        <w:rPr>
          <w:rFonts w:ascii="Times New Roman" w:hAnsi="Times New Roman" w:cs="Times New Roman"/>
          <w:sz w:val="24"/>
          <w:szCs w:val="24"/>
          <w:lang w:val="en-GB"/>
        </w:rPr>
        <w:t>i</w:t>
      </w:r>
      <w:r w:rsidR="00646750">
        <w:rPr>
          <w:rFonts w:ascii="Times New Roman" w:hAnsi="Times New Roman" w:cs="Times New Roman"/>
          <w:sz w:val="24"/>
          <w:szCs w:val="24"/>
          <w:lang w:val="en-GB"/>
        </w:rPr>
        <w:t>n a press conference</w:t>
      </w:r>
      <w:r w:rsidR="00E36EE5">
        <w:rPr>
          <w:rFonts w:ascii="Times New Roman" w:hAnsi="Times New Roman" w:cs="Times New Roman"/>
          <w:sz w:val="24"/>
          <w:szCs w:val="24"/>
          <w:lang w:val="en-GB"/>
        </w:rPr>
        <w:t xml:space="preserve"> later</w:t>
      </w:r>
      <w:r w:rsidR="00646750">
        <w:rPr>
          <w:rFonts w:ascii="Times New Roman" w:hAnsi="Times New Roman" w:cs="Times New Roman"/>
          <w:sz w:val="24"/>
          <w:szCs w:val="24"/>
          <w:lang w:val="en-GB"/>
        </w:rPr>
        <w:t xml:space="preserve"> on December 12, she r</w:t>
      </w:r>
      <w:r w:rsidR="00E36EE5">
        <w:rPr>
          <w:rFonts w:ascii="Times New Roman" w:hAnsi="Times New Roman" w:cs="Times New Roman"/>
          <w:sz w:val="24"/>
          <w:szCs w:val="24"/>
          <w:lang w:val="en-GB"/>
        </w:rPr>
        <w:t>e</w:t>
      </w:r>
      <w:r w:rsidR="00646750">
        <w:rPr>
          <w:rFonts w:ascii="Times New Roman" w:hAnsi="Times New Roman" w:cs="Times New Roman"/>
          <w:sz w:val="24"/>
          <w:szCs w:val="24"/>
          <w:lang w:val="en-GB"/>
        </w:rPr>
        <w:t xml:space="preserve">fused to answer questions from the press about the alleged involvement of one of her Commissioners in the scandal, leaving the </w:t>
      </w:r>
      <w:r w:rsidR="00E36EE5">
        <w:rPr>
          <w:rFonts w:ascii="Times New Roman" w:hAnsi="Times New Roman" w:cs="Times New Roman"/>
          <w:sz w:val="24"/>
          <w:szCs w:val="24"/>
          <w:lang w:val="en-GB"/>
        </w:rPr>
        <w:t xml:space="preserve">press in fury (Lynch et al, 2022). </w:t>
      </w:r>
      <w:r w:rsidR="00786195">
        <w:rPr>
          <w:rFonts w:ascii="Times New Roman" w:hAnsi="Times New Roman" w:cs="Times New Roman"/>
          <w:sz w:val="24"/>
          <w:szCs w:val="24"/>
          <w:lang w:val="en-GB"/>
        </w:rPr>
        <w:t xml:space="preserve">However, Von der Leyen did emphasise the idea that trust must be rebuild within the EU institutions (Alemanno, 2023). </w:t>
      </w:r>
      <w:r w:rsidR="00561C38">
        <w:rPr>
          <w:rFonts w:ascii="Times New Roman" w:hAnsi="Times New Roman" w:cs="Times New Roman"/>
          <w:sz w:val="24"/>
          <w:szCs w:val="24"/>
          <w:lang w:val="en-GB"/>
        </w:rPr>
        <w:t xml:space="preserve">Very </w:t>
      </w:r>
      <w:r w:rsidR="00561C38">
        <w:rPr>
          <w:rFonts w:ascii="Times New Roman" w:hAnsi="Times New Roman" w:cs="Times New Roman"/>
          <w:sz w:val="24"/>
          <w:szCs w:val="24"/>
          <w:lang w:val="en-GB"/>
        </w:rPr>
        <w:lastRenderedPageBreak/>
        <w:t xml:space="preserve">quickly, Von der Leyen moved into proposing solutions in order to prevent scandals such as Qatargate. However, the actual response will be discussed somewhere else in this chapter. </w:t>
      </w:r>
    </w:p>
    <w:p w14:paraId="0DFAB102" w14:textId="77777777" w:rsidR="00B14467" w:rsidRDefault="00561C38" w:rsidP="005A096F">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When looking at the responses of Von der Leyen and Borrell, it can be stated that the responses were very minimal. Despite saying that it is </w:t>
      </w:r>
      <w:r w:rsidR="00455CA4">
        <w:rPr>
          <w:rFonts w:ascii="Times New Roman" w:hAnsi="Times New Roman" w:cs="Times New Roman"/>
          <w:sz w:val="24"/>
          <w:szCs w:val="24"/>
          <w:lang w:val="en-GB"/>
        </w:rPr>
        <w:t>an</w:t>
      </w:r>
      <w:r>
        <w:rPr>
          <w:rFonts w:ascii="Times New Roman" w:hAnsi="Times New Roman" w:cs="Times New Roman"/>
          <w:sz w:val="24"/>
          <w:szCs w:val="24"/>
          <w:lang w:val="en-GB"/>
        </w:rPr>
        <w:t xml:space="preserve"> alarming event for the EP, the EU and all of its institutions, the EC-officials did not give any substantive comment.</w:t>
      </w:r>
      <w:r w:rsidR="00587E48">
        <w:rPr>
          <w:rFonts w:ascii="Times New Roman" w:hAnsi="Times New Roman" w:cs="Times New Roman"/>
          <w:sz w:val="24"/>
          <w:szCs w:val="24"/>
          <w:lang w:val="en-GB"/>
        </w:rPr>
        <w:t xml:space="preserve"> This is striking as this </w:t>
      </w:r>
      <w:r w:rsidR="00974061">
        <w:rPr>
          <w:rFonts w:ascii="Times New Roman" w:hAnsi="Times New Roman" w:cs="Times New Roman"/>
          <w:sz w:val="24"/>
          <w:szCs w:val="24"/>
          <w:lang w:val="en-GB"/>
        </w:rPr>
        <w:t>directly contradicts the idea</w:t>
      </w:r>
      <w:r w:rsidR="00973128">
        <w:rPr>
          <w:rFonts w:ascii="Times New Roman" w:hAnsi="Times New Roman" w:cs="Times New Roman"/>
          <w:sz w:val="24"/>
          <w:szCs w:val="24"/>
          <w:lang w:val="en-GB"/>
        </w:rPr>
        <w:t xml:space="preserve"> introduced by Rauh (2018</w:t>
      </w:r>
      <w:r w:rsidR="003C1BE3">
        <w:rPr>
          <w:rFonts w:ascii="Times New Roman" w:hAnsi="Times New Roman" w:cs="Times New Roman"/>
          <w:sz w:val="24"/>
          <w:szCs w:val="24"/>
          <w:lang w:val="en-GB"/>
        </w:rPr>
        <w:t xml:space="preserve">), who implies that it would be only logical for the EC to issue a statement and response as it is very sensitive to the general, public evaluation of the </w:t>
      </w:r>
      <w:r w:rsidR="00074DC3">
        <w:rPr>
          <w:rFonts w:ascii="Times New Roman" w:hAnsi="Times New Roman" w:cs="Times New Roman"/>
          <w:sz w:val="24"/>
          <w:szCs w:val="24"/>
          <w:lang w:val="en-GB"/>
        </w:rPr>
        <w:t>EU, an evaluation that is clearly negatively influenced by all the media attention on Qatargate.</w:t>
      </w:r>
      <w:r>
        <w:rPr>
          <w:rFonts w:ascii="Times New Roman" w:hAnsi="Times New Roman" w:cs="Times New Roman"/>
          <w:sz w:val="24"/>
          <w:szCs w:val="24"/>
          <w:lang w:val="en-GB"/>
        </w:rPr>
        <w:t xml:space="preserve"> It goes beyond the purpose of this empirical analysis to speculate extensively on why these responses are minimal, but an answer could lay in the idea that it is not their institution that is primarily attacked, but the EP. Therefore, to avoid further involvement and a potential negative image, the EC-officials might have deliberately chosen to keep their (institutional) involvement as low as possible. However, with the possible involvement of a Commissioner within Qatargate, Von der Leyen had no choice other than to respond as it was now her institution that </w:t>
      </w:r>
      <w:r w:rsidR="00F7105B">
        <w:rPr>
          <w:rFonts w:ascii="Times New Roman" w:hAnsi="Times New Roman" w:cs="Times New Roman"/>
          <w:sz w:val="24"/>
          <w:szCs w:val="24"/>
          <w:lang w:val="en-GB"/>
        </w:rPr>
        <w:t xml:space="preserve">got involved as well. Therefore, the hypothesis that EC-officials responded due to the fact that they saw a quarrelling EP cannot be confirmed. </w:t>
      </w:r>
    </w:p>
    <w:p w14:paraId="1A810E90" w14:textId="5A47C26D" w:rsidR="00F7105B" w:rsidRDefault="00F7105B" w:rsidP="005A096F">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Instead, EC-officials chose to avoid the blame until they could no longer stick to that tactic as their institution got involved as well.</w:t>
      </w:r>
      <w:r w:rsidR="00573D56">
        <w:rPr>
          <w:rFonts w:ascii="Times New Roman" w:hAnsi="Times New Roman" w:cs="Times New Roman"/>
          <w:sz w:val="24"/>
          <w:szCs w:val="24"/>
          <w:lang w:val="en-GB"/>
        </w:rPr>
        <w:t xml:space="preserve"> As the EC-officials did not announce a crisis in order to unite the EU, but rather tried to keep their involvement as low as possible, </w:t>
      </w:r>
      <w:r w:rsidR="00554299">
        <w:rPr>
          <w:rFonts w:ascii="Times New Roman" w:hAnsi="Times New Roman" w:cs="Times New Roman"/>
          <w:sz w:val="24"/>
          <w:szCs w:val="24"/>
          <w:lang w:val="en-GB"/>
        </w:rPr>
        <w:t xml:space="preserve">the question remains whether the fourth part of this step of the causal mechanism holds about the rise of support. There is, namely, no clear notion of a crisis, meaning that there is probably no increase or decrease in support rates. </w:t>
      </w:r>
      <w:r w:rsidR="00C80015">
        <w:rPr>
          <w:rFonts w:ascii="Times New Roman" w:hAnsi="Times New Roman" w:cs="Times New Roman"/>
          <w:sz w:val="24"/>
          <w:szCs w:val="24"/>
          <w:lang w:val="en-GB"/>
        </w:rPr>
        <w:t xml:space="preserve">To see whether there is a change in the support rates, the Eurobarometer provides </w:t>
      </w:r>
      <w:r w:rsidR="00012B47">
        <w:rPr>
          <w:rFonts w:ascii="Times New Roman" w:hAnsi="Times New Roman" w:cs="Times New Roman"/>
          <w:sz w:val="24"/>
          <w:szCs w:val="24"/>
          <w:lang w:val="en-GB"/>
        </w:rPr>
        <w:t>the following graph:</w:t>
      </w:r>
    </w:p>
    <w:p w14:paraId="59E2E0BD" w14:textId="0E6845F8" w:rsidR="00012B47" w:rsidRDefault="00012B47" w:rsidP="005A096F">
      <w:pPr>
        <w:spacing w:line="360" w:lineRule="auto"/>
        <w:jc w:val="both"/>
        <w:rPr>
          <w:rFonts w:ascii="Times New Roman" w:hAnsi="Times New Roman" w:cs="Times New Roman"/>
          <w:sz w:val="24"/>
          <w:szCs w:val="24"/>
          <w:vertAlign w:val="superscript"/>
          <w:lang w:val="en-GB"/>
        </w:rPr>
      </w:pPr>
      <w:r>
        <w:rPr>
          <w:noProof/>
        </w:rPr>
        <w:lastRenderedPageBreak/>
        <w:drawing>
          <wp:inline distT="0" distB="0" distL="0" distR="0" wp14:anchorId="0F493615" wp14:editId="7FF563B2">
            <wp:extent cx="5760720" cy="2564130"/>
            <wp:effectExtent l="0" t="0" r="0" b="7620"/>
            <wp:docPr id="134534180" name="Afbeelding 1" descr="The trend line shows that 47% of the EU population tend to trust the EU while 32% tend to trust national governments. 45% tend not to trust the E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he trend line shows that 47% of the EU population tend to trust the EU while 32% tend to trust national governments. 45% tend not to trust the EU."/>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60720" cy="2564130"/>
                    </a:xfrm>
                    <a:prstGeom prst="rect">
                      <a:avLst/>
                    </a:prstGeom>
                    <a:noFill/>
                    <a:ln>
                      <a:noFill/>
                    </a:ln>
                  </pic:spPr>
                </pic:pic>
              </a:graphicData>
            </a:graphic>
          </wp:inline>
        </w:drawing>
      </w:r>
      <w:r>
        <w:rPr>
          <w:rFonts w:ascii="Times New Roman" w:hAnsi="Times New Roman" w:cs="Times New Roman"/>
          <w:sz w:val="24"/>
          <w:szCs w:val="24"/>
          <w:vertAlign w:val="superscript"/>
          <w:lang w:val="en-GB"/>
        </w:rPr>
        <w:t>Figure 1: Trust in the European Union (Eurobarometer Spring 2022)</w:t>
      </w:r>
    </w:p>
    <w:p w14:paraId="7C2E9B9B" w14:textId="6C4FADAF" w:rsidR="00012B47" w:rsidRDefault="00012B47" w:rsidP="005A096F">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As is clearly visible from the graph, the support rate for the EU has been a constant 47% for 2022 and the first half of 2023. Consequently, there is no clear rise in support the EU which means that the final part of this hypothesised causal mechanism cannot be accepted as well.</w:t>
      </w:r>
      <w:r w:rsidR="00BB70E4">
        <w:rPr>
          <w:rFonts w:ascii="Times New Roman" w:hAnsi="Times New Roman" w:cs="Times New Roman"/>
          <w:sz w:val="24"/>
          <w:szCs w:val="24"/>
          <w:lang w:val="en-GB"/>
        </w:rPr>
        <w:t xml:space="preserve"> This does raise questions about the position of the rally round the flag effect and whether it holds in this case. </w:t>
      </w:r>
      <w:r w:rsidR="00B54521">
        <w:rPr>
          <w:rFonts w:ascii="Times New Roman" w:hAnsi="Times New Roman" w:cs="Times New Roman"/>
          <w:sz w:val="24"/>
          <w:szCs w:val="24"/>
          <w:lang w:val="en-GB"/>
        </w:rPr>
        <w:t>It can be concluded that the</w:t>
      </w:r>
      <w:r w:rsidR="00B56C41">
        <w:rPr>
          <w:rFonts w:ascii="Times New Roman" w:hAnsi="Times New Roman" w:cs="Times New Roman"/>
          <w:sz w:val="24"/>
          <w:szCs w:val="24"/>
          <w:lang w:val="en-GB"/>
        </w:rPr>
        <w:t xml:space="preserve"> emphasising of an external threat that is part of the</w:t>
      </w:r>
      <w:r w:rsidR="00B54521">
        <w:rPr>
          <w:rFonts w:ascii="Times New Roman" w:hAnsi="Times New Roman" w:cs="Times New Roman"/>
          <w:sz w:val="24"/>
          <w:szCs w:val="24"/>
          <w:lang w:val="en-GB"/>
        </w:rPr>
        <w:t xml:space="preserve"> rally round the flag effect </w:t>
      </w:r>
      <w:r w:rsidR="00B56C41">
        <w:rPr>
          <w:rFonts w:ascii="Times New Roman" w:hAnsi="Times New Roman" w:cs="Times New Roman"/>
          <w:sz w:val="24"/>
          <w:szCs w:val="24"/>
          <w:lang w:val="en-GB"/>
        </w:rPr>
        <w:t xml:space="preserve">certainly did take place, but it did not lead to a united entity and a united response. </w:t>
      </w:r>
      <w:r w:rsidR="00705EE2">
        <w:rPr>
          <w:rFonts w:ascii="Times New Roman" w:hAnsi="Times New Roman" w:cs="Times New Roman"/>
          <w:sz w:val="24"/>
          <w:szCs w:val="24"/>
          <w:lang w:val="en-GB"/>
        </w:rPr>
        <w:t xml:space="preserve">This holds especially for the EP, in which Metsola highlighted unity and the need for </w:t>
      </w:r>
      <w:r w:rsidR="00EA343E">
        <w:rPr>
          <w:rFonts w:ascii="Times New Roman" w:hAnsi="Times New Roman" w:cs="Times New Roman"/>
          <w:sz w:val="24"/>
          <w:szCs w:val="24"/>
          <w:lang w:val="en-GB"/>
        </w:rPr>
        <w:t>a</w:t>
      </w:r>
      <w:r w:rsidR="00705EE2">
        <w:rPr>
          <w:rFonts w:ascii="Times New Roman" w:hAnsi="Times New Roman" w:cs="Times New Roman"/>
          <w:sz w:val="24"/>
          <w:szCs w:val="24"/>
          <w:lang w:val="en-GB"/>
        </w:rPr>
        <w:t xml:space="preserve"> united response, but that was undermined by her own MEP’s. For the EC, the rally round the flag effect seems to be totally absent, which is contradictory in light of the ideas of Rauh (2018) and the </w:t>
      </w:r>
      <w:r w:rsidR="009C759B">
        <w:rPr>
          <w:rFonts w:ascii="Times New Roman" w:hAnsi="Times New Roman" w:cs="Times New Roman"/>
          <w:sz w:val="24"/>
          <w:szCs w:val="24"/>
          <w:lang w:val="en-GB"/>
        </w:rPr>
        <w:t xml:space="preserve">ideas of legitimacy and reputation. </w:t>
      </w:r>
      <w:r w:rsidR="00ED158C">
        <w:rPr>
          <w:rFonts w:ascii="Times New Roman" w:hAnsi="Times New Roman" w:cs="Times New Roman"/>
          <w:sz w:val="24"/>
          <w:szCs w:val="24"/>
          <w:lang w:val="en-GB"/>
        </w:rPr>
        <w:t xml:space="preserve">It would, therefore, be interesting to further investigate this </w:t>
      </w:r>
      <w:r w:rsidR="00045AE0">
        <w:rPr>
          <w:rFonts w:ascii="Times New Roman" w:hAnsi="Times New Roman" w:cs="Times New Roman"/>
          <w:sz w:val="24"/>
          <w:szCs w:val="24"/>
          <w:lang w:val="en-GB"/>
        </w:rPr>
        <w:t>in another research.</w:t>
      </w:r>
    </w:p>
    <w:p w14:paraId="63D2B072" w14:textId="516B8AFF" w:rsidR="00012B47" w:rsidRDefault="00012B47" w:rsidP="00012B47">
      <w:pPr>
        <w:pStyle w:val="Kop2"/>
        <w:rPr>
          <w:rFonts w:ascii="Times New Roman" w:hAnsi="Times New Roman" w:cs="Times New Roman"/>
          <w:color w:val="auto"/>
          <w:u w:val="single"/>
          <w:lang w:val="en-GB"/>
        </w:rPr>
      </w:pPr>
      <w:bookmarkStart w:id="19" w:name="_Toc169873387"/>
      <w:r>
        <w:rPr>
          <w:rFonts w:ascii="Times New Roman" w:hAnsi="Times New Roman" w:cs="Times New Roman"/>
          <w:color w:val="auto"/>
          <w:u w:val="single"/>
          <w:lang w:val="en-GB"/>
        </w:rPr>
        <w:t>4.3 Consequences of Qatargate: plans and actions</w:t>
      </w:r>
      <w:bookmarkEnd w:id="19"/>
    </w:p>
    <w:p w14:paraId="006FC558" w14:textId="1E08B861" w:rsidR="00012B47" w:rsidRDefault="00012B47" w:rsidP="00012B47">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The previous section dealt with the initial discovery and responses to Qatargate. This section will dive into how the EU and its institutions responded and which actual effect these responses had on the relationship with Qatar. The first part of this section will dive into the plans of actions proposed by the different EU institutions and their content. The second part of this section will dive into the consequences of these plans for the relation with Qatar and whether and how this has altered the relation with Qatar and the rules of the game. </w:t>
      </w:r>
    </w:p>
    <w:p w14:paraId="1C48C383" w14:textId="58A7D807" w:rsidR="004E4ECB" w:rsidRDefault="003D039F" w:rsidP="00012B47">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To start with the responses and the plans of the EU-institutions, the EP took up the challenge in January 2023. Metsola, who was clear about her commitment to solve the issue and prevent further damage in December 2022, presented a fourteen-point-plan in January to the EP. </w:t>
      </w:r>
      <w:r w:rsidR="00934A5F">
        <w:rPr>
          <w:rFonts w:ascii="Times New Roman" w:hAnsi="Times New Roman" w:cs="Times New Roman"/>
          <w:sz w:val="24"/>
          <w:szCs w:val="24"/>
          <w:lang w:val="en-GB"/>
        </w:rPr>
        <w:lastRenderedPageBreak/>
        <w:t>Metsola introduced the plans as part of a bigger picture to reform and improve the EP, but the focus is on anticorruption rules and the strengthening of credibility of the EP (Rasmi, 2024). The fourteen-point-plan, officially called “Strengthening Integrity, Independence and Accountability</w:t>
      </w:r>
      <w:r w:rsidR="000C3C20">
        <w:rPr>
          <w:rStyle w:val="Voetnootmarkering"/>
          <w:rFonts w:ascii="Times New Roman" w:hAnsi="Times New Roman" w:cs="Times New Roman"/>
          <w:sz w:val="24"/>
          <w:szCs w:val="24"/>
          <w:lang w:val="en-GB"/>
        </w:rPr>
        <w:footnoteReference w:id="3"/>
      </w:r>
      <w:r w:rsidR="00934A5F">
        <w:rPr>
          <w:rFonts w:ascii="Times New Roman" w:hAnsi="Times New Roman" w:cs="Times New Roman"/>
          <w:sz w:val="24"/>
          <w:szCs w:val="24"/>
          <w:lang w:val="en-GB"/>
        </w:rPr>
        <w:t>”,</w:t>
      </w:r>
      <w:r w:rsidR="0045363E">
        <w:rPr>
          <w:rFonts w:ascii="Times New Roman" w:hAnsi="Times New Roman" w:cs="Times New Roman"/>
          <w:sz w:val="24"/>
          <w:szCs w:val="24"/>
          <w:lang w:val="en-GB"/>
        </w:rPr>
        <w:t xml:space="preserve"> encompasses fourteen points that most notably focus on stronger rules in terms of transparency for lobbying; more transparency on financial interests and incomes of MEP’s; and a broad strengthening of the integrity of the EP by e.g. strengthening the code of conduct (European Parliament, 2023</w:t>
      </w:r>
      <w:r w:rsidR="00C6247C">
        <w:rPr>
          <w:rFonts w:ascii="Times New Roman" w:hAnsi="Times New Roman" w:cs="Times New Roman"/>
          <w:sz w:val="24"/>
          <w:szCs w:val="24"/>
          <w:lang w:val="en-GB"/>
        </w:rPr>
        <w:t xml:space="preserve">; </w:t>
      </w:r>
      <w:r w:rsidR="0045363E">
        <w:rPr>
          <w:rFonts w:ascii="Times New Roman" w:hAnsi="Times New Roman" w:cs="Times New Roman"/>
          <w:sz w:val="24"/>
          <w:szCs w:val="24"/>
          <w:lang w:val="en-GB"/>
        </w:rPr>
        <w:t xml:space="preserve">Nielsen, 2023). </w:t>
      </w:r>
      <w:r w:rsidR="000C3C20">
        <w:rPr>
          <w:rFonts w:ascii="Times New Roman" w:hAnsi="Times New Roman" w:cs="Times New Roman"/>
          <w:sz w:val="24"/>
          <w:szCs w:val="24"/>
          <w:lang w:val="en-GB"/>
        </w:rPr>
        <w:t>The Metsola fourteen-point-plan</w:t>
      </w:r>
      <w:r w:rsidR="006F7FA0">
        <w:rPr>
          <w:rFonts w:ascii="Times New Roman" w:hAnsi="Times New Roman" w:cs="Times New Roman"/>
          <w:sz w:val="24"/>
          <w:szCs w:val="24"/>
          <w:lang w:val="en-GB"/>
        </w:rPr>
        <w:t xml:space="preserve">, thus, seems to be a concrete and coherent step to restore the image of the EP as a trustworthy institution by imposing concrete measures in order to improve the credibility of the EP. </w:t>
      </w:r>
      <w:r w:rsidR="006A0FF4">
        <w:rPr>
          <w:rFonts w:ascii="Times New Roman" w:hAnsi="Times New Roman" w:cs="Times New Roman"/>
          <w:sz w:val="24"/>
          <w:szCs w:val="24"/>
          <w:lang w:val="en-GB"/>
        </w:rPr>
        <w:t xml:space="preserve">The introduction </w:t>
      </w:r>
      <w:r w:rsidR="00C37DF4">
        <w:rPr>
          <w:rFonts w:ascii="Times New Roman" w:hAnsi="Times New Roman" w:cs="Times New Roman"/>
          <w:sz w:val="24"/>
          <w:szCs w:val="24"/>
          <w:lang w:val="en-GB"/>
        </w:rPr>
        <w:t>of this plan does correspond with the idea</w:t>
      </w:r>
      <w:r w:rsidR="00397216">
        <w:rPr>
          <w:rFonts w:ascii="Times New Roman" w:hAnsi="Times New Roman" w:cs="Times New Roman"/>
          <w:sz w:val="24"/>
          <w:szCs w:val="24"/>
          <w:lang w:val="en-GB"/>
        </w:rPr>
        <w:t xml:space="preserve"> introduced by Weisiger and Yarhi</w:t>
      </w:r>
      <w:r w:rsidR="00BC1F04">
        <w:rPr>
          <w:rFonts w:ascii="Times New Roman" w:hAnsi="Times New Roman" w:cs="Times New Roman"/>
          <w:sz w:val="24"/>
          <w:szCs w:val="24"/>
          <w:lang w:val="en-GB"/>
        </w:rPr>
        <w:t xml:space="preserve">-Milo (2015), who state that successful restoration of reputation can only </w:t>
      </w:r>
      <w:r w:rsidR="00EF10D3">
        <w:rPr>
          <w:rFonts w:ascii="Times New Roman" w:hAnsi="Times New Roman" w:cs="Times New Roman"/>
          <w:sz w:val="24"/>
          <w:szCs w:val="24"/>
          <w:lang w:val="en-GB"/>
        </w:rPr>
        <w:t xml:space="preserve">happen when </w:t>
      </w:r>
      <w:r w:rsidR="0069279E">
        <w:rPr>
          <w:rFonts w:ascii="Times New Roman" w:hAnsi="Times New Roman" w:cs="Times New Roman"/>
          <w:sz w:val="24"/>
          <w:szCs w:val="24"/>
          <w:lang w:val="en-GB"/>
        </w:rPr>
        <w:t>an actor propos</w:t>
      </w:r>
      <w:r w:rsidR="00F131A8">
        <w:rPr>
          <w:rFonts w:ascii="Times New Roman" w:hAnsi="Times New Roman" w:cs="Times New Roman"/>
          <w:sz w:val="24"/>
          <w:szCs w:val="24"/>
          <w:lang w:val="en-GB"/>
        </w:rPr>
        <w:t xml:space="preserve">es swift and concrete responses. </w:t>
      </w:r>
      <w:r w:rsidR="00C45540">
        <w:rPr>
          <w:rFonts w:ascii="Times New Roman" w:hAnsi="Times New Roman" w:cs="Times New Roman"/>
          <w:sz w:val="24"/>
          <w:szCs w:val="24"/>
          <w:lang w:val="en-GB"/>
        </w:rPr>
        <w:t xml:space="preserve">Therefore, it does </w:t>
      </w:r>
      <w:r w:rsidR="00614F8F">
        <w:rPr>
          <w:rFonts w:ascii="Times New Roman" w:hAnsi="Times New Roman" w:cs="Times New Roman"/>
          <w:sz w:val="24"/>
          <w:szCs w:val="24"/>
          <w:lang w:val="en-GB"/>
        </w:rPr>
        <w:t xml:space="preserve">correspond with the earlier-mentioned idea that the EP (at least its officials such as Meloni) is very aware of its loss of reputation and wants to restore it. </w:t>
      </w:r>
    </w:p>
    <w:p w14:paraId="4CF2F326" w14:textId="299EB345" w:rsidR="00012B47" w:rsidRDefault="006F7FA0" w:rsidP="00012B47">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However, the plan was not met with mere praise by MEP’s. </w:t>
      </w:r>
      <w:r w:rsidR="007D43FD">
        <w:rPr>
          <w:rFonts w:ascii="Times New Roman" w:hAnsi="Times New Roman" w:cs="Times New Roman"/>
          <w:sz w:val="24"/>
          <w:szCs w:val="24"/>
          <w:lang w:val="en-GB"/>
        </w:rPr>
        <w:t>Although the plan was initially supported and endorsed by all EP party group leaders (European Parliament, 2023), differences arose quickly about the intensity and the width of the measures. Groups on the left such as the Greens, the S&amp;D and the Left declared that the proposals went not far enough. Left co-leader Aubry even stated that the plan was just “paper over the cracks” (Wax, 2023). Fingers were easily pointed at more right-wing party groups such as Renew and EPP, who were accuses o</w:t>
      </w:r>
      <w:r w:rsidR="00162F17">
        <w:rPr>
          <w:rFonts w:ascii="Times New Roman" w:hAnsi="Times New Roman" w:cs="Times New Roman"/>
          <w:sz w:val="24"/>
          <w:szCs w:val="24"/>
          <w:lang w:val="en-GB"/>
        </w:rPr>
        <w:t>f</w:t>
      </w:r>
      <w:r w:rsidR="007D43FD">
        <w:rPr>
          <w:rFonts w:ascii="Times New Roman" w:hAnsi="Times New Roman" w:cs="Times New Roman"/>
          <w:sz w:val="24"/>
          <w:szCs w:val="24"/>
          <w:lang w:val="en-GB"/>
        </w:rPr>
        <w:t xml:space="preserve"> blocking the plans or using the plans to further discredit NGO’s and making their work more difficult (Wax, 2023). </w:t>
      </w:r>
      <w:r w:rsidR="006D31B5">
        <w:rPr>
          <w:rFonts w:ascii="Times New Roman" w:hAnsi="Times New Roman" w:cs="Times New Roman"/>
          <w:sz w:val="24"/>
          <w:szCs w:val="24"/>
          <w:lang w:val="en-GB"/>
        </w:rPr>
        <w:t>However, despite rows and continuation of quarrelling that started since the discovery of Qatargate, the plan got adopted in July 2023 with 441 MEP’s voting in favour, 70 MEP’s voting against, and 71 abstentions (European Parliament, 2023). Therefore, it can be concluded that the factual actions of the EP are in line with the hypothesised expectation. The plan did aim at uniting the EP and improving its credibility and reputation</w:t>
      </w:r>
      <w:r w:rsidR="00745D88">
        <w:rPr>
          <w:rFonts w:ascii="Times New Roman" w:hAnsi="Times New Roman" w:cs="Times New Roman"/>
          <w:sz w:val="24"/>
          <w:szCs w:val="24"/>
          <w:lang w:val="en-GB"/>
        </w:rPr>
        <w:t xml:space="preserve"> by altering its internal integrity</w:t>
      </w:r>
      <w:r w:rsidR="00335BCF">
        <w:rPr>
          <w:rFonts w:ascii="Times New Roman" w:hAnsi="Times New Roman" w:cs="Times New Roman"/>
          <w:sz w:val="24"/>
          <w:szCs w:val="24"/>
          <w:lang w:val="en-GB"/>
        </w:rPr>
        <w:t xml:space="preserve"> as discussed above and by Weisiger and Yarhi-Milo (2015)</w:t>
      </w:r>
      <w:r w:rsidR="00C04DC7">
        <w:rPr>
          <w:rFonts w:ascii="Times New Roman" w:hAnsi="Times New Roman" w:cs="Times New Roman"/>
          <w:sz w:val="24"/>
          <w:szCs w:val="24"/>
          <w:lang w:val="en-GB"/>
        </w:rPr>
        <w:t xml:space="preserve"> and Busuioc and Lodge (2016)</w:t>
      </w:r>
      <w:r w:rsidR="006D31B5">
        <w:rPr>
          <w:rFonts w:ascii="Times New Roman" w:hAnsi="Times New Roman" w:cs="Times New Roman"/>
          <w:sz w:val="24"/>
          <w:szCs w:val="24"/>
          <w:lang w:val="en-GB"/>
        </w:rPr>
        <w:t>, and it eventually succeeded in that by adopting the plan with a</w:t>
      </w:r>
      <w:r w:rsidR="007E5DA0">
        <w:rPr>
          <w:rFonts w:ascii="Times New Roman" w:hAnsi="Times New Roman" w:cs="Times New Roman"/>
          <w:sz w:val="24"/>
          <w:szCs w:val="24"/>
          <w:lang w:val="en-GB"/>
        </w:rPr>
        <w:t xml:space="preserve"> confident</w:t>
      </w:r>
      <w:r w:rsidR="006D31B5">
        <w:rPr>
          <w:rFonts w:ascii="Times New Roman" w:hAnsi="Times New Roman" w:cs="Times New Roman"/>
          <w:sz w:val="24"/>
          <w:szCs w:val="24"/>
          <w:lang w:val="en-GB"/>
        </w:rPr>
        <w:t xml:space="preserve"> majority of the votes</w:t>
      </w:r>
      <w:r w:rsidR="00660958">
        <w:rPr>
          <w:rFonts w:ascii="Times New Roman" w:hAnsi="Times New Roman" w:cs="Times New Roman"/>
          <w:sz w:val="24"/>
          <w:szCs w:val="24"/>
          <w:lang w:val="en-GB"/>
        </w:rPr>
        <w:t>.</w:t>
      </w:r>
      <w:r w:rsidR="006D31B5">
        <w:rPr>
          <w:rFonts w:ascii="Times New Roman" w:hAnsi="Times New Roman" w:cs="Times New Roman"/>
          <w:sz w:val="24"/>
          <w:szCs w:val="24"/>
          <w:lang w:val="en-GB"/>
        </w:rPr>
        <w:t xml:space="preserve"> </w:t>
      </w:r>
    </w:p>
    <w:p w14:paraId="5E8B46B8" w14:textId="77777777" w:rsidR="00E4303C" w:rsidRDefault="001E526A" w:rsidP="00012B47">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Whereas the EP took swift and immediate action regarding Qatargate, the EC did not move at that</w:t>
      </w:r>
      <w:r w:rsidR="00B268FE">
        <w:rPr>
          <w:rFonts w:ascii="Times New Roman" w:hAnsi="Times New Roman" w:cs="Times New Roman"/>
          <w:sz w:val="24"/>
          <w:szCs w:val="24"/>
          <w:lang w:val="en-GB"/>
        </w:rPr>
        <w:t xml:space="preserve"> high </w:t>
      </w:r>
      <w:r>
        <w:rPr>
          <w:rFonts w:ascii="Times New Roman" w:hAnsi="Times New Roman" w:cs="Times New Roman"/>
          <w:sz w:val="24"/>
          <w:szCs w:val="24"/>
          <w:lang w:val="en-GB"/>
        </w:rPr>
        <w:t xml:space="preserve">pace. As mentioned before, EC-president Von der Leyen did propose a plan at a press </w:t>
      </w:r>
      <w:r>
        <w:rPr>
          <w:rFonts w:ascii="Times New Roman" w:hAnsi="Times New Roman" w:cs="Times New Roman"/>
          <w:sz w:val="24"/>
          <w:szCs w:val="24"/>
          <w:lang w:val="en-GB"/>
        </w:rPr>
        <w:lastRenderedPageBreak/>
        <w:t xml:space="preserve">conference on December 12. At this press conference, she repeated that an interinstitutional, independent ethics body was needed to prevent “exemptions” for every EU institution (Bennett, 2022). This plan was presented to all EU-institutions in June 2023 by means of an official communication from the EC. </w:t>
      </w:r>
      <w:r w:rsidR="00EB7F75">
        <w:rPr>
          <w:rFonts w:ascii="Times New Roman" w:hAnsi="Times New Roman" w:cs="Times New Roman"/>
          <w:sz w:val="24"/>
          <w:szCs w:val="24"/>
          <w:lang w:val="en-GB"/>
        </w:rPr>
        <w:t xml:space="preserve">The core of the plan was the creation and installation of an interinstitutional ethics body that would develop common ethical minimum standards for members of the institutions and bodies of the EU (European Commission, 2023). </w:t>
      </w:r>
    </w:p>
    <w:p w14:paraId="374D2C50" w14:textId="2C6FA2E9" w:rsidR="007E5DA0" w:rsidRDefault="00EB7F75" w:rsidP="00012B47">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Despite the plan being very ambitious and </w:t>
      </w:r>
      <w:r w:rsidR="0073185F">
        <w:rPr>
          <w:rFonts w:ascii="Times New Roman" w:hAnsi="Times New Roman" w:cs="Times New Roman"/>
          <w:sz w:val="24"/>
          <w:szCs w:val="24"/>
          <w:lang w:val="en-GB"/>
        </w:rPr>
        <w:t>it being a</w:t>
      </w:r>
      <w:r>
        <w:rPr>
          <w:rFonts w:ascii="Times New Roman" w:hAnsi="Times New Roman" w:cs="Times New Roman"/>
          <w:sz w:val="24"/>
          <w:szCs w:val="24"/>
          <w:lang w:val="en-GB"/>
        </w:rPr>
        <w:t xml:space="preserve"> breach with past developments, the EP was not satisfied with the proposal. In a resolution drafted by The Left, Renew, The Greens, and S&amp;D, the EP called the plan “unsatisfactory and not ambitious enough” (European Parliament, 2023). </w:t>
      </w:r>
      <w:r w:rsidR="00364CEB">
        <w:rPr>
          <w:rFonts w:ascii="Times New Roman" w:hAnsi="Times New Roman" w:cs="Times New Roman"/>
          <w:sz w:val="24"/>
          <w:szCs w:val="24"/>
          <w:lang w:val="en-GB"/>
        </w:rPr>
        <w:t>The resolution got accepted by a slim majority (365 vs 270) (European Parliament, 2023), and so the EC had to go back to the drawing board again. Eventually, after almost a year, a new Body for Ethical Standar</w:t>
      </w:r>
      <w:r w:rsidR="00415A11">
        <w:rPr>
          <w:rFonts w:ascii="Times New Roman" w:hAnsi="Times New Roman" w:cs="Times New Roman"/>
          <w:sz w:val="24"/>
          <w:szCs w:val="24"/>
          <w:lang w:val="en-GB"/>
        </w:rPr>
        <w:t>d</w:t>
      </w:r>
      <w:r w:rsidR="00364CEB">
        <w:rPr>
          <w:rFonts w:ascii="Times New Roman" w:hAnsi="Times New Roman" w:cs="Times New Roman"/>
          <w:sz w:val="24"/>
          <w:szCs w:val="24"/>
          <w:lang w:val="en-GB"/>
        </w:rPr>
        <w:t xml:space="preserve">s has been endorsed and set up (ECoR, 2024). However, this body does not encompass all EU institutions, meaning that it is a serious downgrade compared to the initial proposal by Von der Leyen. </w:t>
      </w:r>
      <w:r w:rsidR="00E4303C">
        <w:rPr>
          <w:rFonts w:ascii="Times New Roman" w:hAnsi="Times New Roman" w:cs="Times New Roman"/>
          <w:sz w:val="24"/>
          <w:szCs w:val="24"/>
          <w:lang w:val="en-GB"/>
        </w:rPr>
        <w:t xml:space="preserve">Furthermore, </w:t>
      </w:r>
      <w:r w:rsidR="00CD188C">
        <w:rPr>
          <w:rFonts w:ascii="Times New Roman" w:hAnsi="Times New Roman" w:cs="Times New Roman"/>
          <w:sz w:val="24"/>
          <w:szCs w:val="24"/>
          <w:lang w:val="en-GB"/>
        </w:rPr>
        <w:t xml:space="preserve">it aims more at </w:t>
      </w:r>
      <w:r w:rsidR="00F227DD">
        <w:rPr>
          <w:rFonts w:ascii="Times New Roman" w:hAnsi="Times New Roman" w:cs="Times New Roman"/>
          <w:sz w:val="24"/>
          <w:szCs w:val="24"/>
          <w:lang w:val="en-GB"/>
        </w:rPr>
        <w:t>internal reputation building than at external reputation building, something that also contradicts the proposed causal mechanism</w:t>
      </w:r>
      <w:r w:rsidR="00932A95">
        <w:rPr>
          <w:rFonts w:ascii="Times New Roman" w:hAnsi="Times New Roman" w:cs="Times New Roman"/>
          <w:sz w:val="24"/>
          <w:szCs w:val="24"/>
          <w:lang w:val="en-GB"/>
        </w:rPr>
        <w:t xml:space="preserve">. </w:t>
      </w:r>
    </w:p>
    <w:p w14:paraId="238270C2" w14:textId="77777777" w:rsidR="00FE50D5" w:rsidRDefault="00364CEB" w:rsidP="00012B47">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When looking at the external policy of the EC in relation to Qatar, </w:t>
      </w:r>
      <w:r w:rsidR="009A3BAC">
        <w:rPr>
          <w:rFonts w:ascii="Times New Roman" w:hAnsi="Times New Roman" w:cs="Times New Roman"/>
          <w:sz w:val="24"/>
          <w:szCs w:val="24"/>
          <w:lang w:val="en-GB"/>
        </w:rPr>
        <w:t>it is important to notice that the first steps were actually taken by the EP. In December 2022, just after the discovery of Qatargate, it was the EP who voted to suspend working on any policy or piece of legislation that was somehow related to Qatar</w:t>
      </w:r>
      <w:r w:rsidR="001D6D21">
        <w:rPr>
          <w:rFonts w:ascii="Times New Roman" w:hAnsi="Times New Roman" w:cs="Times New Roman"/>
          <w:sz w:val="24"/>
          <w:szCs w:val="24"/>
          <w:lang w:val="en-GB"/>
        </w:rPr>
        <w:t>. Furthermore, Qatari representatives were also banned from entering EU-buildings</w:t>
      </w:r>
      <w:r w:rsidR="009A3BAC">
        <w:rPr>
          <w:rFonts w:ascii="Times New Roman" w:hAnsi="Times New Roman" w:cs="Times New Roman"/>
          <w:sz w:val="24"/>
          <w:szCs w:val="24"/>
          <w:lang w:val="en-GB"/>
        </w:rPr>
        <w:t xml:space="preserve"> (Posaner et al., 2022). </w:t>
      </w:r>
      <w:r w:rsidR="001D6D21">
        <w:rPr>
          <w:rFonts w:ascii="Times New Roman" w:hAnsi="Times New Roman" w:cs="Times New Roman"/>
          <w:sz w:val="24"/>
          <w:szCs w:val="24"/>
          <w:lang w:val="en-GB"/>
        </w:rPr>
        <w:t xml:space="preserve">Qatar responded furiously. In a statement that was published a week after the discovery of Qatargate, Qatari diplomats called the restrictions discriminatory. Moreover, the diplomats threatened that the measures taken by the EP would negatively affect regional and global security cooperation, as well as global energy security (Reuters, 2022). </w:t>
      </w:r>
    </w:p>
    <w:p w14:paraId="500D3DB4" w14:textId="3B515094" w:rsidR="00364CEB" w:rsidRDefault="00044C0E" w:rsidP="00012B47">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Despite these threats, the EC did not seem impressed. </w:t>
      </w:r>
      <w:r w:rsidR="00D7732A">
        <w:rPr>
          <w:rFonts w:ascii="Times New Roman" w:hAnsi="Times New Roman" w:cs="Times New Roman"/>
          <w:sz w:val="24"/>
          <w:szCs w:val="24"/>
          <w:lang w:val="en-GB"/>
        </w:rPr>
        <w:t xml:space="preserve">In fact, the EC hardly responded at all. </w:t>
      </w:r>
      <w:r w:rsidR="00415A11">
        <w:rPr>
          <w:rFonts w:ascii="Times New Roman" w:hAnsi="Times New Roman" w:cs="Times New Roman"/>
          <w:sz w:val="24"/>
          <w:szCs w:val="24"/>
          <w:lang w:val="en-GB"/>
        </w:rPr>
        <w:t xml:space="preserve">This could be partially explained by the fact that the EP stopped all legislative procedures and initiatives. As a result of this halt, the EC could not continue to implement rules and regulations, resulting in </w:t>
      </w:r>
      <w:r w:rsidR="00EA343E">
        <w:rPr>
          <w:rFonts w:ascii="Times New Roman" w:hAnsi="Times New Roman" w:cs="Times New Roman"/>
          <w:sz w:val="24"/>
          <w:szCs w:val="24"/>
          <w:lang w:val="en-GB"/>
        </w:rPr>
        <w:t>an</w:t>
      </w:r>
      <w:r w:rsidR="00415A11">
        <w:rPr>
          <w:rFonts w:ascii="Times New Roman" w:hAnsi="Times New Roman" w:cs="Times New Roman"/>
          <w:sz w:val="24"/>
          <w:szCs w:val="24"/>
          <w:lang w:val="en-GB"/>
        </w:rPr>
        <w:t xml:space="preserve"> unavoidable gridlock for the EC. However, there are alternative empirical facts that </w:t>
      </w:r>
      <w:r w:rsidR="0054142C">
        <w:rPr>
          <w:rFonts w:ascii="Times New Roman" w:hAnsi="Times New Roman" w:cs="Times New Roman"/>
          <w:sz w:val="24"/>
          <w:szCs w:val="24"/>
          <w:lang w:val="en-GB"/>
        </w:rPr>
        <w:t xml:space="preserve">shed another light on the passive attitude of the EC. The emir of Qatar, the highest and most powerful leader of Qatar who is primarily </w:t>
      </w:r>
      <w:r w:rsidR="00096DC9">
        <w:rPr>
          <w:rFonts w:ascii="Times New Roman" w:hAnsi="Times New Roman" w:cs="Times New Roman"/>
          <w:sz w:val="24"/>
          <w:szCs w:val="24"/>
          <w:lang w:val="en-GB"/>
        </w:rPr>
        <w:t xml:space="preserve">responsible for foreign relations (Amiri Diwan, n.d.), has been visiting multiple European leaders since the start of 2023. For example, he visited the </w:t>
      </w:r>
      <w:r w:rsidR="00096DC9">
        <w:rPr>
          <w:rFonts w:ascii="Times New Roman" w:hAnsi="Times New Roman" w:cs="Times New Roman"/>
          <w:sz w:val="24"/>
          <w:szCs w:val="24"/>
          <w:lang w:val="en-GB"/>
        </w:rPr>
        <w:lastRenderedPageBreak/>
        <w:t xml:space="preserve">president of Italy Sergio Mattarella on February 13 (Quirinale, 2023). Furthermore, he visited the French president Emmanuel Macron on February 15 (Leali et al, 2023). </w:t>
      </w:r>
      <w:r w:rsidR="002702E5">
        <w:rPr>
          <w:rFonts w:ascii="Times New Roman" w:hAnsi="Times New Roman" w:cs="Times New Roman"/>
          <w:sz w:val="24"/>
          <w:szCs w:val="24"/>
          <w:lang w:val="en-GB"/>
        </w:rPr>
        <w:t xml:space="preserve">During his visit, the emir and Macron planned on discussing “strengthening the partnership between the countries to face regional and world challenges” (Leali et al., 2023). </w:t>
      </w:r>
      <w:r w:rsidR="001C53BE">
        <w:rPr>
          <w:rFonts w:ascii="Times New Roman" w:hAnsi="Times New Roman" w:cs="Times New Roman"/>
          <w:sz w:val="24"/>
          <w:szCs w:val="24"/>
          <w:lang w:val="en-GB"/>
        </w:rPr>
        <w:t xml:space="preserve">It, therefore, appears that European leaders are </w:t>
      </w:r>
      <w:r w:rsidR="00EA343E">
        <w:rPr>
          <w:rFonts w:ascii="Times New Roman" w:hAnsi="Times New Roman" w:cs="Times New Roman"/>
          <w:sz w:val="24"/>
          <w:szCs w:val="24"/>
          <w:lang w:val="en-GB"/>
        </w:rPr>
        <w:t>busier</w:t>
      </w:r>
      <w:r w:rsidR="001C53BE">
        <w:rPr>
          <w:rFonts w:ascii="Times New Roman" w:hAnsi="Times New Roman" w:cs="Times New Roman"/>
          <w:sz w:val="24"/>
          <w:szCs w:val="24"/>
          <w:lang w:val="en-GB"/>
        </w:rPr>
        <w:t xml:space="preserve"> with Qatar and the relationship they have with Qatar rather than the EU and the EC. This image is confirmed when looking at official press releases or statements made by the EC. Besides the statements made on the investigation as a result of the alleged involvement of a Commissioner within Qatargate and the proposal to set up an interinstitutional ethics body, the EC has been rather silent on the topic of Qatargate. Therefore, this part of the causal mechanism cannot be confirmed. </w:t>
      </w:r>
    </w:p>
    <w:p w14:paraId="2AEA6017" w14:textId="10930D31" w:rsidR="00F63CB9" w:rsidRDefault="007041FE" w:rsidP="005A096F">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The final step of the causal mechanism deals with the altered rules of the game and the newly constructed relationship between the EU and Qatar. As seen in the previous paragraph, the EC did not propose a concrete plan that directly altered the relationship between Qatar and the EU. In fact, it was the EP that changed the relationship by putting a halt to any legislation that dealt with Qatar</w:t>
      </w:r>
      <w:r w:rsidR="002F21FD">
        <w:rPr>
          <w:rFonts w:ascii="Times New Roman" w:hAnsi="Times New Roman" w:cs="Times New Roman"/>
          <w:sz w:val="24"/>
          <w:szCs w:val="24"/>
          <w:lang w:val="en-GB"/>
        </w:rPr>
        <w:t>, putting the EC automatically on standby when it comes to policies and proposing plans for the future of Qatar. Furthermore, member states themselves seemed to have less trouble with Qatar than the EU itself. For example, in the summer of 2023 multiple EU countries signed deals with Qatar that allowed Qatar to export its gas to EU-countries. Countries like the Netherlands (Reuters, 2023) and Germany (Kurmayer, 2022) signed lucrative agreements in order to guarantee energy for their population. The European Council reiterates the importance of gas and the dependence on Qatar when it comes to gas and energy security for their inhabitants (European Council</w:t>
      </w:r>
      <w:r w:rsidR="00432E9F">
        <w:rPr>
          <w:rFonts w:ascii="Times New Roman" w:hAnsi="Times New Roman" w:cs="Times New Roman"/>
          <w:sz w:val="24"/>
          <w:szCs w:val="24"/>
          <w:lang w:val="en-GB"/>
        </w:rPr>
        <w:t>, 2024</w:t>
      </w:r>
      <w:r w:rsidR="002F21FD">
        <w:rPr>
          <w:rFonts w:ascii="Times New Roman" w:hAnsi="Times New Roman" w:cs="Times New Roman"/>
          <w:sz w:val="24"/>
          <w:szCs w:val="24"/>
          <w:lang w:val="en-GB"/>
        </w:rPr>
        <w:t xml:space="preserve">). </w:t>
      </w:r>
    </w:p>
    <w:p w14:paraId="05C1F2DA" w14:textId="76E37693" w:rsidR="005F205B" w:rsidRPr="00C115E4" w:rsidRDefault="002F21FD" w:rsidP="005A096F">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GB"/>
        </w:rPr>
        <w:t>However, these developments must be seen in a broader, geopolitical perspective. The Russian invasion of Ukraine has meant that both EU-countries and Russia have cut the energy supply, meaning that the EU became rapidly dependent on other countries such as Qatar to uphold the level of energy security. The same geopolitical perspective offers</w:t>
      </w:r>
      <w:r w:rsidR="00B428DA">
        <w:rPr>
          <w:rFonts w:ascii="Times New Roman" w:hAnsi="Times New Roman" w:cs="Times New Roman"/>
          <w:sz w:val="24"/>
          <w:szCs w:val="24"/>
          <w:lang w:val="en-GB"/>
        </w:rPr>
        <w:t xml:space="preserve"> an</w:t>
      </w:r>
      <w:r>
        <w:rPr>
          <w:rFonts w:ascii="Times New Roman" w:hAnsi="Times New Roman" w:cs="Times New Roman"/>
          <w:sz w:val="24"/>
          <w:szCs w:val="24"/>
          <w:lang w:val="en-GB"/>
        </w:rPr>
        <w:t xml:space="preserve"> explanation for another empirical phenomenon. Since the start of the war between Israel and Hamas, Qatar has been recognised by the EU as an important actor in solving the conflict. For example, </w:t>
      </w:r>
      <w:r w:rsidR="0060396C">
        <w:rPr>
          <w:rFonts w:ascii="Times New Roman" w:hAnsi="Times New Roman" w:cs="Times New Roman"/>
          <w:sz w:val="24"/>
          <w:szCs w:val="24"/>
          <w:lang w:val="en-GB"/>
        </w:rPr>
        <w:t xml:space="preserve">Von der Leyen has been open about the fact that she holds close contact with the emir of Qatar in providing aid to Qatar and Gaza (Von der Leyen, 2024). She does not only express these feelings on social media, </w:t>
      </w:r>
      <w:r w:rsidR="00EA343E">
        <w:rPr>
          <w:rFonts w:ascii="Times New Roman" w:hAnsi="Times New Roman" w:cs="Times New Roman"/>
          <w:sz w:val="24"/>
          <w:szCs w:val="24"/>
          <w:lang w:val="en-GB"/>
        </w:rPr>
        <w:t>but she</w:t>
      </w:r>
      <w:r w:rsidR="0060396C">
        <w:rPr>
          <w:rFonts w:ascii="Times New Roman" w:hAnsi="Times New Roman" w:cs="Times New Roman"/>
          <w:sz w:val="24"/>
          <w:szCs w:val="24"/>
          <w:lang w:val="en-GB"/>
        </w:rPr>
        <w:t xml:space="preserve"> also expressed feelings of content and gratitude for the Qatari government for “their tireless diplomatic efforts” in reaching a deal between Israel and Hamas (European Commission, 2024). </w:t>
      </w:r>
      <w:r w:rsidR="009175A1">
        <w:rPr>
          <w:rFonts w:ascii="Times New Roman" w:hAnsi="Times New Roman" w:cs="Times New Roman"/>
          <w:sz w:val="24"/>
          <w:szCs w:val="24"/>
          <w:lang w:val="en-GB"/>
        </w:rPr>
        <w:t>Therefore, it can be concluded that there are no signs of a more NPE-</w:t>
      </w:r>
      <w:r w:rsidR="009175A1">
        <w:rPr>
          <w:rFonts w:ascii="Times New Roman" w:hAnsi="Times New Roman" w:cs="Times New Roman"/>
          <w:sz w:val="24"/>
          <w:szCs w:val="24"/>
          <w:lang w:val="en-GB"/>
        </w:rPr>
        <w:lastRenderedPageBreak/>
        <w:t xml:space="preserve">oriented attitude of the EU towards Qatar. </w:t>
      </w:r>
      <w:r w:rsidR="00D333F1">
        <w:rPr>
          <w:rFonts w:ascii="Times New Roman" w:hAnsi="Times New Roman" w:cs="Times New Roman"/>
          <w:sz w:val="24"/>
          <w:szCs w:val="24"/>
          <w:lang w:val="en-GB"/>
        </w:rPr>
        <w:t xml:space="preserve">Instead, the strategy of mutual neglect introduced by </w:t>
      </w:r>
      <w:r w:rsidR="000629B8">
        <w:rPr>
          <w:rFonts w:ascii="Times New Roman" w:hAnsi="Times New Roman" w:cs="Times New Roman"/>
          <w:sz w:val="24"/>
          <w:szCs w:val="24"/>
          <w:lang w:val="en-GB"/>
        </w:rPr>
        <w:t xml:space="preserve">Schunz </w:t>
      </w:r>
      <w:r w:rsidR="00967597">
        <w:rPr>
          <w:rFonts w:ascii="Times New Roman" w:hAnsi="Times New Roman" w:cs="Times New Roman"/>
          <w:sz w:val="24"/>
          <w:szCs w:val="24"/>
          <w:lang w:val="en-GB"/>
        </w:rPr>
        <w:t xml:space="preserve">et al. (2018) and Schumacher seems to be more applicable. The EU has not shifted </w:t>
      </w:r>
      <w:r w:rsidR="00E543E9">
        <w:rPr>
          <w:rFonts w:ascii="Times New Roman" w:hAnsi="Times New Roman" w:cs="Times New Roman"/>
          <w:sz w:val="24"/>
          <w:szCs w:val="24"/>
          <w:lang w:val="en-GB"/>
        </w:rPr>
        <w:t xml:space="preserve">towards more NPE or </w:t>
      </w:r>
      <w:r w:rsidR="00B03AEC">
        <w:rPr>
          <w:rFonts w:ascii="Times New Roman" w:hAnsi="Times New Roman" w:cs="Times New Roman"/>
          <w:sz w:val="24"/>
          <w:szCs w:val="24"/>
          <w:lang w:val="en-GB"/>
        </w:rPr>
        <w:t>towards an expression of moral superiority over Qatar. Instead, it seems that it has become more dependent on mutual neglect and even more shifting towards a more realist attitude.</w:t>
      </w:r>
      <w:r w:rsidR="002E44A9">
        <w:rPr>
          <w:rFonts w:ascii="Times New Roman" w:hAnsi="Times New Roman" w:cs="Times New Roman"/>
          <w:sz w:val="24"/>
          <w:szCs w:val="24"/>
          <w:lang w:val="en-GB"/>
        </w:rPr>
        <w:t xml:space="preserve"> The EU, namely, seems to look at </w:t>
      </w:r>
      <w:r w:rsidR="00167A4E">
        <w:rPr>
          <w:rFonts w:ascii="Times New Roman" w:hAnsi="Times New Roman" w:cs="Times New Roman"/>
          <w:sz w:val="24"/>
          <w:szCs w:val="24"/>
          <w:lang w:val="en-GB"/>
        </w:rPr>
        <w:t>introducing alliances in order to uphold the balance of power in the complex</w:t>
      </w:r>
      <w:r w:rsidR="00887507">
        <w:rPr>
          <w:rFonts w:ascii="Times New Roman" w:hAnsi="Times New Roman" w:cs="Times New Roman"/>
          <w:sz w:val="24"/>
          <w:szCs w:val="24"/>
          <w:lang w:val="en-GB"/>
        </w:rPr>
        <w:t xml:space="preserve"> international order (Waltz, 1959; Lebow, 2021). </w:t>
      </w:r>
      <w:r w:rsidR="00B03AEC">
        <w:rPr>
          <w:rFonts w:ascii="Times New Roman" w:hAnsi="Times New Roman" w:cs="Times New Roman"/>
          <w:sz w:val="24"/>
          <w:szCs w:val="24"/>
          <w:lang w:val="en-GB"/>
        </w:rPr>
        <w:t xml:space="preserve"> </w:t>
      </w:r>
      <w:r w:rsidR="00172B1D">
        <w:rPr>
          <w:rFonts w:ascii="Times New Roman" w:hAnsi="Times New Roman" w:cs="Times New Roman"/>
          <w:sz w:val="24"/>
          <w:szCs w:val="24"/>
          <w:lang w:val="en-GB"/>
        </w:rPr>
        <w:t xml:space="preserve">Therefore, it could be concluded that the EU did not alter the rules of the game, but that the game itself has been altered due to recent geopolitical developments. In this developing game, it can be argued that it is too dangerous to change alliances and that these alliances are needed to remain a strong actor. Therefore, the EU did not alter the rules of the game in relation to Qatar as it is too dependent on Qatar in the newly developed game. </w:t>
      </w:r>
      <w:r w:rsidR="005F205B" w:rsidRPr="00742F09">
        <w:rPr>
          <w:u w:val="single"/>
          <w:lang w:val="en-GB"/>
        </w:rPr>
        <w:br w:type="page"/>
      </w:r>
    </w:p>
    <w:p w14:paraId="1F46BA33" w14:textId="2DBC6922" w:rsidR="00BF2FB0" w:rsidRDefault="006A780F" w:rsidP="006A780F">
      <w:pPr>
        <w:pStyle w:val="Kop1"/>
        <w:jc w:val="both"/>
        <w:rPr>
          <w:rFonts w:ascii="Times New Roman" w:hAnsi="Times New Roman" w:cs="Times New Roman"/>
          <w:color w:val="auto"/>
          <w:sz w:val="40"/>
          <w:szCs w:val="40"/>
          <w:lang w:val="en-GB"/>
        </w:rPr>
      </w:pPr>
      <w:bookmarkStart w:id="20" w:name="_Toc169873388"/>
      <w:r w:rsidRPr="006A780F">
        <w:rPr>
          <w:rFonts w:ascii="Times New Roman" w:hAnsi="Times New Roman" w:cs="Times New Roman"/>
          <w:color w:val="auto"/>
          <w:sz w:val="40"/>
          <w:szCs w:val="40"/>
          <w:lang w:val="en-GB"/>
        </w:rPr>
        <w:lastRenderedPageBreak/>
        <w:t>Chapter 5 Conclusion</w:t>
      </w:r>
      <w:r w:rsidR="000D3514">
        <w:rPr>
          <w:rFonts w:ascii="Times New Roman" w:hAnsi="Times New Roman" w:cs="Times New Roman"/>
          <w:color w:val="auto"/>
          <w:sz w:val="40"/>
          <w:szCs w:val="40"/>
          <w:lang w:val="en-GB"/>
        </w:rPr>
        <w:t xml:space="preserve"> and discussion</w:t>
      </w:r>
      <w:bookmarkEnd w:id="20"/>
    </w:p>
    <w:p w14:paraId="72073AD8" w14:textId="1BEBD9DF" w:rsidR="000D3514" w:rsidRPr="000D3514" w:rsidRDefault="000D3514" w:rsidP="000D3514">
      <w:pPr>
        <w:pStyle w:val="Kop2"/>
        <w:rPr>
          <w:rFonts w:ascii="Times New Roman" w:hAnsi="Times New Roman" w:cs="Times New Roman"/>
          <w:color w:val="auto"/>
          <w:u w:val="single"/>
          <w:lang w:val="en-GB"/>
        </w:rPr>
      </w:pPr>
      <w:bookmarkStart w:id="21" w:name="_Toc169873389"/>
      <w:r>
        <w:rPr>
          <w:rFonts w:ascii="Times New Roman" w:hAnsi="Times New Roman" w:cs="Times New Roman"/>
          <w:color w:val="auto"/>
          <w:u w:val="single"/>
          <w:lang w:val="en-GB"/>
        </w:rPr>
        <w:t>5.1 Conclusion of this thesis</w:t>
      </w:r>
      <w:bookmarkEnd w:id="21"/>
    </w:p>
    <w:p w14:paraId="6AB789E0" w14:textId="1C9E9959" w:rsidR="006A780F" w:rsidRDefault="009175A1" w:rsidP="009175A1">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This thesis tried to answer the following research question:</w:t>
      </w:r>
    </w:p>
    <w:p w14:paraId="3A313725" w14:textId="77777777" w:rsidR="001F20A7" w:rsidRDefault="001F20A7" w:rsidP="001F20A7">
      <w:pPr>
        <w:spacing w:after="0" w:line="360" w:lineRule="auto"/>
        <w:jc w:val="both"/>
        <w:rPr>
          <w:rFonts w:ascii="Times New Roman" w:eastAsia="Times New Roman" w:hAnsi="Times New Roman" w:cs="Times New Roman"/>
          <w:sz w:val="24"/>
          <w:szCs w:val="24"/>
          <w:lang w:val="en-GB"/>
        </w:rPr>
      </w:pPr>
      <w:r w:rsidRPr="40EE5880">
        <w:rPr>
          <w:rFonts w:ascii="Times New Roman" w:eastAsia="Times New Roman" w:hAnsi="Times New Roman" w:cs="Times New Roman"/>
          <w:i/>
          <w:iCs/>
          <w:sz w:val="24"/>
          <w:szCs w:val="24"/>
          <w:lang w:val="en-GB"/>
        </w:rPr>
        <w:t xml:space="preserve">How has Qatargate influenced the relationship between Qatar/the Gulf States and the European Union? </w:t>
      </w:r>
      <w:r w:rsidRPr="40EE5880">
        <w:rPr>
          <w:rFonts w:ascii="Times New Roman" w:eastAsia="Times New Roman" w:hAnsi="Times New Roman" w:cs="Times New Roman"/>
          <w:sz w:val="24"/>
          <w:szCs w:val="24"/>
          <w:lang w:val="en-GB"/>
        </w:rPr>
        <w:t xml:space="preserve"> </w:t>
      </w:r>
    </w:p>
    <w:p w14:paraId="3A49BF00" w14:textId="5FF52AFA" w:rsidR="001F20A7" w:rsidRDefault="001F20A7" w:rsidP="009175A1">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In order to answer this question, this thesis</w:t>
      </w:r>
      <w:r w:rsidR="001B5B32">
        <w:rPr>
          <w:rFonts w:ascii="Times New Roman" w:hAnsi="Times New Roman" w:cs="Times New Roman"/>
          <w:sz w:val="24"/>
          <w:szCs w:val="24"/>
          <w:lang w:val="en-GB"/>
        </w:rPr>
        <w:t xml:space="preserve"> drew up a causal model that consist</w:t>
      </w:r>
      <w:r w:rsidR="0042504F">
        <w:rPr>
          <w:rFonts w:ascii="Times New Roman" w:hAnsi="Times New Roman" w:cs="Times New Roman"/>
          <w:sz w:val="24"/>
          <w:szCs w:val="24"/>
          <w:lang w:val="en-GB"/>
        </w:rPr>
        <w:t>s</w:t>
      </w:r>
      <w:r w:rsidR="001B5B32">
        <w:rPr>
          <w:rFonts w:ascii="Times New Roman" w:hAnsi="Times New Roman" w:cs="Times New Roman"/>
          <w:sz w:val="24"/>
          <w:szCs w:val="24"/>
          <w:lang w:val="en-GB"/>
        </w:rPr>
        <w:t xml:space="preserve"> of the following steps:</w:t>
      </w:r>
    </w:p>
    <w:p w14:paraId="04456F41" w14:textId="77777777" w:rsidR="000D3514" w:rsidRPr="00444621" w:rsidRDefault="000D3514" w:rsidP="000D3514">
      <w:pPr>
        <w:pStyle w:val="Lijstalinea"/>
        <w:numPr>
          <w:ilvl w:val="0"/>
          <w:numId w:val="7"/>
        </w:numPr>
        <w:spacing w:line="360" w:lineRule="auto"/>
        <w:jc w:val="both"/>
        <w:rPr>
          <w:rFonts w:ascii="Times New Roman" w:hAnsi="Times New Roman" w:cs="Times New Roman"/>
          <w:sz w:val="24"/>
          <w:szCs w:val="24"/>
          <w:lang w:val="en-GB"/>
        </w:rPr>
      </w:pPr>
      <w:r w:rsidRPr="00444621">
        <w:rPr>
          <w:rFonts w:ascii="Times New Roman" w:hAnsi="Times New Roman" w:cs="Times New Roman"/>
          <w:sz w:val="24"/>
          <w:szCs w:val="24"/>
          <w:lang w:val="en-GB"/>
        </w:rPr>
        <w:t>Qatargate is brought to light: the EU sees a loss of reputation as a result of wide media coverage</w:t>
      </w:r>
    </w:p>
    <w:p w14:paraId="76C9C97B" w14:textId="77777777" w:rsidR="000D3514" w:rsidRPr="00444621" w:rsidRDefault="000D3514" w:rsidP="000D3514">
      <w:pPr>
        <w:pStyle w:val="Lijstalinea"/>
        <w:numPr>
          <w:ilvl w:val="0"/>
          <w:numId w:val="7"/>
        </w:numPr>
        <w:spacing w:line="360" w:lineRule="auto"/>
        <w:jc w:val="both"/>
        <w:rPr>
          <w:rFonts w:ascii="Times New Roman" w:hAnsi="Times New Roman" w:cs="Times New Roman"/>
          <w:sz w:val="24"/>
          <w:szCs w:val="24"/>
          <w:lang w:val="en-GB"/>
        </w:rPr>
      </w:pPr>
      <w:r w:rsidRPr="00444621">
        <w:rPr>
          <w:rFonts w:ascii="Times New Roman" w:hAnsi="Times New Roman" w:cs="Times New Roman"/>
          <w:sz w:val="24"/>
          <w:szCs w:val="24"/>
          <w:lang w:val="en-GB"/>
        </w:rPr>
        <w:t>EU officials respond to Qatargate, thereby increasing internal support</w:t>
      </w:r>
    </w:p>
    <w:p w14:paraId="36436EB7" w14:textId="77777777" w:rsidR="000D3514" w:rsidRPr="00444621" w:rsidRDefault="000D3514" w:rsidP="000D3514">
      <w:pPr>
        <w:pStyle w:val="Lijstalinea"/>
        <w:numPr>
          <w:ilvl w:val="0"/>
          <w:numId w:val="7"/>
        </w:numPr>
        <w:spacing w:line="360" w:lineRule="auto"/>
        <w:jc w:val="both"/>
        <w:rPr>
          <w:rFonts w:ascii="Times New Roman" w:hAnsi="Times New Roman" w:cs="Times New Roman"/>
          <w:sz w:val="24"/>
          <w:szCs w:val="24"/>
          <w:lang w:val="en-GB"/>
        </w:rPr>
      </w:pPr>
      <w:r w:rsidRPr="00444621">
        <w:rPr>
          <w:rFonts w:ascii="Times New Roman" w:hAnsi="Times New Roman" w:cs="Times New Roman"/>
          <w:sz w:val="24"/>
          <w:szCs w:val="24"/>
          <w:lang w:val="en-GB"/>
        </w:rPr>
        <w:t>EU institutions initiate a plan to restore credibility and reputation</w:t>
      </w:r>
    </w:p>
    <w:p w14:paraId="53FB4636" w14:textId="77777777" w:rsidR="000D3514" w:rsidRPr="00444621" w:rsidRDefault="000D3514" w:rsidP="000D3514">
      <w:pPr>
        <w:pStyle w:val="Lijstalinea"/>
        <w:numPr>
          <w:ilvl w:val="0"/>
          <w:numId w:val="7"/>
        </w:numPr>
        <w:spacing w:line="360" w:lineRule="auto"/>
        <w:jc w:val="both"/>
        <w:rPr>
          <w:rFonts w:ascii="Times New Roman" w:hAnsi="Times New Roman" w:cs="Times New Roman"/>
          <w:sz w:val="24"/>
          <w:szCs w:val="24"/>
          <w:lang w:val="en-GB"/>
        </w:rPr>
      </w:pPr>
      <w:r w:rsidRPr="00444621">
        <w:rPr>
          <w:rFonts w:ascii="Times New Roman" w:hAnsi="Times New Roman" w:cs="Times New Roman"/>
          <w:sz w:val="24"/>
          <w:szCs w:val="24"/>
          <w:lang w:val="en-GB"/>
        </w:rPr>
        <w:t>Based on the restoration plans, the EU alters the rules of game</w:t>
      </w:r>
      <w:r>
        <w:rPr>
          <w:rFonts w:ascii="Times New Roman" w:hAnsi="Times New Roman" w:cs="Times New Roman"/>
          <w:sz w:val="24"/>
          <w:szCs w:val="24"/>
          <w:lang w:val="en-GB"/>
        </w:rPr>
        <w:t xml:space="preserve"> and constructs a new relationship with Qatar</w:t>
      </w:r>
    </w:p>
    <w:p w14:paraId="63E0623A" w14:textId="7A52806A" w:rsidR="00784B8F" w:rsidRDefault="001913C2" w:rsidP="009175A1">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By means of the method of process tracing, this thesis tried to find evidence to support this mechanism and see whether the relationship between the EU and Qatar did indeed change according to the prediction and the</w:t>
      </w:r>
      <w:r w:rsidR="00EE3490">
        <w:rPr>
          <w:rFonts w:ascii="Times New Roman" w:hAnsi="Times New Roman" w:cs="Times New Roman"/>
          <w:sz w:val="24"/>
          <w:szCs w:val="24"/>
          <w:lang w:val="en-GB"/>
        </w:rPr>
        <w:t xml:space="preserve"> studied</w:t>
      </w:r>
      <w:r>
        <w:rPr>
          <w:rFonts w:ascii="Times New Roman" w:hAnsi="Times New Roman" w:cs="Times New Roman"/>
          <w:sz w:val="24"/>
          <w:szCs w:val="24"/>
          <w:lang w:val="en-GB"/>
        </w:rPr>
        <w:t xml:space="preserve"> literature. Following the analysis, it can be concluded that the relationship between Qatar and the EU did change, but not in the way that was expected and not as severely as expected. </w:t>
      </w:r>
      <w:r w:rsidR="009E61A6">
        <w:rPr>
          <w:rFonts w:ascii="Times New Roman" w:hAnsi="Times New Roman" w:cs="Times New Roman"/>
          <w:sz w:val="24"/>
          <w:szCs w:val="24"/>
          <w:lang w:val="en-GB"/>
        </w:rPr>
        <w:t xml:space="preserve">Qatargate caused an incredible amount of media attention and as expected the EU-institutions did respond to this crisis. </w:t>
      </w:r>
      <w:r w:rsidR="00827606">
        <w:rPr>
          <w:rFonts w:ascii="Times New Roman" w:hAnsi="Times New Roman" w:cs="Times New Roman"/>
          <w:sz w:val="24"/>
          <w:szCs w:val="24"/>
          <w:lang w:val="en-GB"/>
        </w:rPr>
        <w:t>The EU did receive a lot of media attention in which the vast majority of attention was devoted to</w:t>
      </w:r>
      <w:r w:rsidR="00784B8F">
        <w:rPr>
          <w:rFonts w:ascii="Times New Roman" w:hAnsi="Times New Roman" w:cs="Times New Roman"/>
          <w:sz w:val="24"/>
          <w:szCs w:val="24"/>
          <w:lang w:val="en-GB"/>
        </w:rPr>
        <w:t xml:space="preserve"> finding out what exactly happened. However, this was often connected to a certain loss of credibility in</w:t>
      </w:r>
      <w:r w:rsidR="00827606">
        <w:rPr>
          <w:rFonts w:ascii="Times New Roman" w:hAnsi="Times New Roman" w:cs="Times New Roman"/>
          <w:sz w:val="24"/>
          <w:szCs w:val="24"/>
          <w:lang w:val="en-GB"/>
        </w:rPr>
        <w:t xml:space="preserve"> the European democratic institution. </w:t>
      </w:r>
      <w:r w:rsidR="00784B8F">
        <w:rPr>
          <w:rFonts w:ascii="Times New Roman" w:hAnsi="Times New Roman" w:cs="Times New Roman"/>
          <w:sz w:val="24"/>
          <w:szCs w:val="24"/>
          <w:lang w:val="en-GB"/>
        </w:rPr>
        <w:t xml:space="preserve">As a result, the EU-institutions had to respond. The European Parliament did so by a swift and clear response that was initially announced in a speech by Parliament president Roberta Metsola. Following her speech, the EP proposed a fourteen-point-plan to restore the credibility and reputation of the institution. This has so far been successful with the implementation of the plan still going on. Furthermore, it (has up till now) paused all legislation regarding Qatar, making Qatar powerless </w:t>
      </w:r>
      <w:r w:rsidR="00EA343E">
        <w:rPr>
          <w:rFonts w:ascii="Times New Roman" w:hAnsi="Times New Roman" w:cs="Times New Roman"/>
          <w:sz w:val="24"/>
          <w:szCs w:val="24"/>
          <w:lang w:val="en-GB"/>
        </w:rPr>
        <w:t>in regard to</w:t>
      </w:r>
      <w:r w:rsidR="00784B8F">
        <w:rPr>
          <w:rFonts w:ascii="Times New Roman" w:hAnsi="Times New Roman" w:cs="Times New Roman"/>
          <w:sz w:val="24"/>
          <w:szCs w:val="24"/>
          <w:lang w:val="en-GB"/>
        </w:rPr>
        <w:t xml:space="preserve"> the EP. For the EP, therefore, it can be concluded that the hypothesised causal mechanism is correct.</w:t>
      </w:r>
    </w:p>
    <w:p w14:paraId="03CDD101" w14:textId="42CCA5D0" w:rsidR="00784B8F" w:rsidRDefault="00784B8F" w:rsidP="009175A1">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However, a different story has to be told about the European Commission. The EC did not respond to Qatargate at all. In fact, it tried to abstain from involvement as much as possible until it no longer could due to alleged involvement of a Commissioner</w:t>
      </w:r>
      <w:r w:rsidR="00686412">
        <w:rPr>
          <w:rFonts w:ascii="Times New Roman" w:hAnsi="Times New Roman" w:cs="Times New Roman"/>
          <w:sz w:val="24"/>
          <w:szCs w:val="24"/>
          <w:lang w:val="en-GB"/>
        </w:rPr>
        <w:t>, something that the EC tried to keep as quiet as possible.</w:t>
      </w:r>
      <w:r>
        <w:rPr>
          <w:rFonts w:ascii="Times New Roman" w:hAnsi="Times New Roman" w:cs="Times New Roman"/>
          <w:sz w:val="24"/>
          <w:szCs w:val="24"/>
          <w:lang w:val="en-GB"/>
        </w:rPr>
        <w:t xml:space="preserve"> However, due to the fact that the EP paused legislation </w:t>
      </w:r>
      <w:r>
        <w:rPr>
          <w:rFonts w:ascii="Times New Roman" w:hAnsi="Times New Roman" w:cs="Times New Roman"/>
          <w:sz w:val="24"/>
          <w:szCs w:val="24"/>
          <w:lang w:val="en-GB"/>
        </w:rPr>
        <w:lastRenderedPageBreak/>
        <w:t xml:space="preserve">regarding Qatar, the EC could not propose nor continue any legislation regarding Qatar. </w:t>
      </w:r>
      <w:r w:rsidR="00686412">
        <w:rPr>
          <w:rFonts w:ascii="Times New Roman" w:hAnsi="Times New Roman" w:cs="Times New Roman"/>
          <w:sz w:val="24"/>
          <w:szCs w:val="24"/>
          <w:lang w:val="en-GB"/>
        </w:rPr>
        <w:t xml:space="preserve">Besides the proposal for an interinstitutional ethics body, the EC has not proposed any legislation to deal with the consequences of Qatargate, especially not in the area of the international relations. Therefore, the rules of the game have not been altered that much. In fact, it could even be argued that the strategy of mutual neglect has been put back into place given the developments in geopolitics. The Russian invasion in Ukraine and the dependency on Qatari energy supplies and the role that Qatar plays in providing aid and negotiating in the ongoing war between Israel and Hamas have made the EU more dependent on Qatar. However, given e.g. Qatargate and the ongoing violation of principles of human rights, it is likely that the EU has chosen to stick to the strategy of mutual neglect again as the role of Qatar in the complex, geopolitical world of today is of too much importance. </w:t>
      </w:r>
    </w:p>
    <w:p w14:paraId="058064AB" w14:textId="4C17E6D7" w:rsidR="00686412" w:rsidRDefault="00686412" w:rsidP="009175A1">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Therefore, when trying to answer the question how Qatargate has actually influenced the relationship between Qatar and the EU, the answer is two-folded. </w:t>
      </w:r>
      <w:r w:rsidR="0074265F">
        <w:rPr>
          <w:rFonts w:ascii="Times New Roman" w:hAnsi="Times New Roman" w:cs="Times New Roman"/>
          <w:sz w:val="24"/>
          <w:szCs w:val="24"/>
          <w:lang w:val="en-GB"/>
        </w:rPr>
        <w:t xml:space="preserve">Qatargate has stopped the process of closing interactions between the EU and Qatar and has caused for more precautionary measures, especially at the side of the EP. On the other hand, the relationship has not changed that much as the complex geopolitical world of today has caused the role and importance of Qatar to the EU to grow, meaning that the EU is forced to cooperate with </w:t>
      </w:r>
      <w:r w:rsidR="00EA343E">
        <w:rPr>
          <w:rFonts w:ascii="Times New Roman" w:hAnsi="Times New Roman" w:cs="Times New Roman"/>
          <w:sz w:val="24"/>
          <w:szCs w:val="24"/>
          <w:lang w:val="en-GB"/>
        </w:rPr>
        <w:t>Qatar.</w:t>
      </w:r>
      <w:r w:rsidR="0087683F">
        <w:rPr>
          <w:rFonts w:ascii="Times New Roman" w:hAnsi="Times New Roman" w:cs="Times New Roman"/>
          <w:sz w:val="24"/>
          <w:szCs w:val="24"/>
          <w:lang w:val="en-GB"/>
        </w:rPr>
        <w:t xml:space="preserve"> </w:t>
      </w:r>
      <w:r w:rsidR="002B758F">
        <w:rPr>
          <w:rFonts w:ascii="Times New Roman" w:hAnsi="Times New Roman" w:cs="Times New Roman"/>
          <w:sz w:val="24"/>
          <w:szCs w:val="24"/>
          <w:lang w:val="en-GB"/>
        </w:rPr>
        <w:t xml:space="preserve">In that sense, it can be concluded that the strategy of mutual neglect has never been completely thrown overboard as the EU is too dependent on Qatar, especially in the light of the instable political reality of today. </w:t>
      </w:r>
      <w:r w:rsidR="00706C2E">
        <w:rPr>
          <w:rFonts w:ascii="Times New Roman" w:hAnsi="Times New Roman" w:cs="Times New Roman"/>
          <w:sz w:val="24"/>
          <w:szCs w:val="24"/>
          <w:lang w:val="en-GB"/>
        </w:rPr>
        <w:t>As stated before, the rules of the game have not necessarily been altered, but the game itself (in other words, the current international political environment) has changed so much that it appears that it makes more sense to stick to known partners and allies instead of changing the partners you want to play the game with.</w:t>
      </w:r>
    </w:p>
    <w:p w14:paraId="58334B4E" w14:textId="00C2F07F" w:rsidR="007A5E2F" w:rsidRDefault="007A5E2F" w:rsidP="007A5E2F">
      <w:pPr>
        <w:pStyle w:val="Kop2"/>
        <w:rPr>
          <w:rFonts w:ascii="Times New Roman" w:hAnsi="Times New Roman" w:cs="Times New Roman"/>
          <w:color w:val="auto"/>
          <w:u w:val="single"/>
          <w:lang w:val="en-GB"/>
        </w:rPr>
      </w:pPr>
      <w:bookmarkStart w:id="22" w:name="_Toc169873390"/>
      <w:r>
        <w:rPr>
          <w:rFonts w:ascii="Times New Roman" w:hAnsi="Times New Roman" w:cs="Times New Roman"/>
          <w:color w:val="auto"/>
          <w:u w:val="single"/>
          <w:lang w:val="en-GB"/>
        </w:rPr>
        <w:t>5.2 Discussion and suggestions</w:t>
      </w:r>
      <w:bookmarkEnd w:id="22"/>
    </w:p>
    <w:p w14:paraId="14B24272" w14:textId="77777777" w:rsidR="00C45743" w:rsidRDefault="0023489A" w:rsidP="007A5E2F">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With the answer to the research question, it is now necessary to look at the relevance of the results and the </w:t>
      </w:r>
      <w:r w:rsidR="000B36B1">
        <w:rPr>
          <w:rFonts w:ascii="Times New Roman" w:hAnsi="Times New Roman" w:cs="Times New Roman"/>
          <w:sz w:val="24"/>
          <w:szCs w:val="24"/>
          <w:lang w:val="en-GB"/>
        </w:rPr>
        <w:t xml:space="preserve">relevance of the conclusion. </w:t>
      </w:r>
      <w:r w:rsidR="00C55BC3">
        <w:rPr>
          <w:rFonts w:ascii="Times New Roman" w:hAnsi="Times New Roman" w:cs="Times New Roman"/>
          <w:sz w:val="24"/>
          <w:szCs w:val="24"/>
          <w:lang w:val="en-GB"/>
        </w:rPr>
        <w:t xml:space="preserve">To start off with the results, they are relevant in the sense that they add to the literature on reputation. Especially the parts about the EP are in line with the literature. Moreover, this thesis adds the idea that reputation is important for a democratically chosen institution, especially when that institution is already confronted with issues regarding its legitimacy. Furthermore, the results add to the marginal field of the strategy of mutual neglect by reaffirming its explanatory power in </w:t>
      </w:r>
      <w:r w:rsidR="00C45743">
        <w:rPr>
          <w:rFonts w:ascii="Times New Roman" w:hAnsi="Times New Roman" w:cs="Times New Roman"/>
          <w:sz w:val="24"/>
          <w:szCs w:val="24"/>
          <w:lang w:val="en-GB"/>
        </w:rPr>
        <w:t xml:space="preserve">trying to explain the foundation underneath the relationship between Qatar and the EU. </w:t>
      </w:r>
    </w:p>
    <w:p w14:paraId="3CEE5744" w14:textId="194F6400" w:rsidR="007A5E2F" w:rsidRDefault="00C45743" w:rsidP="007A5E2F">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lastRenderedPageBreak/>
        <w:t xml:space="preserve">When looking at the relevance of the conclusion, it can be stated that this thesis confirms the idea that international relations is very unpredictable. As this thesis shows, theories have a certain limited explanatory power. The explanatory power decreases even further when the context of the case is so sensitive to geopolitical developments. However, this thesis also reaffirms the idea that international relations and behaviour by actors within these international relations are not random or irrational. In fact, this thesis shows that even complex, multi-level actors like the EU adhere to a certain rationality in times of crises that can be expressed by theories such as mutual neglect or reputation theories. </w:t>
      </w:r>
      <w:r w:rsidR="002170AF">
        <w:rPr>
          <w:rFonts w:ascii="Times New Roman" w:hAnsi="Times New Roman" w:cs="Times New Roman"/>
          <w:sz w:val="24"/>
          <w:szCs w:val="24"/>
          <w:lang w:val="en-GB"/>
        </w:rPr>
        <w:t xml:space="preserve">However, </w:t>
      </w:r>
      <w:r w:rsidR="00DF5175">
        <w:rPr>
          <w:rFonts w:ascii="Times New Roman" w:hAnsi="Times New Roman" w:cs="Times New Roman"/>
          <w:sz w:val="24"/>
          <w:szCs w:val="24"/>
          <w:lang w:val="en-GB"/>
        </w:rPr>
        <w:t>w</w:t>
      </w:r>
      <w:r w:rsidR="002170AF">
        <w:rPr>
          <w:rFonts w:ascii="Times New Roman" w:hAnsi="Times New Roman" w:cs="Times New Roman"/>
          <w:sz w:val="24"/>
          <w:szCs w:val="24"/>
          <w:lang w:val="en-GB"/>
        </w:rPr>
        <w:t xml:space="preserve">hen looking back at the discussed scientific relevance of this thesis in chapter 1, </w:t>
      </w:r>
      <w:r w:rsidR="00E95806">
        <w:rPr>
          <w:rFonts w:ascii="Times New Roman" w:hAnsi="Times New Roman" w:cs="Times New Roman"/>
          <w:sz w:val="24"/>
          <w:szCs w:val="24"/>
          <w:lang w:val="en-GB"/>
        </w:rPr>
        <w:t xml:space="preserve">it can be concluded that this thesis did provide answers to why the relationship changed in the way it did. It was capable of showing that ideas of reputation </w:t>
      </w:r>
      <w:r w:rsidR="001F4F4B">
        <w:rPr>
          <w:rFonts w:ascii="Times New Roman" w:hAnsi="Times New Roman" w:cs="Times New Roman"/>
          <w:sz w:val="24"/>
          <w:szCs w:val="24"/>
          <w:lang w:val="en-GB"/>
        </w:rPr>
        <w:t xml:space="preserve">and accountability (Bovens, 2007; Busuioc and Lodge, </w:t>
      </w:r>
      <w:r w:rsidR="000D72C7">
        <w:rPr>
          <w:rFonts w:ascii="Times New Roman" w:hAnsi="Times New Roman" w:cs="Times New Roman"/>
          <w:sz w:val="24"/>
          <w:szCs w:val="24"/>
          <w:lang w:val="en-GB"/>
        </w:rPr>
        <w:t>2016) are dominant factors that drive behaviour of EU institutions</w:t>
      </w:r>
      <w:r w:rsidR="00DF5175">
        <w:rPr>
          <w:rFonts w:ascii="Times New Roman" w:hAnsi="Times New Roman" w:cs="Times New Roman"/>
          <w:sz w:val="24"/>
          <w:szCs w:val="24"/>
          <w:lang w:val="en-GB"/>
        </w:rPr>
        <w:t xml:space="preserve">, factors that are often neglected or </w:t>
      </w:r>
      <w:r w:rsidR="00FE7978">
        <w:rPr>
          <w:rFonts w:ascii="Times New Roman" w:hAnsi="Times New Roman" w:cs="Times New Roman"/>
          <w:sz w:val="24"/>
          <w:szCs w:val="24"/>
          <w:lang w:val="en-GB"/>
        </w:rPr>
        <w:t>not given considerable attention when looking at the field of international relations.</w:t>
      </w:r>
    </w:p>
    <w:p w14:paraId="6D06DBFE" w14:textId="1F962C58" w:rsidR="00FE7978" w:rsidRDefault="00FE7978" w:rsidP="007A5E2F">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When looking at the results</w:t>
      </w:r>
      <w:r w:rsidR="00794D65">
        <w:rPr>
          <w:rFonts w:ascii="Times New Roman" w:hAnsi="Times New Roman" w:cs="Times New Roman"/>
          <w:sz w:val="24"/>
          <w:szCs w:val="24"/>
          <w:lang w:val="en-GB"/>
        </w:rPr>
        <w:t xml:space="preserve"> and the conclusion</w:t>
      </w:r>
      <w:r>
        <w:rPr>
          <w:rFonts w:ascii="Times New Roman" w:hAnsi="Times New Roman" w:cs="Times New Roman"/>
          <w:sz w:val="24"/>
          <w:szCs w:val="24"/>
          <w:lang w:val="en-GB"/>
        </w:rPr>
        <w:t xml:space="preserve"> in the light of </w:t>
      </w:r>
      <w:r w:rsidR="00794D65">
        <w:rPr>
          <w:rFonts w:ascii="Times New Roman" w:hAnsi="Times New Roman" w:cs="Times New Roman"/>
          <w:sz w:val="24"/>
          <w:szCs w:val="24"/>
          <w:lang w:val="en-GB"/>
        </w:rPr>
        <w:t xml:space="preserve">social relevance of this thesis, it can be safely concluded </w:t>
      </w:r>
      <w:r w:rsidR="009034F3">
        <w:rPr>
          <w:rFonts w:ascii="Times New Roman" w:hAnsi="Times New Roman" w:cs="Times New Roman"/>
          <w:sz w:val="24"/>
          <w:szCs w:val="24"/>
          <w:lang w:val="en-GB"/>
        </w:rPr>
        <w:t>that the result that reputation is a driver behind actions of democratically elected institution</w:t>
      </w:r>
      <w:r w:rsidR="00D902D9">
        <w:rPr>
          <w:rFonts w:ascii="Times New Roman" w:hAnsi="Times New Roman" w:cs="Times New Roman"/>
          <w:sz w:val="24"/>
          <w:szCs w:val="24"/>
          <w:lang w:val="en-GB"/>
        </w:rPr>
        <w:t>s in the EU and that, therefore, reputation must be taken into account when dealing with e.g. the EP. It, thus, adds to the predi</w:t>
      </w:r>
      <w:r w:rsidR="006C25A1">
        <w:rPr>
          <w:rFonts w:ascii="Times New Roman" w:hAnsi="Times New Roman" w:cs="Times New Roman"/>
          <w:sz w:val="24"/>
          <w:szCs w:val="24"/>
          <w:lang w:val="en-GB"/>
        </w:rPr>
        <w:t xml:space="preserve">ctability of the EP. Furthermore, the conclusion that the game has altered instead of the rules of the </w:t>
      </w:r>
      <w:r w:rsidR="007A7B3F">
        <w:rPr>
          <w:rFonts w:ascii="Times New Roman" w:hAnsi="Times New Roman" w:cs="Times New Roman"/>
          <w:sz w:val="24"/>
          <w:szCs w:val="24"/>
          <w:lang w:val="en-GB"/>
        </w:rPr>
        <w:t xml:space="preserve">game is also of societal relevance as it adds a new perspective on the current political situation. </w:t>
      </w:r>
      <w:r w:rsidR="00FA0964">
        <w:rPr>
          <w:rFonts w:ascii="Times New Roman" w:hAnsi="Times New Roman" w:cs="Times New Roman"/>
          <w:sz w:val="24"/>
          <w:szCs w:val="24"/>
          <w:lang w:val="en-GB"/>
        </w:rPr>
        <w:t xml:space="preserve">It, namely, implies that actors have to understand the rules of the current game before they even think of altering the game. This is </w:t>
      </w:r>
      <w:r w:rsidR="001E26BF">
        <w:rPr>
          <w:rFonts w:ascii="Times New Roman" w:hAnsi="Times New Roman" w:cs="Times New Roman"/>
          <w:sz w:val="24"/>
          <w:szCs w:val="24"/>
          <w:lang w:val="en-GB"/>
        </w:rPr>
        <w:t>shown in this thesis by the fact that the EU chose to stick to the strategy of mutual neglect instead of altering its position to a more NPE-oriented attitude</w:t>
      </w:r>
      <w:r w:rsidR="004C18BF">
        <w:rPr>
          <w:rFonts w:ascii="Times New Roman" w:hAnsi="Times New Roman" w:cs="Times New Roman"/>
          <w:sz w:val="24"/>
          <w:szCs w:val="24"/>
          <w:lang w:val="en-GB"/>
        </w:rPr>
        <w:t xml:space="preserve">. In conclusion, states </w:t>
      </w:r>
      <w:r w:rsidR="002D7161">
        <w:rPr>
          <w:rFonts w:ascii="Times New Roman" w:hAnsi="Times New Roman" w:cs="Times New Roman"/>
          <w:sz w:val="24"/>
          <w:szCs w:val="24"/>
          <w:lang w:val="en-GB"/>
        </w:rPr>
        <w:t xml:space="preserve">and other societal actors have a deeper insight into the complexities of the current international system, making it (a bit) easier to develop a strategy to adopt in this insecure world. </w:t>
      </w:r>
    </w:p>
    <w:p w14:paraId="1B241AC1" w14:textId="46708AAE" w:rsidR="00C45743" w:rsidRDefault="00C45743" w:rsidP="007A5E2F">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However, this study also has its limitations. As it is a master thesis, there is limited time and resources to fully dive into the data and make a more detailed description of motives and motivations by every actor. Furthermore, data collection is also restricted for this thesis as actors are not likely to give away their exact considerations and motives. This implies that this thesis is mostly reliant on secondary data such as reconstructions by media</w:t>
      </w:r>
      <w:r w:rsidR="00AB3E44">
        <w:rPr>
          <w:rFonts w:ascii="Times New Roman" w:hAnsi="Times New Roman" w:cs="Times New Roman"/>
          <w:sz w:val="24"/>
          <w:szCs w:val="24"/>
          <w:lang w:val="en-GB"/>
        </w:rPr>
        <w:t xml:space="preserve">. Consequently, data and events have already been interpreted and processed by an actor, making it less reliable than when the primary data could be used for research.  </w:t>
      </w:r>
      <w:r w:rsidR="00093959">
        <w:rPr>
          <w:rFonts w:ascii="Times New Roman" w:hAnsi="Times New Roman" w:cs="Times New Roman"/>
          <w:sz w:val="24"/>
          <w:szCs w:val="24"/>
          <w:lang w:val="en-GB"/>
        </w:rPr>
        <w:t xml:space="preserve">A final limitation that has to be mentioned is the fact that the chosen case still remains a very unique case. Although this has been discussed </w:t>
      </w:r>
      <w:r w:rsidR="00093959">
        <w:rPr>
          <w:rFonts w:ascii="Times New Roman" w:hAnsi="Times New Roman" w:cs="Times New Roman"/>
          <w:sz w:val="24"/>
          <w:szCs w:val="24"/>
          <w:lang w:val="en-GB"/>
        </w:rPr>
        <w:lastRenderedPageBreak/>
        <w:t xml:space="preserve">in the methodology section as well, the results still confirm that the case is so unique that it remains difficult to draw general conclusions about the case and observed phenomena. </w:t>
      </w:r>
    </w:p>
    <w:p w14:paraId="5903E236" w14:textId="0865D0F5" w:rsidR="00093959" w:rsidRDefault="00093959" w:rsidP="007A5E2F">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With the study having its limitations, it also means that there are suggestions for future research. </w:t>
      </w:r>
      <w:r w:rsidR="003F1690">
        <w:rPr>
          <w:rFonts w:ascii="Times New Roman" w:hAnsi="Times New Roman" w:cs="Times New Roman"/>
          <w:sz w:val="24"/>
          <w:szCs w:val="24"/>
          <w:lang w:val="en-GB"/>
        </w:rPr>
        <w:t>T</w:t>
      </w:r>
      <w:r w:rsidR="00961D9C">
        <w:rPr>
          <w:rFonts w:ascii="Times New Roman" w:hAnsi="Times New Roman" w:cs="Times New Roman"/>
          <w:sz w:val="24"/>
          <w:szCs w:val="24"/>
          <w:lang w:val="en-GB"/>
        </w:rPr>
        <w:t>h</w:t>
      </w:r>
      <w:r w:rsidR="003F1690">
        <w:rPr>
          <w:rFonts w:ascii="Times New Roman" w:hAnsi="Times New Roman" w:cs="Times New Roman"/>
          <w:sz w:val="24"/>
          <w:szCs w:val="24"/>
          <w:lang w:val="en-GB"/>
        </w:rPr>
        <w:t>ese suggestions have already been mentioned throughout the empirical a</w:t>
      </w:r>
      <w:r w:rsidR="009B50C3">
        <w:rPr>
          <w:rFonts w:ascii="Times New Roman" w:hAnsi="Times New Roman" w:cs="Times New Roman"/>
          <w:sz w:val="24"/>
          <w:szCs w:val="24"/>
          <w:lang w:val="en-GB"/>
        </w:rPr>
        <w:t xml:space="preserve">nalysis, </w:t>
      </w:r>
      <w:r w:rsidR="005614DA">
        <w:rPr>
          <w:rFonts w:ascii="Times New Roman" w:hAnsi="Times New Roman" w:cs="Times New Roman"/>
          <w:sz w:val="24"/>
          <w:szCs w:val="24"/>
          <w:lang w:val="en-GB"/>
        </w:rPr>
        <w:t xml:space="preserve">but they will be </w:t>
      </w:r>
      <w:r w:rsidR="00EA1B3C">
        <w:rPr>
          <w:rFonts w:ascii="Times New Roman" w:hAnsi="Times New Roman" w:cs="Times New Roman"/>
          <w:sz w:val="24"/>
          <w:szCs w:val="24"/>
          <w:lang w:val="en-GB"/>
        </w:rPr>
        <w:t xml:space="preserve">mentioned and explained </w:t>
      </w:r>
      <w:r w:rsidR="002322EC">
        <w:rPr>
          <w:rFonts w:ascii="Times New Roman" w:hAnsi="Times New Roman" w:cs="Times New Roman"/>
          <w:sz w:val="24"/>
          <w:szCs w:val="24"/>
          <w:lang w:val="en-GB"/>
        </w:rPr>
        <w:t xml:space="preserve">shortly </w:t>
      </w:r>
      <w:r w:rsidR="000611E5">
        <w:rPr>
          <w:rFonts w:ascii="Times New Roman" w:hAnsi="Times New Roman" w:cs="Times New Roman"/>
          <w:sz w:val="24"/>
          <w:szCs w:val="24"/>
          <w:lang w:val="en-GB"/>
        </w:rPr>
        <w:t xml:space="preserve">here again. A first suggestion for further research </w:t>
      </w:r>
      <w:r w:rsidR="007778F4">
        <w:rPr>
          <w:rFonts w:ascii="Times New Roman" w:hAnsi="Times New Roman" w:cs="Times New Roman"/>
          <w:sz w:val="24"/>
          <w:szCs w:val="24"/>
          <w:lang w:val="en-GB"/>
        </w:rPr>
        <w:t xml:space="preserve">would be the </w:t>
      </w:r>
      <w:r w:rsidR="00574D74">
        <w:rPr>
          <w:rFonts w:ascii="Times New Roman" w:hAnsi="Times New Roman" w:cs="Times New Roman"/>
          <w:sz w:val="24"/>
          <w:szCs w:val="24"/>
          <w:lang w:val="en-GB"/>
        </w:rPr>
        <w:t xml:space="preserve">reason behind the bickering of the EP party groups </w:t>
      </w:r>
      <w:r w:rsidR="00491125">
        <w:rPr>
          <w:rFonts w:ascii="Times New Roman" w:hAnsi="Times New Roman" w:cs="Times New Roman"/>
          <w:sz w:val="24"/>
          <w:szCs w:val="24"/>
          <w:lang w:val="en-GB"/>
        </w:rPr>
        <w:t xml:space="preserve">after the discovery of Qatargate. As stated before, it is strange to notice </w:t>
      </w:r>
      <w:r w:rsidR="00445371">
        <w:rPr>
          <w:rFonts w:ascii="Times New Roman" w:hAnsi="Times New Roman" w:cs="Times New Roman"/>
          <w:sz w:val="24"/>
          <w:szCs w:val="24"/>
          <w:lang w:val="en-GB"/>
        </w:rPr>
        <w:t xml:space="preserve">that </w:t>
      </w:r>
      <w:r w:rsidR="003A0171">
        <w:rPr>
          <w:rFonts w:ascii="Times New Roman" w:hAnsi="Times New Roman" w:cs="Times New Roman"/>
          <w:sz w:val="24"/>
          <w:szCs w:val="24"/>
          <w:lang w:val="en-GB"/>
        </w:rPr>
        <w:t xml:space="preserve">the party groups are bickering when unity would </w:t>
      </w:r>
      <w:r w:rsidR="005C0886">
        <w:rPr>
          <w:rFonts w:ascii="Times New Roman" w:hAnsi="Times New Roman" w:cs="Times New Roman"/>
          <w:sz w:val="24"/>
          <w:szCs w:val="24"/>
          <w:lang w:val="en-GB"/>
        </w:rPr>
        <w:t>merely benefit their cause (</w:t>
      </w:r>
      <w:r w:rsidR="002D5DB8">
        <w:rPr>
          <w:rFonts w:ascii="Times New Roman" w:hAnsi="Times New Roman" w:cs="Times New Roman"/>
          <w:sz w:val="24"/>
          <w:szCs w:val="24"/>
          <w:lang w:val="en-GB"/>
        </w:rPr>
        <w:t xml:space="preserve">Bovens, 2007: Busuioc and Lodge, 2016). </w:t>
      </w:r>
      <w:r w:rsidR="00E61874">
        <w:rPr>
          <w:rFonts w:ascii="Times New Roman" w:hAnsi="Times New Roman" w:cs="Times New Roman"/>
          <w:sz w:val="24"/>
          <w:szCs w:val="24"/>
          <w:lang w:val="en-GB"/>
        </w:rPr>
        <w:t xml:space="preserve">Furthermore, </w:t>
      </w:r>
      <w:r w:rsidR="004F19E3">
        <w:rPr>
          <w:rFonts w:ascii="Times New Roman" w:hAnsi="Times New Roman" w:cs="Times New Roman"/>
          <w:sz w:val="24"/>
          <w:szCs w:val="24"/>
          <w:lang w:val="en-GB"/>
        </w:rPr>
        <w:t>elections are far away so electoral opportunism seems to be an illogical reason as well. Therefore, it would be interesting to investigate what drives this bickering.</w:t>
      </w:r>
    </w:p>
    <w:p w14:paraId="429A2603" w14:textId="3AF6026C" w:rsidR="004F19E3" w:rsidRDefault="004F19E3" w:rsidP="007A5E2F">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Another suggestion for further research </w:t>
      </w:r>
      <w:r w:rsidR="00FE66B0">
        <w:rPr>
          <w:rFonts w:ascii="Times New Roman" w:hAnsi="Times New Roman" w:cs="Times New Roman"/>
          <w:sz w:val="24"/>
          <w:szCs w:val="24"/>
          <w:lang w:val="en-GB"/>
        </w:rPr>
        <w:t xml:space="preserve">would be the further investigation of the </w:t>
      </w:r>
      <w:r w:rsidR="00C21487">
        <w:rPr>
          <w:rFonts w:ascii="Times New Roman" w:hAnsi="Times New Roman" w:cs="Times New Roman"/>
          <w:sz w:val="24"/>
          <w:szCs w:val="24"/>
          <w:lang w:val="en-GB"/>
        </w:rPr>
        <w:t xml:space="preserve">rally round the flag effect. </w:t>
      </w:r>
      <w:r w:rsidR="00972FC2">
        <w:rPr>
          <w:rFonts w:ascii="Times New Roman" w:hAnsi="Times New Roman" w:cs="Times New Roman"/>
          <w:sz w:val="24"/>
          <w:szCs w:val="24"/>
          <w:lang w:val="en-GB"/>
        </w:rPr>
        <w:t>For the EP</w:t>
      </w:r>
      <w:r w:rsidR="0032126A">
        <w:rPr>
          <w:rFonts w:ascii="Times New Roman" w:hAnsi="Times New Roman" w:cs="Times New Roman"/>
          <w:sz w:val="24"/>
          <w:szCs w:val="24"/>
          <w:lang w:val="en-GB"/>
        </w:rPr>
        <w:t xml:space="preserve">, it seems that the rally round the flag effect is partially present, whereas it </w:t>
      </w:r>
      <w:r w:rsidR="00D73AB3">
        <w:rPr>
          <w:rFonts w:ascii="Times New Roman" w:hAnsi="Times New Roman" w:cs="Times New Roman"/>
          <w:sz w:val="24"/>
          <w:szCs w:val="24"/>
          <w:lang w:val="en-GB"/>
        </w:rPr>
        <w:t xml:space="preserve">seems to be completely absent in the EC. </w:t>
      </w:r>
      <w:r w:rsidR="004F3F06">
        <w:rPr>
          <w:rFonts w:ascii="Times New Roman" w:hAnsi="Times New Roman" w:cs="Times New Roman"/>
          <w:sz w:val="24"/>
          <w:szCs w:val="24"/>
          <w:lang w:val="en-GB"/>
        </w:rPr>
        <w:t xml:space="preserve">Therefore, </w:t>
      </w:r>
      <w:r w:rsidR="0069323A">
        <w:rPr>
          <w:rFonts w:ascii="Times New Roman" w:hAnsi="Times New Roman" w:cs="Times New Roman"/>
          <w:sz w:val="24"/>
          <w:szCs w:val="24"/>
          <w:lang w:val="en-GB"/>
        </w:rPr>
        <w:t xml:space="preserve">it would be interesting to investigate </w:t>
      </w:r>
      <w:r w:rsidR="00AE403B">
        <w:rPr>
          <w:rFonts w:ascii="Times New Roman" w:hAnsi="Times New Roman" w:cs="Times New Roman"/>
          <w:sz w:val="24"/>
          <w:szCs w:val="24"/>
          <w:lang w:val="en-GB"/>
        </w:rPr>
        <w:t>how the rally round the flag effect</w:t>
      </w:r>
      <w:r w:rsidR="00364730">
        <w:rPr>
          <w:rFonts w:ascii="Times New Roman" w:hAnsi="Times New Roman" w:cs="Times New Roman"/>
          <w:sz w:val="24"/>
          <w:szCs w:val="24"/>
          <w:lang w:val="en-GB"/>
        </w:rPr>
        <w:t xml:space="preserve"> further works in the context of the EU, especially within the different institutions and how these institutions relate to each other. </w:t>
      </w:r>
      <w:r w:rsidR="002B758F">
        <w:rPr>
          <w:rFonts w:ascii="Times New Roman" w:hAnsi="Times New Roman" w:cs="Times New Roman"/>
          <w:sz w:val="24"/>
          <w:szCs w:val="24"/>
          <w:lang w:val="en-GB"/>
        </w:rPr>
        <w:t xml:space="preserve">In that light, it would also be interesting to devote more time and attention to how the EC works and responds in times of crises, especially when the crises concerns the position of the EC and other institutions. Theories are, as this thesis has shown, not capable of rationally explaining why the EC acted in the way it did and abstained from a response. Therefore, it would be interesting to dive deeper into the dynamics of the EC and see how the institution works in times of such crises. </w:t>
      </w:r>
    </w:p>
    <w:p w14:paraId="70224ABD" w14:textId="77777777" w:rsidR="00364730" w:rsidRDefault="00364730" w:rsidP="007A5E2F">
      <w:pPr>
        <w:spacing w:line="360" w:lineRule="auto"/>
        <w:jc w:val="both"/>
        <w:rPr>
          <w:rFonts w:ascii="Times New Roman" w:hAnsi="Times New Roman" w:cs="Times New Roman"/>
          <w:sz w:val="24"/>
          <w:szCs w:val="24"/>
          <w:lang w:val="en-GB"/>
        </w:rPr>
      </w:pPr>
    </w:p>
    <w:p w14:paraId="1C231A6E" w14:textId="77777777" w:rsidR="00093959" w:rsidRPr="007A5E2F" w:rsidRDefault="00093959" w:rsidP="007A5E2F">
      <w:pPr>
        <w:spacing w:line="360" w:lineRule="auto"/>
        <w:jc w:val="both"/>
        <w:rPr>
          <w:rFonts w:ascii="Times New Roman" w:hAnsi="Times New Roman" w:cs="Times New Roman"/>
          <w:sz w:val="24"/>
          <w:szCs w:val="24"/>
          <w:lang w:val="en-GB"/>
        </w:rPr>
      </w:pPr>
    </w:p>
    <w:p w14:paraId="633E30A7" w14:textId="77777777" w:rsidR="001B5B32" w:rsidRDefault="001B5B32" w:rsidP="009175A1">
      <w:pPr>
        <w:spacing w:line="360" w:lineRule="auto"/>
        <w:jc w:val="both"/>
        <w:rPr>
          <w:rFonts w:ascii="Times New Roman" w:hAnsi="Times New Roman" w:cs="Times New Roman"/>
          <w:sz w:val="24"/>
          <w:szCs w:val="24"/>
          <w:lang w:val="en-GB"/>
        </w:rPr>
      </w:pPr>
    </w:p>
    <w:p w14:paraId="0B940D48" w14:textId="5666D3FC" w:rsidR="009175A1" w:rsidRPr="009175A1" w:rsidRDefault="009175A1" w:rsidP="009175A1">
      <w:pPr>
        <w:spacing w:line="360" w:lineRule="auto"/>
        <w:jc w:val="both"/>
        <w:rPr>
          <w:rFonts w:ascii="Times New Roman" w:hAnsi="Times New Roman" w:cs="Times New Roman"/>
          <w:sz w:val="24"/>
          <w:szCs w:val="24"/>
          <w:lang w:val="en-GB"/>
        </w:rPr>
      </w:pPr>
    </w:p>
    <w:p w14:paraId="5445109B" w14:textId="77777777" w:rsidR="00F325C6" w:rsidRDefault="00F325C6" w:rsidP="00F325C6">
      <w:pPr>
        <w:spacing w:line="360" w:lineRule="auto"/>
        <w:jc w:val="both"/>
        <w:rPr>
          <w:rFonts w:ascii="Times New Roman" w:hAnsi="Times New Roman" w:cs="Times New Roman"/>
          <w:sz w:val="24"/>
          <w:szCs w:val="24"/>
          <w:lang w:val="en-GB"/>
        </w:rPr>
      </w:pPr>
    </w:p>
    <w:p w14:paraId="18767CD5" w14:textId="77777777" w:rsidR="00F325C6" w:rsidRDefault="00F325C6" w:rsidP="00F325C6">
      <w:pPr>
        <w:spacing w:line="360" w:lineRule="auto"/>
        <w:jc w:val="both"/>
        <w:rPr>
          <w:rFonts w:ascii="Times New Roman" w:hAnsi="Times New Roman" w:cs="Times New Roman"/>
          <w:sz w:val="24"/>
          <w:szCs w:val="24"/>
          <w:lang w:val="en-GB"/>
        </w:rPr>
      </w:pPr>
    </w:p>
    <w:p w14:paraId="0C3C100B" w14:textId="77777777" w:rsidR="00F325C6" w:rsidRDefault="00F325C6" w:rsidP="00F325C6">
      <w:pPr>
        <w:spacing w:line="360" w:lineRule="auto"/>
        <w:jc w:val="both"/>
        <w:rPr>
          <w:rFonts w:ascii="Times New Roman" w:hAnsi="Times New Roman" w:cs="Times New Roman"/>
          <w:sz w:val="24"/>
          <w:szCs w:val="24"/>
          <w:lang w:val="en-GB"/>
        </w:rPr>
      </w:pPr>
    </w:p>
    <w:p w14:paraId="76DC7216" w14:textId="77777777" w:rsidR="00F325C6" w:rsidRDefault="00F325C6" w:rsidP="00F325C6">
      <w:pPr>
        <w:spacing w:line="360" w:lineRule="auto"/>
        <w:jc w:val="both"/>
        <w:rPr>
          <w:rFonts w:ascii="Times New Roman" w:hAnsi="Times New Roman" w:cs="Times New Roman"/>
          <w:sz w:val="24"/>
          <w:szCs w:val="24"/>
          <w:lang w:val="en-GB"/>
        </w:rPr>
      </w:pPr>
    </w:p>
    <w:p w14:paraId="7C64EF76" w14:textId="77777777" w:rsidR="00F325C6" w:rsidRDefault="00F325C6" w:rsidP="00F325C6">
      <w:pPr>
        <w:spacing w:line="360" w:lineRule="auto"/>
        <w:jc w:val="both"/>
        <w:rPr>
          <w:rFonts w:ascii="Times New Roman" w:hAnsi="Times New Roman" w:cs="Times New Roman"/>
          <w:sz w:val="24"/>
          <w:szCs w:val="24"/>
          <w:lang w:val="en-GB"/>
        </w:rPr>
      </w:pPr>
    </w:p>
    <w:p w14:paraId="79651D11" w14:textId="76132835" w:rsidR="00F325C6" w:rsidRPr="00F325C6" w:rsidRDefault="00F325C6" w:rsidP="40EE5880">
      <w:pPr>
        <w:pStyle w:val="Kop1"/>
        <w:spacing w:line="360" w:lineRule="auto"/>
        <w:jc w:val="both"/>
        <w:rPr>
          <w:rFonts w:ascii="Times New Roman" w:eastAsia="Times New Roman" w:hAnsi="Times New Roman" w:cs="Times New Roman"/>
          <w:color w:val="auto"/>
          <w:sz w:val="40"/>
          <w:szCs w:val="40"/>
          <w:lang w:val="en-GB" w:eastAsia="nl-NL"/>
        </w:rPr>
      </w:pPr>
      <w:bookmarkStart w:id="23" w:name="_Toc169873391"/>
      <w:r w:rsidRPr="40EE5880">
        <w:rPr>
          <w:rFonts w:ascii="Times New Roman" w:eastAsia="Times New Roman" w:hAnsi="Times New Roman" w:cs="Times New Roman"/>
          <w:color w:val="auto"/>
          <w:sz w:val="40"/>
          <w:szCs w:val="40"/>
          <w:lang w:val="en-GB" w:eastAsia="nl-NL"/>
        </w:rPr>
        <w:lastRenderedPageBreak/>
        <w:t>List of references</w:t>
      </w:r>
      <w:bookmarkEnd w:id="23"/>
    </w:p>
    <w:p w14:paraId="61A868F8" w14:textId="5B3ADBDD" w:rsidR="00C16358" w:rsidRPr="00C16358" w:rsidRDefault="00C16358" w:rsidP="00C16358">
      <w:pPr>
        <w:spacing w:line="480" w:lineRule="auto"/>
        <w:ind w:left="851" w:hanging="851"/>
        <w:jc w:val="both"/>
        <w:rPr>
          <w:rFonts w:ascii="Times New Roman" w:hAnsi="Times New Roman" w:cs="Times New Roman"/>
          <w:i/>
          <w:iCs/>
          <w:sz w:val="24"/>
          <w:szCs w:val="24"/>
          <w:lang w:val="en-US"/>
        </w:rPr>
      </w:pPr>
      <w:r w:rsidRPr="00C16358">
        <w:rPr>
          <w:rFonts w:ascii="Times New Roman" w:hAnsi="Times New Roman" w:cs="Times New Roman"/>
          <w:sz w:val="24"/>
          <w:szCs w:val="24"/>
          <w:lang w:val="en-US"/>
        </w:rPr>
        <w:t xml:space="preserve">Alemanno, A. (2023, February 20). Qatargate: A Missed Opportunity to Reform the Union. </w:t>
      </w:r>
      <w:r w:rsidRPr="00C16358">
        <w:rPr>
          <w:rFonts w:ascii="Times New Roman" w:hAnsi="Times New Roman" w:cs="Times New Roman"/>
          <w:i/>
          <w:iCs/>
          <w:sz w:val="24"/>
          <w:szCs w:val="24"/>
          <w:lang w:val="en-US"/>
        </w:rPr>
        <w:t xml:space="preserve">European University Institute. </w:t>
      </w:r>
      <w:hyperlink r:id="rId10" w:history="1">
        <w:r w:rsidRPr="00C16358">
          <w:rPr>
            <w:rStyle w:val="Hyperlink"/>
            <w:rFonts w:ascii="Times New Roman" w:hAnsi="Times New Roman" w:cs="Times New Roman"/>
            <w:i/>
            <w:iCs/>
            <w:sz w:val="24"/>
            <w:szCs w:val="24"/>
            <w:lang w:val="en-US"/>
          </w:rPr>
          <w:t>https://blogs.eui.eu/transnational-democracy/qatargate-a-missed-opportunity-to-reform-the-union/</w:t>
        </w:r>
      </w:hyperlink>
    </w:p>
    <w:p w14:paraId="2EAACBEE" w14:textId="4C290370" w:rsidR="00BA2528" w:rsidRPr="00BA2528" w:rsidRDefault="00BA2528" w:rsidP="00BA2528">
      <w:pPr>
        <w:spacing w:line="480" w:lineRule="auto"/>
        <w:ind w:left="851" w:hanging="851"/>
        <w:jc w:val="both"/>
        <w:rPr>
          <w:rFonts w:ascii="Times New Roman" w:hAnsi="Times New Roman" w:cs="Times New Roman"/>
          <w:i/>
          <w:iCs/>
          <w:sz w:val="24"/>
          <w:szCs w:val="24"/>
        </w:rPr>
      </w:pPr>
      <w:r w:rsidRPr="00BA2528">
        <w:rPr>
          <w:rFonts w:ascii="Times New Roman" w:hAnsi="Times New Roman" w:cs="Times New Roman"/>
          <w:sz w:val="24"/>
          <w:szCs w:val="24"/>
          <w:lang w:val="en-US"/>
        </w:rPr>
        <w:t xml:space="preserve">Amiri Diwan (n.d.). </w:t>
      </w:r>
      <w:r w:rsidRPr="00BA2528">
        <w:rPr>
          <w:rFonts w:ascii="Times New Roman" w:hAnsi="Times New Roman" w:cs="Times New Roman"/>
          <w:i/>
          <w:iCs/>
          <w:sz w:val="24"/>
          <w:szCs w:val="24"/>
          <w:lang w:val="en-US"/>
        </w:rPr>
        <w:t xml:space="preserve">His Highness Sheikh Tamim bin Hamad Al Thani, Amir of the State of Qatar. </w:t>
      </w:r>
      <w:hyperlink r:id="rId11" w:anchor="data---" w:history="1">
        <w:r w:rsidRPr="00BA2528">
          <w:rPr>
            <w:rStyle w:val="Hyperlink"/>
            <w:rFonts w:ascii="Times New Roman" w:hAnsi="Times New Roman" w:cs="Times New Roman"/>
            <w:i/>
            <w:iCs/>
            <w:sz w:val="24"/>
            <w:szCs w:val="24"/>
          </w:rPr>
          <w:t>https://www.diwan.gov.qa/hh-the-amir?sc_lang=en#data---</w:t>
        </w:r>
      </w:hyperlink>
    </w:p>
    <w:p w14:paraId="3719129B" w14:textId="52DE2128" w:rsidR="00F325C6" w:rsidRPr="00415A11" w:rsidRDefault="00F325C6" w:rsidP="00F325C6">
      <w:pPr>
        <w:spacing w:line="480" w:lineRule="auto"/>
        <w:ind w:left="851" w:hanging="851"/>
        <w:jc w:val="both"/>
        <w:rPr>
          <w:rFonts w:ascii="Times New Roman" w:hAnsi="Times New Roman" w:cs="Times New Roman"/>
          <w:sz w:val="24"/>
          <w:szCs w:val="24"/>
        </w:rPr>
      </w:pPr>
      <w:r w:rsidRPr="00E17CEC">
        <w:rPr>
          <w:rFonts w:ascii="Times New Roman" w:hAnsi="Times New Roman" w:cs="Times New Roman"/>
          <w:sz w:val="24"/>
          <w:szCs w:val="24"/>
          <w:lang w:val="en-GB"/>
        </w:rPr>
        <w:t xml:space="preserve">Amnesty International. (n.d.). </w:t>
      </w:r>
      <w:r w:rsidRPr="00E17CEC">
        <w:rPr>
          <w:rFonts w:ascii="Times New Roman" w:hAnsi="Times New Roman" w:cs="Times New Roman"/>
          <w:i/>
          <w:iCs/>
          <w:sz w:val="24"/>
          <w:szCs w:val="24"/>
          <w:lang w:val="en-GB"/>
        </w:rPr>
        <w:t>Qatar 2022.</w:t>
      </w:r>
      <w:r w:rsidRPr="00E17CEC">
        <w:rPr>
          <w:rFonts w:ascii="Times New Roman" w:hAnsi="Times New Roman" w:cs="Times New Roman"/>
          <w:sz w:val="24"/>
          <w:szCs w:val="24"/>
          <w:lang w:val="en-GB"/>
        </w:rPr>
        <w:t xml:space="preserve"> </w:t>
      </w:r>
      <w:hyperlink r:id="rId12" w:history="1">
        <w:r w:rsidRPr="00415A11">
          <w:rPr>
            <w:rStyle w:val="Hyperlink"/>
            <w:rFonts w:ascii="Times New Roman" w:hAnsi="Times New Roman" w:cs="Times New Roman"/>
            <w:sz w:val="24"/>
            <w:szCs w:val="24"/>
          </w:rPr>
          <w:t>https://www.amnesty.org/en/location/middle-east-and-north-africa/qatar/report-qatar/</w:t>
        </w:r>
      </w:hyperlink>
    </w:p>
    <w:p w14:paraId="65681AC5" w14:textId="6FE38ABC" w:rsidR="00057AD5" w:rsidRPr="00A233CE" w:rsidRDefault="00057AD5" w:rsidP="00057AD5">
      <w:pPr>
        <w:spacing w:line="480" w:lineRule="auto"/>
        <w:ind w:left="851" w:hanging="851"/>
        <w:jc w:val="both"/>
        <w:rPr>
          <w:rFonts w:ascii="Times New Roman" w:hAnsi="Times New Roman" w:cs="Times New Roman"/>
          <w:sz w:val="24"/>
          <w:szCs w:val="24"/>
          <w:lang w:val="en-GB"/>
        </w:rPr>
      </w:pPr>
      <w:r w:rsidRPr="00057AD5">
        <w:rPr>
          <w:rFonts w:ascii="Times New Roman" w:hAnsi="Times New Roman" w:cs="Times New Roman"/>
          <w:sz w:val="24"/>
          <w:szCs w:val="24"/>
          <w:lang w:val="en-GB"/>
        </w:rPr>
        <w:t xml:space="preserve">Baker W.D., O’Neal J.R. (2001). Patriotism or opinion leadership? The nature and origins of the “rally ’round the flag” effect. </w:t>
      </w:r>
      <w:r w:rsidRPr="00A233CE">
        <w:rPr>
          <w:rFonts w:ascii="Times New Roman" w:hAnsi="Times New Roman" w:cs="Times New Roman"/>
          <w:sz w:val="24"/>
          <w:szCs w:val="24"/>
          <w:lang w:val="en-GB"/>
        </w:rPr>
        <w:t>Journal of Conflict Resolution, 45, 661–687</w:t>
      </w:r>
    </w:p>
    <w:p w14:paraId="57EBA0D8" w14:textId="0DD2A748" w:rsidR="00F325C6" w:rsidRPr="00E17CEC" w:rsidRDefault="00F325C6" w:rsidP="00F325C6">
      <w:pPr>
        <w:spacing w:line="480" w:lineRule="auto"/>
        <w:ind w:left="851" w:hanging="851"/>
        <w:jc w:val="both"/>
        <w:rPr>
          <w:rFonts w:ascii="Times New Roman" w:hAnsi="Times New Roman" w:cs="Times New Roman"/>
          <w:i/>
          <w:iCs/>
          <w:sz w:val="24"/>
          <w:szCs w:val="24"/>
          <w:lang w:val="en-GB"/>
        </w:rPr>
      </w:pPr>
      <w:r w:rsidRPr="00E17CEC">
        <w:rPr>
          <w:rFonts w:ascii="Times New Roman" w:hAnsi="Times New Roman" w:cs="Times New Roman"/>
          <w:sz w:val="24"/>
          <w:szCs w:val="24"/>
          <w:lang w:val="en-GB"/>
        </w:rPr>
        <w:t xml:space="preserve">Benett, A. (2009). Process tracing: a Bayesian perspective. In J.M. Box-Steffensmeier (Ed.), </w:t>
      </w:r>
      <w:r w:rsidRPr="00E17CEC">
        <w:rPr>
          <w:rFonts w:ascii="Times New Roman" w:hAnsi="Times New Roman" w:cs="Times New Roman"/>
          <w:i/>
          <w:iCs/>
          <w:sz w:val="24"/>
          <w:szCs w:val="24"/>
          <w:lang w:val="en-GB"/>
        </w:rPr>
        <w:t xml:space="preserve">The Oxford Handbook of Political Methodology.  </w:t>
      </w:r>
      <w:hyperlink r:id="rId13" w:history="1">
        <w:r w:rsidRPr="00E17CEC">
          <w:rPr>
            <w:rStyle w:val="Hyperlink"/>
            <w:rFonts w:ascii="Times New Roman" w:hAnsi="Times New Roman" w:cs="Times New Roman"/>
            <w:i/>
            <w:iCs/>
            <w:sz w:val="24"/>
            <w:szCs w:val="24"/>
            <w:lang w:val="en-GB"/>
          </w:rPr>
          <w:t>https://doi.org/10.1093/oxfordhb/9780199286546.001.0001</w:t>
        </w:r>
      </w:hyperlink>
    </w:p>
    <w:p w14:paraId="523BE807" w14:textId="4F4C3EA8" w:rsidR="00C16358" w:rsidRPr="00C16358" w:rsidRDefault="00C16358" w:rsidP="00C16358">
      <w:pPr>
        <w:shd w:val="clear" w:color="auto" w:fill="FFFFFF"/>
        <w:spacing w:after="0" w:line="480" w:lineRule="auto"/>
        <w:ind w:left="851" w:hanging="851"/>
        <w:jc w:val="both"/>
        <w:rPr>
          <w:rFonts w:ascii="Times New Roman" w:eastAsia="Times New Roman" w:hAnsi="Times New Roman" w:cs="Times New Roman"/>
          <w:color w:val="000000"/>
          <w:kern w:val="0"/>
          <w:sz w:val="24"/>
          <w:szCs w:val="24"/>
          <w:lang w:val="en-US" w:eastAsia="nl-NL"/>
          <w14:ligatures w14:val="none"/>
        </w:rPr>
      </w:pPr>
      <w:r w:rsidRPr="00C16358">
        <w:rPr>
          <w:rFonts w:ascii="Times New Roman" w:eastAsia="Times New Roman" w:hAnsi="Times New Roman" w:cs="Times New Roman"/>
          <w:color w:val="000000"/>
          <w:kern w:val="0"/>
          <w:sz w:val="24"/>
          <w:szCs w:val="24"/>
          <w:lang w:val="en-US" w:eastAsia="nl-NL"/>
          <w14:ligatures w14:val="none"/>
        </w:rPr>
        <w:t xml:space="preserve">Bennett, C. (2022, December 12). THIS WHOLE COURT’S OUT OF ORDER! </w:t>
      </w:r>
      <w:r w:rsidRPr="00C16358">
        <w:rPr>
          <w:rFonts w:ascii="Times New Roman" w:eastAsia="Times New Roman" w:hAnsi="Times New Roman" w:cs="Times New Roman"/>
          <w:i/>
          <w:iCs/>
          <w:color w:val="000000"/>
          <w:kern w:val="0"/>
          <w:sz w:val="24"/>
          <w:szCs w:val="24"/>
          <w:lang w:val="en-US" w:eastAsia="nl-NL"/>
          <w14:ligatures w14:val="none"/>
        </w:rPr>
        <w:t>POLITICO</w:t>
      </w:r>
      <w:r w:rsidRPr="00C16358">
        <w:rPr>
          <w:rFonts w:ascii="Times New Roman" w:eastAsia="Times New Roman" w:hAnsi="Times New Roman" w:cs="Times New Roman"/>
          <w:color w:val="000000"/>
          <w:kern w:val="0"/>
          <w:sz w:val="24"/>
          <w:szCs w:val="24"/>
          <w:lang w:val="en-US" w:eastAsia="nl-NL"/>
          <w14:ligatures w14:val="none"/>
        </w:rPr>
        <w:t xml:space="preserve">. </w:t>
      </w:r>
      <w:hyperlink r:id="rId14" w:history="1">
        <w:r w:rsidRPr="00C16358">
          <w:rPr>
            <w:rStyle w:val="Hyperlink"/>
            <w:rFonts w:ascii="Times New Roman" w:eastAsia="Times New Roman" w:hAnsi="Times New Roman" w:cs="Times New Roman"/>
            <w:kern w:val="0"/>
            <w:sz w:val="24"/>
            <w:szCs w:val="24"/>
            <w:lang w:val="en-US" w:eastAsia="nl-NL"/>
            <w14:ligatures w14:val="none"/>
          </w:rPr>
          <w:t>https://www.politico.eu/article/corruption-european-parliament-qatar-live-blog/</w:t>
        </w:r>
      </w:hyperlink>
    </w:p>
    <w:p w14:paraId="058664D3" w14:textId="48D298C7" w:rsidR="00F325C6" w:rsidRPr="00E133F8" w:rsidRDefault="00F325C6" w:rsidP="00F325C6">
      <w:pPr>
        <w:shd w:val="clear" w:color="auto" w:fill="FFFFFF"/>
        <w:spacing w:after="0" w:line="480" w:lineRule="auto"/>
        <w:ind w:left="851" w:hanging="851"/>
        <w:jc w:val="both"/>
        <w:rPr>
          <w:rFonts w:ascii="Times New Roman" w:eastAsia="Times New Roman" w:hAnsi="Times New Roman" w:cs="Times New Roman"/>
          <w:color w:val="000000"/>
          <w:kern w:val="0"/>
          <w:sz w:val="24"/>
          <w:szCs w:val="24"/>
          <w:lang w:val="en-GB" w:eastAsia="nl-NL"/>
          <w14:ligatures w14:val="none"/>
        </w:rPr>
      </w:pPr>
      <w:r w:rsidRPr="00E133F8">
        <w:rPr>
          <w:rFonts w:ascii="Times New Roman" w:eastAsia="Times New Roman" w:hAnsi="Times New Roman" w:cs="Times New Roman"/>
          <w:color w:val="000000"/>
          <w:kern w:val="0"/>
          <w:sz w:val="24"/>
          <w:szCs w:val="24"/>
          <w:lang w:val="en-GB" w:eastAsia="nl-NL"/>
          <w14:ligatures w14:val="none"/>
        </w:rPr>
        <w:t xml:space="preserve">Bovens, M. (2007). Analysing and Assessing Accountability: A Conceptual Framework. </w:t>
      </w:r>
      <w:r w:rsidRPr="00E133F8">
        <w:rPr>
          <w:rFonts w:ascii="Times New Roman" w:eastAsia="Times New Roman" w:hAnsi="Times New Roman" w:cs="Times New Roman"/>
          <w:i/>
          <w:iCs/>
          <w:color w:val="000000"/>
          <w:kern w:val="0"/>
          <w:sz w:val="24"/>
          <w:szCs w:val="24"/>
          <w:lang w:val="en-GB" w:eastAsia="nl-NL"/>
          <w14:ligatures w14:val="none"/>
        </w:rPr>
        <w:t>European Law Journal</w:t>
      </w:r>
      <w:r w:rsidRPr="00E133F8">
        <w:rPr>
          <w:rFonts w:ascii="Times New Roman" w:eastAsia="Times New Roman" w:hAnsi="Times New Roman" w:cs="Times New Roman"/>
          <w:color w:val="000000"/>
          <w:kern w:val="0"/>
          <w:sz w:val="24"/>
          <w:szCs w:val="24"/>
          <w:lang w:val="en-GB" w:eastAsia="nl-NL"/>
          <w14:ligatures w14:val="none"/>
        </w:rPr>
        <w:t xml:space="preserve">, </w:t>
      </w:r>
      <w:r w:rsidRPr="00E133F8">
        <w:rPr>
          <w:rFonts w:ascii="Times New Roman" w:eastAsia="Times New Roman" w:hAnsi="Times New Roman" w:cs="Times New Roman"/>
          <w:i/>
          <w:iCs/>
          <w:color w:val="000000"/>
          <w:kern w:val="0"/>
          <w:sz w:val="24"/>
          <w:szCs w:val="24"/>
          <w:lang w:val="en-GB" w:eastAsia="nl-NL"/>
          <w14:ligatures w14:val="none"/>
        </w:rPr>
        <w:t>13</w:t>
      </w:r>
      <w:r w:rsidRPr="00E133F8">
        <w:rPr>
          <w:rFonts w:ascii="Times New Roman" w:eastAsia="Times New Roman" w:hAnsi="Times New Roman" w:cs="Times New Roman"/>
          <w:color w:val="000000"/>
          <w:kern w:val="0"/>
          <w:sz w:val="24"/>
          <w:szCs w:val="24"/>
          <w:lang w:val="en-GB" w:eastAsia="nl-NL"/>
          <w14:ligatures w14:val="none"/>
        </w:rPr>
        <w:t>(4), 447–468.</w:t>
      </w:r>
    </w:p>
    <w:p w14:paraId="0FD6AAC7" w14:textId="77777777" w:rsidR="00F325C6" w:rsidRPr="00E17CEC" w:rsidRDefault="00F325C6" w:rsidP="00F325C6">
      <w:pPr>
        <w:spacing w:line="480" w:lineRule="auto"/>
        <w:ind w:left="851" w:hanging="851"/>
        <w:jc w:val="both"/>
        <w:rPr>
          <w:rFonts w:ascii="Times New Roman" w:hAnsi="Times New Roman" w:cs="Times New Roman"/>
          <w:sz w:val="24"/>
          <w:szCs w:val="24"/>
        </w:rPr>
      </w:pPr>
      <w:r w:rsidRPr="00E17CEC">
        <w:rPr>
          <w:rFonts w:ascii="Times New Roman" w:hAnsi="Times New Roman" w:cs="Times New Roman"/>
          <w:sz w:val="24"/>
          <w:szCs w:val="24"/>
          <w:lang w:val="en-GB"/>
        </w:rPr>
        <w:t xml:space="preserve">Braun, E., &amp; Volpicelli, G., &amp; Wax, E. (2022, December 4). </w:t>
      </w:r>
      <w:r w:rsidRPr="00E17CEC">
        <w:rPr>
          <w:rFonts w:ascii="Times New Roman" w:hAnsi="Times New Roman" w:cs="Times New Roman"/>
          <w:i/>
          <w:iCs/>
          <w:sz w:val="24"/>
          <w:szCs w:val="24"/>
          <w:lang w:val="en-GB"/>
        </w:rPr>
        <w:t xml:space="preserve">The Qatargate files: Hundreds of leaked documents reveal scale of EU corruption scandal. </w:t>
      </w:r>
      <w:hyperlink r:id="rId15" w:history="1">
        <w:r w:rsidRPr="00E17CEC">
          <w:rPr>
            <w:rStyle w:val="Hyperlink"/>
            <w:rFonts w:ascii="Times New Roman" w:hAnsi="Times New Roman" w:cs="Times New Roman"/>
            <w:sz w:val="24"/>
            <w:szCs w:val="24"/>
          </w:rPr>
          <w:t>https://www.politico.eu/article/european-parliament-qatargate-corruption-scandal-leaked-documents-pier-antonio-panzeri-francesco-giorgi-eva-kaili/</w:t>
        </w:r>
      </w:hyperlink>
    </w:p>
    <w:p w14:paraId="396249A5" w14:textId="77777777" w:rsidR="00F325C6" w:rsidRDefault="00F325C6" w:rsidP="00F325C6">
      <w:pPr>
        <w:shd w:val="clear" w:color="auto" w:fill="FFFFFF"/>
        <w:spacing w:after="0" w:line="480" w:lineRule="auto"/>
        <w:ind w:left="851" w:hanging="851"/>
        <w:jc w:val="both"/>
        <w:rPr>
          <w:rFonts w:ascii="Times New Roman" w:eastAsia="Times New Roman" w:hAnsi="Times New Roman" w:cs="Times New Roman"/>
          <w:color w:val="000000"/>
          <w:kern w:val="0"/>
          <w:sz w:val="24"/>
          <w:szCs w:val="24"/>
          <w:lang w:val="en-GB" w:eastAsia="nl-NL"/>
          <w14:ligatures w14:val="none"/>
        </w:rPr>
      </w:pPr>
      <w:r w:rsidRPr="00622533">
        <w:rPr>
          <w:rFonts w:ascii="Times New Roman" w:eastAsia="Times New Roman" w:hAnsi="Times New Roman" w:cs="Times New Roman"/>
          <w:color w:val="000000"/>
          <w:kern w:val="0"/>
          <w:sz w:val="24"/>
          <w:szCs w:val="24"/>
          <w:lang w:val="en-GB" w:eastAsia="nl-NL"/>
          <w14:ligatures w14:val="none"/>
        </w:rPr>
        <w:lastRenderedPageBreak/>
        <w:t>Browning, C. S., &amp; Joenniemi, P. (2008). Geostrategies of the European Neighbourhood Policy. European Journal of International Relations, 14(3), 519-551. https://doi.org/10.1177/1354066108092311</w:t>
      </w:r>
    </w:p>
    <w:p w14:paraId="0AAFFF02" w14:textId="77777777" w:rsidR="00F325C6" w:rsidRPr="00E133F8" w:rsidRDefault="00F325C6" w:rsidP="00F325C6">
      <w:pPr>
        <w:shd w:val="clear" w:color="auto" w:fill="FFFFFF"/>
        <w:spacing w:after="0" w:line="480" w:lineRule="auto"/>
        <w:ind w:left="851" w:hanging="851"/>
        <w:jc w:val="both"/>
        <w:rPr>
          <w:rFonts w:ascii="Times New Roman" w:eastAsia="Times New Roman" w:hAnsi="Times New Roman" w:cs="Times New Roman"/>
          <w:color w:val="000000"/>
          <w:kern w:val="0"/>
          <w:sz w:val="24"/>
          <w:szCs w:val="24"/>
          <w:lang w:val="en-GB" w:eastAsia="nl-NL"/>
          <w14:ligatures w14:val="none"/>
        </w:rPr>
      </w:pPr>
      <w:r w:rsidRPr="00E133F8">
        <w:rPr>
          <w:rFonts w:ascii="Times New Roman" w:eastAsia="Times New Roman" w:hAnsi="Times New Roman" w:cs="Times New Roman"/>
          <w:color w:val="000000"/>
          <w:kern w:val="0"/>
          <w:sz w:val="24"/>
          <w:szCs w:val="24"/>
          <w:lang w:val="en-GB" w:eastAsia="nl-NL"/>
          <w14:ligatures w14:val="none"/>
        </w:rPr>
        <w:t xml:space="preserve">Busuioc, M., &amp; Lodge, M. (2016). Reputation and Accountability Relationships: Managing Accountability Expectations through Reputation. </w:t>
      </w:r>
      <w:r w:rsidRPr="00E133F8">
        <w:rPr>
          <w:rFonts w:ascii="Times New Roman" w:eastAsia="Times New Roman" w:hAnsi="Times New Roman" w:cs="Times New Roman"/>
          <w:i/>
          <w:iCs/>
          <w:color w:val="000000"/>
          <w:kern w:val="0"/>
          <w:sz w:val="24"/>
          <w:szCs w:val="24"/>
          <w:lang w:val="en-GB" w:eastAsia="nl-NL"/>
          <w14:ligatures w14:val="none"/>
        </w:rPr>
        <w:t>Public Administration Review</w:t>
      </w:r>
      <w:r w:rsidRPr="00E133F8">
        <w:rPr>
          <w:rFonts w:ascii="Times New Roman" w:eastAsia="Times New Roman" w:hAnsi="Times New Roman" w:cs="Times New Roman"/>
          <w:color w:val="000000"/>
          <w:kern w:val="0"/>
          <w:sz w:val="24"/>
          <w:szCs w:val="24"/>
          <w:lang w:val="en-GB" w:eastAsia="nl-NL"/>
          <w14:ligatures w14:val="none"/>
        </w:rPr>
        <w:t xml:space="preserve">, </w:t>
      </w:r>
      <w:r w:rsidRPr="00E133F8">
        <w:rPr>
          <w:rFonts w:ascii="Times New Roman" w:eastAsia="Times New Roman" w:hAnsi="Times New Roman" w:cs="Times New Roman"/>
          <w:i/>
          <w:iCs/>
          <w:color w:val="000000"/>
          <w:kern w:val="0"/>
          <w:sz w:val="24"/>
          <w:szCs w:val="24"/>
          <w:lang w:val="en-GB" w:eastAsia="nl-NL"/>
          <w14:ligatures w14:val="none"/>
        </w:rPr>
        <w:t>77</w:t>
      </w:r>
      <w:r w:rsidRPr="00E133F8">
        <w:rPr>
          <w:rFonts w:ascii="Times New Roman" w:eastAsia="Times New Roman" w:hAnsi="Times New Roman" w:cs="Times New Roman"/>
          <w:color w:val="000000"/>
          <w:kern w:val="0"/>
          <w:sz w:val="24"/>
          <w:szCs w:val="24"/>
          <w:lang w:val="en-GB" w:eastAsia="nl-NL"/>
          <w14:ligatures w14:val="none"/>
        </w:rPr>
        <w:t>(1), 91–100. https://doi.org/10.1111/puar.12612</w:t>
      </w:r>
    </w:p>
    <w:p w14:paraId="1CD6AED2" w14:textId="77777777" w:rsidR="00F325C6" w:rsidRPr="00575404" w:rsidRDefault="00F325C6" w:rsidP="00F325C6">
      <w:pPr>
        <w:shd w:val="clear" w:color="auto" w:fill="FFFFFF"/>
        <w:spacing w:after="0" w:line="480" w:lineRule="auto"/>
        <w:ind w:left="851" w:hanging="851"/>
        <w:jc w:val="both"/>
        <w:rPr>
          <w:rFonts w:ascii="Times New Roman" w:eastAsia="Times New Roman" w:hAnsi="Times New Roman" w:cs="Times New Roman"/>
          <w:color w:val="000000"/>
          <w:kern w:val="0"/>
          <w:sz w:val="24"/>
          <w:szCs w:val="24"/>
          <w:lang w:eastAsia="nl-NL"/>
          <w14:ligatures w14:val="none"/>
        </w:rPr>
      </w:pPr>
      <w:r w:rsidRPr="00E133F8">
        <w:rPr>
          <w:rFonts w:ascii="Times New Roman" w:eastAsia="Times New Roman" w:hAnsi="Times New Roman" w:cs="Times New Roman"/>
          <w:color w:val="000000"/>
          <w:kern w:val="0"/>
          <w:sz w:val="24"/>
          <w:szCs w:val="24"/>
          <w:lang w:val="en-GB" w:eastAsia="nl-NL"/>
          <w14:ligatures w14:val="none"/>
        </w:rPr>
        <w:t xml:space="preserve">Chanley, V. A. (2002). Trust in Government in the Aftermath of 9/11: Determinants and Consequences. </w:t>
      </w:r>
      <w:r w:rsidRPr="00575404">
        <w:rPr>
          <w:rFonts w:ascii="Times New Roman" w:eastAsia="Times New Roman" w:hAnsi="Times New Roman" w:cs="Times New Roman"/>
          <w:i/>
          <w:iCs/>
          <w:color w:val="000000"/>
          <w:kern w:val="0"/>
          <w:sz w:val="24"/>
          <w:szCs w:val="24"/>
          <w:lang w:eastAsia="nl-NL"/>
          <w14:ligatures w14:val="none"/>
        </w:rPr>
        <w:t>Political Psychology</w:t>
      </w:r>
      <w:r w:rsidRPr="00575404">
        <w:rPr>
          <w:rFonts w:ascii="Times New Roman" w:eastAsia="Times New Roman" w:hAnsi="Times New Roman" w:cs="Times New Roman"/>
          <w:color w:val="000000"/>
          <w:kern w:val="0"/>
          <w:sz w:val="24"/>
          <w:szCs w:val="24"/>
          <w:lang w:eastAsia="nl-NL"/>
          <w14:ligatures w14:val="none"/>
        </w:rPr>
        <w:t xml:space="preserve">, </w:t>
      </w:r>
      <w:r w:rsidRPr="00575404">
        <w:rPr>
          <w:rFonts w:ascii="Times New Roman" w:eastAsia="Times New Roman" w:hAnsi="Times New Roman" w:cs="Times New Roman"/>
          <w:i/>
          <w:iCs/>
          <w:color w:val="000000"/>
          <w:kern w:val="0"/>
          <w:sz w:val="24"/>
          <w:szCs w:val="24"/>
          <w:lang w:eastAsia="nl-NL"/>
          <w14:ligatures w14:val="none"/>
        </w:rPr>
        <w:t>23</w:t>
      </w:r>
      <w:r w:rsidRPr="00575404">
        <w:rPr>
          <w:rFonts w:ascii="Times New Roman" w:eastAsia="Times New Roman" w:hAnsi="Times New Roman" w:cs="Times New Roman"/>
          <w:color w:val="000000"/>
          <w:kern w:val="0"/>
          <w:sz w:val="24"/>
          <w:szCs w:val="24"/>
          <w:lang w:eastAsia="nl-NL"/>
          <w14:ligatures w14:val="none"/>
        </w:rPr>
        <w:t>(3), 469–483. https://doi.org/10.1111/0162-895x.00294</w:t>
      </w:r>
    </w:p>
    <w:p w14:paraId="5713DEE1" w14:textId="52372941" w:rsidR="00291EDC" w:rsidRPr="00291EDC" w:rsidRDefault="00291EDC" w:rsidP="00F325C6">
      <w:pPr>
        <w:shd w:val="clear" w:color="auto" w:fill="FFFFFF"/>
        <w:spacing w:after="0" w:line="480" w:lineRule="auto"/>
        <w:ind w:left="851" w:hanging="851"/>
        <w:jc w:val="both"/>
        <w:rPr>
          <w:rFonts w:ascii="Times New Roman" w:eastAsia="Times New Roman" w:hAnsi="Times New Roman" w:cs="Times New Roman"/>
          <w:color w:val="000000"/>
          <w:kern w:val="0"/>
          <w:sz w:val="24"/>
          <w:szCs w:val="24"/>
          <w:lang w:val="en-GB" w:eastAsia="nl-NL"/>
          <w14:ligatures w14:val="none"/>
        </w:rPr>
      </w:pPr>
      <w:r w:rsidRPr="00291EDC">
        <w:rPr>
          <w:rFonts w:ascii="Times New Roman" w:eastAsia="Times New Roman" w:hAnsi="Times New Roman" w:cs="Times New Roman"/>
          <w:color w:val="000000"/>
          <w:kern w:val="0"/>
          <w:sz w:val="24"/>
          <w:szCs w:val="24"/>
          <w:lang w:eastAsia="nl-NL"/>
          <w14:ligatures w14:val="none"/>
        </w:rPr>
        <w:t xml:space="preserve">Christiansen, T., Jorgensen, K. E., &amp; Wiener, A. (1999). </w:t>
      </w:r>
      <w:r w:rsidRPr="00291EDC">
        <w:rPr>
          <w:rFonts w:ascii="Times New Roman" w:eastAsia="Times New Roman" w:hAnsi="Times New Roman" w:cs="Times New Roman"/>
          <w:color w:val="000000"/>
          <w:kern w:val="0"/>
          <w:sz w:val="24"/>
          <w:szCs w:val="24"/>
          <w:lang w:val="en-GB" w:eastAsia="nl-NL"/>
          <w14:ligatures w14:val="none"/>
        </w:rPr>
        <w:t xml:space="preserve">The social construction of Europe. </w:t>
      </w:r>
      <w:r w:rsidRPr="00291EDC">
        <w:rPr>
          <w:rFonts w:ascii="Times New Roman" w:eastAsia="Times New Roman" w:hAnsi="Times New Roman" w:cs="Times New Roman"/>
          <w:i/>
          <w:iCs/>
          <w:color w:val="000000"/>
          <w:kern w:val="0"/>
          <w:sz w:val="24"/>
          <w:szCs w:val="24"/>
          <w:lang w:val="en-GB" w:eastAsia="nl-NL"/>
          <w14:ligatures w14:val="none"/>
        </w:rPr>
        <w:t>Journal of European Public Policy</w:t>
      </w:r>
      <w:r w:rsidRPr="00291EDC">
        <w:rPr>
          <w:rFonts w:ascii="Times New Roman" w:eastAsia="Times New Roman" w:hAnsi="Times New Roman" w:cs="Times New Roman"/>
          <w:color w:val="000000"/>
          <w:kern w:val="0"/>
          <w:sz w:val="24"/>
          <w:szCs w:val="24"/>
          <w:lang w:val="en-GB" w:eastAsia="nl-NL"/>
          <w14:ligatures w14:val="none"/>
        </w:rPr>
        <w:t xml:space="preserve">, </w:t>
      </w:r>
      <w:r w:rsidRPr="00291EDC">
        <w:rPr>
          <w:rFonts w:ascii="Times New Roman" w:eastAsia="Times New Roman" w:hAnsi="Times New Roman" w:cs="Times New Roman"/>
          <w:i/>
          <w:iCs/>
          <w:color w:val="000000"/>
          <w:kern w:val="0"/>
          <w:sz w:val="24"/>
          <w:szCs w:val="24"/>
          <w:lang w:val="en-GB" w:eastAsia="nl-NL"/>
          <w14:ligatures w14:val="none"/>
        </w:rPr>
        <w:t>6</w:t>
      </w:r>
      <w:r w:rsidRPr="00291EDC">
        <w:rPr>
          <w:rFonts w:ascii="Times New Roman" w:eastAsia="Times New Roman" w:hAnsi="Times New Roman" w:cs="Times New Roman"/>
          <w:color w:val="000000"/>
          <w:kern w:val="0"/>
          <w:sz w:val="24"/>
          <w:szCs w:val="24"/>
          <w:lang w:val="en-GB" w:eastAsia="nl-NL"/>
          <w14:ligatures w14:val="none"/>
        </w:rPr>
        <w:t>(4), 528–544. https://doi.org/10.1080/135017699343450</w:t>
      </w:r>
    </w:p>
    <w:p w14:paraId="72FD5F84" w14:textId="4C7F9F6C" w:rsidR="00F325C6" w:rsidRDefault="00F325C6" w:rsidP="00F325C6">
      <w:pPr>
        <w:shd w:val="clear" w:color="auto" w:fill="FFFFFF"/>
        <w:spacing w:after="0" w:line="480" w:lineRule="auto"/>
        <w:ind w:left="851" w:hanging="851"/>
        <w:jc w:val="both"/>
        <w:rPr>
          <w:rFonts w:ascii="Times New Roman" w:eastAsia="Times New Roman" w:hAnsi="Times New Roman" w:cs="Times New Roman"/>
          <w:color w:val="000000"/>
          <w:kern w:val="0"/>
          <w:sz w:val="24"/>
          <w:szCs w:val="24"/>
          <w:lang w:val="en-GB" w:eastAsia="nl-NL"/>
          <w14:ligatures w14:val="none"/>
        </w:rPr>
      </w:pPr>
      <w:r w:rsidRPr="00E133F8">
        <w:rPr>
          <w:rFonts w:ascii="Times New Roman" w:eastAsia="Times New Roman" w:hAnsi="Times New Roman" w:cs="Times New Roman"/>
          <w:color w:val="000000"/>
          <w:kern w:val="0"/>
          <w:sz w:val="24"/>
          <w:szCs w:val="24"/>
          <w:lang w:val="en-GB" w:eastAsia="nl-NL"/>
          <w14:ligatures w14:val="none"/>
        </w:rPr>
        <w:t xml:space="preserve">Damro, C. (2012). Market Power Europe. </w:t>
      </w:r>
      <w:r w:rsidRPr="00E133F8">
        <w:rPr>
          <w:rFonts w:ascii="Times New Roman" w:eastAsia="Times New Roman" w:hAnsi="Times New Roman" w:cs="Times New Roman"/>
          <w:i/>
          <w:iCs/>
          <w:color w:val="000000"/>
          <w:kern w:val="0"/>
          <w:sz w:val="24"/>
          <w:szCs w:val="24"/>
          <w:lang w:val="en-GB" w:eastAsia="nl-NL"/>
          <w14:ligatures w14:val="none"/>
        </w:rPr>
        <w:t>Journal of European Public Policy</w:t>
      </w:r>
      <w:r w:rsidRPr="00E133F8">
        <w:rPr>
          <w:rFonts w:ascii="Times New Roman" w:eastAsia="Times New Roman" w:hAnsi="Times New Roman" w:cs="Times New Roman"/>
          <w:color w:val="000000"/>
          <w:kern w:val="0"/>
          <w:sz w:val="24"/>
          <w:szCs w:val="24"/>
          <w:lang w:val="en-GB" w:eastAsia="nl-NL"/>
          <w14:ligatures w14:val="none"/>
        </w:rPr>
        <w:t xml:space="preserve">, </w:t>
      </w:r>
      <w:r w:rsidRPr="00E133F8">
        <w:rPr>
          <w:rFonts w:ascii="Times New Roman" w:eastAsia="Times New Roman" w:hAnsi="Times New Roman" w:cs="Times New Roman"/>
          <w:i/>
          <w:iCs/>
          <w:color w:val="000000"/>
          <w:kern w:val="0"/>
          <w:sz w:val="24"/>
          <w:szCs w:val="24"/>
          <w:lang w:val="en-GB" w:eastAsia="nl-NL"/>
          <w14:ligatures w14:val="none"/>
        </w:rPr>
        <w:t>19</w:t>
      </w:r>
      <w:r w:rsidRPr="00E133F8">
        <w:rPr>
          <w:rFonts w:ascii="Times New Roman" w:eastAsia="Times New Roman" w:hAnsi="Times New Roman" w:cs="Times New Roman"/>
          <w:color w:val="000000"/>
          <w:kern w:val="0"/>
          <w:sz w:val="24"/>
          <w:szCs w:val="24"/>
          <w:lang w:val="en-GB" w:eastAsia="nl-NL"/>
          <w14:ligatures w14:val="none"/>
        </w:rPr>
        <w:t>(5), 682–699.</w:t>
      </w:r>
    </w:p>
    <w:p w14:paraId="6BD18789" w14:textId="514A49D4" w:rsidR="00057AD5" w:rsidRPr="00057AD5" w:rsidRDefault="00057AD5" w:rsidP="00057AD5">
      <w:pPr>
        <w:pStyle w:val="muitypography-root"/>
        <w:spacing w:line="480" w:lineRule="auto"/>
        <w:ind w:left="851" w:hanging="851"/>
        <w:jc w:val="both"/>
        <w:rPr>
          <w:lang w:val="en-GB"/>
        </w:rPr>
      </w:pPr>
      <w:r w:rsidRPr="004F45E3">
        <w:rPr>
          <w:lang w:val="en-GB"/>
        </w:rPr>
        <w:t xml:space="preserve">Damro, C. (2015, November 27). Market Power Europe and new EU trade policies. </w:t>
      </w:r>
      <w:r w:rsidRPr="004F45E3">
        <w:rPr>
          <w:i/>
          <w:iCs/>
          <w:lang w:val="en-GB"/>
        </w:rPr>
        <w:t>Global Governance Through Trade</w:t>
      </w:r>
      <w:r w:rsidRPr="004F45E3">
        <w:rPr>
          <w:lang w:val="en-GB"/>
        </w:rPr>
        <w:t>. https://doi.org/10.4337/9781783477760.00007</w:t>
      </w:r>
    </w:p>
    <w:p w14:paraId="7D4631C0" w14:textId="77777777" w:rsidR="00F325C6" w:rsidRPr="00622533" w:rsidRDefault="00F325C6" w:rsidP="00F325C6">
      <w:pPr>
        <w:shd w:val="clear" w:color="auto" w:fill="FFFFFF"/>
        <w:spacing w:after="0" w:line="480" w:lineRule="auto"/>
        <w:ind w:left="851" w:hanging="851"/>
        <w:jc w:val="both"/>
        <w:rPr>
          <w:rFonts w:ascii="Times New Roman" w:eastAsia="Times New Roman" w:hAnsi="Times New Roman" w:cs="Times New Roman"/>
          <w:color w:val="000000"/>
          <w:kern w:val="0"/>
          <w:sz w:val="24"/>
          <w:szCs w:val="24"/>
          <w:lang w:val="en-GB" w:eastAsia="nl-NL"/>
          <w14:ligatures w14:val="none"/>
        </w:rPr>
      </w:pPr>
      <w:r w:rsidRPr="00622533">
        <w:rPr>
          <w:rFonts w:ascii="Times New Roman" w:eastAsia="Times New Roman" w:hAnsi="Times New Roman" w:cs="Times New Roman"/>
          <w:color w:val="000000"/>
          <w:kern w:val="0"/>
          <w:sz w:val="24"/>
          <w:szCs w:val="24"/>
          <w:lang w:val="en-GB" w:eastAsia="nl-NL"/>
          <w14:ligatures w14:val="none"/>
        </w:rPr>
        <w:t>Dandashly, A. &amp; Noutcheva, G. (2020).</w:t>
      </w:r>
      <w:r>
        <w:rPr>
          <w:rFonts w:ascii="Times New Roman" w:eastAsia="Times New Roman" w:hAnsi="Times New Roman" w:cs="Times New Roman"/>
          <w:color w:val="000000"/>
          <w:kern w:val="0"/>
          <w:sz w:val="24"/>
          <w:szCs w:val="24"/>
          <w:lang w:val="en-GB" w:eastAsia="nl-NL"/>
          <w14:ligatures w14:val="none"/>
        </w:rPr>
        <w:t xml:space="preserve"> </w:t>
      </w:r>
      <w:r w:rsidRPr="00622533">
        <w:rPr>
          <w:rFonts w:ascii="Times New Roman" w:eastAsia="Times New Roman" w:hAnsi="Times New Roman" w:cs="Times New Roman"/>
          <w:color w:val="000000"/>
          <w:kern w:val="0"/>
          <w:sz w:val="24"/>
          <w:szCs w:val="24"/>
          <w:lang w:val="en-GB" w:eastAsia="nl-NL"/>
          <w14:ligatures w14:val="none"/>
        </w:rPr>
        <w:t>Unintended Consequences of EU</w:t>
      </w:r>
      <w:r w:rsidRPr="00622533">
        <w:rPr>
          <w:rFonts w:ascii="Times New Roman" w:eastAsia="Times New Roman" w:hAnsi="Times New Roman" w:cs="Times New Roman"/>
          <w:color w:val="000000"/>
          <w:kern w:val="0"/>
          <w:sz w:val="24"/>
          <w:szCs w:val="24"/>
          <w:lang w:val="en-GB" w:eastAsia="nl-NL"/>
          <w14:ligatures w14:val="none"/>
        </w:rPr>
        <w:br/>
        <w:t>Democracy Support in the European Neighbourhood. In O. Burlyuk &amp; G.</w:t>
      </w:r>
      <w:r w:rsidRPr="00622533">
        <w:rPr>
          <w:rFonts w:ascii="Times New Roman" w:eastAsia="Times New Roman" w:hAnsi="Times New Roman" w:cs="Times New Roman"/>
          <w:color w:val="000000"/>
          <w:kern w:val="0"/>
          <w:sz w:val="24"/>
          <w:szCs w:val="24"/>
          <w:lang w:val="en-GB" w:eastAsia="nl-NL"/>
          <w14:ligatures w14:val="none"/>
        </w:rPr>
        <w:br/>
        <w:t>Noutcheva (</w:t>
      </w:r>
      <w:r>
        <w:rPr>
          <w:rFonts w:ascii="Times New Roman" w:eastAsia="Times New Roman" w:hAnsi="Times New Roman" w:cs="Times New Roman"/>
          <w:color w:val="000000"/>
          <w:kern w:val="0"/>
          <w:sz w:val="24"/>
          <w:szCs w:val="24"/>
          <w:lang w:val="en-GB" w:eastAsia="nl-NL"/>
          <w14:ligatures w14:val="none"/>
        </w:rPr>
        <w:t>Ed</w:t>
      </w:r>
      <w:r w:rsidRPr="00622533">
        <w:rPr>
          <w:rFonts w:ascii="Times New Roman" w:eastAsia="Times New Roman" w:hAnsi="Times New Roman" w:cs="Times New Roman"/>
          <w:color w:val="000000"/>
          <w:kern w:val="0"/>
          <w:sz w:val="24"/>
          <w:szCs w:val="24"/>
          <w:lang w:val="en-GB" w:eastAsia="nl-NL"/>
          <w14:ligatures w14:val="none"/>
        </w:rPr>
        <w:t>s</w:t>
      </w:r>
      <w:r>
        <w:rPr>
          <w:rFonts w:ascii="Times New Roman" w:eastAsia="Times New Roman" w:hAnsi="Times New Roman" w:cs="Times New Roman"/>
          <w:color w:val="000000"/>
          <w:kern w:val="0"/>
          <w:sz w:val="24"/>
          <w:szCs w:val="24"/>
          <w:lang w:val="en-GB" w:eastAsia="nl-NL"/>
          <w14:ligatures w14:val="none"/>
        </w:rPr>
        <w:t>.</w:t>
      </w:r>
      <w:r w:rsidRPr="00622533">
        <w:rPr>
          <w:rFonts w:ascii="Times New Roman" w:eastAsia="Times New Roman" w:hAnsi="Times New Roman" w:cs="Times New Roman"/>
          <w:color w:val="000000"/>
          <w:kern w:val="0"/>
          <w:sz w:val="24"/>
          <w:szCs w:val="24"/>
          <w:lang w:val="en-GB" w:eastAsia="nl-NL"/>
          <w14:ligatures w14:val="none"/>
        </w:rPr>
        <w:t>)</w:t>
      </w:r>
      <w:r>
        <w:rPr>
          <w:rFonts w:ascii="Times New Roman" w:eastAsia="Times New Roman" w:hAnsi="Times New Roman" w:cs="Times New Roman"/>
          <w:color w:val="000000"/>
          <w:kern w:val="0"/>
          <w:sz w:val="24"/>
          <w:szCs w:val="24"/>
          <w:lang w:val="en-GB" w:eastAsia="nl-NL"/>
          <w14:ligatures w14:val="none"/>
        </w:rPr>
        <w:t>,</w:t>
      </w:r>
      <w:r w:rsidRPr="00622533">
        <w:rPr>
          <w:rFonts w:ascii="Times New Roman" w:eastAsia="Times New Roman" w:hAnsi="Times New Roman" w:cs="Times New Roman"/>
          <w:color w:val="000000"/>
          <w:kern w:val="0"/>
          <w:sz w:val="24"/>
          <w:szCs w:val="24"/>
          <w:lang w:val="en-GB" w:eastAsia="nl-NL"/>
          <w14:ligatures w14:val="none"/>
        </w:rPr>
        <w:t xml:space="preserve"> </w:t>
      </w:r>
      <w:r w:rsidRPr="00622533">
        <w:rPr>
          <w:rFonts w:ascii="Times New Roman" w:eastAsia="Times New Roman" w:hAnsi="Times New Roman" w:cs="Times New Roman"/>
          <w:i/>
          <w:iCs/>
          <w:color w:val="000000"/>
          <w:kern w:val="0"/>
          <w:sz w:val="24"/>
          <w:szCs w:val="24"/>
          <w:lang w:val="en-GB" w:eastAsia="nl-NL"/>
          <w14:ligatures w14:val="none"/>
        </w:rPr>
        <w:t>Unintended Consequences of EU External Action</w:t>
      </w:r>
      <w:r>
        <w:rPr>
          <w:rFonts w:ascii="Times New Roman" w:eastAsia="Times New Roman" w:hAnsi="Times New Roman" w:cs="Times New Roman"/>
          <w:color w:val="000000"/>
          <w:kern w:val="0"/>
          <w:sz w:val="24"/>
          <w:szCs w:val="24"/>
          <w:lang w:val="en-GB" w:eastAsia="nl-NL"/>
          <w14:ligatures w14:val="none"/>
        </w:rPr>
        <w:t xml:space="preserve">. </w:t>
      </w:r>
      <w:r w:rsidRPr="00622533">
        <w:rPr>
          <w:rFonts w:ascii="Times New Roman" w:eastAsia="Times New Roman" w:hAnsi="Times New Roman" w:cs="Times New Roman"/>
          <w:color w:val="000000"/>
          <w:kern w:val="0"/>
          <w:sz w:val="24"/>
          <w:szCs w:val="24"/>
          <w:lang w:val="en-GB" w:eastAsia="nl-NL"/>
          <w14:ligatures w14:val="none"/>
        </w:rPr>
        <w:t>Routledge</w:t>
      </w:r>
    </w:p>
    <w:p w14:paraId="14DB4C0E" w14:textId="7168FF9D" w:rsidR="00C16358" w:rsidRPr="00C16358" w:rsidRDefault="00C16358" w:rsidP="00C16358">
      <w:pPr>
        <w:shd w:val="clear" w:color="auto" w:fill="FFFFFF"/>
        <w:spacing w:after="0" w:line="480" w:lineRule="auto"/>
        <w:ind w:left="851" w:hanging="851"/>
        <w:jc w:val="both"/>
        <w:rPr>
          <w:rFonts w:ascii="Times New Roman" w:eastAsia="Times New Roman" w:hAnsi="Times New Roman" w:cs="Times New Roman"/>
          <w:color w:val="000000"/>
          <w:kern w:val="0"/>
          <w:sz w:val="24"/>
          <w:szCs w:val="24"/>
          <w:lang w:val="en-US" w:eastAsia="nl-NL"/>
          <w14:ligatures w14:val="none"/>
        </w:rPr>
      </w:pPr>
      <w:r w:rsidRPr="00C16358">
        <w:rPr>
          <w:rFonts w:ascii="Times New Roman" w:eastAsia="Times New Roman" w:hAnsi="Times New Roman" w:cs="Times New Roman"/>
          <w:color w:val="000000"/>
          <w:kern w:val="0"/>
          <w:sz w:val="24"/>
          <w:szCs w:val="24"/>
          <w:lang w:val="en-US" w:eastAsia="nl-NL"/>
          <w14:ligatures w14:val="none"/>
        </w:rPr>
        <w:t xml:space="preserve">EPP [@EPP]. (2022, December 15). </w:t>
      </w:r>
      <w:r w:rsidRPr="00C16358">
        <w:rPr>
          <w:rFonts w:ascii="Times New Roman" w:eastAsia="Times New Roman" w:hAnsi="Times New Roman" w:cs="Times New Roman"/>
          <w:i/>
          <w:iCs/>
          <w:color w:val="000000"/>
          <w:kern w:val="0"/>
          <w:sz w:val="24"/>
          <w:szCs w:val="24"/>
          <w:lang w:val="en-US" w:eastAsia="nl-NL"/>
          <w14:ligatures w14:val="none"/>
        </w:rPr>
        <w:t xml:space="preserve">This is not just #QATARGATE. This is an S&amp;D scandal </w:t>
      </w:r>
      <w:r w:rsidRPr="00C16358">
        <w:rPr>
          <w:rFonts w:ascii="Times New Roman" w:eastAsia="Times New Roman" w:hAnsi="Times New Roman" w:cs="Times New Roman"/>
          <w:color w:val="000000"/>
          <w:kern w:val="0"/>
          <w:sz w:val="24"/>
          <w:szCs w:val="24"/>
          <w:lang w:val="en-US" w:eastAsia="nl-NL"/>
          <w14:ligatures w14:val="none"/>
        </w:rPr>
        <w:t xml:space="preserve">[Tweet]. X. </w:t>
      </w:r>
      <w:hyperlink r:id="rId16" w:history="1">
        <w:r w:rsidRPr="00C16358">
          <w:rPr>
            <w:rStyle w:val="Hyperlink"/>
            <w:rFonts w:ascii="Times New Roman" w:eastAsia="Times New Roman" w:hAnsi="Times New Roman" w:cs="Times New Roman"/>
            <w:kern w:val="0"/>
            <w:sz w:val="24"/>
            <w:szCs w:val="24"/>
            <w:lang w:val="en-US" w:eastAsia="nl-NL"/>
            <w14:ligatures w14:val="none"/>
          </w:rPr>
          <w:t>https://x.com/EPP/status/1603377414826082306</w:t>
        </w:r>
      </w:hyperlink>
    </w:p>
    <w:p w14:paraId="08EF9B0C" w14:textId="6EE651C1" w:rsidR="00F325C6" w:rsidRDefault="00F325C6" w:rsidP="00F325C6">
      <w:pPr>
        <w:shd w:val="clear" w:color="auto" w:fill="FFFFFF"/>
        <w:spacing w:after="0" w:line="480" w:lineRule="auto"/>
        <w:ind w:left="851" w:hanging="851"/>
        <w:jc w:val="both"/>
        <w:rPr>
          <w:rFonts w:ascii="Times New Roman" w:eastAsia="Times New Roman" w:hAnsi="Times New Roman" w:cs="Times New Roman"/>
          <w:color w:val="000000"/>
          <w:kern w:val="0"/>
          <w:sz w:val="24"/>
          <w:szCs w:val="24"/>
          <w:lang w:val="en-GB" w:eastAsia="nl-NL"/>
          <w14:ligatures w14:val="none"/>
        </w:rPr>
      </w:pPr>
      <w:r>
        <w:rPr>
          <w:rFonts w:ascii="Times New Roman" w:eastAsia="Times New Roman" w:hAnsi="Times New Roman" w:cs="Times New Roman"/>
          <w:color w:val="000000"/>
          <w:kern w:val="0"/>
          <w:sz w:val="24"/>
          <w:szCs w:val="24"/>
          <w:lang w:val="en-GB" w:eastAsia="nl-NL"/>
          <w14:ligatures w14:val="none"/>
        </w:rPr>
        <w:t xml:space="preserve">European Commission (n.d.). European Neighbourhood Policy and Enlargement Negotiations (DG NEAR). </w:t>
      </w:r>
      <w:hyperlink r:id="rId17" w:history="1">
        <w:r w:rsidRPr="001F205F">
          <w:rPr>
            <w:rStyle w:val="Hyperlink"/>
            <w:rFonts w:ascii="Times New Roman" w:eastAsia="Times New Roman" w:hAnsi="Times New Roman" w:cs="Times New Roman"/>
            <w:kern w:val="0"/>
            <w:sz w:val="24"/>
            <w:szCs w:val="24"/>
            <w:lang w:val="en-GB" w:eastAsia="nl-NL"/>
            <w14:ligatures w14:val="none"/>
          </w:rPr>
          <w:t>https://neighbourhood-enlargement.ec.europa.eu/european-neighbourhood-policy_en</w:t>
        </w:r>
      </w:hyperlink>
    </w:p>
    <w:p w14:paraId="6B1BDE6B" w14:textId="4D296343" w:rsidR="00F325C6" w:rsidRPr="00E17CEC" w:rsidRDefault="00F325C6" w:rsidP="00F325C6">
      <w:pPr>
        <w:spacing w:line="480" w:lineRule="auto"/>
        <w:ind w:left="851" w:hanging="851"/>
        <w:jc w:val="both"/>
        <w:rPr>
          <w:rFonts w:ascii="Times New Roman" w:hAnsi="Times New Roman" w:cs="Times New Roman"/>
          <w:sz w:val="24"/>
          <w:szCs w:val="24"/>
          <w:lang w:val="en-GB"/>
        </w:rPr>
      </w:pPr>
      <w:r w:rsidRPr="00E17CEC">
        <w:rPr>
          <w:rFonts w:ascii="Times New Roman" w:hAnsi="Times New Roman" w:cs="Times New Roman"/>
          <w:sz w:val="24"/>
          <w:szCs w:val="24"/>
          <w:lang w:val="en-GB"/>
        </w:rPr>
        <w:lastRenderedPageBreak/>
        <w:t>European Commission. (2022</w:t>
      </w:r>
      <w:r w:rsidR="00340D3B">
        <w:rPr>
          <w:rFonts w:ascii="Times New Roman" w:hAnsi="Times New Roman" w:cs="Times New Roman"/>
          <w:sz w:val="24"/>
          <w:szCs w:val="24"/>
          <w:lang w:val="en-GB"/>
        </w:rPr>
        <w:t>, May 18</w:t>
      </w:r>
      <w:r w:rsidRPr="00E17CEC">
        <w:rPr>
          <w:rFonts w:ascii="Times New Roman" w:hAnsi="Times New Roman" w:cs="Times New Roman"/>
          <w:sz w:val="24"/>
          <w:szCs w:val="24"/>
          <w:lang w:val="en-GB"/>
        </w:rPr>
        <w:t xml:space="preserve">). </w:t>
      </w:r>
      <w:r w:rsidRPr="00E17CEC">
        <w:rPr>
          <w:rFonts w:ascii="Times New Roman" w:hAnsi="Times New Roman" w:cs="Times New Roman"/>
          <w:i/>
          <w:iCs/>
          <w:sz w:val="24"/>
          <w:szCs w:val="24"/>
          <w:lang w:val="en-GB"/>
        </w:rPr>
        <w:t xml:space="preserve">Joint communication to the European Parliament and the Council. A strategic partnership with the Gulf. </w:t>
      </w:r>
      <w:hyperlink r:id="rId18" w:history="1">
        <w:r w:rsidRPr="00E17CEC">
          <w:rPr>
            <w:rStyle w:val="Hyperlink"/>
            <w:rFonts w:ascii="Times New Roman" w:hAnsi="Times New Roman" w:cs="Times New Roman"/>
            <w:sz w:val="24"/>
            <w:szCs w:val="24"/>
            <w:lang w:val="en-GB"/>
          </w:rPr>
          <w:t>https://www.eeas.europa.eu/sites/default/files/documents/Joint%20Communication%20to%20the%20European%20Parliament%20and%20the%20Council%20-%20A%20Strategic%20Partnership%20with%20the%20Gulf.pdf</w:t>
        </w:r>
      </w:hyperlink>
    </w:p>
    <w:p w14:paraId="4076D3AE" w14:textId="750E0659" w:rsidR="00C16358" w:rsidRPr="00415A11" w:rsidRDefault="00C16358" w:rsidP="00C16358">
      <w:pPr>
        <w:spacing w:line="480" w:lineRule="auto"/>
        <w:ind w:left="851" w:hanging="851"/>
        <w:jc w:val="both"/>
        <w:rPr>
          <w:rFonts w:ascii="Times New Roman" w:hAnsi="Times New Roman" w:cs="Times New Roman"/>
          <w:sz w:val="24"/>
          <w:szCs w:val="24"/>
        </w:rPr>
      </w:pPr>
      <w:r w:rsidRPr="00C16358">
        <w:rPr>
          <w:rFonts w:ascii="Times New Roman" w:hAnsi="Times New Roman" w:cs="Times New Roman"/>
          <w:sz w:val="24"/>
          <w:szCs w:val="24"/>
          <w:lang w:val="en-US"/>
        </w:rPr>
        <w:t xml:space="preserve">European Commission. (2023, June 8). </w:t>
      </w:r>
      <w:r w:rsidRPr="00C16358">
        <w:rPr>
          <w:rFonts w:ascii="Times New Roman" w:hAnsi="Times New Roman" w:cs="Times New Roman"/>
          <w:i/>
          <w:iCs/>
          <w:sz w:val="24"/>
          <w:szCs w:val="24"/>
          <w:lang w:val="en-US"/>
        </w:rPr>
        <w:t>Communication from the Commission to the European Parliament, the European Council, the Council, the European Court of Justice, the European Central Bank, the European Court of Auditors, the European Economic and Social Committee and the Committee of the Regions: Proposal for an interinstitutional ethics body.</w:t>
      </w:r>
      <w:r w:rsidRPr="00C16358">
        <w:rPr>
          <w:rFonts w:ascii="Times New Roman" w:hAnsi="Times New Roman" w:cs="Times New Roman"/>
          <w:sz w:val="24"/>
          <w:szCs w:val="24"/>
          <w:lang w:val="en-US"/>
        </w:rPr>
        <w:t xml:space="preserve"> </w:t>
      </w:r>
      <w:hyperlink r:id="rId19" w:history="1">
        <w:r w:rsidRPr="00415A11">
          <w:rPr>
            <w:rStyle w:val="Hyperlink"/>
            <w:rFonts w:ascii="Times New Roman" w:hAnsi="Times New Roman" w:cs="Times New Roman"/>
            <w:sz w:val="24"/>
            <w:szCs w:val="24"/>
          </w:rPr>
          <w:t>https://eur-lex.europa.eu/resource.html?uri=cellar:400883dd-060f-11ee-b12e-01aa75ed71a1.0001.02/DOC_1&amp;format=PDF</w:t>
        </w:r>
      </w:hyperlink>
    </w:p>
    <w:p w14:paraId="0C4EF328" w14:textId="1F5C306D" w:rsidR="00BA2528" w:rsidRPr="00BA2528" w:rsidRDefault="00BA2528" w:rsidP="00BA2528">
      <w:pPr>
        <w:spacing w:line="480" w:lineRule="auto"/>
        <w:ind w:left="851" w:hanging="851"/>
        <w:jc w:val="both"/>
        <w:rPr>
          <w:rFonts w:ascii="Times New Roman" w:hAnsi="Times New Roman" w:cs="Times New Roman"/>
          <w:i/>
          <w:iCs/>
          <w:sz w:val="24"/>
          <w:szCs w:val="24"/>
        </w:rPr>
      </w:pPr>
      <w:r w:rsidRPr="00BA2528">
        <w:rPr>
          <w:rFonts w:ascii="Times New Roman" w:hAnsi="Times New Roman" w:cs="Times New Roman"/>
          <w:sz w:val="24"/>
          <w:szCs w:val="24"/>
          <w:lang w:val="en-US"/>
        </w:rPr>
        <w:t xml:space="preserve">European Commission. (2023, November 28). </w:t>
      </w:r>
      <w:r w:rsidRPr="00BA2528">
        <w:rPr>
          <w:rFonts w:ascii="Times New Roman" w:hAnsi="Times New Roman" w:cs="Times New Roman"/>
          <w:i/>
          <w:iCs/>
          <w:sz w:val="24"/>
          <w:szCs w:val="24"/>
          <w:lang w:val="en-US"/>
        </w:rPr>
        <w:t xml:space="preserve">Statement by President von der Leyen on the agreement between Israel and Hamas on an extension of the pause in hostilities. </w:t>
      </w:r>
      <w:hyperlink r:id="rId20" w:history="1">
        <w:r w:rsidRPr="00BA2528">
          <w:rPr>
            <w:rStyle w:val="Hyperlink"/>
            <w:rFonts w:ascii="Times New Roman" w:hAnsi="Times New Roman" w:cs="Times New Roman"/>
            <w:i/>
            <w:iCs/>
            <w:sz w:val="24"/>
            <w:szCs w:val="24"/>
          </w:rPr>
          <w:t>https://neighbourhood-enlargement.ec.europa.eu/news/statement-president-von-der-leyen-agreement-between-israel-and-hamas-extension-pause-hostilities-2023-11-28_en</w:t>
        </w:r>
      </w:hyperlink>
    </w:p>
    <w:p w14:paraId="2491444D" w14:textId="2BBCFD52" w:rsidR="00C16358" w:rsidRPr="00415A11" w:rsidRDefault="00C16358" w:rsidP="00C16358">
      <w:pPr>
        <w:spacing w:line="480" w:lineRule="auto"/>
        <w:ind w:left="851" w:hanging="851"/>
        <w:jc w:val="both"/>
        <w:rPr>
          <w:rFonts w:ascii="Times New Roman" w:hAnsi="Times New Roman" w:cs="Times New Roman"/>
          <w:sz w:val="24"/>
          <w:szCs w:val="24"/>
        </w:rPr>
      </w:pPr>
      <w:r w:rsidRPr="00C16358">
        <w:rPr>
          <w:rFonts w:ascii="Times New Roman" w:hAnsi="Times New Roman" w:cs="Times New Roman"/>
          <w:sz w:val="24"/>
          <w:szCs w:val="24"/>
          <w:lang w:val="en-US"/>
        </w:rPr>
        <w:t xml:space="preserve">European Committee of the Regions. (2024, April 25). </w:t>
      </w:r>
      <w:r w:rsidRPr="00C16358">
        <w:rPr>
          <w:rFonts w:ascii="Times New Roman" w:hAnsi="Times New Roman" w:cs="Times New Roman"/>
          <w:i/>
          <w:iCs/>
          <w:sz w:val="24"/>
          <w:szCs w:val="24"/>
          <w:lang w:val="en-US"/>
        </w:rPr>
        <w:t xml:space="preserve">Ethics body: European Committee of the Regions joins agreement of EU Institutions and Bodies </w:t>
      </w:r>
      <w:r w:rsidRPr="00C16358">
        <w:rPr>
          <w:rFonts w:ascii="Times New Roman" w:hAnsi="Times New Roman" w:cs="Times New Roman"/>
          <w:sz w:val="24"/>
          <w:szCs w:val="24"/>
          <w:lang w:val="en-US"/>
        </w:rPr>
        <w:t xml:space="preserve">[Press release]. </w:t>
      </w:r>
      <w:hyperlink r:id="rId21" w:history="1">
        <w:r w:rsidRPr="00415A11">
          <w:rPr>
            <w:rStyle w:val="Hyperlink"/>
            <w:rFonts w:ascii="Times New Roman" w:hAnsi="Times New Roman" w:cs="Times New Roman"/>
            <w:sz w:val="24"/>
            <w:szCs w:val="24"/>
          </w:rPr>
          <w:t>https://cor.europa.eu/en/news/Pages/interinstitutional-agreement-ethics-body.aspx</w:t>
        </w:r>
      </w:hyperlink>
    </w:p>
    <w:p w14:paraId="0CE7F109" w14:textId="154F76E7" w:rsidR="0090410D" w:rsidRPr="00A374D5" w:rsidRDefault="0090410D" w:rsidP="003276FF">
      <w:pPr>
        <w:spacing w:line="480" w:lineRule="auto"/>
        <w:ind w:left="851" w:hanging="851"/>
        <w:jc w:val="both"/>
        <w:rPr>
          <w:rFonts w:ascii="Times New Roman" w:hAnsi="Times New Roman" w:cs="Times New Roman"/>
          <w:sz w:val="24"/>
          <w:szCs w:val="24"/>
        </w:rPr>
      </w:pPr>
      <w:r>
        <w:rPr>
          <w:rFonts w:ascii="Times New Roman" w:hAnsi="Times New Roman" w:cs="Times New Roman"/>
          <w:sz w:val="24"/>
          <w:szCs w:val="24"/>
          <w:lang w:val="en-GB"/>
        </w:rPr>
        <w:t xml:space="preserve">European Communities (1989). </w:t>
      </w:r>
      <w:r w:rsidR="00073841">
        <w:rPr>
          <w:rFonts w:ascii="Times New Roman" w:hAnsi="Times New Roman" w:cs="Times New Roman"/>
          <w:sz w:val="24"/>
          <w:szCs w:val="24"/>
          <w:lang w:val="en-GB"/>
        </w:rPr>
        <w:t>C</w:t>
      </w:r>
      <w:r w:rsidR="00073841" w:rsidRPr="00073841">
        <w:rPr>
          <w:rFonts w:ascii="Times New Roman" w:hAnsi="Times New Roman" w:cs="Times New Roman"/>
          <w:i/>
          <w:iCs/>
          <w:sz w:val="24"/>
          <w:szCs w:val="24"/>
          <w:lang w:val="en-GB"/>
        </w:rPr>
        <w:t>ooperation agreement</w:t>
      </w:r>
      <w:r w:rsidR="007F3D16" w:rsidRPr="00073841">
        <w:rPr>
          <w:rFonts w:ascii="Times New Roman" w:hAnsi="Times New Roman" w:cs="Times New Roman"/>
          <w:i/>
          <w:iCs/>
          <w:sz w:val="24"/>
          <w:szCs w:val="24"/>
          <w:lang w:val="en-GB"/>
        </w:rPr>
        <w:t xml:space="preserve"> </w:t>
      </w:r>
      <w:r w:rsidR="007F3D16" w:rsidRPr="007F3D16">
        <w:rPr>
          <w:rFonts w:ascii="Times New Roman" w:hAnsi="Times New Roman" w:cs="Times New Roman"/>
          <w:i/>
          <w:iCs/>
          <w:sz w:val="24"/>
          <w:szCs w:val="24"/>
          <w:lang w:val="en-GB"/>
        </w:rPr>
        <w:t>between the European Economic Community, of the one part, and the countries parties to the Charter of the Cooperation Council for the Arab States of the Gulf (the State of the United Arab Emirates, the State of Bahrain, the Kingdom of Saudi Arabia, the Sultanate of Oman, the State of Qatar and the State of Kuwait) of the other par</w:t>
      </w:r>
      <w:r w:rsidR="007F3D16" w:rsidRPr="00073841">
        <w:rPr>
          <w:rFonts w:ascii="Times New Roman" w:hAnsi="Times New Roman" w:cs="Times New Roman"/>
          <w:i/>
          <w:iCs/>
          <w:sz w:val="24"/>
          <w:szCs w:val="24"/>
          <w:lang w:val="en-GB"/>
        </w:rPr>
        <w:t>t</w:t>
      </w:r>
      <w:r w:rsidR="007F3D16">
        <w:rPr>
          <w:rFonts w:ascii="Times New Roman" w:hAnsi="Times New Roman" w:cs="Times New Roman"/>
          <w:sz w:val="24"/>
          <w:szCs w:val="24"/>
          <w:lang w:val="en-GB"/>
        </w:rPr>
        <w:t xml:space="preserve">. </w:t>
      </w:r>
      <w:hyperlink r:id="rId22" w:history="1">
        <w:r w:rsidR="00073841" w:rsidRPr="00A374D5">
          <w:rPr>
            <w:rStyle w:val="Hyperlink"/>
            <w:rFonts w:ascii="Times New Roman" w:hAnsi="Times New Roman" w:cs="Times New Roman"/>
            <w:sz w:val="24"/>
            <w:szCs w:val="24"/>
          </w:rPr>
          <w:t>https://eur-</w:t>
        </w:r>
        <w:r w:rsidR="00073841" w:rsidRPr="00A374D5">
          <w:rPr>
            <w:rStyle w:val="Hyperlink"/>
            <w:rFonts w:ascii="Times New Roman" w:hAnsi="Times New Roman" w:cs="Times New Roman"/>
            <w:sz w:val="24"/>
            <w:szCs w:val="24"/>
          </w:rPr>
          <w:lastRenderedPageBreak/>
          <w:t>lex.europa.eu/LexUriServ/LexUriServ.do?uri=CELEX:21989A0225%2801%29:EN:HTML</w:t>
        </w:r>
      </w:hyperlink>
    </w:p>
    <w:p w14:paraId="46283FB3" w14:textId="6B26D391" w:rsidR="00BA2528" w:rsidRPr="00093959" w:rsidRDefault="00BA2528" w:rsidP="00BA2528">
      <w:pPr>
        <w:spacing w:line="480" w:lineRule="auto"/>
        <w:ind w:left="851" w:hanging="851"/>
        <w:jc w:val="both"/>
        <w:rPr>
          <w:rFonts w:ascii="Times New Roman" w:hAnsi="Times New Roman" w:cs="Times New Roman"/>
          <w:sz w:val="24"/>
          <w:szCs w:val="24"/>
          <w:lang w:val="en-GB"/>
        </w:rPr>
      </w:pPr>
      <w:r w:rsidRPr="00BA2528">
        <w:rPr>
          <w:rFonts w:ascii="Times New Roman" w:hAnsi="Times New Roman" w:cs="Times New Roman"/>
          <w:sz w:val="24"/>
          <w:szCs w:val="24"/>
          <w:lang w:val="en-US"/>
        </w:rPr>
        <w:t xml:space="preserve">European Council. (n.d.). </w:t>
      </w:r>
      <w:r w:rsidRPr="00BA2528">
        <w:rPr>
          <w:rFonts w:ascii="Times New Roman" w:hAnsi="Times New Roman" w:cs="Times New Roman"/>
          <w:i/>
          <w:iCs/>
          <w:sz w:val="24"/>
          <w:szCs w:val="24"/>
          <w:lang w:val="en-US"/>
        </w:rPr>
        <w:t xml:space="preserve">Where does the EU’s gas come from? </w:t>
      </w:r>
      <w:hyperlink r:id="rId23" w:history="1">
        <w:r w:rsidRPr="00BA2528">
          <w:rPr>
            <w:rStyle w:val="Hyperlink"/>
            <w:rFonts w:ascii="Times New Roman" w:hAnsi="Times New Roman" w:cs="Times New Roman"/>
            <w:sz w:val="24"/>
            <w:szCs w:val="24"/>
            <w:lang w:val="en-GB"/>
          </w:rPr>
          <w:t>https://www.consilium.europa.eu/en/infographics/eu-gas-supply</w:t>
        </w:r>
      </w:hyperlink>
    </w:p>
    <w:p w14:paraId="13D8D724" w14:textId="43985601" w:rsidR="00D9244E" w:rsidRPr="00AC227A" w:rsidRDefault="00D9244E" w:rsidP="00D9244E">
      <w:pPr>
        <w:spacing w:line="480" w:lineRule="auto"/>
        <w:ind w:left="851" w:hanging="851"/>
        <w:jc w:val="both"/>
        <w:rPr>
          <w:rFonts w:ascii="Times New Roman" w:hAnsi="Times New Roman" w:cs="Times New Roman"/>
          <w:sz w:val="24"/>
          <w:szCs w:val="24"/>
        </w:rPr>
      </w:pPr>
      <w:r w:rsidRPr="00D9244E">
        <w:rPr>
          <w:rFonts w:ascii="Times New Roman" w:hAnsi="Times New Roman" w:cs="Times New Roman"/>
          <w:sz w:val="24"/>
          <w:szCs w:val="24"/>
          <w:lang w:val="en-GB"/>
        </w:rPr>
        <w:t xml:space="preserve">European External Action Service. (2018). CCOPERATION AGREEMENT between the EUROPEAN EXTERNAL ACTION SERVICE and the MINISTRY OF FOREIGN AFFAIRS OF THE STATE OF QATAR. </w:t>
      </w:r>
      <w:hyperlink r:id="rId24" w:history="1">
        <w:r w:rsidRPr="00AC227A">
          <w:rPr>
            <w:rStyle w:val="Hyperlink"/>
            <w:rFonts w:ascii="Times New Roman" w:hAnsi="Times New Roman" w:cs="Times New Roman"/>
            <w:sz w:val="24"/>
            <w:szCs w:val="24"/>
          </w:rPr>
          <w:t>https://www.eeas.europa.eu/sites/default/files/documents/2024/EEAS-Qatar%20Coop%20Arrrangement%20as%20signed.pdf</w:t>
        </w:r>
      </w:hyperlink>
    </w:p>
    <w:p w14:paraId="307BE75E" w14:textId="26B1F38B" w:rsidR="00DC079E" w:rsidRDefault="00DC079E" w:rsidP="00DC079E">
      <w:pPr>
        <w:spacing w:line="480" w:lineRule="auto"/>
        <w:ind w:left="851" w:hanging="851"/>
        <w:jc w:val="both"/>
        <w:rPr>
          <w:rFonts w:ascii="Times New Roman" w:hAnsi="Times New Roman" w:cs="Times New Roman"/>
          <w:sz w:val="24"/>
          <w:szCs w:val="24"/>
          <w:lang w:val="en-GB"/>
        </w:rPr>
      </w:pPr>
      <w:r w:rsidRPr="00DC079E">
        <w:rPr>
          <w:rFonts w:ascii="Times New Roman" w:hAnsi="Times New Roman" w:cs="Times New Roman"/>
          <w:sz w:val="24"/>
          <w:szCs w:val="24"/>
          <w:lang w:val="en-GB"/>
        </w:rPr>
        <w:t xml:space="preserve">European External Action Service. (2021, October 13). </w:t>
      </w:r>
      <w:r w:rsidRPr="00DC079E">
        <w:rPr>
          <w:rFonts w:ascii="Times New Roman" w:hAnsi="Times New Roman" w:cs="Times New Roman"/>
          <w:i/>
          <w:iCs/>
          <w:sz w:val="24"/>
          <w:szCs w:val="24"/>
          <w:lang w:val="en-GB"/>
        </w:rPr>
        <w:t>The European Union and the State of Qatar</w:t>
      </w:r>
      <w:r w:rsidRPr="00DC079E">
        <w:rPr>
          <w:rFonts w:ascii="Times New Roman" w:hAnsi="Times New Roman" w:cs="Times New Roman"/>
          <w:sz w:val="24"/>
          <w:szCs w:val="24"/>
          <w:lang w:val="en-GB"/>
        </w:rPr>
        <w:t>. Retrieved April 30, 2024, from https://www.eeas.europa.eu/qatar/european-union-and-qatar_en?s=207</w:t>
      </w:r>
    </w:p>
    <w:p w14:paraId="27309E84" w14:textId="5DDE33F3" w:rsidR="00F325C6" w:rsidRPr="00E17CEC" w:rsidRDefault="00F325C6" w:rsidP="00F325C6">
      <w:pPr>
        <w:spacing w:line="480" w:lineRule="auto"/>
        <w:ind w:left="851" w:hanging="851"/>
        <w:jc w:val="both"/>
        <w:rPr>
          <w:rFonts w:ascii="Times New Roman" w:hAnsi="Times New Roman" w:cs="Times New Roman"/>
          <w:sz w:val="24"/>
          <w:szCs w:val="24"/>
          <w:lang w:val="en-GB"/>
        </w:rPr>
      </w:pPr>
      <w:r w:rsidRPr="00E17CEC">
        <w:rPr>
          <w:rFonts w:ascii="Times New Roman" w:hAnsi="Times New Roman" w:cs="Times New Roman"/>
          <w:sz w:val="24"/>
          <w:szCs w:val="24"/>
          <w:lang w:val="en-GB"/>
        </w:rPr>
        <w:t xml:space="preserve">European Ombudsman. (2022, December 12). </w:t>
      </w:r>
      <w:r w:rsidRPr="00E17CEC">
        <w:rPr>
          <w:rFonts w:ascii="Times New Roman" w:hAnsi="Times New Roman" w:cs="Times New Roman"/>
          <w:i/>
          <w:iCs/>
          <w:sz w:val="24"/>
          <w:szCs w:val="24"/>
          <w:lang w:val="en-GB"/>
        </w:rPr>
        <w:t xml:space="preserve">1 One year after Qatargate, Ombudsman highlights remaining concerns about Parliament’s new ethics framework. </w:t>
      </w:r>
      <w:r w:rsidRPr="00E17CEC">
        <w:rPr>
          <w:rFonts w:ascii="Times New Roman" w:hAnsi="Times New Roman" w:cs="Times New Roman"/>
          <w:sz w:val="24"/>
          <w:szCs w:val="24"/>
          <w:lang w:val="en-GB"/>
        </w:rPr>
        <w:t>https://www.ombudsman.europa.eu/en/press-release/en/178994</w:t>
      </w:r>
    </w:p>
    <w:p w14:paraId="57F10925" w14:textId="77777777" w:rsidR="00C16358" w:rsidRPr="00415A11" w:rsidRDefault="00C16358" w:rsidP="00C16358">
      <w:pPr>
        <w:spacing w:line="480" w:lineRule="auto"/>
        <w:ind w:left="851" w:hanging="851"/>
        <w:jc w:val="both"/>
        <w:rPr>
          <w:rFonts w:ascii="Times New Roman" w:hAnsi="Times New Roman" w:cs="Times New Roman"/>
          <w:i/>
          <w:iCs/>
          <w:sz w:val="24"/>
          <w:szCs w:val="24"/>
        </w:rPr>
      </w:pPr>
      <w:r w:rsidRPr="00C16358">
        <w:rPr>
          <w:rFonts w:ascii="Times New Roman" w:hAnsi="Times New Roman" w:cs="Times New Roman"/>
          <w:sz w:val="24"/>
          <w:szCs w:val="24"/>
          <w:lang w:val="en-US"/>
        </w:rPr>
        <w:t xml:space="preserve">European Parliament. (2022, December 12). </w:t>
      </w:r>
      <w:r w:rsidRPr="00C16358">
        <w:rPr>
          <w:rFonts w:ascii="Times New Roman" w:hAnsi="Times New Roman" w:cs="Times New Roman"/>
          <w:i/>
          <w:iCs/>
          <w:sz w:val="24"/>
          <w:szCs w:val="24"/>
          <w:lang w:val="en-US"/>
        </w:rPr>
        <w:t xml:space="preserve">Verbatim report of proceedings. </w:t>
      </w:r>
      <w:hyperlink r:id="rId25" w:history="1">
        <w:r w:rsidRPr="00415A11">
          <w:rPr>
            <w:rStyle w:val="Hyperlink"/>
            <w:rFonts w:ascii="Times New Roman" w:hAnsi="Times New Roman" w:cs="Times New Roman"/>
            <w:i/>
            <w:iCs/>
            <w:sz w:val="24"/>
            <w:szCs w:val="24"/>
          </w:rPr>
          <w:t>https://www.europarl.europa.eu/doceo/document/CRE-9-2022-12-12-ITM-003_EN.html</w:t>
        </w:r>
      </w:hyperlink>
    </w:p>
    <w:p w14:paraId="54F8A8A2" w14:textId="77777777" w:rsidR="00C16358" w:rsidRPr="00415A11" w:rsidRDefault="00C16358" w:rsidP="00C16358">
      <w:pPr>
        <w:spacing w:line="480" w:lineRule="auto"/>
        <w:ind w:left="851" w:hanging="851"/>
        <w:jc w:val="both"/>
        <w:rPr>
          <w:rFonts w:ascii="Times New Roman" w:hAnsi="Times New Roman" w:cs="Times New Roman"/>
          <w:sz w:val="24"/>
          <w:szCs w:val="24"/>
        </w:rPr>
      </w:pPr>
      <w:r w:rsidRPr="00C16358">
        <w:rPr>
          <w:rFonts w:ascii="Times New Roman" w:hAnsi="Times New Roman" w:cs="Times New Roman"/>
          <w:sz w:val="24"/>
          <w:szCs w:val="24"/>
          <w:lang w:val="en-US"/>
        </w:rPr>
        <w:t xml:space="preserve">European Parliament. (2023, February 8). </w:t>
      </w:r>
      <w:r w:rsidRPr="00C16358">
        <w:rPr>
          <w:rFonts w:ascii="Times New Roman" w:hAnsi="Times New Roman" w:cs="Times New Roman"/>
          <w:i/>
          <w:iCs/>
          <w:sz w:val="24"/>
          <w:szCs w:val="24"/>
          <w:lang w:val="en-US"/>
        </w:rPr>
        <w:t xml:space="preserve">Group leaders endorse first steps of parliamentary reform </w:t>
      </w:r>
      <w:r w:rsidRPr="00C16358">
        <w:rPr>
          <w:rFonts w:ascii="Times New Roman" w:hAnsi="Times New Roman" w:cs="Times New Roman"/>
          <w:sz w:val="24"/>
          <w:szCs w:val="24"/>
          <w:lang w:val="en-US"/>
        </w:rPr>
        <w:t xml:space="preserve">[Press release]. </w:t>
      </w:r>
      <w:hyperlink r:id="rId26" w:history="1">
        <w:r w:rsidRPr="00415A11">
          <w:rPr>
            <w:rStyle w:val="Hyperlink"/>
            <w:rFonts w:ascii="Times New Roman" w:hAnsi="Times New Roman" w:cs="Times New Roman"/>
            <w:sz w:val="24"/>
            <w:szCs w:val="24"/>
          </w:rPr>
          <w:t>https://www.europarl.europa.eu/news/en/press-room/20230208IPR72802/group-leaders-endorse-first-steps-of-parliamentary-reform</w:t>
        </w:r>
      </w:hyperlink>
    </w:p>
    <w:p w14:paraId="78911B7A" w14:textId="19BFBD0A" w:rsidR="00C16358" w:rsidRPr="00415A11" w:rsidRDefault="00C16358" w:rsidP="00C16358">
      <w:pPr>
        <w:spacing w:line="480" w:lineRule="auto"/>
        <w:ind w:left="851" w:hanging="851"/>
        <w:jc w:val="both"/>
        <w:rPr>
          <w:rFonts w:ascii="Times New Roman" w:hAnsi="Times New Roman" w:cs="Times New Roman"/>
          <w:sz w:val="24"/>
          <w:szCs w:val="24"/>
        </w:rPr>
      </w:pPr>
      <w:r w:rsidRPr="00C16358">
        <w:rPr>
          <w:rFonts w:ascii="Times New Roman" w:hAnsi="Times New Roman" w:cs="Times New Roman"/>
          <w:sz w:val="24"/>
          <w:szCs w:val="24"/>
          <w:lang w:val="en-US"/>
        </w:rPr>
        <w:t xml:space="preserve">European Parliament. (2023, November 23). </w:t>
      </w:r>
      <w:r w:rsidRPr="00C16358">
        <w:rPr>
          <w:rFonts w:ascii="Times New Roman" w:hAnsi="Times New Roman" w:cs="Times New Roman"/>
          <w:i/>
          <w:iCs/>
          <w:sz w:val="24"/>
          <w:szCs w:val="24"/>
          <w:lang w:val="en-US"/>
        </w:rPr>
        <w:t>European Parliament Implementation of the 14 point Ref</w:t>
      </w:r>
      <w:r w:rsidR="00EA343E">
        <w:rPr>
          <w:rFonts w:ascii="Times New Roman" w:hAnsi="Times New Roman" w:cs="Times New Roman"/>
          <w:i/>
          <w:iCs/>
          <w:sz w:val="24"/>
          <w:szCs w:val="24"/>
          <w:lang w:val="en-US"/>
        </w:rPr>
        <w:t>or</w:t>
      </w:r>
      <w:r w:rsidRPr="00C16358">
        <w:rPr>
          <w:rFonts w:ascii="Times New Roman" w:hAnsi="Times New Roman" w:cs="Times New Roman"/>
          <w:i/>
          <w:iCs/>
          <w:sz w:val="24"/>
          <w:szCs w:val="24"/>
          <w:lang w:val="en-US"/>
        </w:rPr>
        <w:t xml:space="preserve">m plan ‘Strengthening Integrity, Independence and Accountability’. </w:t>
      </w:r>
      <w:hyperlink r:id="rId27" w:history="1">
        <w:r w:rsidRPr="00415A11">
          <w:rPr>
            <w:rStyle w:val="Hyperlink"/>
            <w:rFonts w:ascii="Times New Roman" w:hAnsi="Times New Roman" w:cs="Times New Roman"/>
            <w:sz w:val="24"/>
            <w:szCs w:val="24"/>
          </w:rPr>
          <w:t>https://www.europarl.europa.eu/resources/library/media/20231127RES15437/20231127RES15437.pdf</w:t>
        </w:r>
      </w:hyperlink>
    </w:p>
    <w:p w14:paraId="23BBED34" w14:textId="79DAEE97" w:rsidR="00C16358" w:rsidRPr="00415A11" w:rsidRDefault="00C16358" w:rsidP="00C16358">
      <w:pPr>
        <w:spacing w:line="480" w:lineRule="auto"/>
        <w:ind w:left="851" w:hanging="851"/>
        <w:jc w:val="both"/>
        <w:rPr>
          <w:rFonts w:ascii="Times New Roman" w:hAnsi="Times New Roman" w:cs="Times New Roman"/>
          <w:i/>
          <w:iCs/>
          <w:sz w:val="24"/>
          <w:szCs w:val="24"/>
          <w:lang w:val="en-GB"/>
        </w:rPr>
      </w:pPr>
      <w:r w:rsidRPr="00C16358">
        <w:rPr>
          <w:rFonts w:ascii="Times New Roman" w:hAnsi="Times New Roman" w:cs="Times New Roman"/>
          <w:sz w:val="24"/>
          <w:szCs w:val="24"/>
          <w:lang w:val="en-US"/>
        </w:rPr>
        <w:t xml:space="preserve">European Union. (n.d.). </w:t>
      </w:r>
      <w:r w:rsidRPr="00C16358">
        <w:rPr>
          <w:rFonts w:ascii="Times New Roman" w:hAnsi="Times New Roman" w:cs="Times New Roman"/>
          <w:i/>
          <w:iCs/>
          <w:sz w:val="24"/>
          <w:szCs w:val="24"/>
          <w:lang w:val="en-US"/>
        </w:rPr>
        <w:t xml:space="preserve">Standard Eurobarometer 99 – Spring 2023. </w:t>
      </w:r>
      <w:hyperlink r:id="rId28" w:history="1">
        <w:r w:rsidRPr="00415A11">
          <w:rPr>
            <w:rStyle w:val="Hyperlink"/>
            <w:rFonts w:ascii="Times New Roman" w:hAnsi="Times New Roman" w:cs="Times New Roman"/>
            <w:i/>
            <w:iCs/>
            <w:sz w:val="24"/>
            <w:szCs w:val="24"/>
            <w:lang w:val="en-GB"/>
          </w:rPr>
          <w:t>https://europa.eu/eurobarometer/surveys/detail/3052</w:t>
        </w:r>
      </w:hyperlink>
    </w:p>
    <w:p w14:paraId="0F3DFA4F" w14:textId="22153C6D" w:rsidR="00F325C6" w:rsidRPr="00E17CEC" w:rsidRDefault="00F325C6" w:rsidP="00F325C6">
      <w:pPr>
        <w:spacing w:line="480" w:lineRule="auto"/>
        <w:ind w:left="851" w:hanging="851"/>
        <w:jc w:val="both"/>
        <w:rPr>
          <w:rFonts w:ascii="Times New Roman" w:hAnsi="Times New Roman" w:cs="Times New Roman"/>
          <w:sz w:val="24"/>
          <w:szCs w:val="24"/>
        </w:rPr>
      </w:pPr>
      <w:r w:rsidRPr="00E17CEC">
        <w:rPr>
          <w:rFonts w:ascii="Times New Roman" w:hAnsi="Times New Roman" w:cs="Times New Roman"/>
          <w:sz w:val="24"/>
          <w:szCs w:val="24"/>
          <w:lang w:val="en-GB"/>
        </w:rPr>
        <w:t xml:space="preserve">European Union. (2012). </w:t>
      </w:r>
      <w:r w:rsidRPr="00E17CEC">
        <w:rPr>
          <w:rFonts w:ascii="Times New Roman" w:hAnsi="Times New Roman" w:cs="Times New Roman"/>
          <w:i/>
          <w:iCs/>
          <w:sz w:val="24"/>
          <w:szCs w:val="24"/>
          <w:lang w:val="en-GB"/>
        </w:rPr>
        <w:t xml:space="preserve">Consolidated version of the Treaty on European Union. </w:t>
      </w:r>
      <w:hyperlink r:id="rId29" w:history="1">
        <w:r w:rsidRPr="00E17CEC">
          <w:rPr>
            <w:rStyle w:val="Hyperlink"/>
            <w:rFonts w:ascii="Times New Roman" w:hAnsi="Times New Roman" w:cs="Times New Roman"/>
            <w:sz w:val="24"/>
            <w:szCs w:val="24"/>
          </w:rPr>
          <w:t>https://eur-lex.europa.eu/legal-content/EN/TXT/?uri=CELEX%3A12012M%2FTXT</w:t>
        </w:r>
      </w:hyperlink>
    </w:p>
    <w:p w14:paraId="704A7264" w14:textId="2D5ACB17" w:rsidR="00981053" w:rsidRPr="00A75177" w:rsidRDefault="008B4413" w:rsidP="00981053">
      <w:pPr>
        <w:shd w:val="clear" w:color="auto" w:fill="FFFFFF"/>
        <w:spacing w:after="0" w:line="480" w:lineRule="auto"/>
        <w:ind w:left="851" w:hanging="851"/>
        <w:jc w:val="both"/>
        <w:rPr>
          <w:rFonts w:ascii="Times New Roman" w:eastAsia="Times New Roman" w:hAnsi="Times New Roman" w:cs="Times New Roman"/>
          <w:color w:val="000000"/>
          <w:kern w:val="0"/>
          <w:sz w:val="24"/>
          <w:szCs w:val="24"/>
          <w:lang w:val="en-GB" w:eastAsia="nl-NL"/>
          <w14:ligatures w14:val="none"/>
        </w:rPr>
      </w:pPr>
      <w:r w:rsidRPr="00A75177">
        <w:rPr>
          <w:rFonts w:ascii="Times New Roman" w:eastAsia="Times New Roman" w:hAnsi="Times New Roman" w:cs="Times New Roman"/>
          <w:color w:val="000000"/>
          <w:kern w:val="0"/>
          <w:sz w:val="24"/>
          <w:szCs w:val="24"/>
          <w:lang w:val="en-GB" w:eastAsia="nl-NL"/>
          <w14:ligatures w14:val="none"/>
        </w:rPr>
        <w:t xml:space="preserve">Genschel, P., &amp; Jachtenfuchs, M. (2017). </w:t>
      </w:r>
      <w:r w:rsidRPr="008B4413">
        <w:rPr>
          <w:rFonts w:ascii="Times New Roman" w:eastAsia="Times New Roman" w:hAnsi="Times New Roman" w:cs="Times New Roman"/>
          <w:color w:val="000000"/>
          <w:kern w:val="0"/>
          <w:sz w:val="24"/>
          <w:szCs w:val="24"/>
          <w:lang w:val="en-US" w:eastAsia="nl-NL"/>
          <w14:ligatures w14:val="none"/>
        </w:rPr>
        <w:t>From Market Integration to C</w:t>
      </w:r>
      <w:r>
        <w:rPr>
          <w:rFonts w:ascii="Times New Roman" w:eastAsia="Times New Roman" w:hAnsi="Times New Roman" w:cs="Times New Roman"/>
          <w:color w:val="000000"/>
          <w:kern w:val="0"/>
          <w:sz w:val="24"/>
          <w:szCs w:val="24"/>
          <w:lang w:val="en-US" w:eastAsia="nl-NL"/>
          <w14:ligatures w14:val="none"/>
        </w:rPr>
        <w:t xml:space="preserve">ore State Powers: The Eurozone Crisis, the Refugee Crisis and Integration Theory. </w:t>
      </w:r>
      <w:r w:rsidR="00CD5620">
        <w:rPr>
          <w:rFonts w:ascii="Times New Roman" w:eastAsia="Times New Roman" w:hAnsi="Times New Roman" w:cs="Times New Roman"/>
          <w:i/>
          <w:iCs/>
          <w:color w:val="000000"/>
          <w:kern w:val="0"/>
          <w:sz w:val="24"/>
          <w:szCs w:val="24"/>
          <w:lang w:val="en-US" w:eastAsia="nl-NL"/>
          <w14:ligatures w14:val="none"/>
        </w:rPr>
        <w:t>Journal of Common Market Studies, 56</w:t>
      </w:r>
      <w:r w:rsidR="00CD5620">
        <w:rPr>
          <w:rFonts w:ascii="Times New Roman" w:eastAsia="Times New Roman" w:hAnsi="Times New Roman" w:cs="Times New Roman"/>
          <w:color w:val="000000"/>
          <w:kern w:val="0"/>
          <w:sz w:val="24"/>
          <w:szCs w:val="24"/>
          <w:lang w:val="en-US" w:eastAsia="nl-NL"/>
          <w14:ligatures w14:val="none"/>
        </w:rPr>
        <w:t>(1), 178-196</w:t>
      </w:r>
      <w:r w:rsidR="00981053">
        <w:rPr>
          <w:rFonts w:ascii="Times New Roman" w:eastAsia="Times New Roman" w:hAnsi="Times New Roman" w:cs="Times New Roman"/>
          <w:color w:val="000000"/>
          <w:kern w:val="0"/>
          <w:sz w:val="24"/>
          <w:szCs w:val="24"/>
          <w:lang w:val="en-US" w:eastAsia="nl-NL"/>
          <w14:ligatures w14:val="none"/>
        </w:rPr>
        <w:t xml:space="preserve">. </w:t>
      </w:r>
      <w:hyperlink r:id="rId30" w:history="1">
        <w:r w:rsidR="00981053" w:rsidRPr="00A75177">
          <w:rPr>
            <w:rStyle w:val="Hyperlink"/>
            <w:rFonts w:ascii="Times New Roman" w:eastAsia="Times New Roman" w:hAnsi="Times New Roman" w:cs="Times New Roman"/>
            <w:kern w:val="0"/>
            <w:sz w:val="24"/>
            <w:szCs w:val="24"/>
            <w:lang w:val="en-GB" w:eastAsia="nl-NL"/>
            <w14:ligatures w14:val="none"/>
          </w:rPr>
          <w:t>https://doi.org/10.1111/jcms.12654</w:t>
        </w:r>
      </w:hyperlink>
    </w:p>
    <w:p w14:paraId="50A105B6" w14:textId="5A4E275B" w:rsidR="00741210" w:rsidRPr="00741210" w:rsidRDefault="00741210" w:rsidP="00981053">
      <w:pPr>
        <w:shd w:val="clear" w:color="auto" w:fill="FFFFFF"/>
        <w:spacing w:after="0" w:line="480" w:lineRule="auto"/>
        <w:ind w:left="851" w:hanging="851"/>
        <w:jc w:val="both"/>
        <w:rPr>
          <w:rFonts w:ascii="Times New Roman" w:eastAsia="Times New Roman" w:hAnsi="Times New Roman" w:cs="Times New Roman"/>
          <w:color w:val="000000"/>
          <w:kern w:val="0"/>
          <w:sz w:val="24"/>
          <w:szCs w:val="24"/>
          <w:lang w:val="en-US" w:eastAsia="nl-NL"/>
          <w14:ligatures w14:val="none"/>
        </w:rPr>
      </w:pPr>
      <w:r w:rsidRPr="00A75177">
        <w:rPr>
          <w:rFonts w:ascii="Times New Roman" w:eastAsia="Times New Roman" w:hAnsi="Times New Roman" w:cs="Times New Roman"/>
          <w:color w:val="000000"/>
          <w:kern w:val="0"/>
          <w:sz w:val="24"/>
          <w:szCs w:val="24"/>
          <w:lang w:val="en-GB" w:eastAsia="nl-NL"/>
          <w14:ligatures w14:val="none"/>
        </w:rPr>
        <w:t xml:space="preserve">Genschel, P., Leek, L., &amp; Weyns, J. (2023). </w:t>
      </w:r>
      <w:r w:rsidRPr="00741210">
        <w:rPr>
          <w:rFonts w:ascii="Times New Roman" w:eastAsia="Times New Roman" w:hAnsi="Times New Roman" w:cs="Times New Roman"/>
          <w:color w:val="000000"/>
          <w:kern w:val="0"/>
          <w:sz w:val="24"/>
          <w:szCs w:val="24"/>
          <w:lang w:val="en-US" w:eastAsia="nl-NL"/>
          <w14:ligatures w14:val="none"/>
        </w:rPr>
        <w:t xml:space="preserve">War and integration. The Russian attack on Ukraine and the institutional development of the EU. </w:t>
      </w:r>
      <w:r w:rsidRPr="00741210">
        <w:rPr>
          <w:rFonts w:ascii="Times New Roman" w:eastAsia="Times New Roman" w:hAnsi="Times New Roman" w:cs="Times New Roman"/>
          <w:i/>
          <w:iCs/>
          <w:color w:val="000000"/>
          <w:kern w:val="0"/>
          <w:sz w:val="24"/>
          <w:szCs w:val="24"/>
          <w:lang w:val="en-US" w:eastAsia="nl-NL"/>
          <w14:ligatures w14:val="none"/>
        </w:rPr>
        <w:t>Journal of European Integration, 45</w:t>
      </w:r>
      <w:r w:rsidRPr="00741210">
        <w:rPr>
          <w:rFonts w:ascii="Times New Roman" w:eastAsia="Times New Roman" w:hAnsi="Times New Roman" w:cs="Times New Roman"/>
          <w:color w:val="000000"/>
          <w:kern w:val="0"/>
          <w:sz w:val="24"/>
          <w:szCs w:val="24"/>
          <w:lang w:val="en-US" w:eastAsia="nl-NL"/>
          <w14:ligatures w14:val="none"/>
        </w:rPr>
        <w:t xml:space="preserve">(3), 343-360. </w:t>
      </w:r>
      <w:hyperlink r:id="rId31" w:history="1">
        <w:r w:rsidRPr="00741210">
          <w:rPr>
            <w:rStyle w:val="Hyperlink"/>
            <w:rFonts w:ascii="Times New Roman" w:eastAsia="Times New Roman" w:hAnsi="Times New Roman" w:cs="Times New Roman"/>
            <w:kern w:val="0"/>
            <w:sz w:val="24"/>
            <w:szCs w:val="24"/>
            <w:lang w:val="en-US" w:eastAsia="nl-NL"/>
            <w14:ligatures w14:val="none"/>
          </w:rPr>
          <w:t>https://doi.org/10.1080/07036337.2023.2183397</w:t>
        </w:r>
      </w:hyperlink>
    </w:p>
    <w:p w14:paraId="7D9D0EF2" w14:textId="7CB37F17" w:rsidR="00C16358" w:rsidRPr="00415A11" w:rsidRDefault="00C16358" w:rsidP="00C16358">
      <w:pPr>
        <w:shd w:val="clear" w:color="auto" w:fill="FFFFFF"/>
        <w:spacing w:after="0" w:line="480" w:lineRule="auto"/>
        <w:ind w:left="851" w:hanging="851"/>
        <w:jc w:val="both"/>
        <w:rPr>
          <w:rFonts w:ascii="Times New Roman" w:eastAsia="Times New Roman" w:hAnsi="Times New Roman" w:cs="Times New Roman"/>
          <w:color w:val="000000"/>
          <w:kern w:val="0"/>
          <w:sz w:val="24"/>
          <w:szCs w:val="24"/>
          <w:lang w:eastAsia="nl-NL"/>
          <w14:ligatures w14:val="none"/>
        </w:rPr>
      </w:pPr>
      <w:r w:rsidRPr="00C16358">
        <w:rPr>
          <w:rFonts w:ascii="Times New Roman" w:eastAsia="Times New Roman" w:hAnsi="Times New Roman" w:cs="Times New Roman"/>
          <w:color w:val="000000"/>
          <w:kern w:val="0"/>
          <w:sz w:val="24"/>
          <w:szCs w:val="24"/>
          <w:lang w:val="en-US" w:eastAsia="nl-NL"/>
          <w14:ligatures w14:val="none"/>
        </w:rPr>
        <w:t xml:space="preserve">Group of the Progressive Alliance of Socialists &amp; Democrats in the European Parliament. (2022, December 9). </w:t>
      </w:r>
      <w:r w:rsidRPr="00C16358">
        <w:rPr>
          <w:rFonts w:ascii="Times New Roman" w:eastAsia="Times New Roman" w:hAnsi="Times New Roman" w:cs="Times New Roman"/>
          <w:i/>
          <w:iCs/>
          <w:color w:val="000000"/>
          <w:kern w:val="0"/>
          <w:sz w:val="24"/>
          <w:szCs w:val="24"/>
          <w:lang w:val="en-US" w:eastAsia="nl-NL"/>
          <w14:ligatures w14:val="none"/>
        </w:rPr>
        <w:t xml:space="preserve">Zero tolerance for corruption, S&amp;Ds react to media reports on Belgian investigation </w:t>
      </w:r>
      <w:r w:rsidRPr="00C16358">
        <w:rPr>
          <w:rFonts w:ascii="Times New Roman" w:eastAsia="Times New Roman" w:hAnsi="Times New Roman" w:cs="Times New Roman"/>
          <w:color w:val="000000"/>
          <w:kern w:val="0"/>
          <w:sz w:val="24"/>
          <w:szCs w:val="24"/>
          <w:lang w:val="en-US" w:eastAsia="nl-NL"/>
          <w14:ligatures w14:val="none"/>
        </w:rPr>
        <w:t xml:space="preserve">[Press release]. </w:t>
      </w:r>
      <w:hyperlink r:id="rId32" w:history="1">
        <w:r w:rsidRPr="00415A11">
          <w:rPr>
            <w:rStyle w:val="Hyperlink"/>
            <w:rFonts w:ascii="Times New Roman" w:eastAsia="Times New Roman" w:hAnsi="Times New Roman" w:cs="Times New Roman"/>
            <w:kern w:val="0"/>
            <w:sz w:val="24"/>
            <w:szCs w:val="24"/>
            <w:lang w:eastAsia="nl-NL"/>
            <w14:ligatures w14:val="none"/>
          </w:rPr>
          <w:t>https://mailchi.mp/socialistsanddemocrats/zero-tolerance-for-corruption-sds-react-to-media-reports-on-belgian-investigation-769505?e=64c9aaf5b2</w:t>
        </w:r>
      </w:hyperlink>
    </w:p>
    <w:p w14:paraId="52F374B1" w14:textId="1E960DD3" w:rsidR="00741210" w:rsidRPr="00741210" w:rsidRDefault="00741210" w:rsidP="00741210">
      <w:pPr>
        <w:shd w:val="clear" w:color="auto" w:fill="FFFFFF"/>
        <w:spacing w:after="0" w:line="480" w:lineRule="auto"/>
        <w:ind w:left="851" w:hanging="851"/>
        <w:jc w:val="both"/>
        <w:rPr>
          <w:rFonts w:ascii="Times New Roman" w:eastAsia="Times New Roman" w:hAnsi="Times New Roman" w:cs="Times New Roman"/>
          <w:color w:val="000000"/>
          <w:kern w:val="0"/>
          <w:sz w:val="24"/>
          <w:szCs w:val="24"/>
          <w:lang w:val="en-US" w:eastAsia="nl-NL"/>
          <w14:ligatures w14:val="none"/>
        </w:rPr>
      </w:pPr>
      <w:r w:rsidRPr="00741210">
        <w:rPr>
          <w:rFonts w:ascii="Times New Roman" w:eastAsia="Times New Roman" w:hAnsi="Times New Roman" w:cs="Times New Roman"/>
          <w:color w:val="000000"/>
          <w:kern w:val="0"/>
          <w:sz w:val="24"/>
          <w:szCs w:val="24"/>
          <w:lang w:val="en-US" w:eastAsia="nl-NL"/>
          <w14:ligatures w14:val="none"/>
        </w:rPr>
        <w:t xml:space="preserve">Håkansson, C. (2023). The Ukraine War and the emergence of the European Commission as a geopolitical actor. </w:t>
      </w:r>
      <w:r w:rsidRPr="00741210">
        <w:rPr>
          <w:rFonts w:ascii="Times New Roman" w:eastAsia="Times New Roman" w:hAnsi="Times New Roman" w:cs="Times New Roman"/>
          <w:i/>
          <w:iCs/>
          <w:color w:val="000000"/>
          <w:kern w:val="0"/>
          <w:sz w:val="24"/>
          <w:szCs w:val="24"/>
          <w:lang w:val="en-US" w:eastAsia="nl-NL"/>
          <w14:ligatures w14:val="none"/>
        </w:rPr>
        <w:t>Journal of European Integration, 46</w:t>
      </w:r>
      <w:r w:rsidRPr="00741210">
        <w:rPr>
          <w:rFonts w:ascii="Times New Roman" w:eastAsia="Times New Roman" w:hAnsi="Times New Roman" w:cs="Times New Roman"/>
          <w:color w:val="000000"/>
          <w:kern w:val="0"/>
          <w:sz w:val="24"/>
          <w:szCs w:val="24"/>
          <w:lang w:val="en-US" w:eastAsia="nl-NL"/>
          <w14:ligatures w14:val="none"/>
        </w:rPr>
        <w:t xml:space="preserve">(1), 25-45. </w:t>
      </w:r>
      <w:hyperlink r:id="rId33" w:history="1">
        <w:r w:rsidRPr="00741210">
          <w:rPr>
            <w:rStyle w:val="Hyperlink"/>
            <w:rFonts w:ascii="Times New Roman" w:eastAsia="Times New Roman" w:hAnsi="Times New Roman" w:cs="Times New Roman"/>
            <w:kern w:val="0"/>
            <w:sz w:val="24"/>
            <w:szCs w:val="24"/>
            <w:lang w:val="en-US" w:eastAsia="nl-NL"/>
            <w14:ligatures w14:val="none"/>
          </w:rPr>
          <w:t>https://doi.org/10.1080/07036337.2023.2239998</w:t>
        </w:r>
      </w:hyperlink>
    </w:p>
    <w:p w14:paraId="57B85FB2" w14:textId="76214928" w:rsidR="00F325C6" w:rsidRDefault="00F325C6" w:rsidP="00F325C6">
      <w:pPr>
        <w:shd w:val="clear" w:color="auto" w:fill="FFFFFF"/>
        <w:spacing w:after="0" w:line="480" w:lineRule="auto"/>
        <w:ind w:left="851" w:hanging="851"/>
        <w:jc w:val="both"/>
        <w:rPr>
          <w:rFonts w:ascii="Times New Roman" w:eastAsia="Times New Roman" w:hAnsi="Times New Roman" w:cs="Times New Roman"/>
          <w:color w:val="000000"/>
          <w:kern w:val="0"/>
          <w:sz w:val="24"/>
          <w:szCs w:val="24"/>
          <w:lang w:val="en-GB" w:eastAsia="nl-NL"/>
          <w14:ligatures w14:val="none"/>
        </w:rPr>
      </w:pPr>
      <w:r w:rsidRPr="00622533">
        <w:rPr>
          <w:rFonts w:ascii="Times New Roman" w:eastAsia="Times New Roman" w:hAnsi="Times New Roman" w:cs="Times New Roman"/>
          <w:color w:val="000000"/>
          <w:kern w:val="0"/>
          <w:sz w:val="24"/>
          <w:szCs w:val="24"/>
          <w:lang w:val="en-GB" w:eastAsia="nl-NL"/>
          <w14:ligatures w14:val="none"/>
        </w:rPr>
        <w:t>Haukkala</w:t>
      </w:r>
      <w:r>
        <w:rPr>
          <w:rFonts w:ascii="Times New Roman" w:eastAsia="Times New Roman" w:hAnsi="Times New Roman" w:cs="Times New Roman"/>
          <w:color w:val="000000"/>
          <w:kern w:val="0"/>
          <w:sz w:val="24"/>
          <w:szCs w:val="24"/>
          <w:lang w:val="en-GB" w:eastAsia="nl-NL"/>
          <w14:ligatures w14:val="none"/>
        </w:rPr>
        <w:t xml:space="preserve">, H. </w:t>
      </w:r>
      <w:r w:rsidRPr="00622533">
        <w:rPr>
          <w:rFonts w:ascii="Times New Roman" w:eastAsia="Times New Roman" w:hAnsi="Times New Roman" w:cs="Times New Roman"/>
          <w:color w:val="000000"/>
          <w:kern w:val="0"/>
          <w:sz w:val="24"/>
          <w:szCs w:val="24"/>
          <w:lang w:val="en-GB" w:eastAsia="nl-NL"/>
          <w14:ligatures w14:val="none"/>
        </w:rPr>
        <w:t>(2008</w:t>
      </w:r>
      <w:r w:rsidR="00EA343E" w:rsidRPr="00622533">
        <w:rPr>
          <w:rFonts w:ascii="Times New Roman" w:eastAsia="Times New Roman" w:hAnsi="Times New Roman" w:cs="Times New Roman"/>
          <w:color w:val="000000"/>
          <w:kern w:val="0"/>
          <w:sz w:val="24"/>
          <w:szCs w:val="24"/>
          <w:lang w:val="en-GB" w:eastAsia="nl-NL"/>
          <w14:ligatures w14:val="none"/>
        </w:rPr>
        <w:t>). The</w:t>
      </w:r>
      <w:r w:rsidRPr="00622533">
        <w:rPr>
          <w:rFonts w:ascii="Times New Roman" w:eastAsia="Times New Roman" w:hAnsi="Times New Roman" w:cs="Times New Roman"/>
          <w:color w:val="000000"/>
          <w:kern w:val="0"/>
          <w:sz w:val="24"/>
          <w:szCs w:val="24"/>
          <w:lang w:val="en-GB" w:eastAsia="nl-NL"/>
          <w14:ligatures w14:val="none"/>
        </w:rPr>
        <w:t xml:space="preserve"> European Union as a Regional Normative Hegemon: The Case of European Neighbourhood Policy</w:t>
      </w:r>
      <w:r>
        <w:rPr>
          <w:rFonts w:ascii="Times New Roman" w:eastAsia="Times New Roman" w:hAnsi="Times New Roman" w:cs="Times New Roman"/>
          <w:color w:val="000000"/>
          <w:kern w:val="0"/>
          <w:sz w:val="24"/>
          <w:szCs w:val="24"/>
          <w:lang w:val="en-GB" w:eastAsia="nl-NL"/>
          <w14:ligatures w14:val="none"/>
        </w:rPr>
        <w:t>.</w:t>
      </w:r>
      <w:r w:rsidRPr="00622533">
        <w:rPr>
          <w:rFonts w:ascii="Times New Roman" w:eastAsia="Times New Roman" w:hAnsi="Times New Roman" w:cs="Times New Roman"/>
          <w:color w:val="000000"/>
          <w:kern w:val="0"/>
          <w:sz w:val="24"/>
          <w:szCs w:val="24"/>
          <w:lang w:val="en-GB" w:eastAsia="nl-NL"/>
          <w14:ligatures w14:val="none"/>
        </w:rPr>
        <w:t xml:space="preserve"> </w:t>
      </w:r>
      <w:r w:rsidRPr="00622533">
        <w:rPr>
          <w:rFonts w:ascii="Times New Roman" w:eastAsia="Times New Roman" w:hAnsi="Times New Roman" w:cs="Times New Roman"/>
          <w:i/>
          <w:iCs/>
          <w:color w:val="000000"/>
          <w:kern w:val="0"/>
          <w:sz w:val="24"/>
          <w:szCs w:val="24"/>
          <w:lang w:val="en-GB" w:eastAsia="nl-NL"/>
          <w14:ligatures w14:val="none"/>
        </w:rPr>
        <w:t xml:space="preserve">Europe-Asia Studies, </w:t>
      </w:r>
      <w:r w:rsidRPr="00622533">
        <w:rPr>
          <w:rFonts w:ascii="Times New Roman" w:eastAsia="Times New Roman" w:hAnsi="Times New Roman" w:cs="Times New Roman"/>
          <w:color w:val="000000"/>
          <w:kern w:val="0"/>
          <w:sz w:val="24"/>
          <w:szCs w:val="24"/>
          <w:lang w:val="en-GB" w:eastAsia="nl-NL"/>
          <w14:ligatures w14:val="none"/>
        </w:rPr>
        <w:t>60</w:t>
      </w:r>
      <w:r>
        <w:rPr>
          <w:rFonts w:ascii="Times New Roman" w:eastAsia="Times New Roman" w:hAnsi="Times New Roman" w:cs="Times New Roman"/>
          <w:color w:val="000000"/>
          <w:kern w:val="0"/>
          <w:sz w:val="24"/>
          <w:szCs w:val="24"/>
          <w:lang w:val="en-GB" w:eastAsia="nl-NL"/>
          <w14:ligatures w14:val="none"/>
        </w:rPr>
        <w:t>(</w:t>
      </w:r>
      <w:r w:rsidRPr="00622533">
        <w:rPr>
          <w:rFonts w:ascii="Times New Roman" w:eastAsia="Times New Roman" w:hAnsi="Times New Roman" w:cs="Times New Roman"/>
          <w:color w:val="000000"/>
          <w:kern w:val="0"/>
          <w:sz w:val="24"/>
          <w:szCs w:val="24"/>
          <w:lang w:val="en-GB" w:eastAsia="nl-NL"/>
          <w14:ligatures w14:val="none"/>
        </w:rPr>
        <w:t>9</w:t>
      </w:r>
      <w:r>
        <w:rPr>
          <w:rFonts w:ascii="Times New Roman" w:eastAsia="Times New Roman" w:hAnsi="Times New Roman" w:cs="Times New Roman"/>
          <w:color w:val="000000"/>
          <w:kern w:val="0"/>
          <w:sz w:val="24"/>
          <w:szCs w:val="24"/>
          <w:lang w:val="en-GB" w:eastAsia="nl-NL"/>
          <w14:ligatures w14:val="none"/>
        </w:rPr>
        <w:t>)</w:t>
      </w:r>
      <w:r w:rsidRPr="00622533">
        <w:rPr>
          <w:rFonts w:ascii="Times New Roman" w:eastAsia="Times New Roman" w:hAnsi="Times New Roman" w:cs="Times New Roman"/>
          <w:color w:val="000000"/>
          <w:kern w:val="0"/>
          <w:sz w:val="24"/>
          <w:szCs w:val="24"/>
          <w:lang w:val="en-GB" w:eastAsia="nl-NL"/>
          <w14:ligatures w14:val="none"/>
        </w:rPr>
        <w:t xml:space="preserve">, 1601-1622, DOI: </w:t>
      </w:r>
      <w:hyperlink r:id="rId34" w:history="1">
        <w:r w:rsidRPr="00622533">
          <w:rPr>
            <w:rStyle w:val="Hyperlink"/>
            <w:rFonts w:ascii="Times New Roman" w:eastAsia="Times New Roman" w:hAnsi="Times New Roman" w:cs="Times New Roman"/>
            <w:kern w:val="0"/>
            <w:sz w:val="24"/>
            <w:szCs w:val="24"/>
            <w:lang w:val="en-GB" w:eastAsia="nl-NL"/>
            <w14:ligatures w14:val="none"/>
          </w:rPr>
          <w:t>10.1080/09668130802362342</w:t>
        </w:r>
      </w:hyperlink>
    </w:p>
    <w:p w14:paraId="573C15F1" w14:textId="3A02146D" w:rsidR="00F325C6" w:rsidRDefault="00F325C6" w:rsidP="00F325C6">
      <w:pPr>
        <w:shd w:val="clear" w:color="auto" w:fill="FFFFFF"/>
        <w:spacing w:after="0" w:line="480" w:lineRule="auto"/>
        <w:ind w:left="851" w:hanging="851"/>
        <w:jc w:val="both"/>
        <w:rPr>
          <w:rFonts w:ascii="Times New Roman" w:eastAsia="Times New Roman" w:hAnsi="Times New Roman" w:cs="Times New Roman"/>
          <w:color w:val="000000"/>
          <w:kern w:val="0"/>
          <w:sz w:val="24"/>
          <w:szCs w:val="24"/>
          <w:lang w:val="en-GB" w:eastAsia="nl-NL"/>
          <w14:ligatures w14:val="none"/>
        </w:rPr>
      </w:pPr>
      <w:r w:rsidRPr="00E133F8">
        <w:rPr>
          <w:rFonts w:ascii="Times New Roman" w:eastAsia="Times New Roman" w:hAnsi="Times New Roman" w:cs="Times New Roman"/>
          <w:color w:val="000000"/>
          <w:kern w:val="0"/>
          <w:sz w:val="24"/>
          <w:szCs w:val="24"/>
          <w:lang w:val="en-GB" w:eastAsia="nl-NL"/>
          <w14:ligatures w14:val="none"/>
        </w:rPr>
        <w:lastRenderedPageBreak/>
        <w:t xml:space="preserve">Hooghe, </w:t>
      </w:r>
      <w:r w:rsidR="00741210">
        <w:rPr>
          <w:rFonts w:ascii="Times New Roman" w:eastAsia="Times New Roman" w:hAnsi="Times New Roman" w:cs="Times New Roman"/>
          <w:color w:val="000000"/>
          <w:kern w:val="0"/>
          <w:sz w:val="24"/>
          <w:szCs w:val="24"/>
          <w:lang w:val="en-GB" w:eastAsia="nl-NL"/>
          <w14:ligatures w14:val="none"/>
        </w:rPr>
        <w:t>L</w:t>
      </w:r>
      <w:r w:rsidRPr="00E133F8">
        <w:rPr>
          <w:rFonts w:ascii="Times New Roman" w:eastAsia="Times New Roman" w:hAnsi="Times New Roman" w:cs="Times New Roman"/>
          <w:color w:val="000000"/>
          <w:kern w:val="0"/>
          <w:sz w:val="24"/>
          <w:szCs w:val="24"/>
          <w:lang w:val="en-GB" w:eastAsia="nl-NL"/>
          <w14:ligatures w14:val="none"/>
        </w:rPr>
        <w:t xml:space="preserve">., &amp; Marks, G. (2009). A Postfunctionalist Theory of European Integration: From Permissive Consensus to Constraining Dissensus. </w:t>
      </w:r>
      <w:r w:rsidRPr="00E133F8">
        <w:rPr>
          <w:rFonts w:ascii="Times New Roman" w:eastAsia="Times New Roman" w:hAnsi="Times New Roman" w:cs="Times New Roman"/>
          <w:i/>
          <w:iCs/>
          <w:color w:val="000000"/>
          <w:kern w:val="0"/>
          <w:sz w:val="24"/>
          <w:szCs w:val="24"/>
          <w:lang w:val="en-GB" w:eastAsia="nl-NL"/>
          <w14:ligatures w14:val="none"/>
        </w:rPr>
        <w:t>British Journal of Political Science, 39</w:t>
      </w:r>
      <w:r w:rsidRPr="00E133F8">
        <w:rPr>
          <w:rFonts w:ascii="Times New Roman" w:eastAsia="Times New Roman" w:hAnsi="Times New Roman" w:cs="Times New Roman"/>
          <w:color w:val="000000"/>
          <w:kern w:val="0"/>
          <w:sz w:val="24"/>
          <w:szCs w:val="24"/>
          <w:lang w:val="en-GB" w:eastAsia="nl-NL"/>
          <w14:ligatures w14:val="none"/>
        </w:rPr>
        <w:t>(1), 1-23.</w:t>
      </w:r>
    </w:p>
    <w:p w14:paraId="77ECDC5F" w14:textId="49F5E763" w:rsidR="00741210" w:rsidRPr="00741210" w:rsidRDefault="00741210" w:rsidP="00741210">
      <w:pPr>
        <w:spacing w:line="480" w:lineRule="auto"/>
        <w:ind w:left="851" w:hanging="851"/>
        <w:jc w:val="both"/>
        <w:rPr>
          <w:rFonts w:ascii="Times New Roman" w:hAnsi="Times New Roman" w:cs="Times New Roman"/>
          <w:sz w:val="24"/>
          <w:szCs w:val="24"/>
          <w:lang w:val="en-US"/>
        </w:rPr>
      </w:pPr>
      <w:r w:rsidRPr="00741210">
        <w:rPr>
          <w:rFonts w:ascii="Times New Roman" w:hAnsi="Times New Roman" w:cs="Times New Roman"/>
          <w:sz w:val="24"/>
          <w:szCs w:val="24"/>
          <w:lang w:val="en-US"/>
        </w:rPr>
        <w:t xml:space="preserve">Hooghe, L., &amp; Marks, G. (2017). Cleavage theory meets Europe’s crises: Lipset, Rokkan, and the transnational cleavage. </w:t>
      </w:r>
      <w:r w:rsidRPr="00741210">
        <w:rPr>
          <w:rFonts w:ascii="Times New Roman" w:hAnsi="Times New Roman" w:cs="Times New Roman"/>
          <w:i/>
          <w:iCs/>
          <w:sz w:val="24"/>
          <w:szCs w:val="24"/>
          <w:lang w:val="en-US"/>
        </w:rPr>
        <w:t>Journal of European Public Policy, 25(</w:t>
      </w:r>
      <w:r w:rsidRPr="00741210">
        <w:rPr>
          <w:rFonts w:ascii="Times New Roman" w:hAnsi="Times New Roman" w:cs="Times New Roman"/>
          <w:sz w:val="24"/>
          <w:szCs w:val="24"/>
          <w:lang w:val="en-US"/>
        </w:rPr>
        <w:t xml:space="preserve">1), 109-135. </w:t>
      </w:r>
      <w:hyperlink r:id="rId35" w:history="1">
        <w:r w:rsidRPr="00741210">
          <w:rPr>
            <w:rStyle w:val="Hyperlink"/>
            <w:rFonts w:ascii="Times New Roman" w:hAnsi="Times New Roman" w:cs="Times New Roman"/>
            <w:sz w:val="24"/>
            <w:szCs w:val="24"/>
            <w:lang w:val="en-US"/>
          </w:rPr>
          <w:t>https://doi.org/10.1080/13501763.201701310279</w:t>
        </w:r>
      </w:hyperlink>
    </w:p>
    <w:p w14:paraId="4053D7C1" w14:textId="4B11761C" w:rsidR="006E29E2" w:rsidRDefault="006E29E2" w:rsidP="006E29E2">
      <w:pPr>
        <w:spacing w:line="480" w:lineRule="auto"/>
        <w:ind w:left="851" w:hanging="851"/>
        <w:jc w:val="both"/>
        <w:rPr>
          <w:rFonts w:ascii="Times New Roman" w:hAnsi="Times New Roman" w:cs="Times New Roman"/>
          <w:sz w:val="24"/>
          <w:szCs w:val="24"/>
          <w:lang w:val="en-GB"/>
        </w:rPr>
      </w:pPr>
      <w:r w:rsidRPr="006E29E2">
        <w:rPr>
          <w:rFonts w:ascii="Times New Roman" w:hAnsi="Times New Roman" w:cs="Times New Roman"/>
          <w:sz w:val="24"/>
          <w:szCs w:val="24"/>
          <w:lang w:val="en-GB"/>
        </w:rPr>
        <w:t xml:space="preserve">Hurd, I. (2008). In C. Reus-Smit &amp; D. Snidal (Eds.), </w:t>
      </w:r>
      <w:r w:rsidRPr="006E29E2">
        <w:rPr>
          <w:rFonts w:ascii="Times New Roman" w:hAnsi="Times New Roman" w:cs="Times New Roman"/>
          <w:i/>
          <w:iCs/>
          <w:sz w:val="24"/>
          <w:szCs w:val="24"/>
          <w:lang w:val="en-GB"/>
        </w:rPr>
        <w:t xml:space="preserve">The Oxford Handbook of International Relations. </w:t>
      </w:r>
      <w:hyperlink r:id="rId36" w:history="1">
        <w:r w:rsidRPr="006E29E2">
          <w:rPr>
            <w:rStyle w:val="Hyperlink"/>
            <w:rFonts w:ascii="Times New Roman" w:hAnsi="Times New Roman" w:cs="Times New Roman"/>
            <w:sz w:val="24"/>
            <w:szCs w:val="24"/>
            <w:lang w:val="en-GB"/>
          </w:rPr>
          <w:t>https://doi.org/10.1093/oxfordhb/9780199219322.003.0017</w:t>
        </w:r>
      </w:hyperlink>
    </w:p>
    <w:p w14:paraId="37229611" w14:textId="7A5F97EA" w:rsidR="00F325C6" w:rsidRPr="00E17CEC" w:rsidRDefault="00F325C6" w:rsidP="00F325C6">
      <w:pPr>
        <w:spacing w:line="480" w:lineRule="auto"/>
        <w:ind w:left="851" w:hanging="851"/>
        <w:jc w:val="both"/>
        <w:rPr>
          <w:rFonts w:ascii="Times New Roman" w:hAnsi="Times New Roman" w:cs="Times New Roman"/>
          <w:sz w:val="24"/>
          <w:szCs w:val="24"/>
        </w:rPr>
      </w:pPr>
      <w:r w:rsidRPr="00E17CEC">
        <w:rPr>
          <w:rFonts w:ascii="Times New Roman" w:hAnsi="Times New Roman" w:cs="Times New Roman"/>
          <w:sz w:val="24"/>
          <w:szCs w:val="24"/>
          <w:lang w:val="en-GB"/>
        </w:rPr>
        <w:t xml:space="preserve">Joyner, E. (2023, August 12). </w:t>
      </w:r>
      <w:r w:rsidRPr="00E17CEC">
        <w:rPr>
          <w:rFonts w:ascii="Times New Roman" w:hAnsi="Times New Roman" w:cs="Times New Roman"/>
          <w:i/>
          <w:iCs/>
          <w:sz w:val="24"/>
          <w:szCs w:val="24"/>
          <w:lang w:val="en-GB"/>
        </w:rPr>
        <w:t xml:space="preserve">Qatargate, one year on: EU corruption scandal still unsolved. </w:t>
      </w:r>
      <w:hyperlink r:id="rId37" w:history="1">
        <w:r w:rsidRPr="00E17CEC">
          <w:rPr>
            <w:rStyle w:val="Hyperlink"/>
            <w:rFonts w:ascii="Times New Roman" w:hAnsi="Times New Roman" w:cs="Times New Roman"/>
            <w:sz w:val="24"/>
            <w:szCs w:val="24"/>
          </w:rPr>
          <w:t>https://www.dw.com/en/qatargate-one-year-on-eu-cash-for-influence-scandal-still-far-from-over/a-67670541</w:t>
        </w:r>
      </w:hyperlink>
    </w:p>
    <w:p w14:paraId="526F6430" w14:textId="51485127" w:rsidR="00057AD5" w:rsidRDefault="00057AD5" w:rsidP="00057AD5">
      <w:pPr>
        <w:spacing w:line="480" w:lineRule="auto"/>
        <w:ind w:left="851" w:hanging="851"/>
        <w:jc w:val="both"/>
        <w:rPr>
          <w:rFonts w:ascii="Times New Roman" w:hAnsi="Times New Roman" w:cs="Times New Roman"/>
          <w:sz w:val="24"/>
          <w:szCs w:val="24"/>
          <w:lang w:val="en-GB"/>
        </w:rPr>
      </w:pPr>
      <w:r w:rsidRPr="00057AD5">
        <w:rPr>
          <w:rFonts w:ascii="Times New Roman" w:hAnsi="Times New Roman" w:cs="Times New Roman"/>
          <w:sz w:val="24"/>
          <w:szCs w:val="24"/>
        </w:rPr>
        <w:t xml:space="preserve">Kelemen, R. D., &amp; Vogel, D. (2009, November 30). </w:t>
      </w:r>
      <w:r w:rsidRPr="00057AD5">
        <w:rPr>
          <w:rFonts w:ascii="Times New Roman" w:hAnsi="Times New Roman" w:cs="Times New Roman"/>
          <w:sz w:val="24"/>
          <w:szCs w:val="24"/>
          <w:lang w:val="en-GB"/>
        </w:rPr>
        <w:t xml:space="preserve">Trading Places: The Role of the United States and the European Union in International Environmental Politics. </w:t>
      </w:r>
      <w:r w:rsidRPr="00057AD5">
        <w:rPr>
          <w:rFonts w:ascii="Times New Roman" w:hAnsi="Times New Roman" w:cs="Times New Roman"/>
          <w:i/>
          <w:iCs/>
          <w:sz w:val="24"/>
          <w:szCs w:val="24"/>
          <w:lang w:val="en-GB"/>
        </w:rPr>
        <w:t>Comparative Political Studies</w:t>
      </w:r>
      <w:r w:rsidRPr="00057AD5">
        <w:rPr>
          <w:rFonts w:ascii="Times New Roman" w:hAnsi="Times New Roman" w:cs="Times New Roman"/>
          <w:sz w:val="24"/>
          <w:szCs w:val="24"/>
          <w:lang w:val="en-GB"/>
        </w:rPr>
        <w:t xml:space="preserve">, </w:t>
      </w:r>
      <w:r w:rsidRPr="00057AD5">
        <w:rPr>
          <w:rFonts w:ascii="Times New Roman" w:hAnsi="Times New Roman" w:cs="Times New Roman"/>
          <w:i/>
          <w:iCs/>
          <w:sz w:val="24"/>
          <w:szCs w:val="24"/>
          <w:lang w:val="en-GB"/>
        </w:rPr>
        <w:t>43</w:t>
      </w:r>
      <w:r w:rsidRPr="00057AD5">
        <w:rPr>
          <w:rFonts w:ascii="Times New Roman" w:hAnsi="Times New Roman" w:cs="Times New Roman"/>
          <w:sz w:val="24"/>
          <w:szCs w:val="24"/>
          <w:lang w:val="en-GB"/>
        </w:rPr>
        <w:t>(4), 427–456. https://doi.org/10.1177/0010414009355265</w:t>
      </w:r>
    </w:p>
    <w:p w14:paraId="46F92A53" w14:textId="2D314833" w:rsidR="00C16358" w:rsidRPr="00415A11" w:rsidRDefault="00C16358" w:rsidP="00C16358">
      <w:pPr>
        <w:spacing w:line="480" w:lineRule="auto"/>
        <w:ind w:left="851" w:hanging="851"/>
        <w:jc w:val="both"/>
        <w:rPr>
          <w:rFonts w:ascii="Times New Roman" w:hAnsi="Times New Roman" w:cs="Times New Roman"/>
          <w:sz w:val="24"/>
          <w:szCs w:val="24"/>
        </w:rPr>
      </w:pPr>
      <w:r w:rsidRPr="00C16358">
        <w:rPr>
          <w:rFonts w:ascii="Times New Roman" w:hAnsi="Times New Roman" w:cs="Times New Roman"/>
          <w:sz w:val="24"/>
          <w:szCs w:val="24"/>
          <w:lang w:val="en-US"/>
        </w:rPr>
        <w:t xml:space="preserve">Kennedy, N., &amp; Liakos, C. (2022, December 9). </w:t>
      </w:r>
      <w:r w:rsidRPr="00C16358">
        <w:rPr>
          <w:rFonts w:ascii="Times New Roman" w:hAnsi="Times New Roman" w:cs="Times New Roman"/>
          <w:i/>
          <w:iCs/>
          <w:sz w:val="24"/>
          <w:szCs w:val="24"/>
          <w:lang w:val="en-US"/>
        </w:rPr>
        <w:t xml:space="preserve">European Parliament vice president expelled by party amid corruption probe involving Gulf nation. </w:t>
      </w:r>
      <w:r w:rsidRPr="00415A11">
        <w:rPr>
          <w:rFonts w:ascii="Times New Roman" w:hAnsi="Times New Roman" w:cs="Times New Roman"/>
          <w:sz w:val="24"/>
          <w:szCs w:val="24"/>
        </w:rPr>
        <w:t xml:space="preserve">CNN. </w:t>
      </w:r>
      <w:hyperlink r:id="rId38" w:history="1">
        <w:r w:rsidRPr="00415A11">
          <w:rPr>
            <w:rStyle w:val="Hyperlink"/>
            <w:rFonts w:ascii="Times New Roman" w:hAnsi="Times New Roman" w:cs="Times New Roman"/>
            <w:sz w:val="24"/>
            <w:szCs w:val="24"/>
          </w:rPr>
          <w:t>https://edition.cnn.com/2022/12/09/europe/eva-kaili-european-parliament-greece-expelled-intl-hnk/index.html</w:t>
        </w:r>
      </w:hyperlink>
    </w:p>
    <w:p w14:paraId="44E3EA02" w14:textId="1D6F0400" w:rsidR="00F325C6" w:rsidRPr="002C7554" w:rsidRDefault="00F325C6" w:rsidP="00F325C6">
      <w:pPr>
        <w:spacing w:line="480" w:lineRule="auto"/>
        <w:ind w:left="851" w:hanging="851"/>
        <w:jc w:val="both"/>
        <w:rPr>
          <w:rFonts w:ascii="Times New Roman" w:hAnsi="Times New Roman" w:cs="Times New Roman"/>
          <w:sz w:val="24"/>
          <w:szCs w:val="24"/>
          <w:lang w:val="en-GB"/>
        </w:rPr>
      </w:pPr>
      <w:r w:rsidRPr="00415A11">
        <w:rPr>
          <w:rFonts w:ascii="Times New Roman" w:hAnsi="Times New Roman" w:cs="Times New Roman"/>
          <w:sz w:val="24"/>
          <w:szCs w:val="24"/>
        </w:rPr>
        <w:t xml:space="preserve">Keukeleire, S., &amp; Delreux, T. (2022). </w:t>
      </w:r>
      <w:r w:rsidRPr="00E42687">
        <w:rPr>
          <w:rFonts w:ascii="Times New Roman" w:hAnsi="Times New Roman" w:cs="Times New Roman"/>
          <w:i/>
          <w:iCs/>
          <w:sz w:val="24"/>
          <w:szCs w:val="24"/>
          <w:lang w:val="en-GB"/>
        </w:rPr>
        <w:t xml:space="preserve">The foreign policy of the European </w:t>
      </w:r>
      <w:r>
        <w:rPr>
          <w:rFonts w:ascii="Times New Roman" w:hAnsi="Times New Roman" w:cs="Times New Roman"/>
          <w:i/>
          <w:iCs/>
          <w:sz w:val="24"/>
          <w:szCs w:val="24"/>
          <w:lang w:val="en-GB"/>
        </w:rPr>
        <w:t>U</w:t>
      </w:r>
      <w:r w:rsidRPr="00E42687">
        <w:rPr>
          <w:rFonts w:ascii="Times New Roman" w:hAnsi="Times New Roman" w:cs="Times New Roman"/>
          <w:i/>
          <w:iCs/>
          <w:sz w:val="24"/>
          <w:szCs w:val="24"/>
          <w:lang w:val="en-GB"/>
        </w:rPr>
        <w:t>nion</w:t>
      </w:r>
      <w:r w:rsidRPr="00E42687">
        <w:rPr>
          <w:rFonts w:ascii="Times New Roman" w:hAnsi="Times New Roman" w:cs="Times New Roman"/>
          <w:sz w:val="24"/>
          <w:szCs w:val="24"/>
          <w:lang w:val="en-GB"/>
        </w:rPr>
        <w:t xml:space="preserve">. </w:t>
      </w:r>
      <w:r w:rsidRPr="009359EC">
        <w:rPr>
          <w:rFonts w:ascii="Times New Roman" w:hAnsi="Times New Roman" w:cs="Times New Roman"/>
          <w:sz w:val="24"/>
          <w:szCs w:val="24"/>
          <w:lang w:val="en-GB"/>
        </w:rPr>
        <w:t>Bloomsbury Publishing Plc.</w:t>
      </w:r>
    </w:p>
    <w:p w14:paraId="1499414A" w14:textId="74531FF7" w:rsidR="00BA2528" w:rsidRPr="00BA2528" w:rsidRDefault="00BA2528" w:rsidP="00BA2528">
      <w:pPr>
        <w:shd w:val="clear" w:color="auto" w:fill="FFFFFF" w:themeFill="background1"/>
        <w:spacing w:after="0" w:line="480" w:lineRule="auto"/>
        <w:ind w:left="851" w:hanging="851"/>
        <w:jc w:val="both"/>
        <w:rPr>
          <w:rFonts w:ascii="Times New Roman" w:eastAsia="Times New Roman" w:hAnsi="Times New Roman" w:cs="Times New Roman"/>
          <w:color w:val="000000"/>
          <w:kern w:val="0"/>
          <w:sz w:val="24"/>
          <w:szCs w:val="24"/>
          <w:lang w:val="en-US" w:eastAsia="nl-NL"/>
          <w14:ligatures w14:val="none"/>
        </w:rPr>
      </w:pPr>
      <w:r w:rsidRPr="00BA2528">
        <w:rPr>
          <w:rFonts w:ascii="Times New Roman" w:eastAsia="Times New Roman" w:hAnsi="Times New Roman" w:cs="Times New Roman"/>
          <w:color w:val="000000"/>
          <w:kern w:val="0"/>
          <w:sz w:val="24"/>
          <w:szCs w:val="24"/>
          <w:lang w:val="en-GB" w:eastAsia="nl-NL"/>
          <w14:ligatures w14:val="none"/>
        </w:rPr>
        <w:t xml:space="preserve">Kurmayer, N.J. (2022, November 29). </w:t>
      </w:r>
      <w:r w:rsidRPr="00BA2528">
        <w:rPr>
          <w:rFonts w:ascii="Times New Roman" w:eastAsia="Times New Roman" w:hAnsi="Times New Roman" w:cs="Times New Roman"/>
          <w:i/>
          <w:iCs/>
          <w:color w:val="000000"/>
          <w:kern w:val="0"/>
          <w:sz w:val="24"/>
          <w:szCs w:val="24"/>
          <w:lang w:val="en-US" w:eastAsia="nl-NL"/>
          <w14:ligatures w14:val="none"/>
        </w:rPr>
        <w:t xml:space="preserve">Germany inks first major gas deal with Qatar. </w:t>
      </w:r>
      <w:r w:rsidRPr="00BA2528">
        <w:rPr>
          <w:rFonts w:ascii="Times New Roman" w:eastAsia="Times New Roman" w:hAnsi="Times New Roman" w:cs="Times New Roman"/>
          <w:color w:val="000000"/>
          <w:kern w:val="0"/>
          <w:sz w:val="24"/>
          <w:szCs w:val="24"/>
          <w:lang w:val="en-US" w:eastAsia="nl-NL"/>
          <w14:ligatures w14:val="none"/>
        </w:rPr>
        <w:t xml:space="preserve">EURactiv. </w:t>
      </w:r>
      <w:hyperlink r:id="rId39" w:history="1">
        <w:r w:rsidRPr="00BA2528">
          <w:rPr>
            <w:rStyle w:val="Hyperlink"/>
            <w:rFonts w:ascii="Times New Roman" w:eastAsia="Times New Roman" w:hAnsi="Times New Roman" w:cs="Times New Roman"/>
            <w:kern w:val="0"/>
            <w:sz w:val="24"/>
            <w:szCs w:val="24"/>
            <w:lang w:val="en-US" w:eastAsia="nl-NL"/>
            <w14:ligatures w14:val="none"/>
          </w:rPr>
          <w:t>https://www.euractiv.com/section/energy/news/germany-inks-first-major-gas-deal-with-qatar/</w:t>
        </w:r>
      </w:hyperlink>
    </w:p>
    <w:p w14:paraId="795EDF6A" w14:textId="52FED0B3" w:rsidR="00057AD5" w:rsidRDefault="00057AD5" w:rsidP="40EE5880">
      <w:pPr>
        <w:shd w:val="clear" w:color="auto" w:fill="FFFFFF" w:themeFill="background1"/>
        <w:spacing w:after="0" w:line="480" w:lineRule="auto"/>
        <w:ind w:left="851" w:hanging="851"/>
        <w:jc w:val="both"/>
        <w:rPr>
          <w:rFonts w:ascii="Times New Roman" w:eastAsia="Times New Roman" w:hAnsi="Times New Roman" w:cs="Times New Roman"/>
          <w:color w:val="000000"/>
          <w:kern w:val="0"/>
          <w:sz w:val="24"/>
          <w:szCs w:val="24"/>
          <w:lang w:val="en-GB" w:eastAsia="nl-NL"/>
          <w14:ligatures w14:val="none"/>
        </w:rPr>
      </w:pPr>
      <w:r w:rsidRPr="00057AD5">
        <w:rPr>
          <w:rFonts w:ascii="Times New Roman" w:eastAsia="Times New Roman" w:hAnsi="Times New Roman" w:cs="Times New Roman"/>
          <w:color w:val="000000"/>
          <w:kern w:val="0"/>
          <w:sz w:val="24"/>
          <w:szCs w:val="24"/>
          <w:lang w:val="en-GB" w:eastAsia="nl-NL"/>
          <w14:ligatures w14:val="none"/>
        </w:rPr>
        <w:lastRenderedPageBreak/>
        <w:t xml:space="preserve">Lambert, A. J., Schott, J. P., &amp; Scherer, L. (2011). Threat, Politics, and Attitudes. </w:t>
      </w:r>
      <w:r w:rsidRPr="40EE5880">
        <w:rPr>
          <w:rFonts w:ascii="Times New Roman" w:eastAsia="Times New Roman" w:hAnsi="Times New Roman" w:cs="Times New Roman"/>
          <w:i/>
          <w:iCs/>
          <w:color w:val="000000"/>
          <w:kern w:val="0"/>
          <w:sz w:val="24"/>
          <w:szCs w:val="24"/>
          <w:lang w:val="en-GB" w:eastAsia="nl-NL"/>
          <w14:ligatures w14:val="none"/>
        </w:rPr>
        <w:t>Current Directions in Psychological Science</w:t>
      </w:r>
      <w:r w:rsidRPr="00057AD5">
        <w:rPr>
          <w:rFonts w:ascii="Times New Roman" w:eastAsia="Times New Roman" w:hAnsi="Times New Roman" w:cs="Times New Roman"/>
          <w:color w:val="000000"/>
          <w:kern w:val="0"/>
          <w:sz w:val="24"/>
          <w:szCs w:val="24"/>
          <w:lang w:val="en-GB" w:eastAsia="nl-NL"/>
          <w14:ligatures w14:val="none"/>
        </w:rPr>
        <w:t xml:space="preserve">, </w:t>
      </w:r>
      <w:r w:rsidRPr="40EE5880">
        <w:rPr>
          <w:rFonts w:ascii="Times New Roman" w:eastAsia="Times New Roman" w:hAnsi="Times New Roman" w:cs="Times New Roman"/>
          <w:i/>
          <w:iCs/>
          <w:color w:val="000000"/>
          <w:kern w:val="0"/>
          <w:sz w:val="24"/>
          <w:szCs w:val="24"/>
          <w:lang w:val="en-GB" w:eastAsia="nl-NL"/>
          <w14:ligatures w14:val="none"/>
        </w:rPr>
        <w:t>20</w:t>
      </w:r>
      <w:r w:rsidRPr="00057AD5">
        <w:rPr>
          <w:rFonts w:ascii="Times New Roman" w:eastAsia="Times New Roman" w:hAnsi="Times New Roman" w:cs="Times New Roman"/>
          <w:color w:val="000000"/>
          <w:kern w:val="0"/>
          <w:sz w:val="24"/>
          <w:szCs w:val="24"/>
          <w:lang w:val="en-GB" w:eastAsia="nl-NL"/>
          <w14:ligatures w14:val="none"/>
        </w:rPr>
        <w:t>(6), 343–348. https://doi.org/10.1177/0963721411422060</w:t>
      </w:r>
    </w:p>
    <w:p w14:paraId="391CE221" w14:textId="5B84E600" w:rsidR="00BA2528" w:rsidRPr="00BA2528" w:rsidRDefault="00BA2528" w:rsidP="00BA2528">
      <w:pPr>
        <w:shd w:val="clear" w:color="auto" w:fill="FFFFFF"/>
        <w:spacing w:after="0" w:line="480" w:lineRule="auto"/>
        <w:ind w:left="851" w:hanging="851"/>
        <w:jc w:val="both"/>
        <w:rPr>
          <w:rFonts w:ascii="Times New Roman" w:eastAsia="Times New Roman" w:hAnsi="Times New Roman" w:cs="Times New Roman"/>
          <w:color w:val="000000"/>
          <w:kern w:val="0"/>
          <w:sz w:val="24"/>
          <w:szCs w:val="24"/>
          <w:lang w:val="en-US" w:eastAsia="nl-NL"/>
          <w14:ligatures w14:val="none"/>
        </w:rPr>
      </w:pPr>
      <w:r w:rsidRPr="00BA2528">
        <w:rPr>
          <w:rFonts w:ascii="Times New Roman" w:eastAsia="Times New Roman" w:hAnsi="Times New Roman" w:cs="Times New Roman"/>
          <w:color w:val="000000"/>
          <w:kern w:val="0"/>
          <w:sz w:val="24"/>
          <w:szCs w:val="24"/>
          <w:lang w:val="en-US" w:eastAsia="nl-NL"/>
          <w14:ligatures w14:val="none"/>
        </w:rPr>
        <w:t xml:space="preserve">Leali, G., &amp; De Villepin, P. (2023, February 14). </w:t>
      </w:r>
      <w:r w:rsidRPr="00BA2528">
        <w:rPr>
          <w:rFonts w:ascii="Times New Roman" w:eastAsia="Times New Roman" w:hAnsi="Times New Roman" w:cs="Times New Roman"/>
          <w:i/>
          <w:iCs/>
          <w:color w:val="000000"/>
          <w:kern w:val="0"/>
          <w:sz w:val="24"/>
          <w:szCs w:val="24"/>
          <w:lang w:val="en-US" w:eastAsia="nl-NL"/>
          <w14:ligatures w14:val="none"/>
        </w:rPr>
        <w:t xml:space="preserve">Qatar’s emir to meet Macron in Paris amid EU corruption scandal. </w:t>
      </w:r>
      <w:r w:rsidRPr="00BA2528">
        <w:rPr>
          <w:rFonts w:ascii="Times New Roman" w:eastAsia="Times New Roman" w:hAnsi="Times New Roman" w:cs="Times New Roman"/>
          <w:color w:val="000000"/>
          <w:kern w:val="0"/>
          <w:sz w:val="24"/>
          <w:szCs w:val="24"/>
          <w:lang w:val="en-US" w:eastAsia="nl-NL"/>
          <w14:ligatures w14:val="none"/>
        </w:rPr>
        <w:t xml:space="preserve">POLITICO. </w:t>
      </w:r>
      <w:hyperlink r:id="rId40" w:history="1">
        <w:r w:rsidRPr="00BA2528">
          <w:rPr>
            <w:rStyle w:val="Hyperlink"/>
            <w:rFonts w:ascii="Times New Roman" w:eastAsia="Times New Roman" w:hAnsi="Times New Roman" w:cs="Times New Roman"/>
            <w:kern w:val="0"/>
            <w:sz w:val="24"/>
            <w:szCs w:val="24"/>
            <w:lang w:val="en-US" w:eastAsia="nl-NL"/>
            <w14:ligatures w14:val="none"/>
          </w:rPr>
          <w:t>https://www.politico.eu/article/qatar-emir-tamim-bin-hamad-al-thani-emmanuel-macron-paris-qatargate-eu-corruption-scandal/</w:t>
        </w:r>
      </w:hyperlink>
    </w:p>
    <w:p w14:paraId="769534C7" w14:textId="3D7B2A91" w:rsidR="00F325C6" w:rsidRPr="00F54096" w:rsidRDefault="00F325C6" w:rsidP="00F325C6">
      <w:pPr>
        <w:shd w:val="clear" w:color="auto" w:fill="FFFFFF"/>
        <w:spacing w:after="0" w:line="480" w:lineRule="auto"/>
        <w:ind w:left="851" w:hanging="851"/>
        <w:jc w:val="both"/>
        <w:rPr>
          <w:rFonts w:ascii="Times New Roman" w:eastAsia="Times New Roman" w:hAnsi="Times New Roman" w:cs="Times New Roman"/>
          <w:color w:val="000000"/>
          <w:kern w:val="0"/>
          <w:sz w:val="24"/>
          <w:szCs w:val="24"/>
          <w:lang w:val="en-GB" w:eastAsia="nl-NL"/>
          <w14:ligatures w14:val="none"/>
        </w:rPr>
      </w:pPr>
      <w:r w:rsidRPr="00E133F8">
        <w:rPr>
          <w:rFonts w:ascii="Times New Roman" w:eastAsia="Times New Roman" w:hAnsi="Times New Roman" w:cs="Times New Roman"/>
          <w:color w:val="000000"/>
          <w:kern w:val="0"/>
          <w:sz w:val="24"/>
          <w:szCs w:val="24"/>
          <w:lang w:val="en-GB" w:eastAsia="nl-NL"/>
          <w14:ligatures w14:val="none"/>
        </w:rPr>
        <w:t xml:space="preserve">Lebow, R.N. (2021). Classical realism. In T. Dunne, M. Kurki &amp; S. Smith (Eds.), </w:t>
      </w:r>
      <w:r w:rsidRPr="00E133F8">
        <w:rPr>
          <w:rFonts w:ascii="Times New Roman" w:eastAsia="Times New Roman" w:hAnsi="Times New Roman" w:cs="Times New Roman"/>
          <w:i/>
          <w:iCs/>
          <w:color w:val="000000"/>
          <w:kern w:val="0"/>
          <w:sz w:val="24"/>
          <w:szCs w:val="24"/>
          <w:lang w:val="en-GB" w:eastAsia="nl-NL"/>
          <w14:ligatures w14:val="none"/>
        </w:rPr>
        <w:t xml:space="preserve">International relations theories, Discipline and Diversity. </w:t>
      </w:r>
      <w:r w:rsidRPr="00E133F8">
        <w:rPr>
          <w:rFonts w:ascii="Times New Roman" w:eastAsia="Times New Roman" w:hAnsi="Times New Roman" w:cs="Times New Roman"/>
          <w:color w:val="000000"/>
          <w:kern w:val="0"/>
          <w:sz w:val="24"/>
          <w:szCs w:val="24"/>
          <w:lang w:val="en-GB" w:eastAsia="nl-NL"/>
          <w14:ligatures w14:val="none"/>
        </w:rPr>
        <w:t>Oxford University Press.</w:t>
      </w:r>
    </w:p>
    <w:p w14:paraId="36234AC5" w14:textId="77777777" w:rsidR="00C16358" w:rsidRPr="00415A11" w:rsidRDefault="00C16358" w:rsidP="00C16358">
      <w:pPr>
        <w:spacing w:line="480" w:lineRule="auto"/>
        <w:ind w:left="851" w:hanging="851"/>
        <w:jc w:val="both"/>
        <w:rPr>
          <w:rFonts w:ascii="Times New Roman" w:hAnsi="Times New Roman" w:cs="Times New Roman"/>
          <w:i/>
          <w:iCs/>
          <w:sz w:val="24"/>
          <w:szCs w:val="24"/>
        </w:rPr>
      </w:pPr>
      <w:r w:rsidRPr="00C16358">
        <w:rPr>
          <w:rFonts w:ascii="Times New Roman" w:hAnsi="Times New Roman" w:cs="Times New Roman"/>
          <w:sz w:val="24"/>
          <w:szCs w:val="24"/>
          <w:lang w:val="en-US"/>
        </w:rPr>
        <w:t xml:space="preserve">Legislative Observatory European Parliament. (n.d.). </w:t>
      </w:r>
      <w:r w:rsidRPr="00C16358">
        <w:rPr>
          <w:rFonts w:ascii="Times New Roman" w:hAnsi="Times New Roman" w:cs="Times New Roman"/>
          <w:i/>
          <w:iCs/>
          <w:sz w:val="24"/>
          <w:szCs w:val="24"/>
          <w:lang w:val="en-US"/>
        </w:rPr>
        <w:t xml:space="preserve">Resolution on the establishment of the EU ethics body. </w:t>
      </w:r>
      <w:hyperlink r:id="rId41" w:history="1">
        <w:r w:rsidRPr="00415A11">
          <w:rPr>
            <w:rStyle w:val="Hyperlink"/>
            <w:rFonts w:ascii="Times New Roman" w:hAnsi="Times New Roman" w:cs="Times New Roman"/>
            <w:sz w:val="24"/>
            <w:szCs w:val="24"/>
          </w:rPr>
          <w:t>https://oeil.secure.europarl.europa.eu/oeil/popups/ficheprocedure.do?lang=en&amp;reference=2023/2741(RSP)</w:t>
        </w:r>
      </w:hyperlink>
    </w:p>
    <w:p w14:paraId="5BDF46F5" w14:textId="16282B21" w:rsidR="00C16358" w:rsidRPr="00415A11" w:rsidRDefault="00C16358" w:rsidP="00C16358">
      <w:pPr>
        <w:spacing w:line="480" w:lineRule="auto"/>
        <w:ind w:left="851" w:hanging="851"/>
        <w:jc w:val="both"/>
        <w:rPr>
          <w:rFonts w:ascii="Times New Roman" w:hAnsi="Times New Roman" w:cs="Times New Roman"/>
          <w:sz w:val="24"/>
          <w:szCs w:val="24"/>
        </w:rPr>
      </w:pPr>
      <w:r w:rsidRPr="00C16358">
        <w:rPr>
          <w:rFonts w:ascii="Times New Roman" w:hAnsi="Times New Roman" w:cs="Times New Roman"/>
          <w:sz w:val="24"/>
          <w:szCs w:val="24"/>
          <w:lang w:val="en-US"/>
        </w:rPr>
        <w:t xml:space="preserve">Legislative Observatory European Parliament. (2023, July 13). </w:t>
      </w:r>
      <w:r w:rsidRPr="00C16358">
        <w:rPr>
          <w:rFonts w:ascii="Times New Roman" w:hAnsi="Times New Roman" w:cs="Times New Roman"/>
          <w:i/>
          <w:iCs/>
          <w:sz w:val="24"/>
          <w:szCs w:val="24"/>
          <w:lang w:val="en-US"/>
        </w:rPr>
        <w:t>Results of vote in Parliament: A9-0215/2023.</w:t>
      </w:r>
      <w:r w:rsidRPr="00C16358">
        <w:rPr>
          <w:rFonts w:ascii="Times New Roman" w:hAnsi="Times New Roman" w:cs="Times New Roman"/>
          <w:sz w:val="24"/>
          <w:szCs w:val="24"/>
          <w:lang w:val="en-US"/>
        </w:rPr>
        <w:t xml:space="preserve"> </w:t>
      </w:r>
      <w:hyperlink r:id="rId42" w:history="1">
        <w:r w:rsidRPr="00415A11">
          <w:rPr>
            <w:rStyle w:val="Hyperlink"/>
            <w:rFonts w:ascii="Times New Roman" w:hAnsi="Times New Roman" w:cs="Times New Roman"/>
            <w:sz w:val="24"/>
            <w:szCs w:val="24"/>
          </w:rPr>
          <w:t>https://oeil.secure.europarl.europa.eu/oeil/popups/sda.do?id=60192&amp;l=en</w:t>
        </w:r>
      </w:hyperlink>
    </w:p>
    <w:p w14:paraId="59216DA7" w14:textId="10C7CBBA" w:rsidR="00CD0EA6" w:rsidRPr="00E96FEE" w:rsidRDefault="00CD0EA6" w:rsidP="00F325C6">
      <w:pPr>
        <w:spacing w:line="480" w:lineRule="auto"/>
        <w:ind w:left="851" w:hanging="851"/>
        <w:jc w:val="both"/>
        <w:rPr>
          <w:rFonts w:ascii="Times New Roman" w:hAnsi="Times New Roman" w:cs="Times New Roman"/>
          <w:sz w:val="24"/>
          <w:szCs w:val="24"/>
          <w:lang w:val="en-GB"/>
        </w:rPr>
      </w:pPr>
      <w:r>
        <w:rPr>
          <w:rFonts w:ascii="Times New Roman" w:hAnsi="Times New Roman" w:cs="Times New Roman"/>
          <w:sz w:val="24"/>
          <w:szCs w:val="24"/>
          <w:lang w:val="en-GB"/>
        </w:rPr>
        <w:t>Lewis, J., Ritchie, J.</w:t>
      </w:r>
      <w:r w:rsidR="00FA2D0B">
        <w:rPr>
          <w:rFonts w:ascii="Times New Roman" w:hAnsi="Times New Roman" w:cs="Times New Roman"/>
          <w:sz w:val="24"/>
          <w:szCs w:val="24"/>
          <w:lang w:val="en-GB"/>
        </w:rPr>
        <w:t>, Orms</w:t>
      </w:r>
      <w:r w:rsidR="008C284C">
        <w:rPr>
          <w:rFonts w:ascii="Times New Roman" w:hAnsi="Times New Roman" w:cs="Times New Roman"/>
          <w:sz w:val="24"/>
          <w:szCs w:val="24"/>
          <w:lang w:val="en-GB"/>
        </w:rPr>
        <w:t>t</w:t>
      </w:r>
      <w:r w:rsidR="00FA2D0B">
        <w:rPr>
          <w:rFonts w:ascii="Times New Roman" w:hAnsi="Times New Roman" w:cs="Times New Roman"/>
          <w:sz w:val="24"/>
          <w:szCs w:val="24"/>
          <w:lang w:val="en-GB"/>
        </w:rPr>
        <w:t xml:space="preserve">on, R., &amp; Morrell, G. (2014). </w:t>
      </w:r>
      <w:r w:rsidR="00FA2D0B" w:rsidRPr="00FA2D0B">
        <w:rPr>
          <w:rFonts w:ascii="Times New Roman" w:hAnsi="Times New Roman" w:cs="Times New Roman"/>
          <w:sz w:val="24"/>
          <w:szCs w:val="24"/>
          <w:lang w:val="en-GB"/>
        </w:rPr>
        <w:t>Generalising fr</w:t>
      </w:r>
      <w:r w:rsidR="00FA2D0B">
        <w:rPr>
          <w:rFonts w:ascii="Times New Roman" w:hAnsi="Times New Roman" w:cs="Times New Roman"/>
          <w:sz w:val="24"/>
          <w:szCs w:val="24"/>
          <w:lang w:val="en-GB"/>
        </w:rPr>
        <w:t xml:space="preserve">om qualitative research. In </w:t>
      </w:r>
      <w:r w:rsidR="008C284C">
        <w:rPr>
          <w:rFonts w:ascii="Times New Roman" w:hAnsi="Times New Roman" w:cs="Times New Roman"/>
          <w:sz w:val="24"/>
          <w:szCs w:val="24"/>
          <w:lang w:val="en-GB"/>
        </w:rPr>
        <w:t xml:space="preserve">J. Ritchie, J. Lewis, C. McNauhgton Nicholls &amp; R. Ormston (Eds.), </w:t>
      </w:r>
      <w:r w:rsidR="008C284C">
        <w:rPr>
          <w:rFonts w:ascii="Times New Roman" w:hAnsi="Times New Roman" w:cs="Times New Roman"/>
          <w:i/>
          <w:iCs/>
          <w:sz w:val="24"/>
          <w:szCs w:val="24"/>
          <w:lang w:val="en-GB"/>
        </w:rPr>
        <w:t>Qualitative research methods</w:t>
      </w:r>
      <w:r w:rsidR="00E96FEE">
        <w:rPr>
          <w:rFonts w:ascii="Times New Roman" w:hAnsi="Times New Roman" w:cs="Times New Roman"/>
          <w:sz w:val="24"/>
          <w:szCs w:val="24"/>
          <w:lang w:val="en-GB"/>
        </w:rPr>
        <w:t>. SAGE Publications.</w:t>
      </w:r>
    </w:p>
    <w:p w14:paraId="7EA217DA" w14:textId="6F28EF40" w:rsidR="00C16358" w:rsidRPr="00C16358" w:rsidRDefault="00C16358" w:rsidP="00C16358">
      <w:pPr>
        <w:spacing w:line="480" w:lineRule="auto"/>
        <w:ind w:left="851" w:hanging="851"/>
        <w:jc w:val="both"/>
        <w:rPr>
          <w:rFonts w:ascii="Times New Roman" w:hAnsi="Times New Roman" w:cs="Times New Roman"/>
          <w:sz w:val="24"/>
          <w:szCs w:val="24"/>
          <w:lang w:val="en-US"/>
        </w:rPr>
      </w:pPr>
      <w:r w:rsidRPr="00C16358">
        <w:rPr>
          <w:rFonts w:ascii="Times New Roman" w:hAnsi="Times New Roman" w:cs="Times New Roman"/>
          <w:sz w:val="24"/>
          <w:szCs w:val="24"/>
          <w:lang w:val="en-US"/>
        </w:rPr>
        <w:t xml:space="preserve">Lynch, S. (2022, December 17). </w:t>
      </w:r>
      <w:r w:rsidRPr="00C16358">
        <w:rPr>
          <w:rFonts w:ascii="Times New Roman" w:hAnsi="Times New Roman" w:cs="Times New Roman"/>
          <w:i/>
          <w:iCs/>
          <w:sz w:val="24"/>
          <w:szCs w:val="24"/>
          <w:lang w:val="en-US"/>
        </w:rPr>
        <w:t xml:space="preserve">Anatomy of a scandal: How ‘Qatargate’ crisis shook EU to its core. </w:t>
      </w:r>
      <w:r w:rsidRPr="00C16358">
        <w:rPr>
          <w:rFonts w:ascii="Times New Roman" w:hAnsi="Times New Roman" w:cs="Times New Roman"/>
          <w:sz w:val="24"/>
          <w:szCs w:val="24"/>
          <w:lang w:val="en-US"/>
        </w:rPr>
        <w:t xml:space="preserve">POLITICO. </w:t>
      </w:r>
      <w:hyperlink r:id="rId43" w:history="1">
        <w:r w:rsidRPr="00C16358">
          <w:rPr>
            <w:rStyle w:val="Hyperlink"/>
            <w:rFonts w:ascii="Times New Roman" w:hAnsi="Times New Roman" w:cs="Times New Roman"/>
            <w:sz w:val="24"/>
            <w:szCs w:val="24"/>
            <w:lang w:val="en-US"/>
          </w:rPr>
          <w:t>https://www.politico.eu/article/scandal-qatargate-crisis-european-union-corruption-crisis/</w:t>
        </w:r>
      </w:hyperlink>
    </w:p>
    <w:p w14:paraId="55169F44" w14:textId="313FFB8D" w:rsidR="00F325C6" w:rsidRPr="00415A11" w:rsidRDefault="00F325C6" w:rsidP="00F325C6">
      <w:pPr>
        <w:spacing w:line="480" w:lineRule="auto"/>
        <w:ind w:left="851" w:hanging="851"/>
        <w:jc w:val="both"/>
        <w:rPr>
          <w:rFonts w:ascii="Times New Roman" w:hAnsi="Times New Roman" w:cs="Times New Roman"/>
          <w:sz w:val="24"/>
          <w:szCs w:val="24"/>
        </w:rPr>
      </w:pPr>
      <w:r w:rsidRPr="00FA2D0B">
        <w:rPr>
          <w:rFonts w:ascii="Times New Roman" w:hAnsi="Times New Roman" w:cs="Times New Roman"/>
          <w:sz w:val="24"/>
          <w:szCs w:val="24"/>
          <w:lang w:val="en-GB"/>
        </w:rPr>
        <w:t xml:space="preserve">Lynch, S., &amp; Barigazzi, J., &amp; Bayer, L., &amp; Moens, B. (2022, December 16). </w:t>
      </w:r>
      <w:r w:rsidRPr="00E17CEC">
        <w:rPr>
          <w:rFonts w:ascii="Times New Roman" w:hAnsi="Times New Roman" w:cs="Times New Roman"/>
          <w:i/>
          <w:iCs/>
          <w:sz w:val="24"/>
          <w:szCs w:val="24"/>
          <w:lang w:val="en-GB"/>
        </w:rPr>
        <w:t xml:space="preserve">Privately, EU leaders fret – and plot – over Qatargate fallout. </w:t>
      </w:r>
      <w:hyperlink r:id="rId44" w:history="1">
        <w:r w:rsidRPr="00415A11">
          <w:rPr>
            <w:rStyle w:val="Hyperlink"/>
            <w:rFonts w:ascii="Times New Roman" w:hAnsi="Times New Roman" w:cs="Times New Roman"/>
            <w:sz w:val="24"/>
            <w:szCs w:val="24"/>
          </w:rPr>
          <w:t>https://www.politico.eu/article/roberta-metsola-macron-von-der-leyen-michel-eu-leaders-qatargate-fallout</w:t>
        </w:r>
      </w:hyperlink>
    </w:p>
    <w:p w14:paraId="376BAD87" w14:textId="1D758A2A" w:rsidR="00C16358" w:rsidRPr="00C16358" w:rsidRDefault="00C16358" w:rsidP="00C16358">
      <w:pPr>
        <w:shd w:val="clear" w:color="auto" w:fill="FFFFFF"/>
        <w:spacing w:after="0" w:line="480" w:lineRule="auto"/>
        <w:ind w:left="851" w:hanging="851"/>
        <w:jc w:val="both"/>
        <w:rPr>
          <w:rFonts w:ascii="Times New Roman" w:eastAsia="Times New Roman" w:hAnsi="Times New Roman" w:cs="Times New Roman"/>
          <w:color w:val="000000"/>
          <w:kern w:val="0"/>
          <w:sz w:val="24"/>
          <w:szCs w:val="24"/>
          <w:lang w:val="en-US" w:eastAsia="nl-NL"/>
          <w14:ligatures w14:val="none"/>
        </w:rPr>
      </w:pPr>
      <w:r w:rsidRPr="00C16358">
        <w:rPr>
          <w:rFonts w:ascii="Times New Roman" w:eastAsia="Times New Roman" w:hAnsi="Times New Roman" w:cs="Times New Roman"/>
          <w:color w:val="000000"/>
          <w:kern w:val="0"/>
          <w:sz w:val="24"/>
          <w:szCs w:val="24"/>
          <w:lang w:val="en-US" w:eastAsia="nl-NL"/>
          <w14:ligatures w14:val="none"/>
        </w:rPr>
        <w:t xml:space="preserve">Lynch, S., &amp; Bennett, C. (2022, December 12). </w:t>
      </w:r>
      <w:r w:rsidRPr="00C16358">
        <w:rPr>
          <w:rFonts w:ascii="Times New Roman" w:eastAsia="Times New Roman" w:hAnsi="Times New Roman" w:cs="Times New Roman"/>
          <w:i/>
          <w:iCs/>
          <w:color w:val="000000"/>
          <w:kern w:val="0"/>
          <w:sz w:val="24"/>
          <w:szCs w:val="24"/>
          <w:lang w:val="en-US" w:eastAsia="nl-NL"/>
          <w14:ligatures w14:val="none"/>
        </w:rPr>
        <w:t xml:space="preserve">EU pressroom erupts as VDL ducks questions on Schinas’ links to Qatar. </w:t>
      </w:r>
      <w:r w:rsidRPr="00C16358">
        <w:rPr>
          <w:rFonts w:ascii="Times New Roman" w:eastAsia="Times New Roman" w:hAnsi="Times New Roman" w:cs="Times New Roman"/>
          <w:color w:val="000000"/>
          <w:kern w:val="0"/>
          <w:sz w:val="24"/>
          <w:szCs w:val="24"/>
          <w:lang w:val="en-US" w:eastAsia="nl-NL"/>
          <w14:ligatures w14:val="none"/>
        </w:rPr>
        <w:t xml:space="preserve">POLITICO. </w:t>
      </w:r>
      <w:hyperlink r:id="rId45" w:history="1">
        <w:r w:rsidRPr="00C16358">
          <w:rPr>
            <w:rStyle w:val="Hyperlink"/>
            <w:rFonts w:ascii="Times New Roman" w:eastAsia="Times New Roman" w:hAnsi="Times New Roman" w:cs="Times New Roman"/>
            <w:kern w:val="0"/>
            <w:sz w:val="24"/>
            <w:szCs w:val="24"/>
            <w:lang w:val="en-US" w:eastAsia="nl-NL"/>
            <w14:ligatures w14:val="none"/>
          </w:rPr>
          <w:t>https://www.politico.eu/article/eu-pressroom-erupts-as-commission-president-ursula-von-der-leyen-ducks-questions-on-margaritis-schinas-links-to-qatar-eva-kaili/</w:t>
        </w:r>
      </w:hyperlink>
    </w:p>
    <w:p w14:paraId="35EEAB78" w14:textId="77777777" w:rsidR="00B771FF" w:rsidRPr="00B771FF" w:rsidRDefault="00B771FF" w:rsidP="00B771FF">
      <w:pPr>
        <w:shd w:val="clear" w:color="auto" w:fill="FFFFFF"/>
        <w:spacing w:after="0" w:line="480" w:lineRule="auto"/>
        <w:ind w:left="851" w:hanging="851"/>
        <w:jc w:val="both"/>
        <w:rPr>
          <w:rFonts w:ascii="Times New Roman" w:eastAsia="Times New Roman" w:hAnsi="Times New Roman" w:cs="Times New Roman"/>
          <w:color w:val="000000"/>
          <w:kern w:val="0"/>
          <w:sz w:val="24"/>
          <w:szCs w:val="24"/>
          <w:lang w:val="en-US" w:eastAsia="nl-NL"/>
          <w14:ligatures w14:val="none"/>
        </w:rPr>
      </w:pPr>
      <w:r w:rsidRPr="00B771FF">
        <w:rPr>
          <w:rFonts w:ascii="Times New Roman" w:eastAsia="Times New Roman" w:hAnsi="Times New Roman" w:cs="Times New Roman"/>
          <w:color w:val="000000"/>
          <w:kern w:val="0"/>
          <w:sz w:val="24"/>
          <w:szCs w:val="24"/>
          <w:lang w:val="en-US" w:eastAsia="nl-NL"/>
          <w14:ligatures w14:val="none"/>
        </w:rPr>
        <w:t xml:space="preserve">Maishman, E. (2022, December 10). </w:t>
      </w:r>
      <w:r w:rsidRPr="00B771FF">
        <w:rPr>
          <w:rFonts w:ascii="Times New Roman" w:eastAsia="Times New Roman" w:hAnsi="Times New Roman" w:cs="Times New Roman"/>
          <w:i/>
          <w:iCs/>
          <w:color w:val="000000"/>
          <w:kern w:val="0"/>
          <w:sz w:val="24"/>
          <w:szCs w:val="24"/>
          <w:lang w:val="en-US" w:eastAsia="nl-NL"/>
          <w14:ligatures w14:val="none"/>
        </w:rPr>
        <w:t xml:space="preserve">Eva Kaili: Senior EU lawmaker arrested over alleged bribery by Gulf State. </w:t>
      </w:r>
      <w:r w:rsidRPr="00B771FF">
        <w:rPr>
          <w:rFonts w:ascii="Times New Roman" w:eastAsia="Times New Roman" w:hAnsi="Times New Roman" w:cs="Times New Roman"/>
          <w:color w:val="000000"/>
          <w:kern w:val="0"/>
          <w:sz w:val="24"/>
          <w:szCs w:val="24"/>
          <w:lang w:val="en-US" w:eastAsia="nl-NL"/>
          <w14:ligatures w14:val="none"/>
        </w:rPr>
        <w:t xml:space="preserve">BBC. </w:t>
      </w:r>
      <w:hyperlink r:id="rId46" w:history="1">
        <w:r w:rsidRPr="00B771FF">
          <w:rPr>
            <w:rStyle w:val="Hyperlink"/>
            <w:rFonts w:ascii="Times New Roman" w:eastAsia="Times New Roman" w:hAnsi="Times New Roman" w:cs="Times New Roman"/>
            <w:kern w:val="0"/>
            <w:sz w:val="24"/>
            <w:szCs w:val="24"/>
            <w:lang w:val="en-US" w:eastAsia="nl-NL"/>
            <w14:ligatures w14:val="none"/>
          </w:rPr>
          <w:t>https://www.bbc.com/news/world-europe-63921002</w:t>
        </w:r>
      </w:hyperlink>
    </w:p>
    <w:p w14:paraId="0793F32C" w14:textId="6C7CC19A" w:rsidR="00B771FF" w:rsidRPr="00B771FF" w:rsidRDefault="00B771FF" w:rsidP="00B771FF">
      <w:pPr>
        <w:shd w:val="clear" w:color="auto" w:fill="FFFFFF"/>
        <w:spacing w:after="0" w:line="480" w:lineRule="auto"/>
        <w:ind w:left="851" w:hanging="851"/>
        <w:jc w:val="both"/>
        <w:rPr>
          <w:rFonts w:ascii="Times New Roman" w:eastAsia="Times New Roman" w:hAnsi="Times New Roman" w:cs="Times New Roman"/>
          <w:color w:val="000000"/>
          <w:kern w:val="0"/>
          <w:sz w:val="24"/>
          <w:szCs w:val="24"/>
          <w:lang w:val="en-US" w:eastAsia="nl-NL"/>
          <w14:ligatures w14:val="none"/>
        </w:rPr>
      </w:pPr>
      <w:r w:rsidRPr="00B771FF">
        <w:rPr>
          <w:rFonts w:ascii="Times New Roman" w:eastAsia="Times New Roman" w:hAnsi="Times New Roman" w:cs="Times New Roman"/>
          <w:color w:val="000000"/>
          <w:kern w:val="0"/>
          <w:sz w:val="24"/>
          <w:szCs w:val="24"/>
          <w:lang w:val="en-US" w:eastAsia="nl-NL"/>
          <w14:ligatures w14:val="none"/>
        </w:rPr>
        <w:t xml:space="preserve">Matriche, J., Colart, L., &amp; Clérix, K. (2022, December 9). </w:t>
      </w:r>
      <w:r w:rsidRPr="00B771FF">
        <w:rPr>
          <w:rFonts w:ascii="Times New Roman" w:eastAsia="Times New Roman" w:hAnsi="Times New Roman" w:cs="Times New Roman"/>
          <w:i/>
          <w:iCs/>
          <w:color w:val="000000"/>
          <w:kern w:val="0"/>
          <w:sz w:val="24"/>
          <w:szCs w:val="24"/>
          <w:lang w:eastAsia="nl-NL"/>
          <w14:ligatures w14:val="none"/>
        </w:rPr>
        <w:t xml:space="preserve">Info &lt;&lt;Le Soir&gt;&gt;: le Qatar soupçonné de corruption en plein coeur de l’Europe. </w:t>
      </w:r>
      <w:r w:rsidRPr="00B771FF">
        <w:rPr>
          <w:rFonts w:ascii="Times New Roman" w:eastAsia="Times New Roman" w:hAnsi="Times New Roman" w:cs="Times New Roman"/>
          <w:color w:val="000000"/>
          <w:kern w:val="0"/>
          <w:sz w:val="24"/>
          <w:szCs w:val="24"/>
          <w:lang w:val="en-US" w:eastAsia="nl-NL"/>
          <w14:ligatures w14:val="none"/>
        </w:rPr>
        <w:t xml:space="preserve">Le Soir. </w:t>
      </w:r>
      <w:hyperlink r:id="rId47" w:history="1">
        <w:r w:rsidRPr="00B771FF">
          <w:rPr>
            <w:rStyle w:val="Hyperlink"/>
            <w:rFonts w:ascii="Times New Roman" w:eastAsia="Times New Roman" w:hAnsi="Times New Roman" w:cs="Times New Roman"/>
            <w:kern w:val="0"/>
            <w:sz w:val="24"/>
            <w:szCs w:val="24"/>
            <w:lang w:val="en-US" w:eastAsia="nl-NL"/>
            <w14:ligatures w14:val="none"/>
          </w:rPr>
          <w:t>https://www.lesoir.be/482080/article/2022-12-09/info-le-soir-le-qatar-soupconne-de-corruption-en-plein-coeur-de-leurope</w:t>
        </w:r>
      </w:hyperlink>
    </w:p>
    <w:p w14:paraId="4919D1DA" w14:textId="71F60E6A" w:rsidR="000D6D5A" w:rsidRPr="000D6D5A" w:rsidRDefault="000D6D5A" w:rsidP="000D6D5A">
      <w:pPr>
        <w:shd w:val="clear" w:color="auto" w:fill="FFFFFF"/>
        <w:spacing w:after="0" w:line="480" w:lineRule="auto"/>
        <w:ind w:left="851" w:hanging="851"/>
        <w:jc w:val="both"/>
        <w:rPr>
          <w:rFonts w:ascii="Times New Roman" w:eastAsia="Times New Roman" w:hAnsi="Times New Roman" w:cs="Times New Roman"/>
          <w:color w:val="000000"/>
          <w:kern w:val="0"/>
          <w:sz w:val="24"/>
          <w:szCs w:val="24"/>
          <w:lang w:val="en-GB" w:eastAsia="nl-NL"/>
          <w14:ligatures w14:val="none"/>
        </w:rPr>
      </w:pPr>
      <w:r w:rsidRPr="000D6D5A">
        <w:rPr>
          <w:rFonts w:ascii="Times New Roman" w:eastAsia="Times New Roman" w:hAnsi="Times New Roman" w:cs="Times New Roman"/>
          <w:color w:val="000000"/>
          <w:kern w:val="0"/>
          <w:sz w:val="24"/>
          <w:szCs w:val="24"/>
          <w:lang w:val="en-GB" w:eastAsia="nl-NL"/>
          <w14:ligatures w14:val="none"/>
        </w:rPr>
        <w:t xml:space="preserve">Mearsheimer, J.J. (2021). Structural realism. In T. Dunne, M. Kurki &amp; S. Smith (Eds.), </w:t>
      </w:r>
      <w:r w:rsidRPr="000D6D5A">
        <w:rPr>
          <w:rFonts w:ascii="Times New Roman" w:eastAsia="Times New Roman" w:hAnsi="Times New Roman" w:cs="Times New Roman"/>
          <w:i/>
          <w:iCs/>
          <w:color w:val="000000"/>
          <w:kern w:val="0"/>
          <w:sz w:val="24"/>
          <w:szCs w:val="24"/>
          <w:lang w:val="en-GB" w:eastAsia="nl-NL"/>
          <w14:ligatures w14:val="none"/>
        </w:rPr>
        <w:t xml:space="preserve">International relations theories, Discipline and Diversity. </w:t>
      </w:r>
      <w:r w:rsidRPr="000D6D5A">
        <w:rPr>
          <w:rFonts w:ascii="Times New Roman" w:eastAsia="Times New Roman" w:hAnsi="Times New Roman" w:cs="Times New Roman"/>
          <w:color w:val="000000"/>
          <w:kern w:val="0"/>
          <w:sz w:val="24"/>
          <w:szCs w:val="24"/>
          <w:lang w:val="en-GB" w:eastAsia="nl-NL"/>
          <w14:ligatures w14:val="none"/>
        </w:rPr>
        <w:t>Oxford University Press.</w:t>
      </w:r>
    </w:p>
    <w:p w14:paraId="5FE8DFF9" w14:textId="607CDA7B" w:rsidR="00F325C6" w:rsidRPr="00E133F8" w:rsidRDefault="00F325C6" w:rsidP="00F325C6">
      <w:pPr>
        <w:shd w:val="clear" w:color="auto" w:fill="FFFFFF"/>
        <w:spacing w:after="0" w:line="480" w:lineRule="auto"/>
        <w:ind w:left="851" w:hanging="851"/>
        <w:jc w:val="both"/>
        <w:rPr>
          <w:rFonts w:ascii="Times New Roman" w:eastAsia="Times New Roman" w:hAnsi="Times New Roman" w:cs="Times New Roman"/>
          <w:color w:val="000000"/>
          <w:kern w:val="0"/>
          <w:sz w:val="24"/>
          <w:szCs w:val="24"/>
          <w:lang w:val="en-GB" w:eastAsia="nl-NL"/>
          <w14:ligatures w14:val="none"/>
        </w:rPr>
      </w:pPr>
      <w:r w:rsidRPr="00E133F8">
        <w:rPr>
          <w:rFonts w:ascii="Times New Roman" w:eastAsia="Times New Roman" w:hAnsi="Times New Roman" w:cs="Times New Roman"/>
          <w:color w:val="000000"/>
          <w:kern w:val="0"/>
          <w:sz w:val="24"/>
          <w:szCs w:val="24"/>
          <w:lang w:val="en-GB" w:eastAsia="nl-NL"/>
          <w14:ligatures w14:val="none"/>
        </w:rPr>
        <w:t xml:space="preserve">Moravcsik, A. (1997). Taking Preferences Seriously: A Liberal Theory of International Politics. </w:t>
      </w:r>
      <w:r w:rsidRPr="00E133F8">
        <w:rPr>
          <w:rFonts w:ascii="Times New Roman" w:eastAsia="Times New Roman" w:hAnsi="Times New Roman" w:cs="Times New Roman"/>
          <w:i/>
          <w:iCs/>
          <w:color w:val="000000"/>
          <w:kern w:val="0"/>
          <w:sz w:val="24"/>
          <w:szCs w:val="24"/>
          <w:lang w:val="en-GB" w:eastAsia="nl-NL"/>
          <w14:ligatures w14:val="none"/>
        </w:rPr>
        <w:t>International Organization</w:t>
      </w:r>
      <w:r w:rsidRPr="00E133F8">
        <w:rPr>
          <w:rFonts w:ascii="Times New Roman" w:eastAsia="Times New Roman" w:hAnsi="Times New Roman" w:cs="Times New Roman"/>
          <w:color w:val="000000"/>
          <w:kern w:val="0"/>
          <w:sz w:val="24"/>
          <w:szCs w:val="24"/>
          <w:lang w:val="en-GB" w:eastAsia="nl-NL"/>
          <w14:ligatures w14:val="none"/>
        </w:rPr>
        <w:t xml:space="preserve">, </w:t>
      </w:r>
      <w:r w:rsidRPr="00E133F8">
        <w:rPr>
          <w:rFonts w:ascii="Times New Roman" w:eastAsia="Times New Roman" w:hAnsi="Times New Roman" w:cs="Times New Roman"/>
          <w:i/>
          <w:iCs/>
          <w:color w:val="000000"/>
          <w:kern w:val="0"/>
          <w:sz w:val="24"/>
          <w:szCs w:val="24"/>
          <w:lang w:val="en-GB" w:eastAsia="nl-NL"/>
          <w14:ligatures w14:val="none"/>
        </w:rPr>
        <w:t>51</w:t>
      </w:r>
      <w:r w:rsidRPr="00E133F8">
        <w:rPr>
          <w:rFonts w:ascii="Times New Roman" w:eastAsia="Times New Roman" w:hAnsi="Times New Roman" w:cs="Times New Roman"/>
          <w:color w:val="000000"/>
          <w:kern w:val="0"/>
          <w:sz w:val="24"/>
          <w:szCs w:val="24"/>
          <w:lang w:val="en-GB" w:eastAsia="nl-NL"/>
          <w14:ligatures w14:val="none"/>
        </w:rPr>
        <w:t>(4), 513–553. https://www.jstor.org/stable/2703498?seq=8</w:t>
      </w:r>
    </w:p>
    <w:p w14:paraId="4859878F" w14:textId="6DA9CCF1" w:rsidR="00B771FF" w:rsidRPr="00BA2528" w:rsidRDefault="00F325C6" w:rsidP="00BA2528">
      <w:pPr>
        <w:shd w:val="clear" w:color="auto" w:fill="FFFFFF"/>
        <w:spacing w:after="0" w:line="480" w:lineRule="auto"/>
        <w:ind w:left="851" w:hanging="851"/>
        <w:jc w:val="both"/>
        <w:rPr>
          <w:rFonts w:ascii="Times New Roman" w:eastAsia="Times New Roman" w:hAnsi="Times New Roman" w:cs="Times New Roman"/>
          <w:color w:val="000000"/>
          <w:kern w:val="0"/>
          <w:sz w:val="24"/>
          <w:szCs w:val="24"/>
          <w:lang w:val="en-GB" w:eastAsia="nl-NL"/>
          <w14:ligatures w14:val="none"/>
        </w:rPr>
      </w:pPr>
      <w:r w:rsidRPr="00E133F8">
        <w:rPr>
          <w:rFonts w:ascii="Times New Roman" w:eastAsia="Times New Roman" w:hAnsi="Times New Roman" w:cs="Times New Roman"/>
          <w:color w:val="000000"/>
          <w:kern w:val="0"/>
          <w:sz w:val="24"/>
          <w:szCs w:val="24"/>
          <w:lang w:val="en-GB" w:eastAsia="nl-NL"/>
          <w14:ligatures w14:val="none"/>
        </w:rPr>
        <w:t xml:space="preserve">Moravcsik, A. (2002). Reassessing Legitimacy in the European Union. </w:t>
      </w:r>
      <w:r w:rsidRPr="00E133F8">
        <w:rPr>
          <w:rFonts w:ascii="Times New Roman" w:eastAsia="Times New Roman" w:hAnsi="Times New Roman" w:cs="Times New Roman"/>
          <w:i/>
          <w:iCs/>
          <w:color w:val="000000"/>
          <w:kern w:val="0"/>
          <w:sz w:val="24"/>
          <w:szCs w:val="24"/>
          <w:lang w:val="en-GB" w:eastAsia="nl-NL"/>
          <w14:ligatures w14:val="none"/>
        </w:rPr>
        <w:t>JCMS: Journal of Common Market Studies</w:t>
      </w:r>
      <w:r w:rsidRPr="00E133F8">
        <w:rPr>
          <w:rFonts w:ascii="Times New Roman" w:eastAsia="Times New Roman" w:hAnsi="Times New Roman" w:cs="Times New Roman"/>
          <w:color w:val="000000"/>
          <w:kern w:val="0"/>
          <w:sz w:val="24"/>
          <w:szCs w:val="24"/>
          <w:lang w:val="en-GB" w:eastAsia="nl-NL"/>
          <w14:ligatures w14:val="none"/>
        </w:rPr>
        <w:t xml:space="preserve">, </w:t>
      </w:r>
      <w:r w:rsidRPr="00E133F8">
        <w:rPr>
          <w:rFonts w:ascii="Times New Roman" w:eastAsia="Times New Roman" w:hAnsi="Times New Roman" w:cs="Times New Roman"/>
          <w:i/>
          <w:iCs/>
          <w:color w:val="000000"/>
          <w:kern w:val="0"/>
          <w:sz w:val="24"/>
          <w:szCs w:val="24"/>
          <w:lang w:val="en-GB" w:eastAsia="nl-NL"/>
          <w14:ligatures w14:val="none"/>
        </w:rPr>
        <w:t>40</w:t>
      </w:r>
      <w:r w:rsidRPr="00E133F8">
        <w:rPr>
          <w:rFonts w:ascii="Times New Roman" w:eastAsia="Times New Roman" w:hAnsi="Times New Roman" w:cs="Times New Roman"/>
          <w:color w:val="000000"/>
          <w:kern w:val="0"/>
          <w:sz w:val="24"/>
          <w:szCs w:val="24"/>
          <w:lang w:val="en-GB" w:eastAsia="nl-NL"/>
          <w14:ligatures w14:val="none"/>
        </w:rPr>
        <w:t>(4), 603–624.</w:t>
      </w:r>
    </w:p>
    <w:p w14:paraId="33D1CD17" w14:textId="678D7AA5" w:rsidR="00B771FF" w:rsidRPr="00B771FF" w:rsidRDefault="00B771FF" w:rsidP="00B771FF">
      <w:pPr>
        <w:spacing w:line="480" w:lineRule="auto"/>
        <w:ind w:left="851" w:hanging="851"/>
        <w:jc w:val="both"/>
        <w:rPr>
          <w:rFonts w:ascii="Times New Roman" w:hAnsi="Times New Roman" w:cs="Times New Roman"/>
          <w:sz w:val="24"/>
          <w:szCs w:val="24"/>
          <w:lang w:val="en-US"/>
        </w:rPr>
      </w:pPr>
      <w:r w:rsidRPr="00B771FF">
        <w:rPr>
          <w:rFonts w:ascii="Times New Roman" w:hAnsi="Times New Roman" w:cs="Times New Roman"/>
          <w:sz w:val="24"/>
          <w:szCs w:val="24"/>
          <w:lang w:val="en-US"/>
        </w:rPr>
        <w:t xml:space="preserve">Nielsen, N. (2023, January 12). </w:t>
      </w:r>
      <w:r w:rsidRPr="00B771FF">
        <w:rPr>
          <w:rFonts w:ascii="Times New Roman" w:hAnsi="Times New Roman" w:cs="Times New Roman"/>
          <w:i/>
          <w:iCs/>
          <w:sz w:val="24"/>
          <w:szCs w:val="24"/>
          <w:lang w:val="en-US"/>
        </w:rPr>
        <w:t xml:space="preserve">EU Parliament to present 14 point anti-corruption reform. </w:t>
      </w:r>
      <w:r w:rsidRPr="00B771FF">
        <w:rPr>
          <w:rFonts w:ascii="Times New Roman" w:hAnsi="Times New Roman" w:cs="Times New Roman"/>
          <w:sz w:val="24"/>
          <w:szCs w:val="24"/>
          <w:lang w:val="en-US"/>
        </w:rPr>
        <w:t xml:space="preserve">EUObserver. </w:t>
      </w:r>
      <w:hyperlink r:id="rId48" w:history="1">
        <w:r w:rsidRPr="00B771FF">
          <w:rPr>
            <w:rStyle w:val="Hyperlink"/>
            <w:rFonts w:ascii="Times New Roman" w:hAnsi="Times New Roman" w:cs="Times New Roman"/>
            <w:sz w:val="24"/>
            <w:szCs w:val="24"/>
            <w:lang w:val="en-US"/>
          </w:rPr>
          <w:t>https://euobserver.com/rule-of-law/ar39352975</w:t>
        </w:r>
      </w:hyperlink>
    </w:p>
    <w:p w14:paraId="0CBC4F1E" w14:textId="3093DEA9" w:rsidR="00F325C6" w:rsidRPr="00415A11" w:rsidRDefault="00F325C6" w:rsidP="00F325C6">
      <w:pPr>
        <w:spacing w:line="480" w:lineRule="auto"/>
        <w:ind w:left="851" w:hanging="851"/>
        <w:jc w:val="both"/>
        <w:rPr>
          <w:rFonts w:ascii="Times New Roman" w:hAnsi="Times New Roman" w:cs="Times New Roman"/>
          <w:sz w:val="24"/>
          <w:szCs w:val="24"/>
        </w:rPr>
      </w:pPr>
      <w:r w:rsidRPr="00F325C6">
        <w:rPr>
          <w:rFonts w:ascii="Times New Roman" w:hAnsi="Times New Roman" w:cs="Times New Roman"/>
          <w:sz w:val="24"/>
          <w:szCs w:val="24"/>
          <w:lang w:val="en-GB"/>
        </w:rPr>
        <w:t xml:space="preserve">NOS. (2023, April 14). </w:t>
      </w:r>
      <w:r w:rsidRPr="00415A11">
        <w:rPr>
          <w:rFonts w:ascii="Times New Roman" w:hAnsi="Times New Roman" w:cs="Times New Roman"/>
          <w:i/>
          <w:iCs/>
          <w:sz w:val="24"/>
          <w:szCs w:val="24"/>
        </w:rPr>
        <w:t xml:space="preserve">Qatargate: voormalig kopstuk Europarlement Eva Kaili verruilt cel voor huisarrest. </w:t>
      </w:r>
      <w:hyperlink r:id="rId49" w:history="1">
        <w:r w:rsidRPr="00415A11">
          <w:rPr>
            <w:rStyle w:val="Hyperlink"/>
            <w:rFonts w:ascii="Times New Roman" w:hAnsi="Times New Roman" w:cs="Times New Roman"/>
            <w:sz w:val="24"/>
            <w:szCs w:val="24"/>
          </w:rPr>
          <w:t>https://nos.nl/artikel/2471420-qatargate-voormalig-kopstuk-europarlement-eva-kaili-verruilt-cel-voor-huisarrest</w:t>
        </w:r>
      </w:hyperlink>
    </w:p>
    <w:p w14:paraId="0EA84AB2" w14:textId="79949F0A" w:rsidR="00AC227A" w:rsidRPr="00AC227A" w:rsidRDefault="00AC227A" w:rsidP="00AC227A">
      <w:pPr>
        <w:shd w:val="clear" w:color="auto" w:fill="FFFFFF"/>
        <w:spacing w:after="0" w:line="480" w:lineRule="auto"/>
        <w:ind w:left="851" w:hanging="851"/>
        <w:jc w:val="both"/>
        <w:rPr>
          <w:rFonts w:ascii="Times New Roman" w:eastAsia="Times New Roman" w:hAnsi="Times New Roman" w:cs="Times New Roman"/>
          <w:color w:val="000000"/>
          <w:kern w:val="0"/>
          <w:sz w:val="24"/>
          <w:szCs w:val="24"/>
          <w:lang w:val="en-GB" w:eastAsia="nl-NL"/>
          <w14:ligatures w14:val="none"/>
        </w:rPr>
      </w:pPr>
      <w:r>
        <w:rPr>
          <w:rFonts w:ascii="Times New Roman" w:eastAsia="Times New Roman" w:hAnsi="Times New Roman" w:cs="Times New Roman"/>
          <w:color w:val="000000"/>
          <w:kern w:val="0"/>
          <w:sz w:val="24"/>
          <w:szCs w:val="24"/>
          <w:lang w:val="en-GB" w:eastAsia="nl-NL"/>
          <w14:ligatures w14:val="none"/>
        </w:rPr>
        <w:lastRenderedPageBreak/>
        <w:t xml:space="preserve">Palm, T., &amp; Crum, B. (2019). Military operations and the EU’s identity as an international security actor. </w:t>
      </w:r>
      <w:r>
        <w:rPr>
          <w:rFonts w:ascii="Times New Roman" w:eastAsia="Times New Roman" w:hAnsi="Times New Roman" w:cs="Times New Roman"/>
          <w:i/>
          <w:iCs/>
          <w:color w:val="000000"/>
          <w:kern w:val="0"/>
          <w:sz w:val="24"/>
          <w:szCs w:val="24"/>
          <w:lang w:val="en-GB" w:eastAsia="nl-NL"/>
          <w14:ligatures w14:val="none"/>
        </w:rPr>
        <w:t>European Security, 28</w:t>
      </w:r>
      <w:r>
        <w:rPr>
          <w:rFonts w:ascii="Times New Roman" w:eastAsia="Times New Roman" w:hAnsi="Times New Roman" w:cs="Times New Roman"/>
          <w:color w:val="000000"/>
          <w:kern w:val="0"/>
          <w:sz w:val="24"/>
          <w:szCs w:val="24"/>
          <w:lang w:val="en-GB" w:eastAsia="nl-NL"/>
          <w14:ligatures w14:val="none"/>
        </w:rPr>
        <w:t>(4), 513-534. https://doi.org/10.1080/0</w:t>
      </w:r>
      <w:r w:rsidR="00E02586">
        <w:rPr>
          <w:rFonts w:ascii="Times New Roman" w:eastAsia="Times New Roman" w:hAnsi="Times New Roman" w:cs="Times New Roman"/>
          <w:color w:val="000000"/>
          <w:kern w:val="0"/>
          <w:sz w:val="24"/>
          <w:szCs w:val="24"/>
          <w:lang w:val="en-GB" w:eastAsia="nl-NL"/>
          <w14:ligatures w14:val="none"/>
        </w:rPr>
        <w:t>9662839.2019.1667769</w:t>
      </w:r>
    </w:p>
    <w:p w14:paraId="2F33E932" w14:textId="228E7336" w:rsidR="00F325C6" w:rsidRDefault="00F325C6" w:rsidP="00F325C6">
      <w:pPr>
        <w:shd w:val="clear" w:color="auto" w:fill="FFFFFF"/>
        <w:spacing w:after="0" w:line="480" w:lineRule="auto"/>
        <w:ind w:left="851" w:hanging="851"/>
        <w:jc w:val="both"/>
        <w:rPr>
          <w:rFonts w:ascii="Times New Roman" w:eastAsia="Times New Roman" w:hAnsi="Times New Roman" w:cs="Times New Roman"/>
          <w:color w:val="000000"/>
          <w:kern w:val="0"/>
          <w:sz w:val="24"/>
          <w:szCs w:val="24"/>
          <w:lang w:val="en-GB" w:eastAsia="nl-NL"/>
          <w14:ligatures w14:val="none"/>
        </w:rPr>
      </w:pPr>
      <w:r w:rsidRPr="00E133F8">
        <w:rPr>
          <w:rFonts w:ascii="Times New Roman" w:eastAsia="Times New Roman" w:hAnsi="Times New Roman" w:cs="Times New Roman"/>
          <w:color w:val="000000"/>
          <w:kern w:val="0"/>
          <w:sz w:val="24"/>
          <w:szCs w:val="24"/>
          <w:lang w:val="en-GB" w:eastAsia="nl-NL"/>
          <w14:ligatures w14:val="none"/>
        </w:rPr>
        <w:t xml:space="preserve">Pease, K.K.S. (2019). </w:t>
      </w:r>
      <w:r w:rsidRPr="00E133F8">
        <w:rPr>
          <w:rFonts w:ascii="Times New Roman" w:eastAsia="Times New Roman" w:hAnsi="Times New Roman" w:cs="Times New Roman"/>
          <w:i/>
          <w:iCs/>
          <w:color w:val="000000"/>
          <w:kern w:val="0"/>
          <w:sz w:val="24"/>
          <w:szCs w:val="24"/>
          <w:lang w:val="en-GB" w:eastAsia="nl-NL"/>
          <w14:ligatures w14:val="none"/>
        </w:rPr>
        <w:t xml:space="preserve">International organisations: Perspectives on Global Governance. </w:t>
      </w:r>
      <w:r w:rsidRPr="00E133F8">
        <w:rPr>
          <w:rFonts w:ascii="Times New Roman" w:eastAsia="Times New Roman" w:hAnsi="Times New Roman" w:cs="Times New Roman"/>
          <w:color w:val="000000"/>
          <w:kern w:val="0"/>
          <w:sz w:val="24"/>
          <w:szCs w:val="24"/>
          <w:lang w:val="en-GB" w:eastAsia="nl-NL"/>
          <w14:ligatures w14:val="none"/>
        </w:rPr>
        <w:t>Routledge</w:t>
      </w:r>
    </w:p>
    <w:p w14:paraId="7585FEF3" w14:textId="77777777" w:rsidR="00F325C6" w:rsidRDefault="00F325C6" w:rsidP="00F325C6">
      <w:pPr>
        <w:shd w:val="clear" w:color="auto" w:fill="FFFFFF"/>
        <w:spacing w:after="0" w:line="480" w:lineRule="auto"/>
        <w:ind w:left="851" w:hanging="851"/>
        <w:jc w:val="both"/>
        <w:rPr>
          <w:rFonts w:ascii="Times New Roman" w:eastAsia="Times New Roman" w:hAnsi="Times New Roman" w:cs="Times New Roman"/>
          <w:color w:val="000000"/>
          <w:kern w:val="0"/>
          <w:sz w:val="24"/>
          <w:szCs w:val="24"/>
          <w:lang w:val="en-GB" w:eastAsia="nl-NL"/>
          <w14:ligatures w14:val="none"/>
        </w:rPr>
      </w:pPr>
      <w:r w:rsidRPr="00E133F8">
        <w:rPr>
          <w:rFonts w:ascii="Times New Roman" w:eastAsia="Times New Roman" w:hAnsi="Times New Roman" w:cs="Times New Roman"/>
          <w:color w:val="000000"/>
          <w:kern w:val="0"/>
          <w:sz w:val="24"/>
          <w:szCs w:val="24"/>
          <w:lang w:val="en-GB" w:eastAsia="nl-NL"/>
          <w14:ligatures w14:val="none"/>
        </w:rPr>
        <w:t xml:space="preserve">Pollack, M.A. (2012). Realist, intergovernmentalist, and institutionalist approaches. In E. Jones, A. Menon &amp; S. Weatherill (Eds.), </w:t>
      </w:r>
      <w:r w:rsidRPr="00E133F8">
        <w:rPr>
          <w:rFonts w:ascii="Times New Roman" w:eastAsia="Times New Roman" w:hAnsi="Times New Roman" w:cs="Times New Roman"/>
          <w:i/>
          <w:iCs/>
          <w:color w:val="000000"/>
          <w:kern w:val="0"/>
          <w:sz w:val="24"/>
          <w:szCs w:val="24"/>
          <w:lang w:val="en-GB" w:eastAsia="nl-NL"/>
          <w14:ligatures w14:val="none"/>
        </w:rPr>
        <w:t xml:space="preserve">The Oxford Handbook of the European Union. </w:t>
      </w:r>
      <w:r w:rsidRPr="00E133F8">
        <w:rPr>
          <w:rFonts w:ascii="Times New Roman" w:eastAsia="Times New Roman" w:hAnsi="Times New Roman" w:cs="Times New Roman"/>
          <w:color w:val="000000"/>
          <w:kern w:val="0"/>
          <w:sz w:val="24"/>
          <w:szCs w:val="24"/>
          <w:lang w:val="en-GB" w:eastAsia="nl-NL"/>
          <w14:ligatures w14:val="none"/>
        </w:rPr>
        <w:t xml:space="preserve">Oxford University Press. </w:t>
      </w:r>
    </w:p>
    <w:p w14:paraId="30929DAD" w14:textId="77777777" w:rsidR="00F325C6" w:rsidRPr="00687F5D" w:rsidRDefault="00F325C6" w:rsidP="00F325C6">
      <w:pPr>
        <w:spacing w:line="480" w:lineRule="auto"/>
        <w:ind w:left="851" w:hanging="851"/>
        <w:jc w:val="both"/>
        <w:rPr>
          <w:rFonts w:ascii="Times New Roman" w:hAnsi="Times New Roman" w:cs="Times New Roman"/>
          <w:sz w:val="24"/>
          <w:szCs w:val="24"/>
        </w:rPr>
      </w:pPr>
      <w:r w:rsidRPr="00E17CEC">
        <w:rPr>
          <w:rFonts w:ascii="Times New Roman" w:hAnsi="Times New Roman" w:cs="Times New Roman"/>
          <w:sz w:val="24"/>
          <w:szCs w:val="24"/>
          <w:lang w:val="en-GB"/>
        </w:rPr>
        <w:t xml:space="preserve">Posaner, J., &amp; Eccles, M., &amp; Cokelaere, H. (2022, December 15). </w:t>
      </w:r>
      <w:r w:rsidRPr="00E17CEC">
        <w:rPr>
          <w:rFonts w:ascii="Times New Roman" w:hAnsi="Times New Roman" w:cs="Times New Roman"/>
          <w:i/>
          <w:iCs/>
          <w:sz w:val="24"/>
          <w:szCs w:val="24"/>
          <w:lang w:val="en-GB"/>
        </w:rPr>
        <w:t xml:space="preserve">EU Parliament to stop work on Qatar airline, visa laws. </w:t>
      </w:r>
      <w:hyperlink r:id="rId50" w:history="1">
        <w:r w:rsidRPr="00E17CEC">
          <w:rPr>
            <w:rStyle w:val="Hyperlink"/>
            <w:rFonts w:ascii="Times New Roman" w:hAnsi="Times New Roman" w:cs="Times New Roman"/>
            <w:sz w:val="24"/>
            <w:szCs w:val="24"/>
          </w:rPr>
          <w:t>https://www.politico.eu/article/parliament-agrees-to-pause-work-on-qatari-aviation-visa-laws/</w:t>
        </w:r>
      </w:hyperlink>
    </w:p>
    <w:p w14:paraId="03B7B0D2" w14:textId="77777777" w:rsidR="00F325C6" w:rsidRPr="00E17CEC" w:rsidRDefault="00F325C6" w:rsidP="00F325C6">
      <w:pPr>
        <w:spacing w:line="480" w:lineRule="auto"/>
        <w:ind w:left="851" w:hanging="851"/>
        <w:jc w:val="both"/>
        <w:rPr>
          <w:rFonts w:ascii="Times New Roman" w:hAnsi="Times New Roman" w:cs="Times New Roman"/>
          <w:sz w:val="24"/>
          <w:szCs w:val="24"/>
          <w:lang w:val="en-GB"/>
        </w:rPr>
      </w:pPr>
      <w:r w:rsidRPr="00E17CEC">
        <w:rPr>
          <w:rFonts w:ascii="Times New Roman" w:hAnsi="Times New Roman" w:cs="Times New Roman"/>
          <w:sz w:val="24"/>
          <w:szCs w:val="24"/>
          <w:lang w:val="en-GB"/>
        </w:rPr>
        <w:t xml:space="preserve">Pratt, J. (2008). </w:t>
      </w:r>
      <w:r w:rsidRPr="00E17CEC">
        <w:rPr>
          <w:rFonts w:ascii="Times New Roman" w:hAnsi="Times New Roman" w:cs="Times New Roman"/>
          <w:i/>
          <w:iCs/>
          <w:sz w:val="24"/>
          <w:szCs w:val="24"/>
          <w:lang w:val="en-GB"/>
        </w:rPr>
        <w:t>When penal populism stops: legitimacy, scandal and the power to</w:t>
      </w:r>
      <w:r>
        <w:rPr>
          <w:rFonts w:ascii="Times New Roman" w:hAnsi="Times New Roman" w:cs="Times New Roman"/>
          <w:i/>
          <w:iCs/>
          <w:sz w:val="24"/>
          <w:szCs w:val="24"/>
          <w:lang w:val="en-GB"/>
        </w:rPr>
        <w:t xml:space="preserve"> </w:t>
      </w:r>
      <w:r w:rsidRPr="00E17CEC">
        <w:rPr>
          <w:rFonts w:ascii="Times New Roman" w:hAnsi="Times New Roman" w:cs="Times New Roman"/>
          <w:i/>
          <w:iCs/>
          <w:sz w:val="24"/>
          <w:szCs w:val="24"/>
          <w:lang w:val="en-GB"/>
        </w:rPr>
        <w:t>punish in New Zealand</w:t>
      </w:r>
      <w:r w:rsidRPr="00E17CEC">
        <w:rPr>
          <w:rFonts w:ascii="Times New Roman" w:hAnsi="Times New Roman" w:cs="Times New Roman"/>
          <w:sz w:val="24"/>
          <w:szCs w:val="24"/>
          <w:lang w:val="en-GB"/>
        </w:rPr>
        <w:t>. Australian and New Zealand Journal of Criminology, 41</w:t>
      </w:r>
      <w:r w:rsidRPr="00E17CEC">
        <w:rPr>
          <w:rFonts w:ascii="Times New Roman" w:hAnsi="Times New Roman" w:cs="Times New Roman"/>
          <w:i/>
          <w:iCs/>
          <w:sz w:val="24"/>
          <w:szCs w:val="24"/>
          <w:lang w:val="en-GB"/>
        </w:rPr>
        <w:t>(3)</w:t>
      </w:r>
      <w:r w:rsidRPr="00E17CEC">
        <w:rPr>
          <w:rFonts w:ascii="Times New Roman" w:hAnsi="Times New Roman" w:cs="Times New Roman"/>
          <w:sz w:val="24"/>
          <w:szCs w:val="24"/>
          <w:lang w:val="en-GB"/>
        </w:rPr>
        <w:t>,</w:t>
      </w:r>
      <w:r>
        <w:rPr>
          <w:rFonts w:ascii="Times New Roman" w:hAnsi="Times New Roman" w:cs="Times New Roman"/>
          <w:sz w:val="24"/>
          <w:szCs w:val="24"/>
          <w:lang w:val="en-GB"/>
        </w:rPr>
        <w:t xml:space="preserve"> </w:t>
      </w:r>
      <w:r w:rsidRPr="00E17CEC">
        <w:rPr>
          <w:rFonts w:ascii="Times New Roman" w:hAnsi="Times New Roman" w:cs="Times New Roman"/>
          <w:sz w:val="24"/>
          <w:szCs w:val="24"/>
          <w:lang w:val="en-GB"/>
        </w:rPr>
        <w:t xml:space="preserve">364-383. </w:t>
      </w:r>
    </w:p>
    <w:p w14:paraId="4148FE50" w14:textId="5FD67AE5" w:rsidR="00B771FF" w:rsidRPr="00B771FF" w:rsidRDefault="00B771FF" w:rsidP="00B771FF">
      <w:pPr>
        <w:shd w:val="clear" w:color="auto" w:fill="FFFFFF"/>
        <w:spacing w:after="0" w:line="480" w:lineRule="auto"/>
        <w:ind w:left="851" w:hanging="851"/>
        <w:jc w:val="both"/>
        <w:rPr>
          <w:rFonts w:ascii="Times New Roman" w:eastAsia="Times New Roman" w:hAnsi="Times New Roman" w:cs="Times New Roman"/>
          <w:color w:val="000000"/>
          <w:kern w:val="0"/>
          <w:sz w:val="24"/>
          <w:szCs w:val="24"/>
          <w:lang w:val="en-US" w:eastAsia="nl-NL"/>
          <w14:ligatures w14:val="none"/>
        </w:rPr>
      </w:pPr>
      <w:r w:rsidRPr="00B771FF">
        <w:rPr>
          <w:rFonts w:ascii="Times New Roman" w:eastAsia="Times New Roman" w:hAnsi="Times New Roman" w:cs="Times New Roman"/>
          <w:color w:val="000000"/>
          <w:kern w:val="0"/>
          <w:sz w:val="24"/>
          <w:szCs w:val="24"/>
          <w:lang w:val="en-US" w:eastAsia="nl-NL"/>
          <w14:ligatures w14:val="none"/>
        </w:rPr>
        <w:t xml:space="preserve">Prüssen, W. (2022, December 12). </w:t>
      </w:r>
      <w:r w:rsidRPr="00B771FF">
        <w:rPr>
          <w:rFonts w:ascii="Times New Roman" w:eastAsia="Times New Roman" w:hAnsi="Times New Roman" w:cs="Times New Roman"/>
          <w:i/>
          <w:iCs/>
          <w:color w:val="000000"/>
          <w:kern w:val="0"/>
          <w:sz w:val="24"/>
          <w:szCs w:val="24"/>
          <w:lang w:val="en-US" w:eastAsia="nl-NL"/>
          <w14:ligatures w14:val="none"/>
        </w:rPr>
        <w:t xml:space="preserve">Commission’s Borrell on European Parliament corruption probe: ‘Very, very worrisome’. </w:t>
      </w:r>
      <w:r w:rsidRPr="00B771FF">
        <w:rPr>
          <w:rFonts w:ascii="Times New Roman" w:eastAsia="Times New Roman" w:hAnsi="Times New Roman" w:cs="Times New Roman"/>
          <w:color w:val="000000"/>
          <w:kern w:val="0"/>
          <w:sz w:val="24"/>
          <w:szCs w:val="24"/>
          <w:lang w:val="en-US" w:eastAsia="nl-NL"/>
          <w14:ligatures w14:val="none"/>
        </w:rPr>
        <w:t xml:space="preserve">POLITICO. </w:t>
      </w:r>
      <w:hyperlink r:id="rId51" w:history="1">
        <w:r w:rsidRPr="00B771FF">
          <w:rPr>
            <w:rStyle w:val="Hyperlink"/>
            <w:rFonts w:ascii="Times New Roman" w:eastAsia="Times New Roman" w:hAnsi="Times New Roman" w:cs="Times New Roman"/>
            <w:kern w:val="0"/>
            <w:sz w:val="24"/>
            <w:szCs w:val="24"/>
            <w:lang w:val="en-US" w:eastAsia="nl-NL"/>
            <w14:ligatures w14:val="none"/>
          </w:rPr>
          <w:t>https://www.politico.eu/article/josep-borrell-eva-kaili-qatar-bribe-allegations-european-parliament-very-very-worrisome/</w:t>
        </w:r>
      </w:hyperlink>
    </w:p>
    <w:p w14:paraId="6FACB953" w14:textId="15EB6C46" w:rsidR="00BA2528" w:rsidRPr="00BA2528" w:rsidRDefault="00BA2528" w:rsidP="00BA2528">
      <w:pPr>
        <w:shd w:val="clear" w:color="auto" w:fill="FFFFFF"/>
        <w:spacing w:after="0" w:line="480" w:lineRule="auto"/>
        <w:ind w:left="851" w:hanging="851"/>
        <w:jc w:val="both"/>
        <w:rPr>
          <w:rFonts w:ascii="Times New Roman" w:eastAsia="Times New Roman" w:hAnsi="Times New Roman" w:cs="Times New Roman"/>
          <w:color w:val="000000"/>
          <w:kern w:val="0"/>
          <w:sz w:val="24"/>
          <w:szCs w:val="24"/>
          <w:lang w:val="en-US" w:eastAsia="nl-NL"/>
          <w14:ligatures w14:val="none"/>
        </w:rPr>
      </w:pPr>
      <w:r w:rsidRPr="00BA2528">
        <w:rPr>
          <w:rFonts w:ascii="Times New Roman" w:eastAsia="Times New Roman" w:hAnsi="Times New Roman" w:cs="Times New Roman"/>
          <w:color w:val="000000"/>
          <w:kern w:val="0"/>
          <w:sz w:val="24"/>
          <w:szCs w:val="24"/>
          <w:lang w:val="en-US" w:eastAsia="nl-NL"/>
          <w14:ligatures w14:val="none"/>
        </w:rPr>
        <w:t xml:space="preserve">Quirinale [@Quirinale]. </w:t>
      </w:r>
      <w:r w:rsidRPr="00BA2528">
        <w:rPr>
          <w:rFonts w:ascii="Times New Roman" w:eastAsia="Times New Roman" w:hAnsi="Times New Roman" w:cs="Times New Roman"/>
          <w:i/>
          <w:iCs/>
          <w:color w:val="000000"/>
          <w:kern w:val="0"/>
          <w:sz w:val="24"/>
          <w:szCs w:val="24"/>
          <w:lang w:val="en-US" w:eastAsia="nl-NL"/>
          <w14:ligatures w14:val="none"/>
        </w:rPr>
        <w:t xml:space="preserve">Il Presidente #Mattarella ha ricevuto al Quirinale l’Emiro dello Stato del #Qatar Tamim Bin Hamad-Al Thani in visita ufficiale </w:t>
      </w:r>
      <w:r w:rsidRPr="00BA2528">
        <w:rPr>
          <w:rFonts w:ascii="Times New Roman" w:eastAsia="Times New Roman" w:hAnsi="Times New Roman" w:cs="Times New Roman"/>
          <w:color w:val="000000"/>
          <w:kern w:val="0"/>
          <w:sz w:val="24"/>
          <w:szCs w:val="24"/>
          <w:lang w:val="en-US" w:eastAsia="nl-NL"/>
          <w14:ligatures w14:val="none"/>
        </w:rPr>
        <w:t>[Tweet</w:t>
      </w:r>
      <w:r>
        <w:rPr>
          <w:rFonts w:ascii="Times New Roman" w:eastAsia="Times New Roman" w:hAnsi="Times New Roman" w:cs="Times New Roman"/>
          <w:color w:val="000000"/>
          <w:kern w:val="0"/>
          <w:sz w:val="24"/>
          <w:szCs w:val="24"/>
          <w:lang w:val="en-US" w:eastAsia="nl-NL"/>
          <w14:ligatures w14:val="none"/>
        </w:rPr>
        <w:t>]</w:t>
      </w:r>
      <w:r w:rsidRPr="00BA2528">
        <w:rPr>
          <w:rFonts w:ascii="Times New Roman" w:eastAsia="Times New Roman" w:hAnsi="Times New Roman" w:cs="Times New Roman"/>
          <w:color w:val="000000"/>
          <w:kern w:val="0"/>
          <w:sz w:val="24"/>
          <w:szCs w:val="24"/>
          <w:lang w:val="en-US" w:eastAsia="nl-NL"/>
          <w14:ligatures w14:val="none"/>
        </w:rPr>
        <w:t xml:space="preserve">. X. </w:t>
      </w:r>
      <w:hyperlink r:id="rId52" w:history="1">
        <w:r w:rsidRPr="00BA2528">
          <w:rPr>
            <w:rStyle w:val="Hyperlink"/>
            <w:rFonts w:ascii="Times New Roman" w:eastAsia="Times New Roman" w:hAnsi="Times New Roman" w:cs="Times New Roman"/>
            <w:kern w:val="0"/>
            <w:sz w:val="24"/>
            <w:szCs w:val="24"/>
            <w:lang w:val="en-US" w:eastAsia="nl-NL"/>
            <w14:ligatures w14:val="none"/>
          </w:rPr>
          <w:t>https://x.com/Quirinale/status/1625171860785664001</w:t>
        </w:r>
      </w:hyperlink>
    </w:p>
    <w:p w14:paraId="3FBD48D6" w14:textId="03A57899" w:rsidR="00B771FF" w:rsidRPr="00BA2528" w:rsidRDefault="005E7D21" w:rsidP="00BA2528">
      <w:pPr>
        <w:shd w:val="clear" w:color="auto" w:fill="FFFFFF"/>
        <w:spacing w:after="0" w:line="480" w:lineRule="auto"/>
        <w:ind w:left="851" w:hanging="851"/>
        <w:jc w:val="both"/>
        <w:rPr>
          <w:rFonts w:ascii="Times New Roman" w:eastAsia="Times New Roman" w:hAnsi="Times New Roman" w:cs="Times New Roman"/>
          <w:color w:val="000000"/>
          <w:kern w:val="0"/>
          <w:sz w:val="24"/>
          <w:szCs w:val="24"/>
          <w:lang w:val="en-GB" w:eastAsia="nl-NL"/>
          <w14:ligatures w14:val="none"/>
        </w:rPr>
      </w:pPr>
      <w:r w:rsidRPr="005E7D21">
        <w:rPr>
          <w:rFonts w:ascii="Times New Roman" w:eastAsia="Times New Roman" w:hAnsi="Times New Roman" w:cs="Times New Roman"/>
          <w:color w:val="000000"/>
          <w:kern w:val="0"/>
          <w:sz w:val="24"/>
          <w:szCs w:val="24"/>
          <w:lang w:val="en-GB" w:eastAsia="nl-NL"/>
          <w14:ligatures w14:val="none"/>
        </w:rPr>
        <w:t xml:space="preserve">Ramström, G. (2018). Coleman’s Boat Revisited: Causal Sequences and the Micro-macro Link. </w:t>
      </w:r>
      <w:r w:rsidRPr="00AC6870">
        <w:rPr>
          <w:rFonts w:ascii="Times New Roman" w:eastAsia="Times New Roman" w:hAnsi="Times New Roman" w:cs="Times New Roman"/>
          <w:i/>
          <w:iCs/>
          <w:color w:val="000000"/>
          <w:kern w:val="0"/>
          <w:sz w:val="24"/>
          <w:szCs w:val="24"/>
          <w:lang w:val="en-GB" w:eastAsia="nl-NL"/>
          <w14:ligatures w14:val="none"/>
        </w:rPr>
        <w:t>Sociological Theory</w:t>
      </w:r>
      <w:r w:rsidRPr="00AC6870">
        <w:rPr>
          <w:rFonts w:ascii="Times New Roman" w:eastAsia="Times New Roman" w:hAnsi="Times New Roman" w:cs="Times New Roman"/>
          <w:color w:val="000000"/>
          <w:kern w:val="0"/>
          <w:sz w:val="24"/>
          <w:szCs w:val="24"/>
          <w:lang w:val="en-GB" w:eastAsia="nl-NL"/>
          <w14:ligatures w14:val="none"/>
        </w:rPr>
        <w:t xml:space="preserve">, </w:t>
      </w:r>
      <w:r w:rsidRPr="00AC6870">
        <w:rPr>
          <w:rFonts w:ascii="Times New Roman" w:eastAsia="Times New Roman" w:hAnsi="Times New Roman" w:cs="Times New Roman"/>
          <w:i/>
          <w:iCs/>
          <w:color w:val="000000"/>
          <w:kern w:val="0"/>
          <w:sz w:val="24"/>
          <w:szCs w:val="24"/>
          <w:lang w:val="en-GB" w:eastAsia="nl-NL"/>
          <w14:ligatures w14:val="none"/>
        </w:rPr>
        <w:t>36</w:t>
      </w:r>
      <w:r w:rsidRPr="00AC6870">
        <w:rPr>
          <w:rFonts w:ascii="Times New Roman" w:eastAsia="Times New Roman" w:hAnsi="Times New Roman" w:cs="Times New Roman"/>
          <w:color w:val="000000"/>
          <w:kern w:val="0"/>
          <w:sz w:val="24"/>
          <w:szCs w:val="24"/>
          <w:lang w:val="en-GB" w:eastAsia="nl-NL"/>
          <w14:ligatures w14:val="none"/>
        </w:rPr>
        <w:t>(4), 368–391. https://www.jstor.org/stable/26939885</w:t>
      </w:r>
    </w:p>
    <w:p w14:paraId="22A810E3" w14:textId="77777777" w:rsidR="00B771FF" w:rsidRPr="00B771FF" w:rsidRDefault="00B771FF" w:rsidP="00B771FF">
      <w:pPr>
        <w:shd w:val="clear" w:color="auto" w:fill="FFFFFF"/>
        <w:spacing w:after="0" w:line="480" w:lineRule="auto"/>
        <w:ind w:left="851" w:hanging="851"/>
        <w:jc w:val="both"/>
        <w:rPr>
          <w:rFonts w:ascii="Times New Roman" w:eastAsia="Times New Roman" w:hAnsi="Times New Roman" w:cs="Times New Roman"/>
          <w:color w:val="000000"/>
          <w:kern w:val="0"/>
          <w:sz w:val="24"/>
          <w:szCs w:val="24"/>
          <w:lang w:val="en-US" w:eastAsia="nl-NL"/>
          <w14:ligatures w14:val="none"/>
        </w:rPr>
      </w:pPr>
      <w:r w:rsidRPr="00B771FF">
        <w:rPr>
          <w:rFonts w:ascii="Times New Roman" w:eastAsia="Times New Roman" w:hAnsi="Times New Roman" w:cs="Times New Roman"/>
          <w:color w:val="000000"/>
          <w:kern w:val="0"/>
          <w:sz w:val="24"/>
          <w:szCs w:val="24"/>
          <w:lang w:val="en-US" w:eastAsia="nl-NL"/>
          <w14:ligatures w14:val="none"/>
        </w:rPr>
        <w:t xml:space="preserve">Rankin, J., &amp; Smith, H. (2022, December 12). </w:t>
      </w:r>
      <w:r w:rsidRPr="00B771FF">
        <w:rPr>
          <w:rFonts w:ascii="Times New Roman" w:eastAsia="Times New Roman" w:hAnsi="Times New Roman" w:cs="Times New Roman"/>
          <w:i/>
          <w:iCs/>
          <w:color w:val="000000"/>
          <w:kern w:val="0"/>
          <w:sz w:val="24"/>
          <w:szCs w:val="24"/>
          <w:lang w:val="en-US" w:eastAsia="nl-NL"/>
          <w14:ligatures w14:val="none"/>
        </w:rPr>
        <w:t xml:space="preserve">EU bribery investigation: Greek authorities order freezing of MEP’s assets. </w:t>
      </w:r>
      <w:r w:rsidRPr="00B771FF">
        <w:rPr>
          <w:rFonts w:ascii="Times New Roman" w:eastAsia="Times New Roman" w:hAnsi="Times New Roman" w:cs="Times New Roman"/>
          <w:color w:val="000000"/>
          <w:kern w:val="0"/>
          <w:sz w:val="24"/>
          <w:szCs w:val="24"/>
          <w:lang w:val="en-US" w:eastAsia="nl-NL"/>
          <w14:ligatures w14:val="none"/>
        </w:rPr>
        <w:t xml:space="preserve">Irish Times. </w:t>
      </w:r>
      <w:hyperlink r:id="rId53" w:history="1">
        <w:r w:rsidRPr="00B771FF">
          <w:rPr>
            <w:rStyle w:val="Hyperlink"/>
            <w:rFonts w:ascii="Times New Roman" w:eastAsia="Times New Roman" w:hAnsi="Times New Roman" w:cs="Times New Roman"/>
            <w:kern w:val="0"/>
            <w:sz w:val="24"/>
            <w:szCs w:val="24"/>
            <w:lang w:val="en-US" w:eastAsia="nl-NL"/>
            <w14:ligatures w14:val="none"/>
          </w:rPr>
          <w:t>https://www.irishtimes.com/world/europe/2022/12/12/josep-borrell-calls-eu-parliaments-qatar-scandal-very-very-worrisome/</w:t>
        </w:r>
      </w:hyperlink>
    </w:p>
    <w:p w14:paraId="24D1A72F" w14:textId="7755EFF5" w:rsidR="00B771FF" w:rsidRDefault="00B771FF" w:rsidP="00B771FF">
      <w:pPr>
        <w:shd w:val="clear" w:color="auto" w:fill="FFFFFF"/>
        <w:spacing w:after="0" w:line="480" w:lineRule="auto"/>
        <w:ind w:left="851" w:hanging="851"/>
        <w:jc w:val="both"/>
        <w:rPr>
          <w:rFonts w:ascii="Times New Roman" w:eastAsia="Times New Roman" w:hAnsi="Times New Roman" w:cs="Times New Roman"/>
          <w:color w:val="000000"/>
          <w:kern w:val="0"/>
          <w:sz w:val="24"/>
          <w:szCs w:val="24"/>
          <w:lang w:val="en-US" w:eastAsia="nl-NL"/>
          <w14:ligatures w14:val="none"/>
        </w:rPr>
      </w:pPr>
      <w:r w:rsidRPr="00B771FF">
        <w:rPr>
          <w:rFonts w:ascii="Times New Roman" w:eastAsia="Times New Roman" w:hAnsi="Times New Roman" w:cs="Times New Roman"/>
          <w:color w:val="000000"/>
          <w:kern w:val="0"/>
          <w:sz w:val="24"/>
          <w:szCs w:val="24"/>
          <w:lang w:val="en-US" w:eastAsia="nl-NL"/>
          <w14:ligatures w14:val="none"/>
        </w:rPr>
        <w:lastRenderedPageBreak/>
        <w:t xml:space="preserve">Rasmi, A. (2024, January 11). </w:t>
      </w:r>
      <w:r w:rsidRPr="00B771FF">
        <w:rPr>
          <w:rFonts w:ascii="Times New Roman" w:eastAsia="Times New Roman" w:hAnsi="Times New Roman" w:cs="Times New Roman"/>
          <w:i/>
          <w:iCs/>
          <w:color w:val="000000"/>
          <w:kern w:val="0"/>
          <w:sz w:val="24"/>
          <w:szCs w:val="24"/>
          <w:lang w:val="en-US" w:eastAsia="nl-NL"/>
          <w14:ligatures w14:val="none"/>
        </w:rPr>
        <w:t xml:space="preserve">Inside Roberta Metsola’s Plans to Shake Up Europe’s Parliament. </w:t>
      </w:r>
      <w:r w:rsidRPr="00B771FF">
        <w:rPr>
          <w:rFonts w:ascii="Times New Roman" w:eastAsia="Times New Roman" w:hAnsi="Times New Roman" w:cs="Times New Roman"/>
          <w:color w:val="000000"/>
          <w:kern w:val="0"/>
          <w:sz w:val="24"/>
          <w:szCs w:val="24"/>
          <w:lang w:val="en-US" w:eastAsia="nl-NL"/>
          <w14:ligatures w14:val="none"/>
        </w:rPr>
        <w:t xml:space="preserve">TIME. </w:t>
      </w:r>
      <w:hyperlink r:id="rId54" w:history="1">
        <w:r w:rsidRPr="00B771FF">
          <w:rPr>
            <w:rStyle w:val="Hyperlink"/>
            <w:rFonts w:ascii="Times New Roman" w:eastAsia="Times New Roman" w:hAnsi="Times New Roman" w:cs="Times New Roman"/>
            <w:kern w:val="0"/>
            <w:sz w:val="24"/>
            <w:szCs w:val="24"/>
            <w:lang w:val="en-US" w:eastAsia="nl-NL"/>
            <w14:ligatures w14:val="none"/>
          </w:rPr>
          <w:t>https://time.com/collection/davos-2024-ideas-of-the-year/6551979/roberta-metsola-european-parliament-interview/</w:t>
        </w:r>
      </w:hyperlink>
    </w:p>
    <w:p w14:paraId="2C73D4CF" w14:textId="5BA0044B" w:rsidR="00687F5D" w:rsidRDefault="00687F5D" w:rsidP="00687F5D">
      <w:pPr>
        <w:shd w:val="clear" w:color="auto" w:fill="FFFFFF"/>
        <w:spacing w:after="0" w:line="480" w:lineRule="auto"/>
        <w:ind w:left="851" w:hanging="851"/>
        <w:jc w:val="both"/>
        <w:rPr>
          <w:rFonts w:ascii="Times New Roman" w:eastAsia="Times New Roman" w:hAnsi="Times New Roman" w:cs="Times New Roman"/>
          <w:color w:val="000000"/>
          <w:kern w:val="0"/>
          <w:sz w:val="24"/>
          <w:szCs w:val="24"/>
          <w:lang w:val="en-US" w:eastAsia="nl-NL"/>
          <w14:ligatures w14:val="none"/>
        </w:rPr>
      </w:pPr>
      <w:r w:rsidRPr="00687F5D">
        <w:rPr>
          <w:rFonts w:ascii="Times New Roman" w:eastAsia="Times New Roman" w:hAnsi="Times New Roman" w:cs="Times New Roman"/>
          <w:color w:val="000000"/>
          <w:kern w:val="0"/>
          <w:sz w:val="24"/>
          <w:szCs w:val="24"/>
          <w:lang w:val="en-US" w:eastAsia="nl-NL"/>
          <w14:ligatures w14:val="none"/>
        </w:rPr>
        <w:t xml:space="preserve">Rauh, C. (2014). EU Politicization and policy initiatives of the European Commission: the case of consumer policy. </w:t>
      </w:r>
      <w:r w:rsidRPr="00687F5D">
        <w:rPr>
          <w:rFonts w:ascii="Times New Roman" w:eastAsia="Times New Roman" w:hAnsi="Times New Roman" w:cs="Times New Roman"/>
          <w:i/>
          <w:iCs/>
          <w:color w:val="000000"/>
          <w:kern w:val="0"/>
          <w:sz w:val="24"/>
          <w:szCs w:val="24"/>
          <w:lang w:val="en-US" w:eastAsia="nl-NL"/>
          <w14:ligatures w14:val="none"/>
        </w:rPr>
        <w:t>Journal of European Public Policy, 26</w:t>
      </w:r>
      <w:r w:rsidRPr="00687F5D">
        <w:rPr>
          <w:rFonts w:ascii="Times New Roman" w:eastAsia="Times New Roman" w:hAnsi="Times New Roman" w:cs="Times New Roman"/>
          <w:color w:val="000000"/>
          <w:kern w:val="0"/>
          <w:sz w:val="24"/>
          <w:szCs w:val="24"/>
          <w:lang w:val="en-US" w:eastAsia="nl-NL"/>
          <w14:ligatures w14:val="none"/>
        </w:rPr>
        <w:t xml:space="preserve">(3), 344-365. </w:t>
      </w:r>
      <w:hyperlink r:id="rId55" w:history="1">
        <w:r w:rsidRPr="00687F5D">
          <w:rPr>
            <w:rStyle w:val="Hyperlink"/>
            <w:rFonts w:ascii="Times New Roman" w:eastAsia="Times New Roman" w:hAnsi="Times New Roman" w:cs="Times New Roman"/>
            <w:kern w:val="0"/>
            <w:sz w:val="24"/>
            <w:szCs w:val="24"/>
            <w:lang w:val="en-US" w:eastAsia="nl-NL"/>
            <w14:ligatures w14:val="none"/>
          </w:rPr>
          <w:t>https://doi.org/10.1080/13501763.2018.1453528</w:t>
        </w:r>
      </w:hyperlink>
    </w:p>
    <w:p w14:paraId="5D65A354" w14:textId="64E58C4D" w:rsidR="00B771FF" w:rsidRPr="00B771FF" w:rsidRDefault="00B771FF" w:rsidP="00B771FF">
      <w:pPr>
        <w:shd w:val="clear" w:color="auto" w:fill="FFFFFF"/>
        <w:spacing w:after="0" w:line="480" w:lineRule="auto"/>
        <w:ind w:left="851" w:hanging="851"/>
        <w:jc w:val="both"/>
        <w:rPr>
          <w:rFonts w:ascii="Times New Roman" w:eastAsia="Times New Roman" w:hAnsi="Times New Roman" w:cs="Times New Roman"/>
          <w:color w:val="000000"/>
          <w:kern w:val="0"/>
          <w:sz w:val="24"/>
          <w:szCs w:val="24"/>
          <w:lang w:eastAsia="nl-NL"/>
          <w14:ligatures w14:val="none"/>
        </w:rPr>
      </w:pPr>
      <w:r w:rsidRPr="00B771FF">
        <w:rPr>
          <w:rFonts w:ascii="Times New Roman" w:eastAsia="Times New Roman" w:hAnsi="Times New Roman" w:cs="Times New Roman"/>
          <w:color w:val="000000"/>
          <w:kern w:val="0"/>
          <w:sz w:val="24"/>
          <w:szCs w:val="24"/>
          <w:lang w:val="en-US" w:eastAsia="nl-NL"/>
          <w14:ligatures w14:val="none"/>
        </w:rPr>
        <w:t xml:space="preserve">Reuters. (2022, December 18). </w:t>
      </w:r>
      <w:r w:rsidRPr="00B771FF">
        <w:rPr>
          <w:rFonts w:ascii="Times New Roman" w:eastAsia="Times New Roman" w:hAnsi="Times New Roman" w:cs="Times New Roman"/>
          <w:i/>
          <w:iCs/>
          <w:color w:val="000000"/>
          <w:kern w:val="0"/>
          <w:sz w:val="24"/>
          <w:szCs w:val="24"/>
          <w:lang w:val="en-US" w:eastAsia="nl-NL"/>
          <w14:ligatures w14:val="none"/>
        </w:rPr>
        <w:t xml:space="preserve">Qatar reiterates denial that its government involved in EU corruption case. </w:t>
      </w:r>
      <w:r w:rsidRPr="00B771FF">
        <w:rPr>
          <w:rFonts w:ascii="Times New Roman" w:eastAsia="Times New Roman" w:hAnsi="Times New Roman" w:cs="Times New Roman"/>
          <w:color w:val="000000"/>
          <w:kern w:val="0"/>
          <w:sz w:val="24"/>
          <w:szCs w:val="24"/>
          <w:lang w:eastAsia="nl-NL"/>
          <w14:ligatures w14:val="none"/>
        </w:rPr>
        <w:t xml:space="preserve">Reuters. </w:t>
      </w:r>
      <w:hyperlink r:id="rId56" w:history="1">
        <w:r w:rsidRPr="00B771FF">
          <w:rPr>
            <w:rStyle w:val="Hyperlink"/>
            <w:rFonts w:ascii="Times New Roman" w:eastAsia="Times New Roman" w:hAnsi="Times New Roman" w:cs="Times New Roman"/>
            <w:kern w:val="0"/>
            <w:sz w:val="24"/>
            <w:szCs w:val="24"/>
            <w:lang w:eastAsia="nl-NL"/>
            <w14:ligatures w14:val="none"/>
          </w:rPr>
          <w:t>https://www.reuters.com/world/qatar-reiterates-denial-that-its-government-involved-eu-corruption-case-2022-12-18/</w:t>
        </w:r>
      </w:hyperlink>
    </w:p>
    <w:p w14:paraId="6455D1A5" w14:textId="4F572650" w:rsidR="00741210" w:rsidRPr="00741210" w:rsidRDefault="00741210" w:rsidP="00741210">
      <w:pPr>
        <w:shd w:val="clear" w:color="auto" w:fill="FFFFFF"/>
        <w:spacing w:after="0" w:line="480" w:lineRule="auto"/>
        <w:ind w:left="851" w:hanging="851"/>
        <w:jc w:val="both"/>
        <w:rPr>
          <w:rFonts w:ascii="Times New Roman" w:eastAsia="Times New Roman" w:hAnsi="Times New Roman" w:cs="Times New Roman"/>
          <w:color w:val="000000"/>
          <w:kern w:val="0"/>
          <w:sz w:val="24"/>
          <w:szCs w:val="24"/>
          <w:lang w:val="en-US" w:eastAsia="nl-NL"/>
          <w14:ligatures w14:val="none"/>
        </w:rPr>
      </w:pPr>
      <w:r w:rsidRPr="00741210">
        <w:rPr>
          <w:rFonts w:ascii="Times New Roman" w:eastAsia="Times New Roman" w:hAnsi="Times New Roman" w:cs="Times New Roman"/>
          <w:color w:val="000000"/>
          <w:kern w:val="0"/>
          <w:sz w:val="24"/>
          <w:szCs w:val="24"/>
          <w:lang w:val="en-US" w:eastAsia="nl-NL"/>
          <w14:ligatures w14:val="none"/>
        </w:rPr>
        <w:t xml:space="preserve">Roch, J., &amp; Oleart, A. (2024). How ‘European sovereignty’ became mainstream: the geopoliticisation of the EU’s ‘sovereign turn’ by pro-EU executive actors. </w:t>
      </w:r>
      <w:r w:rsidRPr="00741210">
        <w:rPr>
          <w:rFonts w:ascii="Times New Roman" w:eastAsia="Times New Roman" w:hAnsi="Times New Roman" w:cs="Times New Roman"/>
          <w:i/>
          <w:iCs/>
          <w:color w:val="000000"/>
          <w:kern w:val="0"/>
          <w:sz w:val="24"/>
          <w:szCs w:val="24"/>
          <w:lang w:val="en-US" w:eastAsia="nl-NL"/>
          <w14:ligatures w14:val="none"/>
        </w:rPr>
        <w:t>Journal of European Integration, 46</w:t>
      </w:r>
      <w:r w:rsidRPr="00741210">
        <w:rPr>
          <w:rFonts w:ascii="Times New Roman" w:eastAsia="Times New Roman" w:hAnsi="Times New Roman" w:cs="Times New Roman"/>
          <w:color w:val="000000"/>
          <w:kern w:val="0"/>
          <w:sz w:val="24"/>
          <w:szCs w:val="24"/>
          <w:lang w:val="en-US" w:eastAsia="nl-NL"/>
          <w14:ligatures w14:val="none"/>
        </w:rPr>
        <w:t xml:space="preserve">(4), 545-565. </w:t>
      </w:r>
      <w:hyperlink r:id="rId57" w:history="1">
        <w:r w:rsidRPr="00741210">
          <w:rPr>
            <w:rStyle w:val="Hyperlink"/>
            <w:rFonts w:ascii="Times New Roman" w:eastAsia="Times New Roman" w:hAnsi="Times New Roman" w:cs="Times New Roman"/>
            <w:kern w:val="0"/>
            <w:sz w:val="24"/>
            <w:szCs w:val="24"/>
            <w:lang w:val="en-US" w:eastAsia="nl-NL"/>
            <w14:ligatures w14:val="none"/>
          </w:rPr>
          <w:t>https://doi.org/10.1080/07036337.2024.2326831</w:t>
        </w:r>
      </w:hyperlink>
    </w:p>
    <w:p w14:paraId="390719E4" w14:textId="082A92FE" w:rsidR="00F325C6" w:rsidRPr="00E133F8" w:rsidRDefault="00F325C6" w:rsidP="00F325C6">
      <w:pPr>
        <w:shd w:val="clear" w:color="auto" w:fill="FFFFFF"/>
        <w:spacing w:after="0" w:line="480" w:lineRule="auto"/>
        <w:ind w:left="851" w:hanging="851"/>
        <w:jc w:val="both"/>
        <w:rPr>
          <w:rFonts w:ascii="Times New Roman" w:eastAsia="Times New Roman" w:hAnsi="Times New Roman" w:cs="Times New Roman"/>
          <w:color w:val="000000"/>
          <w:kern w:val="0"/>
          <w:sz w:val="24"/>
          <w:szCs w:val="24"/>
          <w:lang w:val="en-GB" w:eastAsia="nl-NL"/>
          <w14:ligatures w14:val="none"/>
        </w:rPr>
      </w:pPr>
      <w:r w:rsidRPr="00E133F8">
        <w:rPr>
          <w:rFonts w:ascii="Times New Roman" w:eastAsia="Times New Roman" w:hAnsi="Times New Roman" w:cs="Times New Roman"/>
          <w:color w:val="000000"/>
          <w:kern w:val="0"/>
          <w:sz w:val="24"/>
          <w:szCs w:val="24"/>
          <w:lang w:val="en-GB" w:eastAsia="nl-NL"/>
          <w14:ligatures w14:val="none"/>
        </w:rPr>
        <w:t xml:space="preserve">Russett, B. (2021). Liberalism. In T. Dunne, M. Kurki &amp; S. Smith (Eds.), </w:t>
      </w:r>
      <w:r w:rsidRPr="00E133F8">
        <w:rPr>
          <w:rFonts w:ascii="Times New Roman" w:eastAsia="Times New Roman" w:hAnsi="Times New Roman" w:cs="Times New Roman"/>
          <w:i/>
          <w:iCs/>
          <w:color w:val="000000"/>
          <w:kern w:val="0"/>
          <w:sz w:val="24"/>
          <w:szCs w:val="24"/>
          <w:lang w:val="en-GB" w:eastAsia="nl-NL"/>
          <w14:ligatures w14:val="none"/>
        </w:rPr>
        <w:t xml:space="preserve">International relations theories, Discipline and Diversity. </w:t>
      </w:r>
      <w:r w:rsidRPr="00E133F8">
        <w:rPr>
          <w:rFonts w:ascii="Times New Roman" w:eastAsia="Times New Roman" w:hAnsi="Times New Roman" w:cs="Times New Roman"/>
          <w:color w:val="000000"/>
          <w:kern w:val="0"/>
          <w:sz w:val="24"/>
          <w:szCs w:val="24"/>
          <w:lang w:val="en-GB" w:eastAsia="nl-NL"/>
          <w14:ligatures w14:val="none"/>
        </w:rPr>
        <w:t>Oxford University Press.</w:t>
      </w:r>
    </w:p>
    <w:p w14:paraId="4B367BD6" w14:textId="3D3895B1" w:rsidR="00BA2528" w:rsidRPr="00BA2528" w:rsidRDefault="00BA2528" w:rsidP="00BA2528">
      <w:pPr>
        <w:shd w:val="clear" w:color="auto" w:fill="FFFFFF"/>
        <w:spacing w:after="0" w:line="480" w:lineRule="auto"/>
        <w:ind w:left="851" w:hanging="851"/>
        <w:jc w:val="both"/>
        <w:rPr>
          <w:rFonts w:ascii="Times New Roman" w:eastAsia="Times New Roman" w:hAnsi="Times New Roman" w:cs="Times New Roman"/>
          <w:color w:val="000000"/>
          <w:kern w:val="0"/>
          <w:sz w:val="24"/>
          <w:szCs w:val="24"/>
          <w:lang w:eastAsia="nl-NL"/>
          <w14:ligatures w14:val="none"/>
        </w:rPr>
      </w:pPr>
      <w:r w:rsidRPr="00BA2528">
        <w:rPr>
          <w:rFonts w:ascii="Times New Roman" w:eastAsia="Times New Roman" w:hAnsi="Times New Roman" w:cs="Times New Roman"/>
          <w:color w:val="000000"/>
          <w:kern w:val="0"/>
          <w:sz w:val="24"/>
          <w:szCs w:val="24"/>
          <w:lang w:val="en-US" w:eastAsia="nl-NL"/>
          <w14:ligatures w14:val="none"/>
        </w:rPr>
        <w:t xml:space="preserve">Saba, Y. (2023, October 18). </w:t>
      </w:r>
      <w:r w:rsidRPr="00BA2528">
        <w:rPr>
          <w:rFonts w:ascii="Times New Roman" w:eastAsia="Times New Roman" w:hAnsi="Times New Roman" w:cs="Times New Roman"/>
          <w:i/>
          <w:iCs/>
          <w:color w:val="000000"/>
          <w:kern w:val="0"/>
          <w:sz w:val="24"/>
          <w:szCs w:val="24"/>
          <w:lang w:val="en-US" w:eastAsia="nl-NL"/>
          <w14:ligatures w14:val="none"/>
        </w:rPr>
        <w:t xml:space="preserve">Qatar supplies gas to Europe, vying with US to replace Russia supply. </w:t>
      </w:r>
      <w:r w:rsidRPr="00BA2528">
        <w:rPr>
          <w:rFonts w:ascii="Times New Roman" w:eastAsia="Times New Roman" w:hAnsi="Times New Roman" w:cs="Times New Roman"/>
          <w:color w:val="000000"/>
          <w:kern w:val="0"/>
          <w:sz w:val="24"/>
          <w:szCs w:val="24"/>
          <w:lang w:eastAsia="nl-NL"/>
          <w14:ligatures w14:val="none"/>
        </w:rPr>
        <w:t xml:space="preserve">Reuters. </w:t>
      </w:r>
      <w:hyperlink r:id="rId58" w:history="1">
        <w:r w:rsidRPr="00BA2528">
          <w:rPr>
            <w:rStyle w:val="Hyperlink"/>
            <w:rFonts w:ascii="Times New Roman" w:eastAsia="Times New Roman" w:hAnsi="Times New Roman" w:cs="Times New Roman"/>
            <w:kern w:val="0"/>
            <w:sz w:val="24"/>
            <w:szCs w:val="24"/>
            <w:lang w:eastAsia="nl-NL"/>
            <w14:ligatures w14:val="none"/>
          </w:rPr>
          <w:t>https://www.reuters.com/markets/commodities/qatarenergy-shell-agree-27-year-Ing-supply-2023-10-18/</w:t>
        </w:r>
      </w:hyperlink>
    </w:p>
    <w:p w14:paraId="6079231B" w14:textId="501EDDF9" w:rsidR="00F325C6" w:rsidRDefault="00F325C6" w:rsidP="00F325C6">
      <w:pPr>
        <w:shd w:val="clear" w:color="auto" w:fill="FFFFFF"/>
        <w:spacing w:after="0" w:line="480" w:lineRule="auto"/>
        <w:ind w:left="851" w:hanging="851"/>
        <w:jc w:val="both"/>
        <w:rPr>
          <w:rFonts w:ascii="Times New Roman" w:eastAsia="Times New Roman" w:hAnsi="Times New Roman" w:cs="Times New Roman"/>
          <w:color w:val="000000"/>
          <w:kern w:val="0"/>
          <w:sz w:val="24"/>
          <w:szCs w:val="24"/>
          <w:lang w:val="en-GB" w:eastAsia="nl-NL"/>
          <w14:ligatures w14:val="none"/>
        </w:rPr>
      </w:pPr>
      <w:r w:rsidRPr="00E133F8">
        <w:rPr>
          <w:rFonts w:ascii="Times New Roman" w:eastAsia="Times New Roman" w:hAnsi="Times New Roman" w:cs="Times New Roman"/>
          <w:color w:val="000000"/>
          <w:kern w:val="0"/>
          <w:sz w:val="24"/>
          <w:szCs w:val="24"/>
          <w:lang w:val="en-GB" w:eastAsia="nl-NL"/>
          <w14:ligatures w14:val="none"/>
        </w:rPr>
        <w:t xml:space="preserve">Sánchez-Cuenca, I. (2017). From a Deficit of Democracy to a Technocratic Order: The Postcrisis Debate on Europe. </w:t>
      </w:r>
      <w:r w:rsidRPr="00E133F8">
        <w:rPr>
          <w:rFonts w:ascii="Times New Roman" w:eastAsia="Times New Roman" w:hAnsi="Times New Roman" w:cs="Times New Roman"/>
          <w:i/>
          <w:iCs/>
          <w:color w:val="000000"/>
          <w:kern w:val="0"/>
          <w:sz w:val="24"/>
          <w:szCs w:val="24"/>
          <w:lang w:val="en-GB" w:eastAsia="nl-NL"/>
          <w14:ligatures w14:val="none"/>
        </w:rPr>
        <w:t>Annual Review of Political Science</w:t>
      </w:r>
      <w:r w:rsidRPr="00E133F8">
        <w:rPr>
          <w:rFonts w:ascii="Times New Roman" w:eastAsia="Times New Roman" w:hAnsi="Times New Roman" w:cs="Times New Roman"/>
          <w:color w:val="000000"/>
          <w:kern w:val="0"/>
          <w:sz w:val="24"/>
          <w:szCs w:val="24"/>
          <w:lang w:val="en-GB" w:eastAsia="nl-NL"/>
          <w14:ligatures w14:val="none"/>
        </w:rPr>
        <w:t xml:space="preserve">, </w:t>
      </w:r>
      <w:r w:rsidRPr="00E133F8">
        <w:rPr>
          <w:rFonts w:ascii="Times New Roman" w:eastAsia="Times New Roman" w:hAnsi="Times New Roman" w:cs="Times New Roman"/>
          <w:i/>
          <w:iCs/>
          <w:color w:val="000000"/>
          <w:kern w:val="0"/>
          <w:sz w:val="24"/>
          <w:szCs w:val="24"/>
          <w:lang w:val="en-GB" w:eastAsia="nl-NL"/>
          <w14:ligatures w14:val="none"/>
        </w:rPr>
        <w:t>20</w:t>
      </w:r>
      <w:r w:rsidRPr="00E133F8">
        <w:rPr>
          <w:rFonts w:ascii="Times New Roman" w:eastAsia="Times New Roman" w:hAnsi="Times New Roman" w:cs="Times New Roman"/>
          <w:color w:val="000000"/>
          <w:kern w:val="0"/>
          <w:sz w:val="24"/>
          <w:szCs w:val="24"/>
          <w:lang w:val="en-GB" w:eastAsia="nl-NL"/>
          <w14:ligatures w14:val="none"/>
        </w:rPr>
        <w:t xml:space="preserve">(1), 351–369. </w:t>
      </w:r>
      <w:hyperlink r:id="rId59" w:history="1">
        <w:r w:rsidRPr="00E133F8">
          <w:rPr>
            <w:rStyle w:val="Hyperlink"/>
            <w:rFonts w:ascii="Times New Roman" w:eastAsia="Times New Roman" w:hAnsi="Times New Roman" w:cs="Times New Roman"/>
            <w:kern w:val="0"/>
            <w:sz w:val="24"/>
            <w:szCs w:val="24"/>
            <w:lang w:val="en-GB" w:eastAsia="nl-NL"/>
            <w14:ligatures w14:val="none"/>
          </w:rPr>
          <w:t>https://doi.org/10.1146/annurev-polisci-061915-110623</w:t>
        </w:r>
      </w:hyperlink>
    </w:p>
    <w:p w14:paraId="18C70785" w14:textId="0365E451" w:rsidR="006E29E2" w:rsidRDefault="006E29E2" w:rsidP="006E29E2">
      <w:pPr>
        <w:shd w:val="clear" w:color="auto" w:fill="FFFFFF"/>
        <w:spacing w:after="0" w:line="480" w:lineRule="auto"/>
        <w:ind w:left="851" w:hanging="851"/>
        <w:jc w:val="both"/>
        <w:rPr>
          <w:rFonts w:ascii="Times New Roman" w:eastAsia="Times New Roman" w:hAnsi="Times New Roman" w:cs="Times New Roman"/>
          <w:color w:val="000000"/>
          <w:kern w:val="0"/>
          <w:sz w:val="24"/>
          <w:szCs w:val="24"/>
          <w:lang w:val="en-GB" w:eastAsia="nl-NL"/>
          <w14:ligatures w14:val="none"/>
        </w:rPr>
      </w:pPr>
      <w:r w:rsidRPr="006E29E2">
        <w:rPr>
          <w:rFonts w:ascii="Times New Roman" w:eastAsia="Times New Roman" w:hAnsi="Times New Roman" w:cs="Times New Roman"/>
          <w:color w:val="000000"/>
          <w:kern w:val="0"/>
          <w:sz w:val="24"/>
          <w:szCs w:val="24"/>
          <w:lang w:val="en-GB" w:eastAsia="nl-NL"/>
          <w14:ligatures w14:val="none"/>
        </w:rPr>
        <w:t xml:space="preserve">Schimmelfennig, F. (2012). Constructivist perspectives. In E. Jones, A.Menon &amp; S. Weatherill (Eds.), </w:t>
      </w:r>
      <w:r w:rsidRPr="006E29E2">
        <w:rPr>
          <w:rFonts w:ascii="Times New Roman" w:eastAsia="Times New Roman" w:hAnsi="Times New Roman" w:cs="Times New Roman"/>
          <w:i/>
          <w:iCs/>
          <w:color w:val="000000"/>
          <w:kern w:val="0"/>
          <w:sz w:val="24"/>
          <w:szCs w:val="24"/>
          <w:lang w:val="en-GB" w:eastAsia="nl-NL"/>
          <w14:ligatures w14:val="none"/>
        </w:rPr>
        <w:t xml:space="preserve">The Oxford Handbook of the European Union. </w:t>
      </w:r>
      <w:r w:rsidRPr="006E29E2">
        <w:rPr>
          <w:rFonts w:ascii="Times New Roman" w:eastAsia="Times New Roman" w:hAnsi="Times New Roman" w:cs="Times New Roman"/>
          <w:color w:val="000000"/>
          <w:kern w:val="0"/>
          <w:sz w:val="24"/>
          <w:szCs w:val="24"/>
          <w:lang w:val="en-GB" w:eastAsia="nl-NL"/>
          <w14:ligatures w14:val="none"/>
        </w:rPr>
        <w:t>Oxford University Press.</w:t>
      </w:r>
    </w:p>
    <w:p w14:paraId="031EF78E" w14:textId="79A70DBD" w:rsidR="00C22877" w:rsidRDefault="00C22877" w:rsidP="00C22877">
      <w:pPr>
        <w:shd w:val="clear" w:color="auto" w:fill="FFFFFF"/>
        <w:spacing w:after="0" w:line="480" w:lineRule="auto"/>
        <w:ind w:left="851" w:hanging="851"/>
        <w:jc w:val="both"/>
        <w:rPr>
          <w:rFonts w:ascii="Times New Roman" w:eastAsia="Times New Roman" w:hAnsi="Times New Roman" w:cs="Times New Roman"/>
          <w:color w:val="000000"/>
          <w:kern w:val="0"/>
          <w:sz w:val="24"/>
          <w:szCs w:val="24"/>
          <w:lang w:val="en-GB" w:eastAsia="nl-NL"/>
          <w14:ligatures w14:val="none"/>
        </w:rPr>
      </w:pPr>
      <w:r>
        <w:rPr>
          <w:rFonts w:ascii="Times New Roman" w:eastAsia="Times New Roman" w:hAnsi="Times New Roman" w:cs="Times New Roman"/>
          <w:color w:val="000000"/>
          <w:kern w:val="0"/>
          <w:sz w:val="24"/>
          <w:szCs w:val="24"/>
          <w:lang w:val="en-GB" w:eastAsia="nl-NL"/>
          <w14:ligatures w14:val="none"/>
        </w:rPr>
        <w:lastRenderedPageBreak/>
        <w:t xml:space="preserve">Schimmelfennig, F. (2013). Efficient Process Tracing: Analyzing the Causal Mechanisms of European Integration. In A. Bennett &amp; J.T. Checkel (Eds.), </w:t>
      </w:r>
      <w:r>
        <w:rPr>
          <w:rFonts w:ascii="Times New Roman" w:eastAsia="Times New Roman" w:hAnsi="Times New Roman" w:cs="Times New Roman"/>
          <w:i/>
          <w:iCs/>
          <w:color w:val="000000"/>
          <w:kern w:val="0"/>
          <w:sz w:val="24"/>
          <w:szCs w:val="24"/>
          <w:lang w:val="en-GB" w:eastAsia="nl-NL"/>
          <w14:ligatures w14:val="none"/>
        </w:rPr>
        <w:t xml:space="preserve">Process Tracing in the Social Sciences: From Metaphor to Analytical Tool. </w:t>
      </w:r>
      <w:r>
        <w:rPr>
          <w:rFonts w:ascii="Times New Roman" w:eastAsia="Times New Roman" w:hAnsi="Times New Roman" w:cs="Times New Roman"/>
          <w:color w:val="000000"/>
          <w:kern w:val="0"/>
          <w:sz w:val="24"/>
          <w:szCs w:val="24"/>
          <w:lang w:val="en-GB" w:eastAsia="nl-NL"/>
          <w14:ligatures w14:val="none"/>
        </w:rPr>
        <w:t xml:space="preserve">Cambridge University Press.  </w:t>
      </w:r>
    </w:p>
    <w:p w14:paraId="47C0583F" w14:textId="7A5D6350" w:rsidR="00687F5D" w:rsidRDefault="00F325C6" w:rsidP="00850D81">
      <w:pPr>
        <w:shd w:val="clear" w:color="auto" w:fill="FFFFFF"/>
        <w:spacing w:after="0" w:line="480" w:lineRule="auto"/>
        <w:ind w:left="851" w:hanging="851"/>
        <w:jc w:val="both"/>
        <w:rPr>
          <w:rFonts w:ascii="Times New Roman" w:eastAsia="Times New Roman" w:hAnsi="Times New Roman" w:cs="Times New Roman"/>
          <w:color w:val="000000"/>
          <w:kern w:val="0"/>
          <w:sz w:val="24"/>
          <w:szCs w:val="24"/>
          <w:lang w:val="en-GB" w:eastAsia="nl-NL"/>
          <w14:ligatures w14:val="none"/>
        </w:rPr>
      </w:pPr>
      <w:r w:rsidRPr="00E133F8">
        <w:rPr>
          <w:rFonts w:ascii="Times New Roman" w:eastAsia="Times New Roman" w:hAnsi="Times New Roman" w:cs="Times New Roman"/>
          <w:color w:val="000000"/>
          <w:kern w:val="0"/>
          <w:sz w:val="24"/>
          <w:szCs w:val="24"/>
          <w:lang w:val="en-GB" w:eastAsia="nl-NL"/>
          <w14:ligatures w14:val="none"/>
        </w:rPr>
        <w:t>Schimmelfenni</w:t>
      </w:r>
      <w:r w:rsidR="007E31B1">
        <w:rPr>
          <w:rFonts w:ascii="Times New Roman" w:eastAsia="Times New Roman" w:hAnsi="Times New Roman" w:cs="Times New Roman"/>
          <w:color w:val="000000"/>
          <w:kern w:val="0"/>
          <w:sz w:val="24"/>
          <w:szCs w:val="24"/>
          <w:lang w:val="en-GB" w:eastAsia="nl-NL"/>
          <w14:ligatures w14:val="none"/>
        </w:rPr>
        <w:t>g</w:t>
      </w:r>
      <w:r w:rsidRPr="00E133F8">
        <w:rPr>
          <w:rFonts w:ascii="Times New Roman" w:eastAsia="Times New Roman" w:hAnsi="Times New Roman" w:cs="Times New Roman"/>
          <w:color w:val="000000"/>
          <w:kern w:val="0"/>
          <w:sz w:val="24"/>
          <w:szCs w:val="24"/>
          <w:lang w:val="en-GB" w:eastAsia="nl-NL"/>
          <w14:ligatures w14:val="none"/>
        </w:rPr>
        <w:t>, F. (2013</w:t>
      </w:r>
      <w:r w:rsidR="00C22877">
        <w:rPr>
          <w:rFonts w:ascii="Times New Roman" w:eastAsia="Times New Roman" w:hAnsi="Times New Roman" w:cs="Times New Roman"/>
          <w:color w:val="000000"/>
          <w:kern w:val="0"/>
          <w:sz w:val="24"/>
          <w:szCs w:val="24"/>
          <w:lang w:val="en-GB" w:eastAsia="nl-NL"/>
          <w14:ligatures w14:val="none"/>
        </w:rPr>
        <w:t>a</w:t>
      </w:r>
      <w:r w:rsidRPr="00E133F8">
        <w:rPr>
          <w:rFonts w:ascii="Times New Roman" w:eastAsia="Times New Roman" w:hAnsi="Times New Roman" w:cs="Times New Roman"/>
          <w:color w:val="000000"/>
          <w:kern w:val="0"/>
          <w:sz w:val="24"/>
          <w:szCs w:val="24"/>
          <w:lang w:val="en-GB" w:eastAsia="nl-NL"/>
          <w14:ligatures w14:val="none"/>
        </w:rPr>
        <w:t xml:space="preserve">). Liberal Theory and European Integration. In R. Friedman, K. Oskanian &amp; R. Pacheco Pardo (Eds.), </w:t>
      </w:r>
      <w:r w:rsidRPr="00E133F8">
        <w:rPr>
          <w:rFonts w:ascii="Times New Roman" w:eastAsia="Times New Roman" w:hAnsi="Times New Roman" w:cs="Times New Roman"/>
          <w:i/>
          <w:iCs/>
          <w:color w:val="000000"/>
          <w:kern w:val="0"/>
          <w:sz w:val="24"/>
          <w:szCs w:val="24"/>
          <w:lang w:val="en-GB" w:eastAsia="nl-NL"/>
          <w14:ligatures w14:val="none"/>
        </w:rPr>
        <w:t xml:space="preserve">After Liberalism? The future of Liberalism in International Relations. </w:t>
      </w:r>
      <w:hyperlink r:id="rId60" w:history="1">
        <w:r w:rsidR="007E0953" w:rsidRPr="003741B1">
          <w:rPr>
            <w:rStyle w:val="Hyperlink"/>
            <w:rFonts w:ascii="Times New Roman" w:eastAsia="Times New Roman" w:hAnsi="Times New Roman" w:cs="Times New Roman"/>
            <w:kern w:val="0"/>
            <w:sz w:val="24"/>
            <w:szCs w:val="24"/>
            <w:lang w:val="en-GB" w:eastAsia="nl-NL"/>
            <w14:ligatures w14:val="none"/>
          </w:rPr>
          <w:t>https://doi.org/10.1057/9781137303769</w:t>
        </w:r>
      </w:hyperlink>
    </w:p>
    <w:p w14:paraId="479571AB" w14:textId="61671D56" w:rsidR="00687F5D" w:rsidRPr="00687F5D" w:rsidRDefault="00687F5D" w:rsidP="00687F5D">
      <w:pPr>
        <w:shd w:val="clear" w:color="auto" w:fill="FFFFFF"/>
        <w:spacing w:after="0" w:line="480" w:lineRule="auto"/>
        <w:ind w:left="851" w:hanging="851"/>
        <w:jc w:val="both"/>
        <w:rPr>
          <w:rFonts w:ascii="Times New Roman" w:eastAsia="Times New Roman" w:hAnsi="Times New Roman" w:cs="Times New Roman"/>
          <w:color w:val="000000"/>
          <w:kern w:val="0"/>
          <w:sz w:val="24"/>
          <w:szCs w:val="24"/>
          <w:lang w:val="en-US" w:eastAsia="nl-NL"/>
          <w14:ligatures w14:val="none"/>
        </w:rPr>
      </w:pPr>
      <w:r w:rsidRPr="00687F5D">
        <w:rPr>
          <w:rFonts w:ascii="Times New Roman" w:eastAsia="Times New Roman" w:hAnsi="Times New Roman" w:cs="Times New Roman"/>
          <w:color w:val="000000"/>
          <w:kern w:val="0"/>
          <w:sz w:val="24"/>
          <w:szCs w:val="24"/>
          <w:lang w:eastAsia="nl-NL"/>
          <w14:ligatures w14:val="none"/>
        </w:rPr>
        <w:t xml:space="preserve">Schmidt, S.K., &amp; Wonka, A. (2012). </w:t>
      </w:r>
      <w:r w:rsidRPr="00687F5D">
        <w:rPr>
          <w:rFonts w:ascii="Times New Roman" w:eastAsia="Times New Roman" w:hAnsi="Times New Roman" w:cs="Times New Roman"/>
          <w:color w:val="000000"/>
          <w:kern w:val="0"/>
          <w:sz w:val="24"/>
          <w:szCs w:val="24"/>
          <w:lang w:val="en-US" w:eastAsia="nl-NL"/>
          <w14:ligatures w14:val="none"/>
        </w:rPr>
        <w:t xml:space="preserve">European Commission. In E. Jones, A. Menon, &amp; S. Weatherill (Eds.), </w:t>
      </w:r>
      <w:r w:rsidRPr="00687F5D">
        <w:rPr>
          <w:rFonts w:ascii="Times New Roman" w:eastAsia="Times New Roman" w:hAnsi="Times New Roman" w:cs="Times New Roman"/>
          <w:i/>
          <w:iCs/>
          <w:color w:val="000000"/>
          <w:kern w:val="0"/>
          <w:sz w:val="24"/>
          <w:szCs w:val="24"/>
          <w:lang w:val="en-US" w:eastAsia="nl-NL"/>
          <w14:ligatures w14:val="none"/>
        </w:rPr>
        <w:t>The Oxford Handbook of the European Union</w:t>
      </w:r>
      <w:r w:rsidRPr="00687F5D">
        <w:rPr>
          <w:rFonts w:ascii="Times New Roman" w:eastAsia="Times New Roman" w:hAnsi="Times New Roman" w:cs="Times New Roman"/>
          <w:color w:val="000000"/>
          <w:kern w:val="0"/>
          <w:sz w:val="24"/>
          <w:szCs w:val="24"/>
          <w:lang w:val="en-US" w:eastAsia="nl-NL"/>
          <w14:ligatures w14:val="none"/>
        </w:rPr>
        <w:t xml:space="preserve">. Oxford University Press. </w:t>
      </w:r>
    </w:p>
    <w:p w14:paraId="411A115C" w14:textId="4BE91347" w:rsidR="00F325C6" w:rsidRPr="00B3435F" w:rsidRDefault="00F325C6" w:rsidP="00741210">
      <w:pPr>
        <w:shd w:val="clear" w:color="auto" w:fill="FFFFFF"/>
        <w:spacing w:after="0" w:line="480" w:lineRule="auto"/>
        <w:ind w:left="851" w:hanging="851"/>
        <w:jc w:val="both"/>
        <w:rPr>
          <w:rFonts w:ascii="Times New Roman" w:eastAsia="Times New Roman" w:hAnsi="Times New Roman" w:cs="Times New Roman"/>
          <w:color w:val="000000"/>
          <w:kern w:val="0"/>
          <w:sz w:val="24"/>
          <w:szCs w:val="24"/>
          <w:lang w:eastAsia="nl-NL"/>
          <w14:ligatures w14:val="none"/>
        </w:rPr>
      </w:pPr>
      <w:r w:rsidRPr="00741210">
        <w:rPr>
          <w:rFonts w:ascii="Times New Roman" w:eastAsia="Times New Roman" w:hAnsi="Times New Roman" w:cs="Times New Roman"/>
          <w:color w:val="000000"/>
          <w:kern w:val="0"/>
          <w:sz w:val="24"/>
          <w:szCs w:val="24"/>
          <w:lang w:val="en-GB" w:eastAsia="nl-NL"/>
          <w14:ligatures w14:val="none"/>
        </w:rPr>
        <w:t>Schumacher, T. (2018). The EU, Middle Eastern powers and milieu-shaping in the ‘shared’ Arab Mediterranean neighbourhood: a story of mutual neglect. Contemporary Politics, 24(1), 46-64. DOI: 10.1080/13569775.2017.1</w:t>
      </w:r>
      <w:r w:rsidR="00741210" w:rsidRPr="00741210">
        <w:rPr>
          <w:rFonts w:ascii="Times New Roman" w:eastAsia="Times New Roman" w:hAnsi="Times New Roman" w:cs="Times New Roman"/>
          <w:color w:val="000000"/>
          <w:kern w:val="0"/>
          <w:sz w:val="24"/>
          <w:szCs w:val="24"/>
          <w:lang w:val="en-GB" w:eastAsia="nl-NL"/>
          <w14:ligatures w14:val="none"/>
        </w:rPr>
        <w:t xml:space="preserve"> Zeitlin, J., Nicoli, F., &amp; Laffan, B. (2019). Introduction: the European Union beyond the polycrisis? Integration and politicization in an age of shifting cleavages. Journal of European Public Policy, 26(7), 963-976. </w:t>
      </w:r>
      <w:hyperlink r:id="rId61" w:history="1">
        <w:r w:rsidR="00741210" w:rsidRPr="00B3435F">
          <w:rPr>
            <w:rFonts w:ascii="Times New Roman" w:eastAsia="Times New Roman" w:hAnsi="Times New Roman" w:cs="Times New Roman"/>
            <w:color w:val="000000"/>
            <w:kern w:val="0"/>
            <w:sz w:val="24"/>
            <w:szCs w:val="24"/>
            <w:lang w:eastAsia="nl-NL"/>
            <w14:ligatures w14:val="none"/>
          </w:rPr>
          <w:t>https://doi.org/10.1080/13501763.2019.1619803</w:t>
        </w:r>
      </w:hyperlink>
      <w:r w:rsidRPr="00B3435F">
        <w:rPr>
          <w:rFonts w:ascii="Times New Roman" w:hAnsi="Times New Roman" w:cs="Times New Roman"/>
          <w:sz w:val="24"/>
          <w:szCs w:val="24"/>
        </w:rPr>
        <w:t xml:space="preserve">408170. </w:t>
      </w:r>
    </w:p>
    <w:p w14:paraId="2018CD7E" w14:textId="77777777" w:rsidR="00F325C6" w:rsidRPr="00E17CEC" w:rsidRDefault="00F325C6" w:rsidP="00F325C6">
      <w:pPr>
        <w:spacing w:line="480" w:lineRule="auto"/>
        <w:ind w:left="851" w:hanging="851"/>
        <w:jc w:val="both"/>
        <w:rPr>
          <w:rFonts w:ascii="Times New Roman" w:hAnsi="Times New Roman" w:cs="Times New Roman"/>
          <w:sz w:val="24"/>
          <w:szCs w:val="24"/>
          <w:lang w:val="en-GB"/>
        </w:rPr>
      </w:pPr>
      <w:r w:rsidRPr="00B3435F">
        <w:rPr>
          <w:rFonts w:ascii="Times New Roman" w:hAnsi="Times New Roman" w:cs="Times New Roman"/>
          <w:sz w:val="24"/>
          <w:szCs w:val="24"/>
        </w:rPr>
        <w:t xml:space="preserve">Schunz, S., &amp; Gstöhl, S.,  &amp; Van Langenhove, L.  </w:t>
      </w:r>
      <w:r w:rsidRPr="00E17CEC">
        <w:rPr>
          <w:rFonts w:ascii="Times New Roman" w:hAnsi="Times New Roman" w:cs="Times New Roman"/>
          <w:sz w:val="24"/>
          <w:szCs w:val="24"/>
          <w:lang w:val="en-GB"/>
        </w:rPr>
        <w:t xml:space="preserve">(2018). </w:t>
      </w:r>
      <w:r w:rsidRPr="00E17CEC">
        <w:rPr>
          <w:rFonts w:ascii="Times New Roman" w:hAnsi="Times New Roman" w:cs="Times New Roman"/>
          <w:i/>
          <w:iCs/>
          <w:sz w:val="24"/>
          <w:szCs w:val="24"/>
          <w:lang w:val="en-GB"/>
        </w:rPr>
        <w:t>Between</w:t>
      </w:r>
      <w:r>
        <w:rPr>
          <w:rFonts w:ascii="Times New Roman" w:hAnsi="Times New Roman" w:cs="Times New Roman"/>
          <w:i/>
          <w:iCs/>
          <w:sz w:val="24"/>
          <w:szCs w:val="24"/>
          <w:lang w:val="en-GB"/>
        </w:rPr>
        <w:t xml:space="preserve"> </w:t>
      </w:r>
      <w:r w:rsidRPr="00E17CEC">
        <w:rPr>
          <w:rFonts w:ascii="Times New Roman" w:hAnsi="Times New Roman" w:cs="Times New Roman"/>
          <w:i/>
          <w:iCs/>
          <w:sz w:val="24"/>
          <w:szCs w:val="24"/>
          <w:lang w:val="en-GB"/>
        </w:rPr>
        <w:t>cooperation and competition: major powers in shared neighbourhoods.</w:t>
      </w:r>
      <w:r w:rsidRPr="00E17CEC">
        <w:rPr>
          <w:rFonts w:ascii="Times New Roman" w:hAnsi="Times New Roman" w:cs="Times New Roman"/>
          <w:sz w:val="24"/>
          <w:szCs w:val="24"/>
          <w:lang w:val="en-GB"/>
        </w:rPr>
        <w:t xml:space="preserve"> Contemporary</w:t>
      </w:r>
      <w:r>
        <w:rPr>
          <w:rFonts w:ascii="Times New Roman" w:hAnsi="Times New Roman" w:cs="Times New Roman"/>
          <w:sz w:val="24"/>
          <w:szCs w:val="24"/>
          <w:lang w:val="en-GB"/>
        </w:rPr>
        <w:t xml:space="preserve"> </w:t>
      </w:r>
      <w:r w:rsidRPr="00E17CEC">
        <w:rPr>
          <w:rFonts w:ascii="Times New Roman" w:hAnsi="Times New Roman" w:cs="Times New Roman"/>
          <w:sz w:val="24"/>
          <w:szCs w:val="24"/>
          <w:lang w:val="en-GB"/>
        </w:rPr>
        <w:t>Politics, 24</w:t>
      </w:r>
      <w:r w:rsidRPr="00E17CEC">
        <w:rPr>
          <w:rFonts w:ascii="Times New Roman" w:hAnsi="Times New Roman" w:cs="Times New Roman"/>
          <w:i/>
          <w:iCs/>
          <w:sz w:val="24"/>
          <w:szCs w:val="24"/>
          <w:lang w:val="en-GB"/>
        </w:rPr>
        <w:t>(1)</w:t>
      </w:r>
      <w:r w:rsidRPr="00E17CEC">
        <w:rPr>
          <w:rFonts w:ascii="Times New Roman" w:hAnsi="Times New Roman" w:cs="Times New Roman"/>
          <w:sz w:val="24"/>
          <w:szCs w:val="24"/>
          <w:lang w:val="en-GB"/>
        </w:rPr>
        <w:t>, 1-13. DOI: 10.1080/13569775.2017.1408174</w:t>
      </w:r>
    </w:p>
    <w:p w14:paraId="729010CB" w14:textId="77777777" w:rsidR="00F325C6" w:rsidRPr="00E133F8" w:rsidRDefault="00F325C6" w:rsidP="00F325C6">
      <w:pPr>
        <w:shd w:val="clear" w:color="auto" w:fill="FFFFFF"/>
        <w:spacing w:after="0" w:line="480" w:lineRule="auto"/>
        <w:ind w:left="851" w:hanging="851"/>
        <w:jc w:val="both"/>
        <w:rPr>
          <w:rFonts w:ascii="Times New Roman" w:eastAsia="Times New Roman" w:hAnsi="Times New Roman" w:cs="Times New Roman"/>
          <w:color w:val="000000"/>
          <w:kern w:val="0"/>
          <w:sz w:val="24"/>
          <w:szCs w:val="24"/>
          <w:lang w:val="en-GB" w:eastAsia="nl-NL"/>
          <w14:ligatures w14:val="none"/>
        </w:rPr>
      </w:pPr>
      <w:r w:rsidRPr="00E133F8">
        <w:rPr>
          <w:rFonts w:ascii="Times New Roman" w:eastAsia="Times New Roman" w:hAnsi="Times New Roman" w:cs="Times New Roman"/>
          <w:color w:val="000000"/>
          <w:kern w:val="0"/>
          <w:sz w:val="24"/>
          <w:szCs w:val="24"/>
          <w:lang w:val="en-GB" w:eastAsia="nl-NL"/>
          <w14:ligatures w14:val="none"/>
        </w:rPr>
        <w:t xml:space="preserve">Steiner, N. D., Berlinschi, R., Farvaque, E., Fidrmuc, J., Harms, P., Mihailov, A., Neugart, M., &amp; Stanek, P. (2022). Rallying around the EU flag: Russia’s invasion of Ukraine and attitudes toward European integration. </w:t>
      </w:r>
      <w:r w:rsidRPr="00E133F8">
        <w:rPr>
          <w:rFonts w:ascii="Times New Roman" w:eastAsia="Times New Roman" w:hAnsi="Times New Roman" w:cs="Times New Roman"/>
          <w:i/>
          <w:iCs/>
          <w:color w:val="000000"/>
          <w:kern w:val="0"/>
          <w:sz w:val="24"/>
          <w:szCs w:val="24"/>
          <w:lang w:val="en-GB" w:eastAsia="nl-NL"/>
          <w14:ligatures w14:val="none"/>
        </w:rPr>
        <w:t>JCMS: Journal of Common Market Studies</w:t>
      </w:r>
      <w:r w:rsidRPr="00E133F8">
        <w:rPr>
          <w:rFonts w:ascii="Times New Roman" w:eastAsia="Times New Roman" w:hAnsi="Times New Roman" w:cs="Times New Roman"/>
          <w:color w:val="000000"/>
          <w:kern w:val="0"/>
          <w:sz w:val="24"/>
          <w:szCs w:val="24"/>
          <w:lang w:val="en-GB" w:eastAsia="nl-NL"/>
          <w14:ligatures w14:val="none"/>
        </w:rPr>
        <w:t xml:space="preserve">, </w:t>
      </w:r>
      <w:r w:rsidRPr="00E133F8">
        <w:rPr>
          <w:rFonts w:ascii="Times New Roman" w:eastAsia="Times New Roman" w:hAnsi="Times New Roman" w:cs="Times New Roman"/>
          <w:i/>
          <w:iCs/>
          <w:color w:val="000000"/>
          <w:kern w:val="0"/>
          <w:sz w:val="24"/>
          <w:szCs w:val="24"/>
          <w:lang w:val="en-GB" w:eastAsia="nl-NL"/>
          <w14:ligatures w14:val="none"/>
        </w:rPr>
        <w:t>61</w:t>
      </w:r>
      <w:r w:rsidRPr="00E133F8">
        <w:rPr>
          <w:rFonts w:ascii="Times New Roman" w:eastAsia="Times New Roman" w:hAnsi="Times New Roman" w:cs="Times New Roman"/>
          <w:color w:val="000000"/>
          <w:kern w:val="0"/>
          <w:sz w:val="24"/>
          <w:szCs w:val="24"/>
          <w:lang w:val="en-GB" w:eastAsia="nl-NL"/>
          <w14:ligatures w14:val="none"/>
        </w:rPr>
        <w:t>(2). https://doi.org/10.1111/jcms.13449</w:t>
      </w:r>
    </w:p>
    <w:p w14:paraId="326E3822" w14:textId="3A28D10C" w:rsidR="00BA2528" w:rsidRPr="00093959" w:rsidRDefault="00BA2528" w:rsidP="00BA2528">
      <w:pPr>
        <w:shd w:val="clear" w:color="auto" w:fill="FFFFFF"/>
        <w:spacing w:after="0" w:line="480" w:lineRule="auto"/>
        <w:ind w:left="851" w:hanging="851"/>
        <w:jc w:val="both"/>
        <w:rPr>
          <w:rFonts w:ascii="Times New Roman" w:eastAsia="Times New Roman" w:hAnsi="Times New Roman" w:cs="Times New Roman"/>
          <w:color w:val="000000"/>
          <w:kern w:val="0"/>
          <w:sz w:val="24"/>
          <w:szCs w:val="24"/>
          <w:lang w:eastAsia="nl-NL"/>
          <w14:ligatures w14:val="none"/>
        </w:rPr>
      </w:pPr>
      <w:r w:rsidRPr="00BA2528">
        <w:rPr>
          <w:rFonts w:ascii="Times New Roman" w:eastAsia="Times New Roman" w:hAnsi="Times New Roman" w:cs="Times New Roman"/>
          <w:color w:val="000000"/>
          <w:kern w:val="0"/>
          <w:sz w:val="24"/>
          <w:szCs w:val="24"/>
          <w:lang w:eastAsia="nl-NL"/>
          <w14:ligatures w14:val="none"/>
        </w:rPr>
        <w:t xml:space="preserve">Ursula von der Leyen [@vonderleyen]. </w:t>
      </w:r>
      <w:r w:rsidRPr="00BA2528">
        <w:rPr>
          <w:rFonts w:ascii="Times New Roman" w:eastAsia="Times New Roman" w:hAnsi="Times New Roman" w:cs="Times New Roman"/>
          <w:i/>
          <w:iCs/>
          <w:color w:val="000000"/>
          <w:kern w:val="0"/>
          <w:sz w:val="24"/>
          <w:szCs w:val="24"/>
          <w:lang w:val="en-US" w:eastAsia="nl-NL"/>
          <w14:ligatures w14:val="none"/>
        </w:rPr>
        <w:t>Good call with Emir of Qatar @TamimBinHamad</w:t>
      </w:r>
      <w:r w:rsidRPr="00BA2528">
        <w:rPr>
          <w:rFonts w:ascii="Times New Roman" w:eastAsia="Times New Roman" w:hAnsi="Times New Roman" w:cs="Times New Roman"/>
          <w:color w:val="000000"/>
          <w:kern w:val="0"/>
          <w:sz w:val="24"/>
          <w:szCs w:val="24"/>
          <w:lang w:val="en-US" w:eastAsia="nl-NL"/>
          <w14:ligatures w14:val="none"/>
        </w:rPr>
        <w:t xml:space="preserve"> [Tweet]. </w:t>
      </w:r>
      <w:r w:rsidRPr="00BA2528">
        <w:rPr>
          <w:rFonts w:ascii="Times New Roman" w:eastAsia="Times New Roman" w:hAnsi="Times New Roman" w:cs="Times New Roman"/>
          <w:color w:val="000000"/>
          <w:kern w:val="0"/>
          <w:sz w:val="24"/>
          <w:szCs w:val="24"/>
          <w:lang w:eastAsia="nl-NL"/>
          <w14:ligatures w14:val="none"/>
        </w:rPr>
        <w:t xml:space="preserve">X. </w:t>
      </w:r>
      <w:hyperlink r:id="rId62" w:history="1">
        <w:r w:rsidRPr="00BA2528">
          <w:rPr>
            <w:rStyle w:val="Hyperlink"/>
            <w:rFonts w:ascii="Times New Roman" w:eastAsia="Times New Roman" w:hAnsi="Times New Roman" w:cs="Times New Roman"/>
            <w:kern w:val="0"/>
            <w:sz w:val="24"/>
            <w:szCs w:val="24"/>
            <w:lang w:eastAsia="nl-NL"/>
            <w14:ligatures w14:val="none"/>
          </w:rPr>
          <w:t>https://x.com/vonderleyen/status/1767918596347376072</w:t>
        </w:r>
      </w:hyperlink>
    </w:p>
    <w:p w14:paraId="1BE13A87" w14:textId="551C1C15" w:rsidR="00F325C6" w:rsidRPr="00E133F8" w:rsidRDefault="00F325C6" w:rsidP="00F325C6">
      <w:pPr>
        <w:shd w:val="clear" w:color="auto" w:fill="FFFFFF"/>
        <w:spacing w:after="0" w:line="480" w:lineRule="auto"/>
        <w:ind w:left="851" w:hanging="851"/>
        <w:jc w:val="both"/>
        <w:rPr>
          <w:rFonts w:ascii="Times New Roman" w:eastAsia="Times New Roman" w:hAnsi="Times New Roman" w:cs="Times New Roman"/>
          <w:color w:val="000000"/>
          <w:kern w:val="0"/>
          <w:sz w:val="24"/>
          <w:szCs w:val="24"/>
          <w:lang w:val="en-GB" w:eastAsia="nl-NL"/>
          <w14:ligatures w14:val="none"/>
        </w:rPr>
      </w:pPr>
      <w:r>
        <w:rPr>
          <w:rFonts w:ascii="Times New Roman" w:eastAsia="Times New Roman" w:hAnsi="Times New Roman" w:cs="Times New Roman"/>
          <w:color w:val="000000"/>
          <w:kern w:val="0"/>
          <w:sz w:val="24"/>
          <w:szCs w:val="24"/>
          <w:lang w:eastAsia="nl-NL"/>
          <w14:ligatures w14:val="none"/>
        </w:rPr>
        <w:lastRenderedPageBreak/>
        <w:t>V</w:t>
      </w:r>
      <w:r w:rsidRPr="00E133F8">
        <w:rPr>
          <w:rFonts w:ascii="Times New Roman" w:eastAsia="Times New Roman" w:hAnsi="Times New Roman" w:cs="Times New Roman"/>
          <w:color w:val="000000"/>
          <w:kern w:val="0"/>
          <w:sz w:val="24"/>
          <w:szCs w:val="24"/>
          <w:lang w:eastAsia="nl-NL"/>
          <w14:ligatures w14:val="none"/>
        </w:rPr>
        <w:t xml:space="preserve">an der Meer, T., Steenvoorden, E., &amp; Ouattara, E. (2023). </w:t>
      </w:r>
      <w:r w:rsidRPr="00E133F8">
        <w:rPr>
          <w:rFonts w:ascii="Times New Roman" w:eastAsia="Times New Roman" w:hAnsi="Times New Roman" w:cs="Times New Roman"/>
          <w:color w:val="000000"/>
          <w:kern w:val="0"/>
          <w:sz w:val="24"/>
          <w:szCs w:val="24"/>
          <w:lang w:val="en-GB" w:eastAsia="nl-NL"/>
          <w14:ligatures w14:val="none"/>
        </w:rPr>
        <w:t xml:space="preserve">Fear and the COVID-19 rally round the flag: a panel study on political trust. </w:t>
      </w:r>
      <w:r w:rsidRPr="00622533">
        <w:rPr>
          <w:rFonts w:ascii="Times New Roman" w:eastAsia="Times New Roman" w:hAnsi="Times New Roman" w:cs="Times New Roman"/>
          <w:i/>
          <w:iCs/>
          <w:color w:val="000000"/>
          <w:kern w:val="0"/>
          <w:sz w:val="24"/>
          <w:szCs w:val="24"/>
          <w:lang w:val="en-GB" w:eastAsia="nl-NL"/>
          <w14:ligatures w14:val="none"/>
        </w:rPr>
        <w:t>West European Politics</w:t>
      </w:r>
      <w:r w:rsidRPr="00622533">
        <w:rPr>
          <w:rFonts w:ascii="Times New Roman" w:eastAsia="Times New Roman" w:hAnsi="Times New Roman" w:cs="Times New Roman"/>
          <w:color w:val="000000"/>
          <w:kern w:val="0"/>
          <w:sz w:val="24"/>
          <w:szCs w:val="24"/>
          <w:lang w:val="en-GB" w:eastAsia="nl-NL"/>
          <w14:ligatures w14:val="none"/>
        </w:rPr>
        <w:t xml:space="preserve">, </w:t>
      </w:r>
      <w:r w:rsidRPr="00622533">
        <w:rPr>
          <w:rFonts w:ascii="Times New Roman" w:eastAsia="Times New Roman" w:hAnsi="Times New Roman" w:cs="Times New Roman"/>
          <w:i/>
          <w:iCs/>
          <w:color w:val="000000"/>
          <w:kern w:val="0"/>
          <w:sz w:val="24"/>
          <w:szCs w:val="24"/>
          <w:lang w:val="en-GB" w:eastAsia="nl-NL"/>
          <w14:ligatures w14:val="none"/>
        </w:rPr>
        <w:t>46</w:t>
      </w:r>
      <w:r w:rsidRPr="00622533">
        <w:rPr>
          <w:rFonts w:ascii="Times New Roman" w:eastAsia="Times New Roman" w:hAnsi="Times New Roman" w:cs="Times New Roman"/>
          <w:color w:val="000000"/>
          <w:kern w:val="0"/>
          <w:sz w:val="24"/>
          <w:szCs w:val="24"/>
          <w:lang w:val="en-GB" w:eastAsia="nl-NL"/>
          <w14:ligatures w14:val="none"/>
        </w:rPr>
        <w:t xml:space="preserve">(6), 1–17. </w:t>
      </w:r>
      <w:hyperlink r:id="rId63" w:history="1">
        <w:r w:rsidRPr="00E133F8">
          <w:rPr>
            <w:rStyle w:val="Hyperlink"/>
            <w:rFonts w:ascii="Times New Roman" w:eastAsia="Times New Roman" w:hAnsi="Times New Roman" w:cs="Times New Roman"/>
            <w:kern w:val="0"/>
            <w:sz w:val="24"/>
            <w:szCs w:val="24"/>
            <w:lang w:val="en-GB" w:eastAsia="nl-NL"/>
            <w14:ligatures w14:val="none"/>
          </w:rPr>
          <w:t>https://doi.org/10.1080/01402382.2023.2171220</w:t>
        </w:r>
      </w:hyperlink>
    </w:p>
    <w:p w14:paraId="47A64AED" w14:textId="0107E0AC" w:rsidR="00B771FF" w:rsidRPr="00B771FF" w:rsidRDefault="00B771FF" w:rsidP="00B771FF">
      <w:pPr>
        <w:spacing w:line="480" w:lineRule="auto"/>
        <w:ind w:left="851" w:hanging="851"/>
        <w:jc w:val="both"/>
        <w:rPr>
          <w:rFonts w:ascii="Times New Roman" w:hAnsi="Times New Roman" w:cs="Times New Roman"/>
          <w:sz w:val="24"/>
          <w:szCs w:val="24"/>
          <w:lang w:val="en-US"/>
        </w:rPr>
      </w:pPr>
      <w:r w:rsidRPr="00415A11">
        <w:rPr>
          <w:rFonts w:ascii="Times New Roman" w:hAnsi="Times New Roman" w:cs="Times New Roman"/>
          <w:sz w:val="24"/>
          <w:szCs w:val="24"/>
          <w:lang w:val="en-GB"/>
        </w:rPr>
        <w:t xml:space="preserve">Van Dorpe, S., &amp; Teffer, P. (2024). </w:t>
      </w:r>
      <w:r w:rsidRPr="00CE26A9">
        <w:rPr>
          <w:rFonts w:ascii="Times New Roman" w:hAnsi="Times New Roman" w:cs="Times New Roman"/>
          <w:i/>
          <w:iCs/>
          <w:sz w:val="24"/>
          <w:szCs w:val="24"/>
        </w:rPr>
        <w:t xml:space="preserve">Hoofdrolspeler in EU-corruptieschandaal Qatargate lobbyde met verdachte consultany voor big tech. </w:t>
      </w:r>
      <w:r w:rsidRPr="00415A11">
        <w:rPr>
          <w:rFonts w:ascii="Times New Roman" w:hAnsi="Times New Roman" w:cs="Times New Roman"/>
          <w:sz w:val="24"/>
          <w:szCs w:val="24"/>
          <w:lang w:val="en-GB"/>
        </w:rPr>
        <w:t xml:space="preserve">Follow the Money. </w:t>
      </w:r>
      <w:hyperlink r:id="rId64" w:history="1">
        <w:r w:rsidRPr="00CE26A9">
          <w:rPr>
            <w:rStyle w:val="Hyperlink"/>
            <w:rFonts w:ascii="Times New Roman" w:hAnsi="Times New Roman" w:cs="Times New Roman"/>
            <w:sz w:val="24"/>
            <w:szCs w:val="24"/>
            <w:lang w:val="en-US"/>
          </w:rPr>
          <w:t>https://www.ftm.nl/tag/eva-kaili</w:t>
        </w:r>
      </w:hyperlink>
    </w:p>
    <w:p w14:paraId="2A8F0D68" w14:textId="3830EAA3" w:rsidR="00F325C6" w:rsidRPr="00E17CEC" w:rsidRDefault="00F325C6" w:rsidP="00F325C6">
      <w:pPr>
        <w:spacing w:line="480" w:lineRule="auto"/>
        <w:ind w:left="851" w:hanging="851"/>
        <w:jc w:val="both"/>
        <w:rPr>
          <w:rFonts w:ascii="Times New Roman" w:hAnsi="Times New Roman" w:cs="Times New Roman"/>
          <w:sz w:val="24"/>
          <w:szCs w:val="24"/>
        </w:rPr>
      </w:pPr>
      <w:r w:rsidRPr="00E17CEC">
        <w:rPr>
          <w:rFonts w:ascii="Times New Roman" w:hAnsi="Times New Roman" w:cs="Times New Roman"/>
          <w:sz w:val="24"/>
          <w:szCs w:val="24"/>
          <w:lang w:val="en-GB"/>
        </w:rPr>
        <w:t xml:space="preserve">Van Veen, E. (2022). </w:t>
      </w:r>
      <w:r w:rsidRPr="00E17CEC">
        <w:rPr>
          <w:rFonts w:ascii="Times New Roman" w:hAnsi="Times New Roman" w:cs="Times New Roman"/>
          <w:i/>
          <w:iCs/>
          <w:sz w:val="24"/>
          <w:szCs w:val="24"/>
          <w:lang w:val="en-GB"/>
        </w:rPr>
        <w:t xml:space="preserve">What bridges the Gulf and the European Union? </w:t>
      </w:r>
      <w:r w:rsidRPr="00E17CEC">
        <w:rPr>
          <w:rFonts w:ascii="Times New Roman" w:hAnsi="Times New Roman" w:cs="Times New Roman"/>
          <w:sz w:val="24"/>
          <w:szCs w:val="24"/>
        </w:rPr>
        <w:t xml:space="preserve">Clingendael. </w:t>
      </w:r>
      <w:hyperlink r:id="rId65" w:history="1">
        <w:r w:rsidRPr="007C14C7">
          <w:rPr>
            <w:rStyle w:val="Hyperlink"/>
            <w:rFonts w:ascii="Times New Roman" w:hAnsi="Times New Roman" w:cs="Times New Roman"/>
            <w:sz w:val="24"/>
            <w:szCs w:val="24"/>
          </w:rPr>
          <w:t>https://www.clingendael.org/publication/what-bridges-gulf-and-european-union</w:t>
        </w:r>
      </w:hyperlink>
    </w:p>
    <w:p w14:paraId="48F88DAD" w14:textId="27B31A25" w:rsidR="00B771FF" w:rsidRPr="00B771FF" w:rsidRDefault="00B771FF" w:rsidP="00B771FF">
      <w:pPr>
        <w:shd w:val="clear" w:color="auto" w:fill="FFFFFF"/>
        <w:spacing w:after="0" w:line="480" w:lineRule="auto"/>
        <w:ind w:left="851" w:hanging="851"/>
        <w:jc w:val="both"/>
        <w:rPr>
          <w:rFonts w:ascii="Times New Roman" w:eastAsia="Times New Roman" w:hAnsi="Times New Roman" w:cs="Times New Roman"/>
          <w:color w:val="000000"/>
          <w:kern w:val="0"/>
          <w:sz w:val="24"/>
          <w:szCs w:val="24"/>
          <w:lang w:val="en-US" w:eastAsia="nl-NL"/>
          <w14:ligatures w14:val="none"/>
        </w:rPr>
      </w:pPr>
      <w:r w:rsidRPr="00B771FF">
        <w:rPr>
          <w:rFonts w:ascii="Times New Roman" w:eastAsia="Times New Roman" w:hAnsi="Times New Roman" w:cs="Times New Roman"/>
          <w:color w:val="000000"/>
          <w:kern w:val="0"/>
          <w:sz w:val="24"/>
          <w:szCs w:val="24"/>
          <w:lang w:val="en-US" w:eastAsia="nl-NL"/>
          <w14:ligatures w14:val="none"/>
        </w:rPr>
        <w:t xml:space="preserve">Vinocur, N. (2022, December 14). </w:t>
      </w:r>
      <w:r w:rsidRPr="00B771FF">
        <w:rPr>
          <w:rFonts w:ascii="Times New Roman" w:eastAsia="Times New Roman" w:hAnsi="Times New Roman" w:cs="Times New Roman"/>
          <w:i/>
          <w:iCs/>
          <w:color w:val="000000"/>
          <w:kern w:val="0"/>
          <w:sz w:val="24"/>
          <w:szCs w:val="24"/>
          <w:lang w:val="en-US" w:eastAsia="nl-NL"/>
          <w14:ligatures w14:val="none"/>
        </w:rPr>
        <w:t xml:space="preserve">European far-right cheers over Qatar corruption scandal. </w:t>
      </w:r>
      <w:r w:rsidRPr="00B771FF">
        <w:rPr>
          <w:rFonts w:ascii="Times New Roman" w:eastAsia="Times New Roman" w:hAnsi="Times New Roman" w:cs="Times New Roman"/>
          <w:color w:val="000000"/>
          <w:kern w:val="0"/>
          <w:sz w:val="24"/>
          <w:szCs w:val="24"/>
          <w:lang w:val="en-US" w:eastAsia="nl-NL"/>
          <w14:ligatures w14:val="none"/>
        </w:rPr>
        <w:t xml:space="preserve">POLITICO. </w:t>
      </w:r>
      <w:hyperlink r:id="rId66" w:history="1">
        <w:r w:rsidRPr="00B771FF">
          <w:rPr>
            <w:rStyle w:val="Hyperlink"/>
            <w:rFonts w:ascii="Times New Roman" w:eastAsia="Times New Roman" w:hAnsi="Times New Roman" w:cs="Times New Roman"/>
            <w:kern w:val="0"/>
            <w:sz w:val="24"/>
            <w:szCs w:val="24"/>
            <w:lang w:val="en-US" w:eastAsia="nl-NL"/>
            <w14:ligatures w14:val="none"/>
          </w:rPr>
          <w:t>https://www.politico.eu/article/qatar-corruption-scandal-far-right-european-parliament/</w:t>
        </w:r>
      </w:hyperlink>
    </w:p>
    <w:p w14:paraId="4D0229BE" w14:textId="7F71B9F9" w:rsidR="00F325C6" w:rsidRDefault="00F325C6" w:rsidP="00F325C6">
      <w:pPr>
        <w:shd w:val="clear" w:color="auto" w:fill="FFFFFF"/>
        <w:spacing w:after="0" w:line="480" w:lineRule="auto"/>
        <w:ind w:left="851" w:hanging="851"/>
        <w:jc w:val="both"/>
        <w:rPr>
          <w:rFonts w:ascii="Times New Roman" w:eastAsia="Times New Roman" w:hAnsi="Times New Roman" w:cs="Times New Roman"/>
          <w:color w:val="000000"/>
          <w:kern w:val="0"/>
          <w:sz w:val="24"/>
          <w:szCs w:val="24"/>
          <w:lang w:val="en-GB" w:eastAsia="nl-NL"/>
          <w14:ligatures w14:val="none"/>
        </w:rPr>
      </w:pPr>
      <w:r w:rsidRPr="00E133F8">
        <w:rPr>
          <w:rFonts w:ascii="Times New Roman" w:eastAsia="Times New Roman" w:hAnsi="Times New Roman" w:cs="Times New Roman"/>
          <w:color w:val="000000"/>
          <w:kern w:val="0"/>
          <w:sz w:val="24"/>
          <w:szCs w:val="24"/>
          <w:lang w:val="en-GB" w:eastAsia="nl-NL"/>
          <w14:ligatures w14:val="none"/>
        </w:rPr>
        <w:t xml:space="preserve">Waltz, K.N. (1959). </w:t>
      </w:r>
      <w:r w:rsidRPr="00E133F8">
        <w:rPr>
          <w:rFonts w:ascii="Times New Roman" w:eastAsia="Times New Roman" w:hAnsi="Times New Roman" w:cs="Times New Roman"/>
          <w:i/>
          <w:iCs/>
          <w:color w:val="000000"/>
          <w:kern w:val="0"/>
          <w:sz w:val="24"/>
          <w:szCs w:val="24"/>
          <w:lang w:val="en-GB" w:eastAsia="nl-NL"/>
          <w14:ligatures w14:val="none"/>
        </w:rPr>
        <w:t xml:space="preserve">The Man, State and War: A Theoretical Analysis. </w:t>
      </w:r>
      <w:r w:rsidRPr="00E133F8">
        <w:rPr>
          <w:rFonts w:ascii="Times New Roman" w:eastAsia="Times New Roman" w:hAnsi="Times New Roman" w:cs="Times New Roman"/>
          <w:color w:val="000000"/>
          <w:kern w:val="0"/>
          <w:sz w:val="24"/>
          <w:szCs w:val="24"/>
          <w:lang w:val="en-GB" w:eastAsia="nl-NL"/>
          <w14:ligatures w14:val="none"/>
        </w:rPr>
        <w:t xml:space="preserve">New York: Columbia University Press. </w:t>
      </w:r>
    </w:p>
    <w:p w14:paraId="1B3A2438" w14:textId="77777777" w:rsidR="00B771FF" w:rsidRPr="00B771FF" w:rsidRDefault="00B771FF" w:rsidP="00B771FF">
      <w:pPr>
        <w:shd w:val="clear" w:color="auto" w:fill="FFFFFF"/>
        <w:spacing w:after="0" w:line="480" w:lineRule="auto"/>
        <w:ind w:left="851" w:hanging="851"/>
        <w:jc w:val="both"/>
        <w:rPr>
          <w:rFonts w:ascii="Times New Roman" w:eastAsia="Times New Roman" w:hAnsi="Times New Roman" w:cs="Times New Roman"/>
          <w:color w:val="000000"/>
          <w:kern w:val="0"/>
          <w:sz w:val="24"/>
          <w:szCs w:val="24"/>
          <w:lang w:val="en-US" w:eastAsia="nl-NL"/>
          <w14:ligatures w14:val="none"/>
        </w:rPr>
      </w:pPr>
      <w:r w:rsidRPr="00B771FF">
        <w:rPr>
          <w:rFonts w:ascii="Times New Roman" w:eastAsia="Times New Roman" w:hAnsi="Times New Roman" w:cs="Times New Roman"/>
          <w:color w:val="000000"/>
          <w:kern w:val="0"/>
          <w:sz w:val="24"/>
          <w:szCs w:val="24"/>
          <w:lang w:val="en-US" w:eastAsia="nl-NL"/>
          <w14:ligatures w14:val="none"/>
        </w:rPr>
        <w:t xml:space="preserve">Wax, E. (2023, February 9). </w:t>
      </w:r>
      <w:r w:rsidRPr="00B771FF">
        <w:rPr>
          <w:rFonts w:ascii="Times New Roman" w:eastAsia="Times New Roman" w:hAnsi="Times New Roman" w:cs="Times New Roman"/>
          <w:i/>
          <w:iCs/>
          <w:color w:val="000000"/>
          <w:kern w:val="0"/>
          <w:sz w:val="24"/>
          <w:szCs w:val="24"/>
          <w:lang w:val="en-US" w:eastAsia="nl-NL"/>
          <w14:ligatures w14:val="none"/>
        </w:rPr>
        <w:t xml:space="preserve">Political groups spar over EU Parliament chief Metsola’s Qatargate transparency reforms. </w:t>
      </w:r>
      <w:r w:rsidRPr="00B771FF">
        <w:rPr>
          <w:rFonts w:ascii="Times New Roman" w:eastAsia="Times New Roman" w:hAnsi="Times New Roman" w:cs="Times New Roman"/>
          <w:color w:val="000000"/>
          <w:kern w:val="0"/>
          <w:sz w:val="24"/>
          <w:szCs w:val="24"/>
          <w:lang w:val="en-US" w:eastAsia="nl-NL"/>
          <w14:ligatures w14:val="none"/>
        </w:rPr>
        <w:t xml:space="preserve">POLITICO. </w:t>
      </w:r>
      <w:hyperlink r:id="rId67" w:history="1">
        <w:r w:rsidRPr="00B771FF">
          <w:rPr>
            <w:rStyle w:val="Hyperlink"/>
            <w:rFonts w:ascii="Times New Roman" w:eastAsia="Times New Roman" w:hAnsi="Times New Roman" w:cs="Times New Roman"/>
            <w:kern w:val="0"/>
            <w:sz w:val="24"/>
            <w:szCs w:val="24"/>
            <w:lang w:val="en-US" w:eastAsia="nl-NL"/>
            <w14:ligatures w14:val="none"/>
          </w:rPr>
          <w:t>https://www.politico.eu/article/political-groups-spar-european-parliament-chief-roberta-metsola-qatargate-transparency-reforms/</w:t>
        </w:r>
      </w:hyperlink>
    </w:p>
    <w:p w14:paraId="70849515" w14:textId="12CFBD26" w:rsidR="00B771FF" w:rsidRPr="00B771FF" w:rsidRDefault="00B771FF" w:rsidP="00B771FF">
      <w:pPr>
        <w:shd w:val="clear" w:color="auto" w:fill="FFFFFF"/>
        <w:spacing w:after="0" w:line="480" w:lineRule="auto"/>
        <w:ind w:left="851" w:hanging="851"/>
        <w:jc w:val="both"/>
        <w:rPr>
          <w:rFonts w:ascii="Times New Roman" w:eastAsia="Times New Roman" w:hAnsi="Times New Roman" w:cs="Times New Roman"/>
          <w:color w:val="000000"/>
          <w:kern w:val="0"/>
          <w:sz w:val="24"/>
          <w:szCs w:val="24"/>
          <w:lang w:val="en-US" w:eastAsia="nl-NL"/>
          <w14:ligatures w14:val="none"/>
        </w:rPr>
      </w:pPr>
      <w:r w:rsidRPr="00B771FF">
        <w:rPr>
          <w:rFonts w:ascii="Times New Roman" w:eastAsia="Times New Roman" w:hAnsi="Times New Roman" w:cs="Times New Roman"/>
          <w:color w:val="000000"/>
          <w:kern w:val="0"/>
          <w:sz w:val="24"/>
          <w:szCs w:val="24"/>
          <w:lang w:val="en-US" w:eastAsia="nl-NL"/>
          <w14:ligatures w14:val="none"/>
        </w:rPr>
        <w:t xml:space="preserve">Wax, E. (2023, January 11). </w:t>
      </w:r>
      <w:r w:rsidRPr="00B771FF">
        <w:rPr>
          <w:rFonts w:ascii="Times New Roman" w:eastAsia="Times New Roman" w:hAnsi="Times New Roman" w:cs="Times New Roman"/>
          <w:i/>
          <w:iCs/>
          <w:color w:val="000000"/>
          <w:kern w:val="0"/>
          <w:sz w:val="24"/>
          <w:szCs w:val="24"/>
          <w:lang w:val="en-US" w:eastAsia="nl-NL"/>
          <w14:ligatures w14:val="none"/>
        </w:rPr>
        <w:t xml:space="preserve">EU Parliament chief readies plan to prevent Qatargate 2.0. </w:t>
      </w:r>
      <w:r w:rsidRPr="00B771FF">
        <w:rPr>
          <w:rFonts w:ascii="Times New Roman" w:eastAsia="Times New Roman" w:hAnsi="Times New Roman" w:cs="Times New Roman"/>
          <w:color w:val="000000"/>
          <w:kern w:val="0"/>
          <w:sz w:val="24"/>
          <w:szCs w:val="24"/>
          <w:lang w:val="en-US" w:eastAsia="nl-NL"/>
          <w14:ligatures w14:val="none"/>
        </w:rPr>
        <w:t xml:space="preserve">POLITICO. </w:t>
      </w:r>
      <w:hyperlink r:id="rId68" w:history="1">
        <w:r w:rsidRPr="00B771FF">
          <w:rPr>
            <w:rStyle w:val="Hyperlink"/>
            <w:rFonts w:ascii="Times New Roman" w:eastAsia="Times New Roman" w:hAnsi="Times New Roman" w:cs="Times New Roman"/>
            <w:kern w:val="0"/>
            <w:sz w:val="24"/>
            <w:szCs w:val="24"/>
            <w:lang w:val="en-US" w:eastAsia="nl-NL"/>
            <w14:ligatures w14:val="none"/>
          </w:rPr>
          <w:t>https://www.politico.eu/article/eu-parliament-roberta-metsola-transparency-qatargate-corruption-scandal/</w:t>
        </w:r>
      </w:hyperlink>
    </w:p>
    <w:p w14:paraId="1C5400A1" w14:textId="7D924C43" w:rsidR="006E29E2" w:rsidRPr="006E29E2" w:rsidRDefault="006E29E2" w:rsidP="006E29E2">
      <w:pPr>
        <w:shd w:val="clear" w:color="auto" w:fill="FFFFFF"/>
        <w:spacing w:after="0" w:line="480" w:lineRule="auto"/>
        <w:ind w:left="851" w:hanging="851"/>
        <w:jc w:val="both"/>
        <w:rPr>
          <w:rFonts w:ascii="Times New Roman" w:eastAsia="Times New Roman" w:hAnsi="Times New Roman" w:cs="Times New Roman"/>
          <w:color w:val="000000"/>
          <w:kern w:val="0"/>
          <w:sz w:val="24"/>
          <w:szCs w:val="24"/>
          <w:lang w:val="en-GB" w:eastAsia="nl-NL"/>
          <w14:ligatures w14:val="none"/>
        </w:rPr>
      </w:pPr>
      <w:r w:rsidRPr="006E29E2">
        <w:rPr>
          <w:rFonts w:ascii="Times New Roman" w:eastAsia="Times New Roman" w:hAnsi="Times New Roman" w:cs="Times New Roman"/>
          <w:color w:val="000000"/>
          <w:kern w:val="0"/>
          <w:sz w:val="24"/>
          <w:szCs w:val="24"/>
          <w:lang w:val="en-GB" w:eastAsia="nl-NL"/>
          <w14:ligatures w14:val="none"/>
        </w:rPr>
        <w:t xml:space="preserve">Wax, E., Braun, E., Volpicelli, G., &amp; Ross, T. (2023, December 22). </w:t>
      </w:r>
      <w:r w:rsidRPr="006E29E2">
        <w:rPr>
          <w:rFonts w:ascii="Times New Roman" w:eastAsia="Times New Roman" w:hAnsi="Times New Roman" w:cs="Times New Roman"/>
          <w:i/>
          <w:iCs/>
          <w:color w:val="000000"/>
          <w:kern w:val="0"/>
          <w:sz w:val="24"/>
          <w:szCs w:val="24"/>
          <w:lang w:val="en-GB" w:eastAsia="nl-NL"/>
          <w14:ligatures w14:val="none"/>
        </w:rPr>
        <w:t xml:space="preserve">Qatargate’s ‘useful idiots’ still work inside EU Parliament. </w:t>
      </w:r>
      <w:hyperlink r:id="rId69" w:history="1">
        <w:r w:rsidRPr="006E29E2">
          <w:rPr>
            <w:rStyle w:val="Hyperlink"/>
            <w:rFonts w:ascii="Times New Roman" w:eastAsia="Times New Roman" w:hAnsi="Times New Roman" w:cs="Times New Roman"/>
            <w:kern w:val="0"/>
            <w:sz w:val="24"/>
            <w:szCs w:val="24"/>
            <w:lang w:val="en-GB" w:eastAsia="nl-NL"/>
            <w14:ligatures w14:val="none"/>
          </w:rPr>
          <w:t>https://www.politico.eu/article/qatargate-antonio-panzeri-useful-idiots-still-work-inside-eu-parliament/</w:t>
        </w:r>
      </w:hyperlink>
    </w:p>
    <w:p w14:paraId="5DA8E8F1" w14:textId="77777777" w:rsidR="006E29E2" w:rsidRPr="006E29E2" w:rsidRDefault="006E29E2" w:rsidP="006E29E2">
      <w:pPr>
        <w:shd w:val="clear" w:color="auto" w:fill="FFFFFF"/>
        <w:spacing w:after="0" w:line="480" w:lineRule="auto"/>
        <w:ind w:left="851" w:hanging="851"/>
        <w:jc w:val="both"/>
        <w:rPr>
          <w:rFonts w:ascii="Times New Roman" w:eastAsia="Times New Roman" w:hAnsi="Times New Roman" w:cs="Times New Roman"/>
          <w:color w:val="000000"/>
          <w:kern w:val="0"/>
          <w:sz w:val="24"/>
          <w:szCs w:val="24"/>
          <w:lang w:eastAsia="nl-NL"/>
          <w14:ligatures w14:val="none"/>
        </w:rPr>
      </w:pPr>
      <w:r w:rsidRPr="006E29E2">
        <w:rPr>
          <w:rFonts w:ascii="Times New Roman" w:eastAsia="Times New Roman" w:hAnsi="Times New Roman" w:cs="Times New Roman"/>
          <w:color w:val="000000"/>
          <w:kern w:val="0"/>
          <w:sz w:val="24"/>
          <w:szCs w:val="24"/>
          <w:lang w:val="en-GB" w:eastAsia="nl-NL"/>
          <w14:ligatures w14:val="none"/>
        </w:rPr>
        <w:lastRenderedPageBreak/>
        <w:t xml:space="preserve">Wax, E., &amp; Wheaton, S. (2023 July, 31). </w:t>
      </w:r>
      <w:r w:rsidRPr="006E29E2">
        <w:rPr>
          <w:rFonts w:ascii="Times New Roman" w:eastAsia="Times New Roman" w:hAnsi="Times New Roman" w:cs="Times New Roman"/>
          <w:i/>
          <w:iCs/>
          <w:color w:val="000000"/>
          <w:kern w:val="0"/>
          <w:sz w:val="24"/>
          <w:szCs w:val="24"/>
          <w:lang w:val="en-GB" w:eastAsia="nl-NL"/>
          <w14:ligatures w14:val="none"/>
        </w:rPr>
        <w:t xml:space="preserve">The EU’s reply to Qatargate: Nips, tucks and paperwork. </w:t>
      </w:r>
      <w:hyperlink r:id="rId70" w:history="1">
        <w:r w:rsidRPr="006E29E2">
          <w:rPr>
            <w:rStyle w:val="Hyperlink"/>
            <w:rFonts w:ascii="Times New Roman" w:eastAsia="Times New Roman" w:hAnsi="Times New Roman" w:cs="Times New Roman"/>
            <w:kern w:val="0"/>
            <w:sz w:val="24"/>
            <w:szCs w:val="24"/>
            <w:lang w:eastAsia="nl-NL"/>
            <w14:ligatures w14:val="none"/>
          </w:rPr>
          <w:t>https://www.politico.eu/article/qatargate-qatar-corruption-scandal-eu-european-parliament-eva-kaili-marc-tarabella-roberta-metsola/</w:t>
        </w:r>
      </w:hyperlink>
    </w:p>
    <w:p w14:paraId="76DE64CF" w14:textId="1CFEB856" w:rsidR="00741210" w:rsidRDefault="00B50315" w:rsidP="00B771FF">
      <w:pPr>
        <w:shd w:val="clear" w:color="auto" w:fill="FFFFFF"/>
        <w:spacing w:after="0" w:line="480" w:lineRule="auto"/>
        <w:ind w:left="851" w:hanging="851"/>
        <w:jc w:val="both"/>
        <w:rPr>
          <w:rFonts w:ascii="Times New Roman" w:eastAsia="Times New Roman" w:hAnsi="Times New Roman" w:cs="Times New Roman"/>
          <w:color w:val="000000"/>
          <w:kern w:val="0"/>
          <w:sz w:val="24"/>
          <w:szCs w:val="24"/>
          <w:lang w:val="en-GB" w:eastAsia="nl-NL"/>
          <w14:ligatures w14:val="none"/>
        </w:rPr>
      </w:pPr>
      <w:r w:rsidRPr="006E29E2">
        <w:rPr>
          <w:rFonts w:ascii="Times New Roman" w:eastAsia="Times New Roman" w:hAnsi="Times New Roman" w:cs="Times New Roman"/>
          <w:color w:val="000000"/>
          <w:kern w:val="0"/>
          <w:sz w:val="24"/>
          <w:szCs w:val="24"/>
          <w:lang w:eastAsia="nl-NL"/>
          <w14:ligatures w14:val="none"/>
        </w:rPr>
        <w:t xml:space="preserve">Weisiger, A., &amp; Yarhi-Milo, K. (2015). </w:t>
      </w:r>
      <w:r w:rsidRPr="00B50315">
        <w:rPr>
          <w:rFonts w:ascii="Times New Roman" w:eastAsia="Times New Roman" w:hAnsi="Times New Roman" w:cs="Times New Roman"/>
          <w:color w:val="000000"/>
          <w:kern w:val="0"/>
          <w:sz w:val="24"/>
          <w:szCs w:val="24"/>
          <w:lang w:val="en-GB" w:eastAsia="nl-NL"/>
          <w14:ligatures w14:val="none"/>
        </w:rPr>
        <w:t xml:space="preserve">Revisiting Reputation: How Past Actions Matter in International Politics. </w:t>
      </w:r>
      <w:r w:rsidRPr="00A374D5">
        <w:rPr>
          <w:rFonts w:ascii="Times New Roman" w:eastAsia="Times New Roman" w:hAnsi="Times New Roman" w:cs="Times New Roman"/>
          <w:i/>
          <w:iCs/>
          <w:color w:val="000000"/>
          <w:kern w:val="0"/>
          <w:sz w:val="24"/>
          <w:szCs w:val="24"/>
          <w:lang w:val="en-GB" w:eastAsia="nl-NL"/>
          <w14:ligatures w14:val="none"/>
        </w:rPr>
        <w:t>International Organization</w:t>
      </w:r>
      <w:r w:rsidRPr="00A374D5">
        <w:rPr>
          <w:rFonts w:ascii="Times New Roman" w:eastAsia="Times New Roman" w:hAnsi="Times New Roman" w:cs="Times New Roman"/>
          <w:color w:val="000000"/>
          <w:kern w:val="0"/>
          <w:sz w:val="24"/>
          <w:szCs w:val="24"/>
          <w:lang w:val="en-GB" w:eastAsia="nl-NL"/>
          <w14:ligatures w14:val="none"/>
        </w:rPr>
        <w:t xml:space="preserve">, </w:t>
      </w:r>
      <w:r w:rsidRPr="00A374D5">
        <w:rPr>
          <w:rFonts w:ascii="Times New Roman" w:eastAsia="Times New Roman" w:hAnsi="Times New Roman" w:cs="Times New Roman"/>
          <w:i/>
          <w:iCs/>
          <w:color w:val="000000"/>
          <w:kern w:val="0"/>
          <w:sz w:val="24"/>
          <w:szCs w:val="24"/>
          <w:lang w:val="en-GB" w:eastAsia="nl-NL"/>
          <w14:ligatures w14:val="none"/>
        </w:rPr>
        <w:t>69</w:t>
      </w:r>
      <w:r w:rsidRPr="00A374D5">
        <w:rPr>
          <w:rFonts w:ascii="Times New Roman" w:eastAsia="Times New Roman" w:hAnsi="Times New Roman" w:cs="Times New Roman"/>
          <w:color w:val="000000"/>
          <w:kern w:val="0"/>
          <w:sz w:val="24"/>
          <w:szCs w:val="24"/>
          <w:lang w:val="en-GB" w:eastAsia="nl-NL"/>
          <w14:ligatures w14:val="none"/>
        </w:rPr>
        <w:t xml:space="preserve">(2), 473–495. doi:10.1017/S0020818314000393 </w:t>
      </w:r>
    </w:p>
    <w:p w14:paraId="720E1869" w14:textId="4AD9306D" w:rsidR="00741210" w:rsidRPr="00741210" w:rsidRDefault="00741210" w:rsidP="00741210">
      <w:pPr>
        <w:shd w:val="clear" w:color="auto" w:fill="FFFFFF"/>
        <w:spacing w:after="0" w:line="480" w:lineRule="auto"/>
        <w:ind w:left="851" w:hanging="851"/>
        <w:jc w:val="both"/>
        <w:rPr>
          <w:rFonts w:ascii="Times New Roman" w:eastAsia="Times New Roman" w:hAnsi="Times New Roman" w:cs="Times New Roman"/>
          <w:color w:val="000000"/>
          <w:kern w:val="0"/>
          <w:sz w:val="24"/>
          <w:szCs w:val="24"/>
          <w:lang w:val="en-US" w:eastAsia="nl-NL"/>
          <w14:ligatures w14:val="none"/>
        </w:rPr>
      </w:pPr>
      <w:r w:rsidRPr="00741210">
        <w:rPr>
          <w:rFonts w:ascii="Times New Roman" w:eastAsia="Times New Roman" w:hAnsi="Times New Roman" w:cs="Times New Roman"/>
          <w:color w:val="000000"/>
          <w:kern w:val="0"/>
          <w:sz w:val="24"/>
          <w:szCs w:val="24"/>
          <w:lang w:val="en-US" w:eastAsia="nl-NL"/>
          <w14:ligatures w14:val="none"/>
        </w:rPr>
        <w:t xml:space="preserve">Zeitlin, J., Nicoli, F., &amp; Laffan, B. (2019). Introduction: the European Union beyond the polycrisis? Integration and politicization in an age of shifting cleavages. </w:t>
      </w:r>
      <w:r w:rsidRPr="00741210">
        <w:rPr>
          <w:rFonts w:ascii="Times New Roman" w:eastAsia="Times New Roman" w:hAnsi="Times New Roman" w:cs="Times New Roman"/>
          <w:i/>
          <w:iCs/>
          <w:color w:val="000000"/>
          <w:kern w:val="0"/>
          <w:sz w:val="24"/>
          <w:szCs w:val="24"/>
          <w:lang w:val="en-US" w:eastAsia="nl-NL"/>
          <w14:ligatures w14:val="none"/>
        </w:rPr>
        <w:t>Journal of European Public Policy, 26</w:t>
      </w:r>
      <w:r w:rsidRPr="00741210">
        <w:rPr>
          <w:rFonts w:ascii="Times New Roman" w:eastAsia="Times New Roman" w:hAnsi="Times New Roman" w:cs="Times New Roman"/>
          <w:color w:val="000000"/>
          <w:kern w:val="0"/>
          <w:sz w:val="24"/>
          <w:szCs w:val="24"/>
          <w:lang w:val="en-US" w:eastAsia="nl-NL"/>
          <w14:ligatures w14:val="none"/>
        </w:rPr>
        <w:t xml:space="preserve">(7), 963-976. </w:t>
      </w:r>
      <w:hyperlink r:id="rId71" w:history="1">
        <w:r w:rsidRPr="00741210">
          <w:rPr>
            <w:rStyle w:val="Hyperlink"/>
            <w:rFonts w:ascii="Times New Roman" w:eastAsia="Times New Roman" w:hAnsi="Times New Roman" w:cs="Times New Roman"/>
            <w:kern w:val="0"/>
            <w:sz w:val="24"/>
            <w:szCs w:val="24"/>
            <w:lang w:val="en-US" w:eastAsia="nl-NL"/>
            <w14:ligatures w14:val="none"/>
          </w:rPr>
          <w:t>https://doi.org/10.1080/13501763.2019.1619803</w:t>
        </w:r>
      </w:hyperlink>
    </w:p>
    <w:p w14:paraId="252CB54B" w14:textId="758E6037" w:rsidR="00057AD5" w:rsidRPr="006E29E2" w:rsidRDefault="00057AD5" w:rsidP="00057AD5">
      <w:pPr>
        <w:shd w:val="clear" w:color="auto" w:fill="FFFFFF"/>
        <w:spacing w:after="0" w:line="480" w:lineRule="auto"/>
        <w:ind w:left="851" w:hanging="851"/>
        <w:jc w:val="both"/>
        <w:rPr>
          <w:rFonts w:ascii="Times New Roman" w:eastAsia="Times New Roman" w:hAnsi="Times New Roman" w:cs="Times New Roman"/>
          <w:color w:val="000000"/>
          <w:kern w:val="0"/>
          <w:sz w:val="24"/>
          <w:szCs w:val="24"/>
          <w:lang w:val="en-GB" w:eastAsia="nl-NL"/>
          <w14:ligatures w14:val="none"/>
        </w:rPr>
      </w:pPr>
      <w:r w:rsidRPr="00057AD5">
        <w:rPr>
          <w:rFonts w:ascii="Times New Roman" w:eastAsia="Times New Roman" w:hAnsi="Times New Roman" w:cs="Times New Roman"/>
          <w:color w:val="000000"/>
          <w:kern w:val="0"/>
          <w:sz w:val="24"/>
          <w:szCs w:val="24"/>
          <w:lang w:val="en-GB" w:eastAsia="nl-NL"/>
          <w14:ligatures w14:val="none"/>
        </w:rPr>
        <w:t xml:space="preserve">Zimmermann, H., &amp; Dür, A. (2021). </w:t>
      </w:r>
      <w:r w:rsidRPr="00057AD5">
        <w:rPr>
          <w:rFonts w:ascii="Times New Roman" w:eastAsia="Times New Roman" w:hAnsi="Times New Roman" w:cs="Times New Roman"/>
          <w:i/>
          <w:iCs/>
          <w:color w:val="000000"/>
          <w:kern w:val="0"/>
          <w:sz w:val="24"/>
          <w:szCs w:val="24"/>
          <w:lang w:val="en-GB" w:eastAsia="nl-NL"/>
          <w14:ligatures w14:val="none"/>
        </w:rPr>
        <w:t xml:space="preserve">Key controversies in </w:t>
      </w:r>
      <w:r w:rsidR="006E29E2">
        <w:rPr>
          <w:rFonts w:ascii="Times New Roman" w:eastAsia="Times New Roman" w:hAnsi="Times New Roman" w:cs="Times New Roman"/>
          <w:i/>
          <w:iCs/>
          <w:color w:val="000000"/>
          <w:kern w:val="0"/>
          <w:sz w:val="24"/>
          <w:szCs w:val="24"/>
          <w:lang w:val="en-GB" w:eastAsia="nl-NL"/>
          <w14:ligatures w14:val="none"/>
        </w:rPr>
        <w:t>E</w:t>
      </w:r>
      <w:r w:rsidRPr="00057AD5">
        <w:rPr>
          <w:rFonts w:ascii="Times New Roman" w:eastAsia="Times New Roman" w:hAnsi="Times New Roman" w:cs="Times New Roman"/>
          <w:i/>
          <w:iCs/>
          <w:color w:val="000000"/>
          <w:kern w:val="0"/>
          <w:sz w:val="24"/>
          <w:szCs w:val="24"/>
          <w:lang w:val="en-GB" w:eastAsia="nl-NL"/>
          <w14:ligatures w14:val="none"/>
        </w:rPr>
        <w:t xml:space="preserve">uropean </w:t>
      </w:r>
      <w:r w:rsidR="006E29E2">
        <w:rPr>
          <w:rFonts w:ascii="Times New Roman" w:eastAsia="Times New Roman" w:hAnsi="Times New Roman" w:cs="Times New Roman"/>
          <w:i/>
          <w:iCs/>
          <w:color w:val="000000"/>
          <w:kern w:val="0"/>
          <w:sz w:val="24"/>
          <w:szCs w:val="24"/>
          <w:lang w:val="en-GB" w:eastAsia="nl-NL"/>
          <w14:ligatures w14:val="none"/>
        </w:rPr>
        <w:t>I</w:t>
      </w:r>
      <w:r w:rsidRPr="00057AD5">
        <w:rPr>
          <w:rFonts w:ascii="Times New Roman" w:eastAsia="Times New Roman" w:hAnsi="Times New Roman" w:cs="Times New Roman"/>
          <w:i/>
          <w:iCs/>
          <w:color w:val="000000"/>
          <w:kern w:val="0"/>
          <w:sz w:val="24"/>
          <w:szCs w:val="24"/>
          <w:lang w:val="en-GB" w:eastAsia="nl-NL"/>
          <w14:ligatures w14:val="none"/>
        </w:rPr>
        <w:t>ntegration</w:t>
      </w:r>
      <w:r w:rsidRPr="00057AD5">
        <w:rPr>
          <w:rFonts w:ascii="Times New Roman" w:eastAsia="Times New Roman" w:hAnsi="Times New Roman" w:cs="Times New Roman"/>
          <w:color w:val="000000"/>
          <w:kern w:val="0"/>
          <w:sz w:val="24"/>
          <w:szCs w:val="24"/>
          <w:lang w:val="en-GB" w:eastAsia="nl-NL"/>
          <w14:ligatures w14:val="none"/>
        </w:rPr>
        <w:t xml:space="preserve">. </w:t>
      </w:r>
      <w:r w:rsidRPr="006E29E2">
        <w:rPr>
          <w:rFonts w:ascii="Times New Roman" w:eastAsia="Times New Roman" w:hAnsi="Times New Roman" w:cs="Times New Roman"/>
          <w:color w:val="000000"/>
          <w:kern w:val="0"/>
          <w:sz w:val="24"/>
          <w:szCs w:val="24"/>
          <w:lang w:val="en-GB" w:eastAsia="nl-NL"/>
          <w14:ligatures w14:val="none"/>
        </w:rPr>
        <w:t>Bloomsbury Publishing Plc.</w:t>
      </w:r>
    </w:p>
    <w:p w14:paraId="05A4D831" w14:textId="77777777" w:rsidR="00057AD5" w:rsidRPr="00E133F8" w:rsidRDefault="00057AD5" w:rsidP="00F325C6">
      <w:pPr>
        <w:shd w:val="clear" w:color="auto" w:fill="FFFFFF"/>
        <w:spacing w:after="0" w:line="480" w:lineRule="auto"/>
        <w:ind w:left="851" w:hanging="851"/>
        <w:jc w:val="both"/>
        <w:rPr>
          <w:rFonts w:ascii="Times New Roman" w:eastAsia="Times New Roman" w:hAnsi="Times New Roman" w:cs="Times New Roman"/>
          <w:color w:val="000000"/>
          <w:kern w:val="0"/>
          <w:sz w:val="24"/>
          <w:szCs w:val="24"/>
          <w:lang w:val="en-GB" w:eastAsia="nl-NL"/>
          <w14:ligatures w14:val="none"/>
        </w:rPr>
      </w:pPr>
    </w:p>
    <w:p w14:paraId="182909AE" w14:textId="77777777" w:rsidR="00F325C6" w:rsidRDefault="00F325C6" w:rsidP="00F325C6">
      <w:pPr>
        <w:spacing w:line="360" w:lineRule="auto"/>
        <w:jc w:val="both"/>
        <w:rPr>
          <w:rFonts w:ascii="Times New Roman" w:hAnsi="Times New Roman" w:cs="Times New Roman"/>
          <w:sz w:val="24"/>
          <w:szCs w:val="24"/>
          <w:lang w:val="en-GB"/>
        </w:rPr>
      </w:pPr>
    </w:p>
    <w:p w14:paraId="1B2BC246" w14:textId="77777777" w:rsidR="00F325C6" w:rsidRPr="00800360" w:rsidRDefault="00F325C6" w:rsidP="00F325C6">
      <w:pPr>
        <w:spacing w:line="360" w:lineRule="auto"/>
        <w:jc w:val="both"/>
        <w:rPr>
          <w:rFonts w:ascii="Times New Roman" w:hAnsi="Times New Roman" w:cs="Times New Roman"/>
          <w:sz w:val="24"/>
          <w:szCs w:val="24"/>
          <w:lang w:val="en-GB"/>
        </w:rPr>
      </w:pPr>
    </w:p>
    <w:p w14:paraId="78C8B3E5" w14:textId="77777777" w:rsidR="00F325C6" w:rsidRPr="00800360" w:rsidRDefault="00F325C6" w:rsidP="00F325C6">
      <w:pPr>
        <w:rPr>
          <w:lang w:val="en-GB"/>
        </w:rPr>
      </w:pPr>
    </w:p>
    <w:p w14:paraId="46AA486F" w14:textId="77777777" w:rsidR="00F325C6" w:rsidRPr="00800360" w:rsidRDefault="00F325C6" w:rsidP="00F325C6">
      <w:pPr>
        <w:rPr>
          <w:rFonts w:ascii="Times New Roman" w:hAnsi="Times New Roman" w:cs="Times New Roman"/>
          <w:sz w:val="24"/>
          <w:szCs w:val="24"/>
          <w:lang w:val="en-GB"/>
        </w:rPr>
      </w:pPr>
    </w:p>
    <w:p w14:paraId="5214F205" w14:textId="77777777" w:rsidR="00F325C6" w:rsidRPr="00F325C6" w:rsidRDefault="00F325C6">
      <w:pPr>
        <w:rPr>
          <w:lang w:val="en-GB"/>
        </w:rPr>
      </w:pPr>
    </w:p>
    <w:sectPr w:rsidR="00F325C6" w:rsidRPr="00F325C6" w:rsidSect="0045363E">
      <w:footerReference w:type="default" r:id="rId72"/>
      <w:pgSz w:w="11906" w:h="16838"/>
      <w:pgMar w:top="1417" w:right="1417" w:bottom="1417" w:left="1417"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8DAB9A2" w14:textId="77777777" w:rsidR="00527D27" w:rsidRDefault="00527D27" w:rsidP="00F325C6">
      <w:pPr>
        <w:spacing w:after="0" w:line="240" w:lineRule="auto"/>
      </w:pPr>
      <w:r>
        <w:separator/>
      </w:r>
    </w:p>
  </w:endnote>
  <w:endnote w:type="continuationSeparator" w:id="0">
    <w:p w14:paraId="1CA65C27" w14:textId="77777777" w:rsidR="00527D27" w:rsidRDefault="00527D27" w:rsidP="00F325C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540976606"/>
      <w:docPartObj>
        <w:docPartGallery w:val="Page Numbers (Bottom of Page)"/>
        <w:docPartUnique/>
      </w:docPartObj>
    </w:sdtPr>
    <w:sdtEndPr/>
    <w:sdtContent>
      <w:p w14:paraId="5B9EBEE5" w14:textId="77777777" w:rsidR="00E627B0" w:rsidRDefault="00E627B0">
        <w:pPr>
          <w:pStyle w:val="Voettekst"/>
          <w:jc w:val="center"/>
        </w:pPr>
        <w:r>
          <w:rPr>
            <w:noProof/>
          </w:rPr>
          <mc:AlternateContent>
            <mc:Choice Requires="wps">
              <w:drawing>
                <wp:inline distT="0" distB="0" distL="0" distR="0" wp14:anchorId="44CCDCD0" wp14:editId="023FE86A">
                  <wp:extent cx="5467350" cy="45085"/>
                  <wp:effectExtent l="9525" t="9525" r="0" b="2540"/>
                  <wp:docPr id="1944538705" name="Stroomdiagram: Beslissing 1" descr="Light horizontal"/>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5467350" cy="45085"/>
                          </a:xfrm>
                          <a:prstGeom prst="flowChartDecision">
                            <a:avLst/>
                          </a:prstGeom>
                          <a:pattFill prst="ltHorz">
                            <a:fgClr>
                              <a:srgbClr val="000000"/>
                            </a:fgClr>
                            <a:bgClr>
                              <a:srgbClr val="FFFFFF"/>
                            </a:bgClr>
                          </a:patt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shapetype w14:anchorId="0DC744F0" id="_x0000_t110" coordsize="21600,21600" o:spt="110" path="m10800,l,10800,10800,21600,21600,10800xe">
                  <v:stroke joinstyle="miter"/>
                  <v:path gradientshapeok="t" o:connecttype="rect" textboxrect="5400,5400,16200,16200"/>
                </v:shapetype>
                <v:shape id="Stroomdiagram: Beslissing 1" o:spid="_x0000_s1026" type="#_x0000_t110" alt="Light horizontal" style="width:430.5pt;height:3.55pt;flip:y;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" fillcolor="black" stroked="f">
                  <v:fill r:id="rId1" o:title="" type="pattern"/>
                  <w10:anchorlock/>
                </v:shape>
              </w:pict>
            </mc:Fallback>
          </mc:AlternateContent>
        </w:r>
      </w:p>
      <w:p w14:paraId="740E3B71" w14:textId="77777777" w:rsidR="00E627B0" w:rsidRDefault="00E627B0">
        <w:pPr>
          <w:pStyle w:val="Voettekst"/>
          <w:jc w:val="center"/>
        </w:pPr>
        <w:r>
          <w:fldChar w:fldCharType="begin"/>
        </w:r>
        <w:r>
          <w:instrText>PAGE    \* MERGEFORMAT</w:instrText>
        </w:r>
        <w:r>
          <w:fldChar w:fldCharType="separate"/>
        </w:r>
        <w:r>
          <w:t>2</w:t>
        </w:r>
        <w:r>
          <w:fldChar w:fldCharType="end"/>
        </w:r>
      </w:p>
    </w:sdtContent>
  </w:sdt>
  <w:p w14:paraId="610B5F9A" w14:textId="77777777" w:rsidR="00E627B0" w:rsidRDefault="00E627B0">
    <w:pPr>
      <w:pStyle w:val="Voetteks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9B10674" w14:textId="77777777" w:rsidR="00527D27" w:rsidRDefault="00527D27" w:rsidP="00F325C6">
      <w:pPr>
        <w:spacing w:after="0" w:line="240" w:lineRule="auto"/>
      </w:pPr>
      <w:r>
        <w:separator/>
      </w:r>
    </w:p>
  </w:footnote>
  <w:footnote w:type="continuationSeparator" w:id="0">
    <w:p w14:paraId="336258A8" w14:textId="77777777" w:rsidR="00527D27" w:rsidRDefault="00527D27" w:rsidP="00F325C6">
      <w:pPr>
        <w:spacing w:after="0" w:line="240" w:lineRule="auto"/>
      </w:pPr>
      <w:r>
        <w:continuationSeparator/>
      </w:r>
    </w:p>
  </w:footnote>
  <w:footnote w:id="1">
    <w:p w14:paraId="3DB6FBE9" w14:textId="77777777" w:rsidR="00CD205B" w:rsidRPr="000C3C20" w:rsidRDefault="00CD205B" w:rsidP="00CD205B">
      <w:pPr>
        <w:pStyle w:val="Voetnoottekst"/>
        <w:jc w:val="both"/>
        <w:rPr>
          <w:rFonts w:ascii="Times New Roman" w:hAnsi="Times New Roman" w:cs="Times New Roman"/>
          <w:lang w:val="en-GB"/>
        </w:rPr>
      </w:pPr>
      <w:r w:rsidRPr="000C3C20">
        <w:rPr>
          <w:rStyle w:val="Voetnootmarkering"/>
          <w:rFonts w:ascii="Times New Roman" w:hAnsi="Times New Roman" w:cs="Times New Roman"/>
        </w:rPr>
        <w:footnoteRef/>
      </w:r>
      <w:r w:rsidRPr="000C3C20">
        <w:rPr>
          <w:rFonts w:ascii="Times New Roman" w:hAnsi="Times New Roman" w:cs="Times New Roman"/>
          <w:lang w:val="en-GB"/>
        </w:rPr>
        <w:t xml:space="preserve"> Algeria, Egypt, Israel, Jordan, Lebanon, Libya, Morocco, Palestine, Syria, Tunesia, Armenia, Azerbaijan, Belarus, Georgia, Moldova and Ukraine</w:t>
      </w:r>
    </w:p>
  </w:footnote>
  <w:footnote w:id="2">
    <w:p w14:paraId="3F2FA4C5" w14:textId="2EBAC54A" w:rsidR="00EB4B56" w:rsidRPr="000C3C20" w:rsidRDefault="00EB4B56" w:rsidP="000C3C20">
      <w:pPr>
        <w:pStyle w:val="Voetnoottekst"/>
        <w:jc w:val="both"/>
        <w:rPr>
          <w:rFonts w:ascii="Times New Roman" w:hAnsi="Times New Roman" w:cs="Times New Roman"/>
          <w:lang w:val="en-US"/>
        </w:rPr>
      </w:pPr>
      <w:r w:rsidRPr="000C3C20">
        <w:rPr>
          <w:rStyle w:val="Voetnootmarkering"/>
          <w:rFonts w:ascii="Times New Roman" w:hAnsi="Times New Roman" w:cs="Times New Roman"/>
        </w:rPr>
        <w:footnoteRef/>
      </w:r>
      <w:r w:rsidRPr="000C3C20">
        <w:rPr>
          <w:rFonts w:ascii="Times New Roman" w:hAnsi="Times New Roman" w:cs="Times New Roman"/>
          <w:lang w:val="en-US"/>
        </w:rPr>
        <w:t xml:space="preserve"> The whole speech of Metsola can be read and watched on the website of the EP. The link will be included in the list of references</w:t>
      </w:r>
      <w:r w:rsidR="000C3C20" w:rsidRPr="000C3C20">
        <w:rPr>
          <w:rFonts w:ascii="Times New Roman" w:hAnsi="Times New Roman" w:cs="Times New Roman"/>
          <w:lang w:val="en-US"/>
        </w:rPr>
        <w:t>.</w:t>
      </w:r>
    </w:p>
  </w:footnote>
  <w:footnote w:id="3">
    <w:p w14:paraId="2BCFD0FA" w14:textId="337F7A88" w:rsidR="000C3C20" w:rsidRPr="000C3C20" w:rsidRDefault="000C3C20" w:rsidP="000C3C20">
      <w:pPr>
        <w:pStyle w:val="Voetnoottekst"/>
        <w:jc w:val="both"/>
        <w:rPr>
          <w:rFonts w:ascii="Times New Roman" w:hAnsi="Times New Roman" w:cs="Times New Roman"/>
          <w:lang w:val="en-US"/>
        </w:rPr>
      </w:pPr>
      <w:r w:rsidRPr="000C3C20">
        <w:rPr>
          <w:rStyle w:val="Voetnootmarkering"/>
          <w:rFonts w:ascii="Times New Roman" w:hAnsi="Times New Roman" w:cs="Times New Roman"/>
        </w:rPr>
        <w:footnoteRef/>
      </w:r>
      <w:r w:rsidRPr="000C3C20">
        <w:rPr>
          <w:rFonts w:ascii="Times New Roman" w:hAnsi="Times New Roman" w:cs="Times New Roman"/>
          <w:lang w:val="en-US"/>
        </w:rPr>
        <w:t xml:space="preserve"> The whole plan and the status of its implementation can be read on the website of the European Parliament. The link will be included in the list of </w:t>
      </w:r>
      <w:r w:rsidR="00EA343E" w:rsidRPr="000C3C20">
        <w:rPr>
          <w:rFonts w:ascii="Times New Roman" w:hAnsi="Times New Roman" w:cs="Times New Roman"/>
          <w:lang w:val="en-US"/>
        </w:rPr>
        <w:t>references.</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481CD6"/>
    <w:multiLevelType w:val="hybridMultilevel"/>
    <w:tmpl w:val="5374E5F6"/>
    <w:lvl w:ilvl="0" w:tplc="B1EC1B8C">
      <w:numFmt w:val="bullet"/>
      <w:lvlText w:val="-"/>
      <w:lvlJc w:val="left"/>
      <w:pPr>
        <w:ind w:left="720" w:hanging="360"/>
      </w:pPr>
      <w:rPr>
        <w:rFonts w:ascii="Times New Roman" w:eastAsiaTheme="minorHAnsi"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15:restartNumberingAfterBreak="0">
    <w:nsid w:val="0FB016A2"/>
    <w:multiLevelType w:val="multilevel"/>
    <w:tmpl w:val="C6A423AA"/>
    <w:lvl w:ilvl="0">
      <w:start w:val="1"/>
      <w:numFmt w:val="decimal"/>
      <w:lvlText w:val="%1."/>
      <w:lvlJc w:val="left"/>
      <w:pPr>
        <w:ind w:left="720" w:hanging="360"/>
      </w:pPr>
      <w:rPr>
        <w:rFonts w:hint="default"/>
      </w:rPr>
    </w:lvl>
    <w:lvl w:ilvl="1">
      <w:start w:val="2"/>
      <w:numFmt w:val="decimal"/>
      <w:isLgl/>
      <w:lvlText w:val="%1.%2"/>
      <w:lvlJc w:val="left"/>
      <w:pPr>
        <w:ind w:left="744" w:hanging="384"/>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 w15:restartNumberingAfterBreak="0">
    <w:nsid w:val="25D10C52"/>
    <w:multiLevelType w:val="hybridMultilevel"/>
    <w:tmpl w:val="2D28A0C4"/>
    <w:lvl w:ilvl="0" w:tplc="C4B006FC">
      <w:numFmt w:val="bullet"/>
      <w:lvlText w:val="-"/>
      <w:lvlJc w:val="left"/>
      <w:pPr>
        <w:ind w:left="720" w:hanging="360"/>
      </w:pPr>
      <w:rPr>
        <w:rFonts w:ascii="Aptos" w:eastAsiaTheme="minorHAnsi" w:hAnsi="Aptos" w:cstheme="minorBidi"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 w15:restartNumberingAfterBreak="0">
    <w:nsid w:val="2DDB6FAB"/>
    <w:multiLevelType w:val="hybridMultilevel"/>
    <w:tmpl w:val="18AE43A0"/>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 w15:restartNumberingAfterBreak="0">
    <w:nsid w:val="393731DA"/>
    <w:multiLevelType w:val="hybridMultilevel"/>
    <w:tmpl w:val="A7E464AC"/>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5" w15:restartNumberingAfterBreak="0">
    <w:nsid w:val="3F915826"/>
    <w:multiLevelType w:val="multilevel"/>
    <w:tmpl w:val="9FD41BC6"/>
    <w:lvl w:ilvl="0">
      <w:start w:val="1"/>
      <w:numFmt w:val="decimal"/>
      <w:lvlText w:val="%1."/>
      <w:lvlJc w:val="left"/>
      <w:pPr>
        <w:ind w:left="720" w:hanging="360"/>
      </w:pPr>
      <w:rPr>
        <w:rFonts w:hint="default"/>
      </w:rPr>
    </w:lvl>
    <w:lvl w:ilvl="1">
      <w:start w:val="1"/>
      <w:numFmt w:val="decimal"/>
      <w:isLgl/>
      <w:lvlText w:val="%1.%2"/>
      <w:lvlJc w:val="left"/>
      <w:pPr>
        <w:ind w:left="750" w:hanging="39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6" w15:restartNumberingAfterBreak="0">
    <w:nsid w:val="41657261"/>
    <w:multiLevelType w:val="hybridMultilevel"/>
    <w:tmpl w:val="1F5666EA"/>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7" w15:restartNumberingAfterBreak="0">
    <w:nsid w:val="54DC494E"/>
    <w:multiLevelType w:val="hybridMultilevel"/>
    <w:tmpl w:val="D5DCD6B2"/>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8" w15:restartNumberingAfterBreak="0">
    <w:nsid w:val="569555C6"/>
    <w:multiLevelType w:val="hybridMultilevel"/>
    <w:tmpl w:val="AFECA58C"/>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9" w15:restartNumberingAfterBreak="0">
    <w:nsid w:val="5C5569F4"/>
    <w:multiLevelType w:val="hybridMultilevel"/>
    <w:tmpl w:val="D8F00B3A"/>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num w:numId="1" w16cid:durableId="427308594">
    <w:abstractNumId w:val="4"/>
  </w:num>
  <w:num w:numId="2" w16cid:durableId="1728407240">
    <w:abstractNumId w:val="0"/>
  </w:num>
  <w:num w:numId="3" w16cid:durableId="1113745770">
    <w:abstractNumId w:val="5"/>
  </w:num>
  <w:num w:numId="4" w16cid:durableId="265237090">
    <w:abstractNumId w:val="3"/>
  </w:num>
  <w:num w:numId="5" w16cid:durableId="423308364">
    <w:abstractNumId w:val="6"/>
  </w:num>
  <w:num w:numId="6" w16cid:durableId="729688879">
    <w:abstractNumId w:val="8"/>
  </w:num>
  <w:num w:numId="7" w16cid:durableId="1181629512">
    <w:abstractNumId w:val="2"/>
  </w:num>
  <w:num w:numId="8" w16cid:durableId="622462052">
    <w:abstractNumId w:val="1"/>
  </w:num>
  <w:num w:numId="9" w16cid:durableId="1784154521">
    <w:abstractNumId w:val="7"/>
  </w:num>
  <w:num w:numId="10" w16cid:durableId="88830235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325C6"/>
    <w:rsid w:val="00002534"/>
    <w:rsid w:val="00004A9C"/>
    <w:rsid w:val="000060C9"/>
    <w:rsid w:val="00012B47"/>
    <w:rsid w:val="00015345"/>
    <w:rsid w:val="00017812"/>
    <w:rsid w:val="00033700"/>
    <w:rsid w:val="00041578"/>
    <w:rsid w:val="00044C0E"/>
    <w:rsid w:val="00045AE0"/>
    <w:rsid w:val="00046F9D"/>
    <w:rsid w:val="000503E8"/>
    <w:rsid w:val="000564D6"/>
    <w:rsid w:val="00057AD5"/>
    <w:rsid w:val="000611E5"/>
    <w:rsid w:val="000615A8"/>
    <w:rsid w:val="000629B8"/>
    <w:rsid w:val="00066C48"/>
    <w:rsid w:val="000701BA"/>
    <w:rsid w:val="0007030D"/>
    <w:rsid w:val="00072554"/>
    <w:rsid w:val="00073841"/>
    <w:rsid w:val="00074DC3"/>
    <w:rsid w:val="0007579E"/>
    <w:rsid w:val="000779C4"/>
    <w:rsid w:val="00080962"/>
    <w:rsid w:val="000824F9"/>
    <w:rsid w:val="0008261C"/>
    <w:rsid w:val="000876AF"/>
    <w:rsid w:val="00093959"/>
    <w:rsid w:val="00095DD7"/>
    <w:rsid w:val="00096DC9"/>
    <w:rsid w:val="000B068E"/>
    <w:rsid w:val="000B36B1"/>
    <w:rsid w:val="000B5FB8"/>
    <w:rsid w:val="000B698E"/>
    <w:rsid w:val="000B77EB"/>
    <w:rsid w:val="000C3C20"/>
    <w:rsid w:val="000C3EC1"/>
    <w:rsid w:val="000D0222"/>
    <w:rsid w:val="000D3514"/>
    <w:rsid w:val="000D405E"/>
    <w:rsid w:val="000D6D5A"/>
    <w:rsid w:val="000D72C7"/>
    <w:rsid w:val="000E0F5B"/>
    <w:rsid w:val="000E25AE"/>
    <w:rsid w:val="000E7AFC"/>
    <w:rsid w:val="000F038F"/>
    <w:rsid w:val="000F5451"/>
    <w:rsid w:val="001008AF"/>
    <w:rsid w:val="001011FC"/>
    <w:rsid w:val="0010484C"/>
    <w:rsid w:val="001145DA"/>
    <w:rsid w:val="00125D55"/>
    <w:rsid w:val="0012780F"/>
    <w:rsid w:val="00130575"/>
    <w:rsid w:val="00131AD1"/>
    <w:rsid w:val="00134F02"/>
    <w:rsid w:val="00141E47"/>
    <w:rsid w:val="00143248"/>
    <w:rsid w:val="001501EF"/>
    <w:rsid w:val="00157EDF"/>
    <w:rsid w:val="0016184D"/>
    <w:rsid w:val="00162F17"/>
    <w:rsid w:val="00167A4E"/>
    <w:rsid w:val="00167FB7"/>
    <w:rsid w:val="00172B1D"/>
    <w:rsid w:val="00174DF2"/>
    <w:rsid w:val="001771F2"/>
    <w:rsid w:val="001814A1"/>
    <w:rsid w:val="001854FC"/>
    <w:rsid w:val="001867A3"/>
    <w:rsid w:val="001913C2"/>
    <w:rsid w:val="001A598A"/>
    <w:rsid w:val="001A5E39"/>
    <w:rsid w:val="001B1A8F"/>
    <w:rsid w:val="001B4C86"/>
    <w:rsid w:val="001B5065"/>
    <w:rsid w:val="001B5B32"/>
    <w:rsid w:val="001C019D"/>
    <w:rsid w:val="001C089C"/>
    <w:rsid w:val="001C53BE"/>
    <w:rsid w:val="001C5920"/>
    <w:rsid w:val="001D42CD"/>
    <w:rsid w:val="001D6371"/>
    <w:rsid w:val="001D6D21"/>
    <w:rsid w:val="001E10CF"/>
    <w:rsid w:val="001E181D"/>
    <w:rsid w:val="001E26BF"/>
    <w:rsid w:val="001E3218"/>
    <w:rsid w:val="001E526A"/>
    <w:rsid w:val="001E57D1"/>
    <w:rsid w:val="001E5B57"/>
    <w:rsid w:val="001E63A3"/>
    <w:rsid w:val="001F0892"/>
    <w:rsid w:val="001F20A7"/>
    <w:rsid w:val="001F4F4B"/>
    <w:rsid w:val="002036EE"/>
    <w:rsid w:val="00203E0D"/>
    <w:rsid w:val="00211370"/>
    <w:rsid w:val="0021289D"/>
    <w:rsid w:val="002170AF"/>
    <w:rsid w:val="002233BF"/>
    <w:rsid w:val="0022785F"/>
    <w:rsid w:val="002308B4"/>
    <w:rsid w:val="002322EC"/>
    <w:rsid w:val="0023489A"/>
    <w:rsid w:val="002356BF"/>
    <w:rsid w:val="00242E60"/>
    <w:rsid w:val="00243D2E"/>
    <w:rsid w:val="00244532"/>
    <w:rsid w:val="00244EA3"/>
    <w:rsid w:val="00245F07"/>
    <w:rsid w:val="00253257"/>
    <w:rsid w:val="00253B64"/>
    <w:rsid w:val="00260AF4"/>
    <w:rsid w:val="002631CC"/>
    <w:rsid w:val="00266DD3"/>
    <w:rsid w:val="00267AFE"/>
    <w:rsid w:val="002702E5"/>
    <w:rsid w:val="00276848"/>
    <w:rsid w:val="0028119F"/>
    <w:rsid w:val="00287B29"/>
    <w:rsid w:val="00291596"/>
    <w:rsid w:val="00291EDC"/>
    <w:rsid w:val="00296FFC"/>
    <w:rsid w:val="002A4DB3"/>
    <w:rsid w:val="002A5ED4"/>
    <w:rsid w:val="002B758F"/>
    <w:rsid w:val="002D07E4"/>
    <w:rsid w:val="002D0D82"/>
    <w:rsid w:val="002D4E16"/>
    <w:rsid w:val="002D5DB8"/>
    <w:rsid w:val="002D7161"/>
    <w:rsid w:val="002D7D5D"/>
    <w:rsid w:val="002E3C13"/>
    <w:rsid w:val="002E44A9"/>
    <w:rsid w:val="002E6097"/>
    <w:rsid w:val="002F21FD"/>
    <w:rsid w:val="00304287"/>
    <w:rsid w:val="00304D8A"/>
    <w:rsid w:val="00307893"/>
    <w:rsid w:val="00312601"/>
    <w:rsid w:val="00314B1B"/>
    <w:rsid w:val="0031684B"/>
    <w:rsid w:val="0032126A"/>
    <w:rsid w:val="00324F21"/>
    <w:rsid w:val="00326F09"/>
    <w:rsid w:val="003276FF"/>
    <w:rsid w:val="00332E35"/>
    <w:rsid w:val="003333A3"/>
    <w:rsid w:val="00333568"/>
    <w:rsid w:val="00335BCF"/>
    <w:rsid w:val="003373C0"/>
    <w:rsid w:val="00340D3B"/>
    <w:rsid w:val="003417C2"/>
    <w:rsid w:val="00341BE6"/>
    <w:rsid w:val="003430DD"/>
    <w:rsid w:val="00343E5F"/>
    <w:rsid w:val="00344E5E"/>
    <w:rsid w:val="00345A37"/>
    <w:rsid w:val="003527E0"/>
    <w:rsid w:val="003542F1"/>
    <w:rsid w:val="003560EE"/>
    <w:rsid w:val="00364730"/>
    <w:rsid w:val="00364CEB"/>
    <w:rsid w:val="003721B7"/>
    <w:rsid w:val="00372B78"/>
    <w:rsid w:val="003901B3"/>
    <w:rsid w:val="003936D0"/>
    <w:rsid w:val="0039461C"/>
    <w:rsid w:val="00397216"/>
    <w:rsid w:val="00397D1D"/>
    <w:rsid w:val="003A0171"/>
    <w:rsid w:val="003A5CA9"/>
    <w:rsid w:val="003A6161"/>
    <w:rsid w:val="003A72C4"/>
    <w:rsid w:val="003B2139"/>
    <w:rsid w:val="003B4CAB"/>
    <w:rsid w:val="003C1B59"/>
    <w:rsid w:val="003C1BE3"/>
    <w:rsid w:val="003C3C03"/>
    <w:rsid w:val="003C4433"/>
    <w:rsid w:val="003D039F"/>
    <w:rsid w:val="003D084A"/>
    <w:rsid w:val="003D3C1E"/>
    <w:rsid w:val="003D694A"/>
    <w:rsid w:val="003E21C1"/>
    <w:rsid w:val="003E601C"/>
    <w:rsid w:val="003F1252"/>
    <w:rsid w:val="003F1690"/>
    <w:rsid w:val="003F1757"/>
    <w:rsid w:val="00405BD8"/>
    <w:rsid w:val="00406465"/>
    <w:rsid w:val="00406EC7"/>
    <w:rsid w:val="00407E18"/>
    <w:rsid w:val="004149B2"/>
    <w:rsid w:val="00415A11"/>
    <w:rsid w:val="00417058"/>
    <w:rsid w:val="00420B5F"/>
    <w:rsid w:val="0042504F"/>
    <w:rsid w:val="00432CF1"/>
    <w:rsid w:val="00432E9F"/>
    <w:rsid w:val="00440265"/>
    <w:rsid w:val="00445371"/>
    <w:rsid w:val="0045363E"/>
    <w:rsid w:val="004556A5"/>
    <w:rsid w:val="00455CA4"/>
    <w:rsid w:val="004560B0"/>
    <w:rsid w:val="00465BDA"/>
    <w:rsid w:val="004747A9"/>
    <w:rsid w:val="00476EDB"/>
    <w:rsid w:val="00481DD3"/>
    <w:rsid w:val="00484486"/>
    <w:rsid w:val="00491125"/>
    <w:rsid w:val="004A2036"/>
    <w:rsid w:val="004B0183"/>
    <w:rsid w:val="004B273D"/>
    <w:rsid w:val="004B578C"/>
    <w:rsid w:val="004B5D4D"/>
    <w:rsid w:val="004B6DBD"/>
    <w:rsid w:val="004C18BF"/>
    <w:rsid w:val="004C3516"/>
    <w:rsid w:val="004D36AA"/>
    <w:rsid w:val="004D3D70"/>
    <w:rsid w:val="004E3B26"/>
    <w:rsid w:val="004E4ECB"/>
    <w:rsid w:val="004F19E3"/>
    <w:rsid w:val="004F288F"/>
    <w:rsid w:val="004F3F06"/>
    <w:rsid w:val="004F5E0E"/>
    <w:rsid w:val="005035FF"/>
    <w:rsid w:val="00505C30"/>
    <w:rsid w:val="00511DC0"/>
    <w:rsid w:val="00513139"/>
    <w:rsid w:val="005231A8"/>
    <w:rsid w:val="005240FD"/>
    <w:rsid w:val="00524300"/>
    <w:rsid w:val="0052547E"/>
    <w:rsid w:val="0052724B"/>
    <w:rsid w:val="00527D27"/>
    <w:rsid w:val="00534308"/>
    <w:rsid w:val="00534D59"/>
    <w:rsid w:val="005412EE"/>
    <w:rsid w:val="0054142C"/>
    <w:rsid w:val="005434F6"/>
    <w:rsid w:val="00544858"/>
    <w:rsid w:val="00546708"/>
    <w:rsid w:val="005519F1"/>
    <w:rsid w:val="00552F82"/>
    <w:rsid w:val="00553793"/>
    <w:rsid w:val="00554299"/>
    <w:rsid w:val="00554F78"/>
    <w:rsid w:val="005557E5"/>
    <w:rsid w:val="0055589C"/>
    <w:rsid w:val="005614DA"/>
    <w:rsid w:val="00561C38"/>
    <w:rsid w:val="0056629A"/>
    <w:rsid w:val="00571B0C"/>
    <w:rsid w:val="00573D56"/>
    <w:rsid w:val="00574D74"/>
    <w:rsid w:val="00575404"/>
    <w:rsid w:val="005814FD"/>
    <w:rsid w:val="00585F53"/>
    <w:rsid w:val="00587E48"/>
    <w:rsid w:val="00592101"/>
    <w:rsid w:val="00593CA7"/>
    <w:rsid w:val="005A096F"/>
    <w:rsid w:val="005A6E6F"/>
    <w:rsid w:val="005B1627"/>
    <w:rsid w:val="005B5F56"/>
    <w:rsid w:val="005C0886"/>
    <w:rsid w:val="005C3224"/>
    <w:rsid w:val="005C65AA"/>
    <w:rsid w:val="005C7CA8"/>
    <w:rsid w:val="005D4B09"/>
    <w:rsid w:val="005D7087"/>
    <w:rsid w:val="005E5E11"/>
    <w:rsid w:val="005E7D21"/>
    <w:rsid w:val="005E7D86"/>
    <w:rsid w:val="005F1B83"/>
    <w:rsid w:val="005F205B"/>
    <w:rsid w:val="005F52A4"/>
    <w:rsid w:val="005F7D4E"/>
    <w:rsid w:val="006033B0"/>
    <w:rsid w:val="0060396C"/>
    <w:rsid w:val="006105A2"/>
    <w:rsid w:val="00614F8F"/>
    <w:rsid w:val="0061573E"/>
    <w:rsid w:val="006165A0"/>
    <w:rsid w:val="00621B6D"/>
    <w:rsid w:val="00625B11"/>
    <w:rsid w:val="00626125"/>
    <w:rsid w:val="00636658"/>
    <w:rsid w:val="006406AC"/>
    <w:rsid w:val="00642C47"/>
    <w:rsid w:val="0064323F"/>
    <w:rsid w:val="00643595"/>
    <w:rsid w:val="006464B6"/>
    <w:rsid w:val="00646750"/>
    <w:rsid w:val="00650814"/>
    <w:rsid w:val="00660958"/>
    <w:rsid w:val="00662E37"/>
    <w:rsid w:val="00676C57"/>
    <w:rsid w:val="006808EB"/>
    <w:rsid w:val="00686412"/>
    <w:rsid w:val="006874EF"/>
    <w:rsid w:val="006878F2"/>
    <w:rsid w:val="00687DB5"/>
    <w:rsid w:val="00687F5D"/>
    <w:rsid w:val="0069279E"/>
    <w:rsid w:val="0069323A"/>
    <w:rsid w:val="00696937"/>
    <w:rsid w:val="006A0FF4"/>
    <w:rsid w:val="006A24FB"/>
    <w:rsid w:val="006A5737"/>
    <w:rsid w:val="006A780F"/>
    <w:rsid w:val="006B3171"/>
    <w:rsid w:val="006C25A1"/>
    <w:rsid w:val="006C424C"/>
    <w:rsid w:val="006C76BC"/>
    <w:rsid w:val="006D06C3"/>
    <w:rsid w:val="006D2146"/>
    <w:rsid w:val="006D31B5"/>
    <w:rsid w:val="006E29E2"/>
    <w:rsid w:val="006E7861"/>
    <w:rsid w:val="006F3E38"/>
    <w:rsid w:val="006F63AB"/>
    <w:rsid w:val="006F66CC"/>
    <w:rsid w:val="006F7FA0"/>
    <w:rsid w:val="007041FE"/>
    <w:rsid w:val="0070590D"/>
    <w:rsid w:val="00705AD7"/>
    <w:rsid w:val="00705CDE"/>
    <w:rsid w:val="00705D70"/>
    <w:rsid w:val="00705EE2"/>
    <w:rsid w:val="00706C2E"/>
    <w:rsid w:val="00723D5D"/>
    <w:rsid w:val="0073150C"/>
    <w:rsid w:val="0073185F"/>
    <w:rsid w:val="007334C2"/>
    <w:rsid w:val="00741210"/>
    <w:rsid w:val="0074265F"/>
    <w:rsid w:val="00742F09"/>
    <w:rsid w:val="007434E3"/>
    <w:rsid w:val="00745D88"/>
    <w:rsid w:val="00750E78"/>
    <w:rsid w:val="007572B5"/>
    <w:rsid w:val="00760D23"/>
    <w:rsid w:val="00762EC0"/>
    <w:rsid w:val="0076505C"/>
    <w:rsid w:val="0076536C"/>
    <w:rsid w:val="007657A5"/>
    <w:rsid w:val="00771996"/>
    <w:rsid w:val="007778F4"/>
    <w:rsid w:val="00780972"/>
    <w:rsid w:val="00784B8F"/>
    <w:rsid w:val="00786195"/>
    <w:rsid w:val="007868EF"/>
    <w:rsid w:val="00787B94"/>
    <w:rsid w:val="00790903"/>
    <w:rsid w:val="0079487F"/>
    <w:rsid w:val="00794D65"/>
    <w:rsid w:val="00795754"/>
    <w:rsid w:val="00797507"/>
    <w:rsid w:val="007A0E15"/>
    <w:rsid w:val="007A24FA"/>
    <w:rsid w:val="007A5E2F"/>
    <w:rsid w:val="007A6298"/>
    <w:rsid w:val="007A7B3F"/>
    <w:rsid w:val="007B33F6"/>
    <w:rsid w:val="007B47ED"/>
    <w:rsid w:val="007B6035"/>
    <w:rsid w:val="007C2FE5"/>
    <w:rsid w:val="007C41F6"/>
    <w:rsid w:val="007D2E5B"/>
    <w:rsid w:val="007D43FD"/>
    <w:rsid w:val="007D4462"/>
    <w:rsid w:val="007D6C1E"/>
    <w:rsid w:val="007E07FB"/>
    <w:rsid w:val="007E0953"/>
    <w:rsid w:val="007E0E85"/>
    <w:rsid w:val="007E13E0"/>
    <w:rsid w:val="007E31B1"/>
    <w:rsid w:val="007E53B2"/>
    <w:rsid w:val="007E5DA0"/>
    <w:rsid w:val="007F1036"/>
    <w:rsid w:val="007F3D16"/>
    <w:rsid w:val="008030E0"/>
    <w:rsid w:val="0080554A"/>
    <w:rsid w:val="00812280"/>
    <w:rsid w:val="00817CE8"/>
    <w:rsid w:val="00826F58"/>
    <w:rsid w:val="00827606"/>
    <w:rsid w:val="0083129E"/>
    <w:rsid w:val="00837887"/>
    <w:rsid w:val="00840A70"/>
    <w:rsid w:val="008440FD"/>
    <w:rsid w:val="00850D81"/>
    <w:rsid w:val="00860424"/>
    <w:rsid w:val="008608D0"/>
    <w:rsid w:val="00860E53"/>
    <w:rsid w:val="00861E0E"/>
    <w:rsid w:val="00866444"/>
    <w:rsid w:val="00866A66"/>
    <w:rsid w:val="0087348B"/>
    <w:rsid w:val="0087683F"/>
    <w:rsid w:val="008803D5"/>
    <w:rsid w:val="00882592"/>
    <w:rsid w:val="00886DB0"/>
    <w:rsid w:val="00887507"/>
    <w:rsid w:val="00896469"/>
    <w:rsid w:val="008A0B48"/>
    <w:rsid w:val="008A2D26"/>
    <w:rsid w:val="008B2095"/>
    <w:rsid w:val="008B4413"/>
    <w:rsid w:val="008B4FB1"/>
    <w:rsid w:val="008B76B8"/>
    <w:rsid w:val="008C07F9"/>
    <w:rsid w:val="008C284C"/>
    <w:rsid w:val="008C33D0"/>
    <w:rsid w:val="008C519E"/>
    <w:rsid w:val="008C6564"/>
    <w:rsid w:val="008C764D"/>
    <w:rsid w:val="008D2BC3"/>
    <w:rsid w:val="008D6E3B"/>
    <w:rsid w:val="008E13C7"/>
    <w:rsid w:val="008E210E"/>
    <w:rsid w:val="008F005B"/>
    <w:rsid w:val="008F19BD"/>
    <w:rsid w:val="008F33F0"/>
    <w:rsid w:val="008F7649"/>
    <w:rsid w:val="008F7B49"/>
    <w:rsid w:val="00900504"/>
    <w:rsid w:val="009005D2"/>
    <w:rsid w:val="009034F3"/>
    <w:rsid w:val="0090410D"/>
    <w:rsid w:val="00905658"/>
    <w:rsid w:val="0091110E"/>
    <w:rsid w:val="009175A1"/>
    <w:rsid w:val="0092069D"/>
    <w:rsid w:val="00932A95"/>
    <w:rsid w:val="00933087"/>
    <w:rsid w:val="00934A5F"/>
    <w:rsid w:val="00936F89"/>
    <w:rsid w:val="009472C3"/>
    <w:rsid w:val="00947AAC"/>
    <w:rsid w:val="00961D9C"/>
    <w:rsid w:val="00964D7E"/>
    <w:rsid w:val="00967459"/>
    <w:rsid w:val="00967597"/>
    <w:rsid w:val="0097103B"/>
    <w:rsid w:val="009714B8"/>
    <w:rsid w:val="00972FC2"/>
    <w:rsid w:val="00973128"/>
    <w:rsid w:val="00974061"/>
    <w:rsid w:val="00981053"/>
    <w:rsid w:val="00982C02"/>
    <w:rsid w:val="00983090"/>
    <w:rsid w:val="00986847"/>
    <w:rsid w:val="0099311F"/>
    <w:rsid w:val="009946A7"/>
    <w:rsid w:val="009A0F49"/>
    <w:rsid w:val="009A33CE"/>
    <w:rsid w:val="009A3BAC"/>
    <w:rsid w:val="009A4877"/>
    <w:rsid w:val="009B3A94"/>
    <w:rsid w:val="009B50C3"/>
    <w:rsid w:val="009B5885"/>
    <w:rsid w:val="009B751E"/>
    <w:rsid w:val="009C52A8"/>
    <w:rsid w:val="009C759B"/>
    <w:rsid w:val="009D1059"/>
    <w:rsid w:val="009D4A5E"/>
    <w:rsid w:val="009E0637"/>
    <w:rsid w:val="009E1F67"/>
    <w:rsid w:val="009E23C8"/>
    <w:rsid w:val="009E5C64"/>
    <w:rsid w:val="009E61A6"/>
    <w:rsid w:val="009F05D0"/>
    <w:rsid w:val="009F3902"/>
    <w:rsid w:val="009F39EA"/>
    <w:rsid w:val="009F52AE"/>
    <w:rsid w:val="009F733F"/>
    <w:rsid w:val="00A1035B"/>
    <w:rsid w:val="00A15568"/>
    <w:rsid w:val="00A16D31"/>
    <w:rsid w:val="00A210EE"/>
    <w:rsid w:val="00A233CE"/>
    <w:rsid w:val="00A246B5"/>
    <w:rsid w:val="00A25A9F"/>
    <w:rsid w:val="00A3076B"/>
    <w:rsid w:val="00A317E9"/>
    <w:rsid w:val="00A36331"/>
    <w:rsid w:val="00A374D5"/>
    <w:rsid w:val="00A43420"/>
    <w:rsid w:val="00A43821"/>
    <w:rsid w:val="00A45E08"/>
    <w:rsid w:val="00A5380A"/>
    <w:rsid w:val="00A71A31"/>
    <w:rsid w:val="00A726FD"/>
    <w:rsid w:val="00A75177"/>
    <w:rsid w:val="00A92741"/>
    <w:rsid w:val="00AA0572"/>
    <w:rsid w:val="00AA1E4B"/>
    <w:rsid w:val="00AA53CE"/>
    <w:rsid w:val="00AB3E44"/>
    <w:rsid w:val="00AB4112"/>
    <w:rsid w:val="00AB4555"/>
    <w:rsid w:val="00AB4EA2"/>
    <w:rsid w:val="00AB4F35"/>
    <w:rsid w:val="00AB6892"/>
    <w:rsid w:val="00AC010E"/>
    <w:rsid w:val="00AC0125"/>
    <w:rsid w:val="00AC227A"/>
    <w:rsid w:val="00AC434D"/>
    <w:rsid w:val="00AC6870"/>
    <w:rsid w:val="00AC758A"/>
    <w:rsid w:val="00AE403B"/>
    <w:rsid w:val="00AE7FC1"/>
    <w:rsid w:val="00AF4D95"/>
    <w:rsid w:val="00AF55C1"/>
    <w:rsid w:val="00B03AEC"/>
    <w:rsid w:val="00B101F5"/>
    <w:rsid w:val="00B11372"/>
    <w:rsid w:val="00B13E22"/>
    <w:rsid w:val="00B13F7D"/>
    <w:rsid w:val="00B14467"/>
    <w:rsid w:val="00B2631E"/>
    <w:rsid w:val="00B268FE"/>
    <w:rsid w:val="00B27CD9"/>
    <w:rsid w:val="00B3435F"/>
    <w:rsid w:val="00B35382"/>
    <w:rsid w:val="00B4109D"/>
    <w:rsid w:val="00B428DA"/>
    <w:rsid w:val="00B46B84"/>
    <w:rsid w:val="00B47A53"/>
    <w:rsid w:val="00B50315"/>
    <w:rsid w:val="00B52337"/>
    <w:rsid w:val="00B536C2"/>
    <w:rsid w:val="00B54521"/>
    <w:rsid w:val="00B55103"/>
    <w:rsid w:val="00B55C4B"/>
    <w:rsid w:val="00B56C41"/>
    <w:rsid w:val="00B5725E"/>
    <w:rsid w:val="00B65132"/>
    <w:rsid w:val="00B71D3C"/>
    <w:rsid w:val="00B71D76"/>
    <w:rsid w:val="00B771FF"/>
    <w:rsid w:val="00B77A0D"/>
    <w:rsid w:val="00B912EF"/>
    <w:rsid w:val="00BA0E51"/>
    <w:rsid w:val="00BA2528"/>
    <w:rsid w:val="00BA3CB8"/>
    <w:rsid w:val="00BA3DB5"/>
    <w:rsid w:val="00BB1F15"/>
    <w:rsid w:val="00BB70E4"/>
    <w:rsid w:val="00BC1A1D"/>
    <w:rsid w:val="00BC1F04"/>
    <w:rsid w:val="00BC7A11"/>
    <w:rsid w:val="00BD49D7"/>
    <w:rsid w:val="00BE052E"/>
    <w:rsid w:val="00BE3141"/>
    <w:rsid w:val="00BE65F0"/>
    <w:rsid w:val="00BF2FB0"/>
    <w:rsid w:val="00BF7F2E"/>
    <w:rsid w:val="00C02EFA"/>
    <w:rsid w:val="00C04DC7"/>
    <w:rsid w:val="00C059A2"/>
    <w:rsid w:val="00C06A5D"/>
    <w:rsid w:val="00C115E4"/>
    <w:rsid w:val="00C11769"/>
    <w:rsid w:val="00C14ABF"/>
    <w:rsid w:val="00C16358"/>
    <w:rsid w:val="00C16F3D"/>
    <w:rsid w:val="00C20A7B"/>
    <w:rsid w:val="00C21487"/>
    <w:rsid w:val="00C22877"/>
    <w:rsid w:val="00C24F82"/>
    <w:rsid w:val="00C253A6"/>
    <w:rsid w:val="00C36B88"/>
    <w:rsid w:val="00C37DF4"/>
    <w:rsid w:val="00C45151"/>
    <w:rsid w:val="00C45540"/>
    <w:rsid w:val="00C45743"/>
    <w:rsid w:val="00C55BC3"/>
    <w:rsid w:val="00C57166"/>
    <w:rsid w:val="00C57370"/>
    <w:rsid w:val="00C6247C"/>
    <w:rsid w:val="00C7267B"/>
    <w:rsid w:val="00C74442"/>
    <w:rsid w:val="00C80015"/>
    <w:rsid w:val="00C8075B"/>
    <w:rsid w:val="00C868DC"/>
    <w:rsid w:val="00C946C9"/>
    <w:rsid w:val="00CA11B0"/>
    <w:rsid w:val="00CA3151"/>
    <w:rsid w:val="00CA4839"/>
    <w:rsid w:val="00CB1E0A"/>
    <w:rsid w:val="00CB5B9C"/>
    <w:rsid w:val="00CB6BAE"/>
    <w:rsid w:val="00CC168C"/>
    <w:rsid w:val="00CC588E"/>
    <w:rsid w:val="00CD0EA6"/>
    <w:rsid w:val="00CD188C"/>
    <w:rsid w:val="00CD1BD1"/>
    <w:rsid w:val="00CD205B"/>
    <w:rsid w:val="00CD5620"/>
    <w:rsid w:val="00CD63EF"/>
    <w:rsid w:val="00CD7EE6"/>
    <w:rsid w:val="00CE3040"/>
    <w:rsid w:val="00CF1023"/>
    <w:rsid w:val="00CF4AF7"/>
    <w:rsid w:val="00CF5654"/>
    <w:rsid w:val="00D039C5"/>
    <w:rsid w:val="00D1080A"/>
    <w:rsid w:val="00D121C5"/>
    <w:rsid w:val="00D14D2C"/>
    <w:rsid w:val="00D20316"/>
    <w:rsid w:val="00D2094D"/>
    <w:rsid w:val="00D2227B"/>
    <w:rsid w:val="00D23847"/>
    <w:rsid w:val="00D30CD2"/>
    <w:rsid w:val="00D333F1"/>
    <w:rsid w:val="00D3490F"/>
    <w:rsid w:val="00D55430"/>
    <w:rsid w:val="00D603E4"/>
    <w:rsid w:val="00D61D9A"/>
    <w:rsid w:val="00D64C6F"/>
    <w:rsid w:val="00D656BC"/>
    <w:rsid w:val="00D65B0F"/>
    <w:rsid w:val="00D7065D"/>
    <w:rsid w:val="00D7274A"/>
    <w:rsid w:val="00D73AB3"/>
    <w:rsid w:val="00D75E78"/>
    <w:rsid w:val="00D7732A"/>
    <w:rsid w:val="00D82AF3"/>
    <w:rsid w:val="00D83F2C"/>
    <w:rsid w:val="00D902D9"/>
    <w:rsid w:val="00D90DC6"/>
    <w:rsid w:val="00D91CE8"/>
    <w:rsid w:val="00D91D8E"/>
    <w:rsid w:val="00D91E7E"/>
    <w:rsid w:val="00D91EA6"/>
    <w:rsid w:val="00D9244E"/>
    <w:rsid w:val="00D96E21"/>
    <w:rsid w:val="00D973ED"/>
    <w:rsid w:val="00DA0AEA"/>
    <w:rsid w:val="00DA1439"/>
    <w:rsid w:val="00DA2490"/>
    <w:rsid w:val="00DA28C5"/>
    <w:rsid w:val="00DA30DA"/>
    <w:rsid w:val="00DB56AD"/>
    <w:rsid w:val="00DC06C5"/>
    <w:rsid w:val="00DC079E"/>
    <w:rsid w:val="00DC36F9"/>
    <w:rsid w:val="00DD0E2B"/>
    <w:rsid w:val="00DD41C2"/>
    <w:rsid w:val="00DD46FF"/>
    <w:rsid w:val="00DE5439"/>
    <w:rsid w:val="00DE6845"/>
    <w:rsid w:val="00DF3592"/>
    <w:rsid w:val="00DF5175"/>
    <w:rsid w:val="00DF5E1D"/>
    <w:rsid w:val="00DF70E5"/>
    <w:rsid w:val="00DF7B09"/>
    <w:rsid w:val="00E02586"/>
    <w:rsid w:val="00E038FF"/>
    <w:rsid w:val="00E06533"/>
    <w:rsid w:val="00E10A90"/>
    <w:rsid w:val="00E12DE8"/>
    <w:rsid w:val="00E14399"/>
    <w:rsid w:val="00E22739"/>
    <w:rsid w:val="00E25239"/>
    <w:rsid w:val="00E31514"/>
    <w:rsid w:val="00E36EE5"/>
    <w:rsid w:val="00E37370"/>
    <w:rsid w:val="00E4094F"/>
    <w:rsid w:val="00E4303C"/>
    <w:rsid w:val="00E4306D"/>
    <w:rsid w:val="00E529CE"/>
    <w:rsid w:val="00E543E9"/>
    <w:rsid w:val="00E54D47"/>
    <w:rsid w:val="00E61874"/>
    <w:rsid w:val="00E627B0"/>
    <w:rsid w:val="00E66056"/>
    <w:rsid w:val="00E70359"/>
    <w:rsid w:val="00E71A1C"/>
    <w:rsid w:val="00E80A08"/>
    <w:rsid w:val="00E8134E"/>
    <w:rsid w:val="00E90F09"/>
    <w:rsid w:val="00E92F89"/>
    <w:rsid w:val="00E93973"/>
    <w:rsid w:val="00E95806"/>
    <w:rsid w:val="00E96FEE"/>
    <w:rsid w:val="00EA1B3C"/>
    <w:rsid w:val="00EA2206"/>
    <w:rsid w:val="00EA282F"/>
    <w:rsid w:val="00EA343E"/>
    <w:rsid w:val="00EB1316"/>
    <w:rsid w:val="00EB1AE5"/>
    <w:rsid w:val="00EB4B56"/>
    <w:rsid w:val="00EB7F75"/>
    <w:rsid w:val="00EC1ED6"/>
    <w:rsid w:val="00ED158C"/>
    <w:rsid w:val="00ED2E1D"/>
    <w:rsid w:val="00ED4273"/>
    <w:rsid w:val="00ED5FC6"/>
    <w:rsid w:val="00ED7AC0"/>
    <w:rsid w:val="00EE0C7D"/>
    <w:rsid w:val="00EE10EB"/>
    <w:rsid w:val="00EE2422"/>
    <w:rsid w:val="00EE3490"/>
    <w:rsid w:val="00EE5F5A"/>
    <w:rsid w:val="00EE75E9"/>
    <w:rsid w:val="00EF10D3"/>
    <w:rsid w:val="00EF2437"/>
    <w:rsid w:val="00EF246E"/>
    <w:rsid w:val="00EF5907"/>
    <w:rsid w:val="00F0127D"/>
    <w:rsid w:val="00F056A5"/>
    <w:rsid w:val="00F074C6"/>
    <w:rsid w:val="00F131A8"/>
    <w:rsid w:val="00F13384"/>
    <w:rsid w:val="00F150D4"/>
    <w:rsid w:val="00F227DD"/>
    <w:rsid w:val="00F22B68"/>
    <w:rsid w:val="00F310C8"/>
    <w:rsid w:val="00F325C6"/>
    <w:rsid w:val="00F32DA8"/>
    <w:rsid w:val="00F35419"/>
    <w:rsid w:val="00F37D13"/>
    <w:rsid w:val="00F4776F"/>
    <w:rsid w:val="00F50779"/>
    <w:rsid w:val="00F50BE0"/>
    <w:rsid w:val="00F51055"/>
    <w:rsid w:val="00F51683"/>
    <w:rsid w:val="00F638E3"/>
    <w:rsid w:val="00F63CB9"/>
    <w:rsid w:val="00F651BB"/>
    <w:rsid w:val="00F7105B"/>
    <w:rsid w:val="00F76E12"/>
    <w:rsid w:val="00F86C4B"/>
    <w:rsid w:val="00F9045D"/>
    <w:rsid w:val="00F9325B"/>
    <w:rsid w:val="00F97001"/>
    <w:rsid w:val="00FA0964"/>
    <w:rsid w:val="00FA0F79"/>
    <w:rsid w:val="00FA1299"/>
    <w:rsid w:val="00FA2D0B"/>
    <w:rsid w:val="00FA5339"/>
    <w:rsid w:val="00FA7F5F"/>
    <w:rsid w:val="00FB444B"/>
    <w:rsid w:val="00FC1A75"/>
    <w:rsid w:val="00FC2864"/>
    <w:rsid w:val="00FD0866"/>
    <w:rsid w:val="00FD10FF"/>
    <w:rsid w:val="00FD4A9E"/>
    <w:rsid w:val="00FE50D5"/>
    <w:rsid w:val="00FE5DD6"/>
    <w:rsid w:val="00FE66B0"/>
    <w:rsid w:val="00FE7978"/>
    <w:rsid w:val="00FF4277"/>
    <w:rsid w:val="032BC0E5"/>
    <w:rsid w:val="1518B6CB"/>
    <w:rsid w:val="1CFE5B35"/>
    <w:rsid w:val="25BDEE89"/>
    <w:rsid w:val="3C9E56C1"/>
    <w:rsid w:val="3E80BEAD"/>
    <w:rsid w:val="40EE5880"/>
    <w:rsid w:val="48AA7915"/>
    <w:rsid w:val="49B87313"/>
    <w:rsid w:val="4A7F5CEA"/>
    <w:rsid w:val="4D0A2BC2"/>
    <w:rsid w:val="59454B3B"/>
    <w:rsid w:val="5FD413E3"/>
    <w:rsid w:val="6EBA3D4D"/>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8511A6"/>
  <w15:chartTrackingRefBased/>
  <w15:docId w15:val="{207FA85A-B0AA-4A62-BF5C-2570F8453C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nl-N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F325C6"/>
  </w:style>
  <w:style w:type="paragraph" w:styleId="Kop1">
    <w:name w:val="heading 1"/>
    <w:basedOn w:val="Standaard"/>
    <w:next w:val="Standaard"/>
    <w:link w:val="Kop1Char"/>
    <w:uiPriority w:val="9"/>
    <w:qFormat/>
    <w:rsid w:val="00F325C6"/>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Kop2">
    <w:name w:val="heading 2"/>
    <w:basedOn w:val="Standaard"/>
    <w:next w:val="Standaard"/>
    <w:link w:val="Kop2Char"/>
    <w:uiPriority w:val="9"/>
    <w:unhideWhenUsed/>
    <w:qFormat/>
    <w:rsid w:val="00F325C6"/>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basedOn w:val="Standaardalinea-lettertype"/>
    <w:link w:val="Kop1"/>
    <w:uiPriority w:val="9"/>
    <w:rsid w:val="00F325C6"/>
    <w:rPr>
      <w:rFonts w:asciiTheme="majorHAnsi" w:eastAsiaTheme="majorEastAsia" w:hAnsiTheme="majorHAnsi" w:cstheme="majorBidi"/>
      <w:color w:val="2F5496" w:themeColor="accent1" w:themeShade="BF"/>
      <w:sz w:val="32"/>
      <w:szCs w:val="32"/>
    </w:rPr>
  </w:style>
  <w:style w:type="character" w:customStyle="1" w:styleId="Kop2Char">
    <w:name w:val="Kop 2 Char"/>
    <w:basedOn w:val="Standaardalinea-lettertype"/>
    <w:link w:val="Kop2"/>
    <w:uiPriority w:val="9"/>
    <w:rsid w:val="00F325C6"/>
    <w:rPr>
      <w:rFonts w:asciiTheme="majorHAnsi" w:eastAsiaTheme="majorEastAsia" w:hAnsiTheme="majorHAnsi" w:cstheme="majorBidi"/>
      <w:color w:val="2F5496" w:themeColor="accent1" w:themeShade="BF"/>
      <w:sz w:val="26"/>
      <w:szCs w:val="26"/>
    </w:rPr>
  </w:style>
  <w:style w:type="paragraph" w:styleId="Voettekst">
    <w:name w:val="footer"/>
    <w:basedOn w:val="Standaard"/>
    <w:link w:val="VoettekstChar"/>
    <w:uiPriority w:val="99"/>
    <w:unhideWhenUsed/>
    <w:rsid w:val="00F325C6"/>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F325C6"/>
  </w:style>
  <w:style w:type="paragraph" w:styleId="Voetnoottekst">
    <w:name w:val="footnote text"/>
    <w:basedOn w:val="Standaard"/>
    <w:link w:val="VoetnoottekstChar"/>
    <w:uiPriority w:val="99"/>
    <w:semiHidden/>
    <w:unhideWhenUsed/>
    <w:rsid w:val="00F325C6"/>
    <w:pPr>
      <w:spacing w:after="0" w:line="240" w:lineRule="auto"/>
    </w:pPr>
    <w:rPr>
      <w:sz w:val="20"/>
      <w:szCs w:val="20"/>
    </w:rPr>
  </w:style>
  <w:style w:type="character" w:customStyle="1" w:styleId="VoetnoottekstChar">
    <w:name w:val="Voetnoottekst Char"/>
    <w:basedOn w:val="Standaardalinea-lettertype"/>
    <w:link w:val="Voetnoottekst"/>
    <w:uiPriority w:val="99"/>
    <w:semiHidden/>
    <w:rsid w:val="00F325C6"/>
    <w:rPr>
      <w:sz w:val="20"/>
      <w:szCs w:val="20"/>
    </w:rPr>
  </w:style>
  <w:style w:type="character" w:styleId="Voetnootmarkering">
    <w:name w:val="footnote reference"/>
    <w:basedOn w:val="Standaardalinea-lettertype"/>
    <w:uiPriority w:val="99"/>
    <w:semiHidden/>
    <w:unhideWhenUsed/>
    <w:rsid w:val="00F325C6"/>
    <w:rPr>
      <w:vertAlign w:val="superscript"/>
    </w:rPr>
  </w:style>
  <w:style w:type="table" w:styleId="Onopgemaaktetabel2">
    <w:name w:val="Plain Table 2"/>
    <w:basedOn w:val="Standaardtabel"/>
    <w:uiPriority w:val="42"/>
    <w:rsid w:val="00F325C6"/>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Standaardalinea-lettertype"/>
    <w:uiPriority w:val="99"/>
    <w:unhideWhenUsed/>
    <w:rsid w:val="00F325C6"/>
    <w:rPr>
      <w:color w:val="0563C1" w:themeColor="hyperlink"/>
      <w:u w:val="single"/>
    </w:rPr>
  </w:style>
  <w:style w:type="paragraph" w:styleId="Kopvaninhoudsopgave">
    <w:name w:val="TOC Heading"/>
    <w:basedOn w:val="Kop1"/>
    <w:next w:val="Standaard"/>
    <w:uiPriority w:val="39"/>
    <w:unhideWhenUsed/>
    <w:qFormat/>
    <w:rsid w:val="00F325C6"/>
    <w:pPr>
      <w:outlineLvl w:val="9"/>
    </w:pPr>
    <w:rPr>
      <w:kern w:val="0"/>
      <w:lang w:eastAsia="nl-NL"/>
      <w14:ligatures w14:val="none"/>
    </w:rPr>
  </w:style>
  <w:style w:type="paragraph" w:styleId="Inhopg2">
    <w:name w:val="toc 2"/>
    <w:basedOn w:val="Standaard"/>
    <w:next w:val="Standaard"/>
    <w:autoRedefine/>
    <w:uiPriority w:val="39"/>
    <w:unhideWhenUsed/>
    <w:rsid w:val="00F325C6"/>
    <w:pPr>
      <w:spacing w:after="100"/>
      <w:ind w:left="220"/>
    </w:pPr>
    <w:rPr>
      <w:rFonts w:eastAsiaTheme="minorEastAsia" w:cs="Times New Roman"/>
      <w:kern w:val="0"/>
      <w:lang w:eastAsia="nl-NL"/>
      <w14:ligatures w14:val="none"/>
    </w:rPr>
  </w:style>
  <w:style w:type="paragraph" w:styleId="Inhopg1">
    <w:name w:val="toc 1"/>
    <w:basedOn w:val="Standaard"/>
    <w:next w:val="Standaard"/>
    <w:autoRedefine/>
    <w:uiPriority w:val="39"/>
    <w:unhideWhenUsed/>
    <w:rsid w:val="00741210"/>
    <w:pPr>
      <w:tabs>
        <w:tab w:val="right" w:leader="dot" w:pos="9062"/>
      </w:tabs>
      <w:spacing w:after="100"/>
      <w:jc w:val="both"/>
    </w:pPr>
    <w:rPr>
      <w:rFonts w:eastAsiaTheme="minorEastAsia" w:cs="Times New Roman"/>
      <w:kern w:val="0"/>
      <w:lang w:eastAsia="nl-NL"/>
      <w14:ligatures w14:val="none"/>
    </w:rPr>
  </w:style>
  <w:style w:type="paragraph" w:styleId="Inhopg3">
    <w:name w:val="toc 3"/>
    <w:basedOn w:val="Standaard"/>
    <w:next w:val="Standaard"/>
    <w:autoRedefine/>
    <w:uiPriority w:val="39"/>
    <w:unhideWhenUsed/>
    <w:rsid w:val="00F325C6"/>
    <w:pPr>
      <w:spacing w:after="100"/>
      <w:ind w:left="440"/>
    </w:pPr>
    <w:rPr>
      <w:rFonts w:eastAsiaTheme="minorEastAsia" w:cs="Times New Roman"/>
      <w:kern w:val="0"/>
      <w:lang w:eastAsia="nl-NL"/>
      <w14:ligatures w14:val="none"/>
    </w:rPr>
  </w:style>
  <w:style w:type="character" w:styleId="Verwijzingopmerking">
    <w:name w:val="annotation reference"/>
    <w:basedOn w:val="Standaardalinea-lettertype"/>
    <w:uiPriority w:val="99"/>
    <w:semiHidden/>
    <w:unhideWhenUsed/>
    <w:rsid w:val="005C65AA"/>
    <w:rPr>
      <w:sz w:val="16"/>
      <w:szCs w:val="16"/>
    </w:rPr>
  </w:style>
  <w:style w:type="paragraph" w:styleId="Tekstopmerking">
    <w:name w:val="annotation text"/>
    <w:basedOn w:val="Standaard"/>
    <w:link w:val="TekstopmerkingChar"/>
    <w:uiPriority w:val="99"/>
    <w:unhideWhenUsed/>
    <w:rsid w:val="005C65AA"/>
    <w:pPr>
      <w:spacing w:line="240" w:lineRule="auto"/>
    </w:pPr>
    <w:rPr>
      <w:sz w:val="20"/>
      <w:szCs w:val="20"/>
    </w:rPr>
  </w:style>
  <w:style w:type="character" w:customStyle="1" w:styleId="TekstopmerkingChar">
    <w:name w:val="Tekst opmerking Char"/>
    <w:basedOn w:val="Standaardalinea-lettertype"/>
    <w:link w:val="Tekstopmerking"/>
    <w:uiPriority w:val="99"/>
    <w:rsid w:val="005C65AA"/>
    <w:rPr>
      <w:sz w:val="20"/>
      <w:szCs w:val="20"/>
    </w:rPr>
  </w:style>
  <w:style w:type="paragraph" w:styleId="Onderwerpvanopmerking">
    <w:name w:val="annotation subject"/>
    <w:basedOn w:val="Tekstopmerking"/>
    <w:next w:val="Tekstopmerking"/>
    <w:link w:val="OnderwerpvanopmerkingChar"/>
    <w:uiPriority w:val="99"/>
    <w:semiHidden/>
    <w:unhideWhenUsed/>
    <w:rsid w:val="005C65AA"/>
    <w:rPr>
      <w:b/>
      <w:bCs/>
    </w:rPr>
  </w:style>
  <w:style w:type="character" w:customStyle="1" w:styleId="OnderwerpvanopmerkingChar">
    <w:name w:val="Onderwerp van opmerking Char"/>
    <w:basedOn w:val="TekstopmerkingChar"/>
    <w:link w:val="Onderwerpvanopmerking"/>
    <w:uiPriority w:val="99"/>
    <w:semiHidden/>
    <w:rsid w:val="005C65AA"/>
    <w:rPr>
      <w:b/>
      <w:bCs/>
      <w:sz w:val="20"/>
      <w:szCs w:val="20"/>
    </w:rPr>
  </w:style>
  <w:style w:type="paragraph" w:styleId="Lijstalinea">
    <w:name w:val="List Paragraph"/>
    <w:basedOn w:val="Standaard"/>
    <w:uiPriority w:val="34"/>
    <w:qFormat/>
    <w:rsid w:val="00B71D3C"/>
    <w:pPr>
      <w:ind w:left="720"/>
      <w:contextualSpacing/>
    </w:pPr>
  </w:style>
  <w:style w:type="paragraph" w:customStyle="1" w:styleId="muitypography-root">
    <w:name w:val="muitypography-root"/>
    <w:basedOn w:val="Standaard"/>
    <w:rsid w:val="00057AD5"/>
    <w:pPr>
      <w:spacing w:before="100" w:beforeAutospacing="1" w:after="100" w:afterAutospacing="1" w:line="240" w:lineRule="auto"/>
    </w:pPr>
    <w:rPr>
      <w:rFonts w:ascii="Times New Roman" w:eastAsia="Times New Roman" w:hAnsi="Times New Roman" w:cs="Times New Roman"/>
      <w:kern w:val="0"/>
      <w:sz w:val="24"/>
      <w:szCs w:val="24"/>
      <w:lang w:eastAsia="nl-NL"/>
      <w14:ligatures w14:val="none"/>
    </w:rPr>
  </w:style>
  <w:style w:type="character" w:styleId="Onopgelostemelding">
    <w:name w:val="Unresolved Mention"/>
    <w:basedOn w:val="Standaardalinea-lettertype"/>
    <w:uiPriority w:val="99"/>
    <w:semiHidden/>
    <w:unhideWhenUsed/>
    <w:rsid w:val="00073841"/>
    <w:rPr>
      <w:color w:val="605E5C"/>
      <w:shd w:val="clear" w:color="auto" w:fill="E1DFDD"/>
    </w:rPr>
  </w:style>
  <w:style w:type="character" w:styleId="GevolgdeHyperlink">
    <w:name w:val="FollowedHyperlink"/>
    <w:basedOn w:val="Standaardalinea-lettertype"/>
    <w:uiPriority w:val="99"/>
    <w:semiHidden/>
    <w:unhideWhenUsed/>
    <w:rsid w:val="006E29E2"/>
    <w:rPr>
      <w:color w:val="954F72" w:themeColor="followedHyperlink"/>
      <w:u w:val="single"/>
    </w:rPr>
  </w:style>
  <w:style w:type="paragraph" w:styleId="Geenafstand">
    <w:name w:val="No Spacing"/>
    <w:link w:val="GeenafstandChar"/>
    <w:uiPriority w:val="1"/>
    <w:qFormat/>
    <w:rsid w:val="0045363E"/>
    <w:pPr>
      <w:spacing w:after="0" w:line="240" w:lineRule="auto"/>
    </w:pPr>
    <w:rPr>
      <w:rFonts w:eastAsiaTheme="minorEastAsia"/>
      <w:kern w:val="0"/>
      <w:lang w:eastAsia="nl-NL"/>
      <w14:ligatures w14:val="none"/>
    </w:rPr>
  </w:style>
  <w:style w:type="character" w:customStyle="1" w:styleId="GeenafstandChar">
    <w:name w:val="Geen afstand Char"/>
    <w:basedOn w:val="Standaardalinea-lettertype"/>
    <w:link w:val="Geenafstand"/>
    <w:uiPriority w:val="1"/>
    <w:rsid w:val="0045363E"/>
    <w:rPr>
      <w:rFonts w:eastAsiaTheme="minorEastAsia"/>
      <w:kern w:val="0"/>
      <w:lang w:eastAsia="nl-NL"/>
      <w14:ligatures w14:val="none"/>
    </w:rPr>
  </w:style>
  <w:style w:type="table" w:styleId="Tabelraster">
    <w:name w:val="Table Grid"/>
    <w:basedOn w:val="Standaardtabel"/>
    <w:uiPriority w:val="39"/>
    <w:rsid w:val="0091110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73652046">
      <w:bodyDiv w:val="1"/>
      <w:marLeft w:val="0"/>
      <w:marRight w:val="0"/>
      <w:marTop w:val="0"/>
      <w:marBottom w:val="0"/>
      <w:divBdr>
        <w:top w:val="none" w:sz="0" w:space="0" w:color="auto"/>
        <w:left w:val="none" w:sz="0" w:space="0" w:color="auto"/>
        <w:bottom w:val="none" w:sz="0" w:space="0" w:color="auto"/>
        <w:right w:val="none" w:sz="0" w:space="0" w:color="auto"/>
      </w:divBdr>
    </w:div>
    <w:div w:id="615718543">
      <w:bodyDiv w:val="1"/>
      <w:marLeft w:val="0"/>
      <w:marRight w:val="0"/>
      <w:marTop w:val="0"/>
      <w:marBottom w:val="0"/>
      <w:divBdr>
        <w:top w:val="none" w:sz="0" w:space="0" w:color="auto"/>
        <w:left w:val="none" w:sz="0" w:space="0" w:color="auto"/>
        <w:bottom w:val="none" w:sz="0" w:space="0" w:color="auto"/>
        <w:right w:val="none" w:sz="0" w:space="0" w:color="auto"/>
      </w:divBdr>
    </w:div>
    <w:div w:id="744688060">
      <w:bodyDiv w:val="1"/>
      <w:marLeft w:val="0"/>
      <w:marRight w:val="0"/>
      <w:marTop w:val="0"/>
      <w:marBottom w:val="0"/>
      <w:divBdr>
        <w:top w:val="none" w:sz="0" w:space="0" w:color="auto"/>
        <w:left w:val="none" w:sz="0" w:space="0" w:color="auto"/>
        <w:bottom w:val="none" w:sz="0" w:space="0" w:color="auto"/>
        <w:right w:val="none" w:sz="0" w:space="0" w:color="auto"/>
      </w:divBdr>
    </w:div>
    <w:div w:id="921335505">
      <w:bodyDiv w:val="1"/>
      <w:marLeft w:val="0"/>
      <w:marRight w:val="0"/>
      <w:marTop w:val="0"/>
      <w:marBottom w:val="0"/>
      <w:divBdr>
        <w:top w:val="none" w:sz="0" w:space="0" w:color="auto"/>
        <w:left w:val="none" w:sz="0" w:space="0" w:color="auto"/>
        <w:bottom w:val="none" w:sz="0" w:space="0" w:color="auto"/>
        <w:right w:val="none" w:sz="0" w:space="0" w:color="auto"/>
      </w:divBdr>
      <w:divsChild>
        <w:div w:id="1549220756">
          <w:marLeft w:val="0"/>
          <w:marRight w:val="0"/>
          <w:marTop w:val="0"/>
          <w:marBottom w:val="0"/>
          <w:divBdr>
            <w:top w:val="none" w:sz="0" w:space="0" w:color="auto"/>
            <w:left w:val="none" w:sz="0" w:space="0" w:color="auto"/>
            <w:bottom w:val="none" w:sz="0" w:space="0" w:color="auto"/>
            <w:right w:val="none" w:sz="0" w:space="0" w:color="auto"/>
          </w:divBdr>
          <w:divsChild>
            <w:div w:id="664867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3986158">
      <w:bodyDiv w:val="1"/>
      <w:marLeft w:val="0"/>
      <w:marRight w:val="0"/>
      <w:marTop w:val="0"/>
      <w:marBottom w:val="0"/>
      <w:divBdr>
        <w:top w:val="none" w:sz="0" w:space="0" w:color="auto"/>
        <w:left w:val="none" w:sz="0" w:space="0" w:color="auto"/>
        <w:bottom w:val="none" w:sz="0" w:space="0" w:color="auto"/>
        <w:right w:val="none" w:sz="0" w:space="0" w:color="auto"/>
      </w:divBdr>
      <w:divsChild>
        <w:div w:id="1629312145">
          <w:marLeft w:val="0"/>
          <w:marRight w:val="0"/>
          <w:marTop w:val="0"/>
          <w:marBottom w:val="0"/>
          <w:divBdr>
            <w:top w:val="none" w:sz="0" w:space="0" w:color="auto"/>
            <w:left w:val="none" w:sz="0" w:space="0" w:color="auto"/>
            <w:bottom w:val="none" w:sz="0" w:space="0" w:color="auto"/>
            <w:right w:val="none" w:sz="0" w:space="0" w:color="auto"/>
          </w:divBdr>
          <w:divsChild>
            <w:div w:id="1501390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32653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europarl.europa.eu/news/en/press-room/20230208IPR72802/group-leaders-endorse-first-steps-of-parliamentary-reform" TargetMode="External"/><Relationship Id="rId21" Type="http://schemas.openxmlformats.org/officeDocument/2006/relationships/hyperlink" Target="https://cor.europa.eu/en/news/Pages/interinstitutional-agreement-ethics-body.aspx" TargetMode="External"/><Relationship Id="rId42" Type="http://schemas.openxmlformats.org/officeDocument/2006/relationships/hyperlink" Target="https://oeil.secure.europarl.europa.eu/oeil/popups/sda.do?id=60192&amp;l=en" TargetMode="External"/><Relationship Id="rId47" Type="http://schemas.openxmlformats.org/officeDocument/2006/relationships/hyperlink" Target="https://www.lesoir.be/482080/article/2022-12-09/info-le-soir-le-qatar-soupconne-de-corruption-en-plein-coeur-de-leurope" TargetMode="External"/><Relationship Id="rId63" Type="http://schemas.openxmlformats.org/officeDocument/2006/relationships/hyperlink" Target="https://doi.org/10.1080/01402382.2023.2171220" TargetMode="External"/><Relationship Id="rId68" Type="http://schemas.openxmlformats.org/officeDocument/2006/relationships/hyperlink" Target="https://www.politico.eu/article/eu-parliament-roberta-metsola-transparency-qatargate-corruption-scandal/" TargetMode="External"/><Relationship Id="rId2" Type="http://schemas.openxmlformats.org/officeDocument/2006/relationships/numbering" Target="numbering.xml"/><Relationship Id="rId16" Type="http://schemas.openxmlformats.org/officeDocument/2006/relationships/hyperlink" Target="https://x.com/EPP/status/1603377414826082306" TargetMode="External"/><Relationship Id="rId29" Type="http://schemas.openxmlformats.org/officeDocument/2006/relationships/hyperlink" Target="https://eur-lex.europa.eu/legal-content/EN/TXT/?uri=CELEX%3A12012M%2FTXT" TargetMode="External"/><Relationship Id="rId11" Type="http://schemas.openxmlformats.org/officeDocument/2006/relationships/hyperlink" Target="https://www.diwan.gov.qa/hh-the-amir?sc_lang=en" TargetMode="External"/><Relationship Id="rId24" Type="http://schemas.openxmlformats.org/officeDocument/2006/relationships/hyperlink" Target="https://www.eeas.europa.eu/sites/default/files/documents/2024/EEAS-Qatar%20Coop%20Arrrangement%20as%20signed.pdf" TargetMode="External"/><Relationship Id="rId32" Type="http://schemas.openxmlformats.org/officeDocument/2006/relationships/hyperlink" Target="https://mailchi.mp/socialistsanddemocrats/zero-tolerance-for-corruption-sds-react-to-media-reports-on-belgian-investigation-769505?e=64c9aaf5b2" TargetMode="External"/><Relationship Id="rId37" Type="http://schemas.openxmlformats.org/officeDocument/2006/relationships/hyperlink" Target="https://www.dw.com/en/qatargate-one-year-on-eu-cash-for-influence-scandal-still-far-from-over/a-67670541" TargetMode="External"/><Relationship Id="rId40" Type="http://schemas.openxmlformats.org/officeDocument/2006/relationships/hyperlink" Target="https://www.politico.eu/article/qatar-emir-tamim-bin-hamad-al-thani-emmanuel-macron-paris-qatargate-eu-corruption-scandal/" TargetMode="External"/><Relationship Id="rId45" Type="http://schemas.openxmlformats.org/officeDocument/2006/relationships/hyperlink" Target="https://www.politico.eu/article/eu-pressroom-erupts-as-commission-president-ursula-von-der-leyen-ducks-questions-on-margaritis-schinas-links-to-qatar-eva-kaili/" TargetMode="External"/><Relationship Id="rId53" Type="http://schemas.openxmlformats.org/officeDocument/2006/relationships/hyperlink" Target="https://www.irishtimes.com/world/europe/2022/12/12/josep-borrell-calls-eu-parliaments-qatar-scandal-very-very-worrisome/" TargetMode="External"/><Relationship Id="rId58" Type="http://schemas.openxmlformats.org/officeDocument/2006/relationships/hyperlink" Target="https://www.reuters.com/markets/commodities/qatarenergy-shell-agree-27-year-Ing-supply-2023-10-18/" TargetMode="External"/><Relationship Id="rId66" Type="http://schemas.openxmlformats.org/officeDocument/2006/relationships/hyperlink" Target="https://www.politico.eu/article/qatar-corruption-scandal-far-right-european-parliament/" TargetMode="External"/><Relationship Id="rId74"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hyperlink" Target="https://doi.org/10.1080/13501763.2019.1619803" TargetMode="External"/><Relationship Id="rId19" Type="http://schemas.openxmlformats.org/officeDocument/2006/relationships/hyperlink" Target="https://eur-lex.europa.eu/resource.html?uri=cellar:400883dd-060f-11ee-b12e-01aa75ed71a1.0001.02/DOC_1&amp;format=PDF" TargetMode="External"/><Relationship Id="rId14" Type="http://schemas.openxmlformats.org/officeDocument/2006/relationships/hyperlink" Target="https://www.politico.eu/article/corruption-european-parliament-qatar-live-blog/" TargetMode="External"/><Relationship Id="rId22" Type="http://schemas.openxmlformats.org/officeDocument/2006/relationships/hyperlink" Target="https://eur-lex.europa.eu/LexUriServ/LexUriServ.do?uri=CELEX:21989A0225%2801%29:EN:HTML" TargetMode="External"/><Relationship Id="rId27" Type="http://schemas.openxmlformats.org/officeDocument/2006/relationships/hyperlink" Target="https://www.europarl.europa.eu/resources/library/media/20231127RES15437/20231127RES15437.pdf" TargetMode="External"/><Relationship Id="rId30" Type="http://schemas.openxmlformats.org/officeDocument/2006/relationships/hyperlink" Target="https://doi.org/10.1111/jcms.12654" TargetMode="External"/><Relationship Id="rId35" Type="http://schemas.openxmlformats.org/officeDocument/2006/relationships/hyperlink" Target="https://doi.org/10.1080/13501763.201701310279" TargetMode="External"/><Relationship Id="rId43" Type="http://schemas.openxmlformats.org/officeDocument/2006/relationships/hyperlink" Target="https://www.politico.eu/article/scandal-qatargate-crisis-european-union-corruption-crisis/" TargetMode="External"/><Relationship Id="rId48" Type="http://schemas.openxmlformats.org/officeDocument/2006/relationships/hyperlink" Target="https://euobserver.com/rule-of-law/ar39352975" TargetMode="External"/><Relationship Id="rId56" Type="http://schemas.openxmlformats.org/officeDocument/2006/relationships/hyperlink" Target="https://www.reuters.com/world/qatar-reiterates-denial-that-its-government-involved-eu-corruption-case-2022-12-18/" TargetMode="External"/><Relationship Id="rId64" Type="http://schemas.openxmlformats.org/officeDocument/2006/relationships/hyperlink" Target="https://www.ftm.nl/tag/eva-kaili" TargetMode="External"/><Relationship Id="rId69" Type="http://schemas.openxmlformats.org/officeDocument/2006/relationships/hyperlink" Target="https://www.politico.eu/article/qatargate-antonio-panzeri-useful-idiots-still-work-inside-eu-parliament/" TargetMode="External"/><Relationship Id="rId8" Type="http://schemas.openxmlformats.org/officeDocument/2006/relationships/image" Target="media/image1.png"/><Relationship Id="rId51" Type="http://schemas.openxmlformats.org/officeDocument/2006/relationships/hyperlink" Target="https://www.politico.eu/article/josep-borrell-eva-kaili-qatar-bribe-allegations-european-parliament-very-very-worrisome/" TargetMode="External"/><Relationship Id="rId72" Type="http://schemas.openxmlformats.org/officeDocument/2006/relationships/footer" Target="footer1.xml"/><Relationship Id="rId3" Type="http://schemas.openxmlformats.org/officeDocument/2006/relationships/styles" Target="styles.xml"/><Relationship Id="rId12" Type="http://schemas.openxmlformats.org/officeDocument/2006/relationships/hyperlink" Target="https://www.amnesty.org/en/location/middle-east-and-north-africa/qatar/report-qatar/" TargetMode="External"/><Relationship Id="rId17" Type="http://schemas.openxmlformats.org/officeDocument/2006/relationships/hyperlink" Target="https://neighbourhood-enlargement.ec.europa.eu/european-neighbourhood-policy_en" TargetMode="External"/><Relationship Id="rId25" Type="http://schemas.openxmlformats.org/officeDocument/2006/relationships/hyperlink" Target="https://www.europarl.europa.eu/doceo/document/CRE-9-2022-12-12-ITM-003_EN.html" TargetMode="External"/><Relationship Id="rId33" Type="http://schemas.openxmlformats.org/officeDocument/2006/relationships/hyperlink" Target="https://doi.org/10.1080/07036337.2023.2239998" TargetMode="External"/><Relationship Id="rId38" Type="http://schemas.openxmlformats.org/officeDocument/2006/relationships/hyperlink" Target="https://edition.cnn.com/2022/12/09/europe/eva-kaili-european-parliament-greece-expelled-intl-hnk/index.html" TargetMode="External"/><Relationship Id="rId46" Type="http://schemas.openxmlformats.org/officeDocument/2006/relationships/hyperlink" Target="https://www.bbc.com/news/world-europe-63921002" TargetMode="External"/><Relationship Id="rId59" Type="http://schemas.openxmlformats.org/officeDocument/2006/relationships/hyperlink" Target="https://doi.org/10.1146/annurev-polisci-061915-110623" TargetMode="External"/><Relationship Id="rId67" Type="http://schemas.openxmlformats.org/officeDocument/2006/relationships/hyperlink" Target="https://www.politico.eu/article/political-groups-spar-european-parliament-chief-roberta-metsola-qatargate-transparency-reforms/" TargetMode="External"/><Relationship Id="rId20" Type="http://schemas.openxmlformats.org/officeDocument/2006/relationships/hyperlink" Target="https://neighbourhood-enlargement.ec.europa.eu/news/statement-president-von-der-leyen-agreement-between-israel-and-hamas-extension-pause-hostilities-2023-11-28_en" TargetMode="External"/><Relationship Id="rId41" Type="http://schemas.openxmlformats.org/officeDocument/2006/relationships/hyperlink" Target="https://oeil.secure.europarl.europa.eu/oeil/popups/ficheprocedure.do?lang=en&amp;reference=2023/2741(RSP)" TargetMode="External"/><Relationship Id="rId54" Type="http://schemas.openxmlformats.org/officeDocument/2006/relationships/hyperlink" Target="https://time.com/collection/davos-2024-ideas-of-the-year/6551979/roberta-metsola-european-parliament-interview/" TargetMode="External"/><Relationship Id="rId62" Type="http://schemas.openxmlformats.org/officeDocument/2006/relationships/hyperlink" Target="https://x.com/vonderleyen/status/1767918596347376072" TargetMode="External"/><Relationship Id="rId70" Type="http://schemas.openxmlformats.org/officeDocument/2006/relationships/hyperlink" Target="https://www.politico.eu/article/qatargate-qatar-corruption-scandal-eu-european-parliament-eva-kaili-marc-tarabella-roberta-metsola/"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www.politico.eu/article/european-parliament-qatargate-corruption-scandal-leaked-documents-pier-antonio-panzeri-francesco-giorgi-eva-kaili/" TargetMode="External"/><Relationship Id="rId23" Type="http://schemas.openxmlformats.org/officeDocument/2006/relationships/hyperlink" Target="https://www.consilium.europa.eu/en/infographics/eu-gas-supply" TargetMode="External"/><Relationship Id="rId28" Type="http://schemas.openxmlformats.org/officeDocument/2006/relationships/hyperlink" Target="https://europa.eu/eurobarometer/surveys/detail/3052" TargetMode="External"/><Relationship Id="rId36" Type="http://schemas.openxmlformats.org/officeDocument/2006/relationships/hyperlink" Target="https://doi.org/10.1093/oxfordhb/9780199219322.003.0017" TargetMode="External"/><Relationship Id="rId49" Type="http://schemas.openxmlformats.org/officeDocument/2006/relationships/hyperlink" Target="https://nos.nl/artikel/2471420-qatargate-voormalig-kopstuk-europarlement-eva-kaili-verruilt-cel-voor-huisarrest" TargetMode="External"/><Relationship Id="rId57" Type="http://schemas.openxmlformats.org/officeDocument/2006/relationships/hyperlink" Target="https://doi.org/10.1080/07036337.2024.2326831" TargetMode="External"/><Relationship Id="rId10" Type="http://schemas.openxmlformats.org/officeDocument/2006/relationships/hyperlink" Target="https://blogs.eui.eu/transnational-democracy/qatargate-a-missed-opportunity-to-reform-the-union/" TargetMode="External"/><Relationship Id="rId31" Type="http://schemas.openxmlformats.org/officeDocument/2006/relationships/hyperlink" Target="https://doi.org/10.1080/07036337.2023.2183397" TargetMode="External"/><Relationship Id="rId44" Type="http://schemas.openxmlformats.org/officeDocument/2006/relationships/hyperlink" Target="https://www.politico.eu/article/roberta-metsola-macron-von-der-leyen-michel-eu-leaders-qatargate-fallout" TargetMode="External"/><Relationship Id="rId52" Type="http://schemas.openxmlformats.org/officeDocument/2006/relationships/hyperlink" Target="https://x.com/Quirinale/status/1625171860785664001" TargetMode="External"/><Relationship Id="rId60" Type="http://schemas.openxmlformats.org/officeDocument/2006/relationships/hyperlink" Target="https://doi.org/10.1057/9781137303769" TargetMode="External"/><Relationship Id="rId65" Type="http://schemas.openxmlformats.org/officeDocument/2006/relationships/hyperlink" Target="https://www.clingendael.org/publication/what-bridges-gulf-and-european-union" TargetMode="External"/><Relationship Id="rId73"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hyperlink" Target="https://doi.org/10.1093/oxfordhb/9780199286546.001.0001" TargetMode="External"/><Relationship Id="rId18" Type="http://schemas.openxmlformats.org/officeDocument/2006/relationships/hyperlink" Target="https://www.eeas.europa.eu/sites/default/files/documents/Joint%20Communication%20to%20the%20European%20Parliament%20and%20the%20Council%20-%20A%20Strategic%20Partnership%20with%20the%20Gulf.pdf" TargetMode="External"/><Relationship Id="rId39" Type="http://schemas.openxmlformats.org/officeDocument/2006/relationships/hyperlink" Target="https://www.euractiv.com/section/energy/news/germany-inks-first-major-gas-deal-with-qatar/" TargetMode="External"/><Relationship Id="rId34" Type="http://schemas.openxmlformats.org/officeDocument/2006/relationships/hyperlink" Target="https://doi.org/10.1080/09668130802362342" TargetMode="External"/><Relationship Id="rId50" Type="http://schemas.openxmlformats.org/officeDocument/2006/relationships/hyperlink" Target="https://www.politico.eu/article/parliament-agrees-to-pause-work-on-qatari-aviation-visa-laws/" TargetMode="External"/><Relationship Id="rId55" Type="http://schemas.openxmlformats.org/officeDocument/2006/relationships/hyperlink" Target="https://doi.org/10.1080/13501763.2018.1453528" TargetMode="External"/><Relationship Id="rId7" Type="http://schemas.openxmlformats.org/officeDocument/2006/relationships/endnotes" Target="endnotes.xml"/><Relationship Id="rId71" Type="http://schemas.openxmlformats.org/officeDocument/2006/relationships/hyperlink" Target="https://doi.org/10.1080/13501763.2019.1619803"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2.gif"/></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17E88F3-E72E-4CF7-8CAE-058D32A5BE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434</TotalTime>
  <Pages>62</Pages>
  <Words>22686</Words>
  <Characters>124773</Characters>
  <Application>Microsoft Office Word</Application>
  <DocSecurity>0</DocSecurity>
  <Lines>1039</Lines>
  <Paragraphs>294</Paragraphs>
  <ScaleCrop>false</ScaleCrop>
  <HeadingPairs>
    <vt:vector size="2" baseType="variant">
      <vt:variant>
        <vt:lpstr>Titel</vt:lpstr>
      </vt:variant>
      <vt:variant>
        <vt:i4>1</vt:i4>
      </vt:variant>
    </vt:vector>
  </HeadingPairs>
  <TitlesOfParts>
    <vt:vector size="1" baseType="lpstr">
      <vt:lpstr>Can money buy anything? An investigation of how Qatargate has influenced the</vt:lpstr>
    </vt:vector>
  </TitlesOfParts>
  <Company/>
  <LinksUpToDate>false</LinksUpToDate>
  <CharactersWithSpaces>147165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Can money buy anything? An investigation of how Qatargate has influenced the</dc:title>
  <dc:subject>Thesis Submitted in Partial Fulfillment of the Requirements for the Degree of Master in Political Science (MSc), specialisation european union politics and governance</dc:subject>
  <dc:creator>M. (Mark) Bunschoten – s1033694</dc:creator>
  <cp:keywords/>
  <dc:description/>
  <cp:lastModifiedBy>Bunschoten, M. (Mark)</cp:lastModifiedBy>
  <cp:revision>211</cp:revision>
  <dcterms:created xsi:type="dcterms:W3CDTF">2024-06-19T10:00:00Z</dcterms:created>
  <dcterms:modified xsi:type="dcterms:W3CDTF">2024-06-21T13:39:00Z</dcterms:modified>
</cp:coreProperties>
</file>