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36532" w:rsidRDefault="00236532" w:rsidP="003778BF">
      <w:pPr>
        <w:pStyle w:val="Kop1"/>
        <w:spacing w:line="360" w:lineRule="auto"/>
        <w:jc w:val="both"/>
        <w:rPr>
          <w:rFonts w:asciiTheme="minorHAnsi" w:hAnsiTheme="minorHAnsi" w:cs="Times New Roman"/>
          <w:b w:val="0"/>
        </w:rPr>
      </w:pPr>
    </w:p>
    <w:p w:rsidR="00236532" w:rsidRPr="000D62E1" w:rsidRDefault="00E94C04" w:rsidP="00715B5F">
      <w:pPr>
        <w:pStyle w:val="Titel"/>
        <w:rPr>
          <w:rFonts w:asciiTheme="minorHAnsi" w:hAnsiTheme="minorHAnsi"/>
        </w:rPr>
      </w:pPr>
      <w:r>
        <w:rPr>
          <w:rFonts w:asciiTheme="minorHAnsi" w:hAnsiTheme="minorHAnsi"/>
        </w:rPr>
        <w:t>The Kosovar</w:t>
      </w:r>
      <w:r w:rsidR="00D02737" w:rsidRPr="000D62E1">
        <w:rPr>
          <w:rFonts w:asciiTheme="minorHAnsi" w:hAnsiTheme="minorHAnsi"/>
        </w:rPr>
        <w:t xml:space="preserve"> road to independence</w:t>
      </w:r>
    </w:p>
    <w:p w:rsidR="00715B5F" w:rsidRPr="000D62E1" w:rsidRDefault="005F4399" w:rsidP="00715B5F">
      <w:pPr>
        <w:pStyle w:val="Ondertitel"/>
        <w:rPr>
          <w:rFonts w:asciiTheme="minorHAnsi" w:hAnsiTheme="minorHAnsi"/>
        </w:rPr>
      </w:pPr>
      <w:r w:rsidRPr="000D62E1">
        <w:rPr>
          <w:rFonts w:asciiTheme="minorHAnsi" w:hAnsiTheme="minorHAnsi"/>
          <w:noProof/>
          <w:lang w:val="nl-NL" w:eastAsia="nl-NL"/>
        </w:rPr>
        <w:drawing>
          <wp:anchor distT="0" distB="0" distL="114300" distR="114300" simplePos="0" relativeHeight="251658240" behindDoc="1" locked="0" layoutInCell="1" allowOverlap="1" wp14:anchorId="7FA8D68C" wp14:editId="0B3BAE6D">
            <wp:simplePos x="0" y="0"/>
            <wp:positionH relativeFrom="column">
              <wp:posOffset>-4445</wp:posOffset>
            </wp:positionH>
            <wp:positionV relativeFrom="paragraph">
              <wp:posOffset>514985</wp:posOffset>
            </wp:positionV>
            <wp:extent cx="5391150" cy="4366260"/>
            <wp:effectExtent l="0" t="0" r="0" b="0"/>
            <wp:wrapTight wrapText="bothSides">
              <wp:wrapPolygon edited="0">
                <wp:start x="0" y="0"/>
                <wp:lineTo x="0" y="21487"/>
                <wp:lineTo x="21524" y="21487"/>
                <wp:lineTo x="21524" y="0"/>
                <wp:lineTo x="0" y="0"/>
              </wp:wrapPolygon>
            </wp:wrapTight>
            <wp:docPr id="1"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391150" cy="4366260"/>
                    </a:xfrm>
                    <a:prstGeom prst="rect">
                      <a:avLst/>
                    </a:prstGeom>
                    <a:noFill/>
                    <a:ln>
                      <a:noFill/>
                    </a:ln>
                  </pic:spPr>
                </pic:pic>
              </a:graphicData>
            </a:graphic>
            <wp14:sizeRelH relativeFrom="page">
              <wp14:pctWidth>0</wp14:pctWidth>
            </wp14:sizeRelH>
            <wp14:sizeRelV relativeFrom="page">
              <wp14:pctHeight>0</wp14:pctHeight>
            </wp14:sizeRelV>
          </wp:anchor>
        </w:drawing>
      </w:r>
      <w:r w:rsidR="00715B5F" w:rsidRPr="000D62E1">
        <w:rPr>
          <w:rFonts w:asciiTheme="minorHAnsi" w:hAnsiTheme="minorHAnsi"/>
        </w:rPr>
        <w:t>An in-depth case analysis of secessi</w:t>
      </w:r>
      <w:r w:rsidR="00F740BE" w:rsidRPr="000D62E1">
        <w:rPr>
          <w:rFonts w:asciiTheme="minorHAnsi" w:hAnsiTheme="minorHAnsi"/>
        </w:rPr>
        <w:t>on in Kosovo, and the role of the</w:t>
      </w:r>
      <w:r w:rsidR="00A0197D">
        <w:rPr>
          <w:rFonts w:asciiTheme="minorHAnsi" w:hAnsiTheme="minorHAnsi"/>
        </w:rPr>
        <w:t xml:space="preserve"> international advocacy network</w:t>
      </w:r>
      <w:r w:rsidR="00715B5F" w:rsidRPr="000D62E1">
        <w:rPr>
          <w:rFonts w:asciiTheme="minorHAnsi" w:hAnsiTheme="minorHAnsi"/>
        </w:rPr>
        <w:t xml:space="preserve">. </w:t>
      </w:r>
    </w:p>
    <w:p w:rsidR="007319EA" w:rsidRDefault="007319EA" w:rsidP="00886152"/>
    <w:p w:rsidR="007319EA" w:rsidRDefault="007319EA" w:rsidP="00E211C5">
      <w:pPr>
        <w:pStyle w:val="Geenafstand"/>
      </w:pPr>
    </w:p>
    <w:p w:rsidR="00BD6076" w:rsidRDefault="00BD6076" w:rsidP="00BD6076">
      <w:pPr>
        <w:pStyle w:val="Geenafstand"/>
        <w:jc w:val="both"/>
      </w:pPr>
    </w:p>
    <w:p w:rsidR="00BD6076" w:rsidRDefault="00BD6076" w:rsidP="00BD6076">
      <w:pPr>
        <w:pStyle w:val="Geenafstand"/>
        <w:jc w:val="both"/>
      </w:pPr>
    </w:p>
    <w:p w:rsidR="00BD6076" w:rsidRDefault="00BD6076" w:rsidP="00BD6076">
      <w:pPr>
        <w:pStyle w:val="Geenafstand"/>
        <w:jc w:val="both"/>
      </w:pPr>
    </w:p>
    <w:p w:rsidR="00BD6076" w:rsidRDefault="00BD6076" w:rsidP="00BD6076">
      <w:pPr>
        <w:pStyle w:val="Geenafstand"/>
        <w:jc w:val="both"/>
      </w:pPr>
    </w:p>
    <w:p w:rsidR="00BD6076" w:rsidRDefault="00BD6076" w:rsidP="00BD6076">
      <w:pPr>
        <w:pStyle w:val="Geenafstand"/>
        <w:jc w:val="both"/>
      </w:pPr>
    </w:p>
    <w:p w:rsidR="00BD6076" w:rsidRDefault="00BD6076" w:rsidP="00BD6076">
      <w:pPr>
        <w:pStyle w:val="Geenafstand"/>
        <w:jc w:val="both"/>
      </w:pPr>
    </w:p>
    <w:p w:rsidR="00BD6076" w:rsidRDefault="00BD6076" w:rsidP="00BD6076">
      <w:pPr>
        <w:pStyle w:val="Geenafstand"/>
        <w:jc w:val="both"/>
      </w:pPr>
    </w:p>
    <w:p w:rsidR="00BD6076" w:rsidRDefault="00BD6076" w:rsidP="00BD6076">
      <w:pPr>
        <w:pStyle w:val="Geenafstand"/>
        <w:jc w:val="both"/>
      </w:pPr>
    </w:p>
    <w:p w:rsidR="00BD6076" w:rsidRDefault="00BD6076" w:rsidP="00BD6076">
      <w:pPr>
        <w:pStyle w:val="Geenafstand"/>
        <w:jc w:val="both"/>
      </w:pPr>
    </w:p>
    <w:p w:rsidR="00BD6076" w:rsidRDefault="00BD6076" w:rsidP="00BD6076">
      <w:pPr>
        <w:pStyle w:val="Geenafstand"/>
        <w:jc w:val="both"/>
      </w:pPr>
    </w:p>
    <w:p w:rsidR="00BD6076" w:rsidRDefault="00BD6076" w:rsidP="00BD6076">
      <w:pPr>
        <w:pStyle w:val="Geenafstand"/>
        <w:jc w:val="both"/>
      </w:pPr>
    </w:p>
    <w:p w:rsidR="00BD6076" w:rsidRDefault="00BD6076" w:rsidP="00BD6076">
      <w:pPr>
        <w:pStyle w:val="Geenafstand"/>
        <w:jc w:val="both"/>
      </w:pPr>
    </w:p>
    <w:p w:rsidR="00BD6076" w:rsidRDefault="00BD6076" w:rsidP="00BD6076">
      <w:pPr>
        <w:pStyle w:val="Geenafstand"/>
        <w:jc w:val="both"/>
      </w:pPr>
    </w:p>
    <w:p w:rsidR="00BD6076" w:rsidRDefault="00BD6076" w:rsidP="00BD6076">
      <w:pPr>
        <w:pStyle w:val="Geenafstand"/>
        <w:jc w:val="both"/>
      </w:pPr>
    </w:p>
    <w:p w:rsidR="00BD6076" w:rsidRDefault="00BD6076" w:rsidP="00BD6076">
      <w:pPr>
        <w:pStyle w:val="Geenafstand"/>
        <w:jc w:val="both"/>
      </w:pPr>
    </w:p>
    <w:p w:rsidR="00BD6076" w:rsidRDefault="00BD6076" w:rsidP="00BD6076">
      <w:pPr>
        <w:pStyle w:val="Geenafstand"/>
        <w:jc w:val="both"/>
      </w:pPr>
    </w:p>
    <w:p w:rsidR="00BD6076" w:rsidRDefault="00BD6076" w:rsidP="00BD6076">
      <w:pPr>
        <w:pStyle w:val="Geenafstand"/>
        <w:jc w:val="both"/>
      </w:pPr>
    </w:p>
    <w:p w:rsidR="00BD6076" w:rsidRDefault="00BD6076" w:rsidP="00BD6076">
      <w:pPr>
        <w:pStyle w:val="Geenafstand"/>
        <w:jc w:val="both"/>
      </w:pPr>
    </w:p>
    <w:p w:rsidR="00BD6076" w:rsidRDefault="00BD6076" w:rsidP="00BD6076">
      <w:pPr>
        <w:pStyle w:val="Geenafstand"/>
        <w:jc w:val="both"/>
      </w:pPr>
    </w:p>
    <w:p w:rsidR="00BD6076" w:rsidRDefault="00BD6076" w:rsidP="00BD6076">
      <w:pPr>
        <w:pStyle w:val="Geenafstand"/>
        <w:jc w:val="both"/>
      </w:pPr>
    </w:p>
    <w:p w:rsidR="00DD53C4" w:rsidRDefault="00DD53C4" w:rsidP="00BD6076">
      <w:pPr>
        <w:pStyle w:val="Geenafstand"/>
        <w:jc w:val="both"/>
        <w:sectPr w:rsidR="00DD53C4" w:rsidSect="008227A3">
          <w:footerReference w:type="default" r:id="rId10"/>
          <w:pgSz w:w="11906" w:h="16838"/>
          <w:pgMar w:top="1417" w:right="1417" w:bottom="1417" w:left="1417" w:header="708" w:footer="708" w:gutter="0"/>
          <w:pgNumType w:start="1"/>
          <w:cols w:space="708"/>
          <w:docGrid w:linePitch="360"/>
        </w:sectPr>
      </w:pPr>
    </w:p>
    <w:p w:rsidR="00DD53C4" w:rsidRDefault="00DD53C4" w:rsidP="00BD6076">
      <w:pPr>
        <w:pStyle w:val="Geenafstand"/>
        <w:jc w:val="both"/>
        <w:rPr>
          <w:rFonts w:eastAsia="Times New Roman" w:cs="Tahoma"/>
          <w:color w:val="000000"/>
          <w:lang w:eastAsia="nl-NL"/>
        </w:rPr>
      </w:pPr>
    </w:p>
    <w:p w:rsidR="00DD53C4" w:rsidRDefault="00DD53C4" w:rsidP="00DD53C4">
      <w:pPr>
        <w:pStyle w:val="Geenafstand"/>
        <w:rPr>
          <w:rFonts w:eastAsia="Times New Roman" w:cs="Tahoma"/>
          <w:color w:val="000000"/>
          <w:lang w:eastAsia="nl-NL"/>
        </w:rPr>
      </w:pPr>
    </w:p>
    <w:p w:rsidR="00DD53C4" w:rsidRPr="00DD53C4" w:rsidRDefault="00DD53C4" w:rsidP="00DD53C4">
      <w:pPr>
        <w:pStyle w:val="Geenafstand"/>
        <w:rPr>
          <w:rFonts w:eastAsia="Times New Roman" w:cs="Tahoma"/>
          <w:color w:val="000000"/>
          <w:lang w:eastAsia="nl-NL"/>
        </w:rPr>
      </w:pPr>
      <w:r w:rsidRPr="00DD53C4">
        <w:rPr>
          <w:rFonts w:eastAsia="Times New Roman" w:cs="Tahoma"/>
          <w:color w:val="000000"/>
          <w:lang w:eastAsia="nl-NL"/>
        </w:rPr>
        <w:t>Jutta Joachim, Ph.D.</w:t>
      </w:r>
      <w:r w:rsidRPr="00DD53C4">
        <w:rPr>
          <w:rFonts w:eastAsia="Times New Roman" w:cs="Tahoma"/>
          <w:color w:val="000000"/>
          <w:lang w:eastAsia="nl-NL"/>
        </w:rPr>
        <w:tab/>
      </w:r>
      <w:r w:rsidRPr="00DD53C4">
        <w:rPr>
          <w:rFonts w:eastAsia="Times New Roman" w:cs="Tahoma"/>
          <w:color w:val="000000"/>
          <w:lang w:eastAsia="nl-NL"/>
        </w:rPr>
        <w:tab/>
      </w:r>
      <w:r w:rsidRPr="00DD53C4">
        <w:rPr>
          <w:rFonts w:eastAsia="Times New Roman" w:cs="Tahoma"/>
          <w:color w:val="000000"/>
          <w:lang w:eastAsia="nl-NL"/>
        </w:rPr>
        <w:tab/>
      </w:r>
    </w:p>
    <w:p w:rsidR="00DD53C4" w:rsidRPr="00DD53C4" w:rsidRDefault="00DD53C4" w:rsidP="00DD53C4">
      <w:pPr>
        <w:pStyle w:val="Geenafstand"/>
        <w:rPr>
          <w:rFonts w:eastAsia="Times New Roman" w:cs="Tahoma"/>
          <w:color w:val="000000"/>
          <w:lang w:eastAsia="nl-NL"/>
        </w:rPr>
      </w:pPr>
      <w:r w:rsidRPr="00DD53C4">
        <w:rPr>
          <w:rFonts w:eastAsia="Times New Roman" w:cs="Tahoma"/>
          <w:color w:val="000000"/>
          <w:lang w:eastAsia="nl-NL"/>
        </w:rPr>
        <w:t>Senior Lecturer of International Relations</w:t>
      </w:r>
    </w:p>
    <w:p w:rsidR="00DD53C4" w:rsidRPr="00DD53C4" w:rsidRDefault="00DD53C4" w:rsidP="00DD53C4">
      <w:pPr>
        <w:pStyle w:val="Geenafstand"/>
        <w:rPr>
          <w:rFonts w:eastAsia="Times New Roman" w:cs="Tahoma"/>
          <w:color w:val="000000"/>
          <w:lang w:eastAsia="nl-NL"/>
        </w:rPr>
      </w:pPr>
      <w:r w:rsidRPr="00DD53C4">
        <w:rPr>
          <w:rFonts w:eastAsia="Times New Roman" w:cs="Tahoma"/>
          <w:color w:val="000000"/>
          <w:lang w:eastAsia="nl-NL"/>
        </w:rPr>
        <w:t>Nijmegen School of Management</w:t>
      </w:r>
    </w:p>
    <w:p w:rsidR="00DD53C4" w:rsidRPr="00DD53C4" w:rsidRDefault="00DD53C4" w:rsidP="00DD53C4">
      <w:pPr>
        <w:pStyle w:val="Geenafstand"/>
        <w:rPr>
          <w:rFonts w:eastAsia="Times New Roman" w:cs="Tahoma"/>
          <w:color w:val="000000"/>
          <w:lang w:eastAsia="nl-NL"/>
        </w:rPr>
      </w:pPr>
      <w:r w:rsidRPr="00DD53C4">
        <w:rPr>
          <w:rFonts w:eastAsia="Times New Roman" w:cs="Tahoma"/>
          <w:color w:val="000000"/>
          <w:lang w:eastAsia="nl-NL"/>
        </w:rPr>
        <w:t>Department of Political Science</w:t>
      </w:r>
    </w:p>
    <w:p w:rsidR="00DD53C4" w:rsidRPr="00DD53C4" w:rsidRDefault="00DD53C4" w:rsidP="00DD53C4">
      <w:pPr>
        <w:pStyle w:val="Geenafstand"/>
        <w:rPr>
          <w:rFonts w:eastAsia="Times New Roman" w:cs="Tahoma"/>
          <w:color w:val="000000"/>
          <w:lang w:val="nl-NL" w:eastAsia="nl-NL"/>
        </w:rPr>
      </w:pPr>
      <w:r w:rsidRPr="00DD53C4">
        <w:rPr>
          <w:rFonts w:eastAsia="Times New Roman" w:cs="Tahoma"/>
          <w:color w:val="000000"/>
          <w:lang w:val="nl-NL" w:eastAsia="nl-NL"/>
        </w:rPr>
        <w:t>Radboud University</w:t>
      </w:r>
    </w:p>
    <w:p w:rsidR="00DD53C4" w:rsidRPr="00DD53C4" w:rsidRDefault="00DD53C4" w:rsidP="00DD53C4">
      <w:pPr>
        <w:pStyle w:val="Geenafstand"/>
        <w:rPr>
          <w:rFonts w:eastAsia="Times New Roman" w:cs="Tahoma"/>
          <w:color w:val="000000"/>
          <w:lang w:val="nl-NL" w:eastAsia="nl-NL"/>
        </w:rPr>
      </w:pPr>
      <w:r w:rsidRPr="00DD53C4">
        <w:rPr>
          <w:rFonts w:eastAsia="Times New Roman" w:cs="Tahoma"/>
          <w:color w:val="000000"/>
          <w:lang w:val="nl-NL" w:eastAsia="nl-NL"/>
        </w:rPr>
        <w:t xml:space="preserve">Thomas van </w:t>
      </w:r>
      <w:proofErr w:type="spellStart"/>
      <w:r w:rsidRPr="00DD53C4">
        <w:rPr>
          <w:rFonts w:eastAsia="Times New Roman" w:cs="Tahoma"/>
          <w:color w:val="000000"/>
          <w:lang w:val="nl-NL" w:eastAsia="nl-NL"/>
        </w:rPr>
        <w:t>Aquinostraat</w:t>
      </w:r>
      <w:proofErr w:type="spellEnd"/>
      <w:r w:rsidRPr="00DD53C4">
        <w:rPr>
          <w:rFonts w:eastAsia="Times New Roman" w:cs="Tahoma"/>
          <w:color w:val="000000"/>
          <w:lang w:val="nl-NL" w:eastAsia="nl-NL"/>
        </w:rPr>
        <w:t xml:space="preserve"> 5</w:t>
      </w:r>
    </w:p>
    <w:p w:rsidR="00DD53C4" w:rsidRPr="00DD53C4" w:rsidRDefault="00DD53C4" w:rsidP="00DD53C4">
      <w:pPr>
        <w:pStyle w:val="Geenafstand"/>
        <w:rPr>
          <w:rFonts w:eastAsia="Times New Roman" w:cs="Tahoma"/>
          <w:color w:val="000000"/>
          <w:lang w:val="nl-NL" w:eastAsia="nl-NL"/>
        </w:rPr>
      </w:pPr>
      <w:r w:rsidRPr="00DD53C4">
        <w:rPr>
          <w:rFonts w:eastAsia="Times New Roman" w:cs="Tahoma"/>
          <w:color w:val="000000"/>
          <w:lang w:val="nl-NL" w:eastAsia="nl-NL"/>
        </w:rPr>
        <w:t>6525 GD Nijmegen, Netherlands</w:t>
      </w:r>
    </w:p>
    <w:p w:rsidR="00DD53C4" w:rsidRDefault="00DD53C4" w:rsidP="00DD53C4">
      <w:pPr>
        <w:pStyle w:val="Geenafstand"/>
        <w:rPr>
          <w:rFonts w:eastAsia="Times New Roman" w:cs="Tahoma"/>
          <w:color w:val="000000"/>
          <w:lang w:val="nl-NL" w:eastAsia="nl-NL"/>
        </w:rPr>
      </w:pPr>
    </w:p>
    <w:p w:rsidR="00DD53C4" w:rsidRDefault="00DD53C4" w:rsidP="00DD53C4">
      <w:pPr>
        <w:pStyle w:val="Geenafstand"/>
        <w:rPr>
          <w:rFonts w:eastAsia="Times New Roman" w:cs="Tahoma"/>
          <w:color w:val="000000"/>
          <w:lang w:val="nl-NL" w:eastAsia="nl-NL"/>
        </w:rPr>
      </w:pPr>
    </w:p>
    <w:p w:rsidR="00DD53C4" w:rsidRDefault="00DD53C4" w:rsidP="00DD53C4">
      <w:pPr>
        <w:pStyle w:val="Geenafstand"/>
        <w:rPr>
          <w:rFonts w:eastAsia="Times New Roman" w:cs="Tahoma"/>
          <w:color w:val="000000"/>
          <w:lang w:val="nl-NL" w:eastAsia="nl-NL"/>
        </w:rPr>
      </w:pPr>
    </w:p>
    <w:p w:rsidR="00DD53C4" w:rsidRDefault="00DD53C4" w:rsidP="00DD53C4">
      <w:pPr>
        <w:pStyle w:val="Geenafstand"/>
        <w:rPr>
          <w:rFonts w:eastAsia="Times New Roman" w:cs="Tahoma"/>
          <w:color w:val="000000"/>
          <w:lang w:val="nl-NL" w:eastAsia="nl-NL"/>
        </w:rPr>
      </w:pPr>
    </w:p>
    <w:p w:rsidR="00DD53C4" w:rsidRDefault="00DD53C4" w:rsidP="00DD53C4">
      <w:pPr>
        <w:pStyle w:val="Geenafstand"/>
        <w:rPr>
          <w:rFonts w:eastAsia="Times New Roman" w:cs="Tahoma"/>
          <w:color w:val="000000"/>
          <w:lang w:val="nl-NL" w:eastAsia="nl-NL"/>
        </w:rPr>
      </w:pPr>
    </w:p>
    <w:p w:rsidR="00DD53C4" w:rsidRPr="00DD53C4" w:rsidRDefault="00DD53C4" w:rsidP="00DD53C4">
      <w:pPr>
        <w:pStyle w:val="Geenafstand"/>
        <w:rPr>
          <w:rFonts w:eastAsia="Times New Roman" w:cs="Tahoma"/>
          <w:color w:val="000000"/>
          <w:lang w:eastAsia="nl-NL"/>
        </w:rPr>
      </w:pPr>
      <w:r w:rsidRPr="00DD53C4">
        <w:rPr>
          <w:rFonts w:eastAsia="Times New Roman" w:cs="Tahoma"/>
          <w:color w:val="000000"/>
          <w:lang w:eastAsia="nl-NL"/>
        </w:rPr>
        <w:t xml:space="preserve">Stein C. </w:t>
      </w:r>
      <w:proofErr w:type="spellStart"/>
      <w:r w:rsidRPr="00DD53C4">
        <w:rPr>
          <w:rFonts w:eastAsia="Times New Roman" w:cs="Tahoma"/>
          <w:color w:val="000000"/>
          <w:lang w:eastAsia="nl-NL"/>
        </w:rPr>
        <w:t>Swaanen</w:t>
      </w:r>
      <w:proofErr w:type="spellEnd"/>
    </w:p>
    <w:p w:rsidR="00DD53C4" w:rsidRPr="00DD53C4" w:rsidRDefault="00DD53C4" w:rsidP="00DD53C4">
      <w:pPr>
        <w:pStyle w:val="Geenafstand"/>
        <w:rPr>
          <w:rFonts w:eastAsia="Times New Roman" w:cs="Tahoma"/>
          <w:color w:val="000000"/>
          <w:lang w:eastAsia="nl-NL"/>
        </w:rPr>
      </w:pPr>
      <w:r w:rsidRPr="00DD53C4">
        <w:rPr>
          <w:rFonts w:eastAsia="Times New Roman" w:cs="Tahoma"/>
          <w:color w:val="000000"/>
          <w:lang w:eastAsia="nl-NL"/>
        </w:rPr>
        <w:t>s4633377</w:t>
      </w:r>
    </w:p>
    <w:p w:rsidR="00DD53C4" w:rsidRPr="00DD53C4" w:rsidRDefault="00DD53C4" w:rsidP="00DD53C4">
      <w:pPr>
        <w:pStyle w:val="Geenafstand"/>
        <w:rPr>
          <w:rFonts w:eastAsia="Times New Roman" w:cs="Tahoma"/>
          <w:color w:val="000000"/>
          <w:lang w:eastAsia="nl-NL"/>
        </w:rPr>
      </w:pPr>
      <w:r w:rsidRPr="00DD53C4">
        <w:rPr>
          <w:rFonts w:eastAsia="Times New Roman" w:cs="Tahoma"/>
          <w:color w:val="000000"/>
          <w:lang w:eastAsia="nl-NL"/>
        </w:rPr>
        <w:t xml:space="preserve">MSc International Relations (Political Science) </w:t>
      </w:r>
    </w:p>
    <w:p w:rsidR="00DD53C4" w:rsidRPr="00DD53C4" w:rsidRDefault="00DD53C4" w:rsidP="00DD53C4">
      <w:pPr>
        <w:pStyle w:val="Geenafstand"/>
        <w:rPr>
          <w:rFonts w:eastAsia="Times New Roman" w:cs="Tahoma"/>
          <w:color w:val="000000"/>
          <w:lang w:eastAsia="nl-NL"/>
        </w:rPr>
      </w:pPr>
      <w:proofErr w:type="spellStart"/>
      <w:r w:rsidRPr="00DD53C4">
        <w:rPr>
          <w:rFonts w:eastAsia="Times New Roman" w:cs="Tahoma"/>
          <w:color w:val="000000"/>
          <w:lang w:eastAsia="nl-NL"/>
        </w:rPr>
        <w:t>Radboud</w:t>
      </w:r>
      <w:proofErr w:type="spellEnd"/>
      <w:r w:rsidRPr="00DD53C4">
        <w:rPr>
          <w:rFonts w:eastAsia="Times New Roman" w:cs="Tahoma"/>
          <w:color w:val="000000"/>
          <w:lang w:eastAsia="nl-NL"/>
        </w:rPr>
        <w:t xml:space="preserve"> University, Nijmegen</w:t>
      </w:r>
    </w:p>
    <w:p w:rsidR="00DD53C4" w:rsidRPr="00DD53C4" w:rsidRDefault="003D28E2" w:rsidP="00DD53C4">
      <w:pPr>
        <w:pStyle w:val="Geenafstand"/>
        <w:rPr>
          <w:rFonts w:eastAsia="Times New Roman" w:cs="Tahoma"/>
          <w:color w:val="000000"/>
          <w:lang w:eastAsia="nl-NL"/>
        </w:rPr>
      </w:pPr>
      <w:hyperlink r:id="rId11" w:history="1">
        <w:r w:rsidR="00DD53C4" w:rsidRPr="00DD53C4">
          <w:rPr>
            <w:rStyle w:val="Hyperlink"/>
            <w:rFonts w:eastAsia="Times New Roman" w:cs="Tahoma"/>
            <w:lang w:eastAsia="nl-NL"/>
          </w:rPr>
          <w:t>S.Swaanen@student.ru.nl</w:t>
        </w:r>
      </w:hyperlink>
      <w:r w:rsidR="00DD53C4" w:rsidRPr="00DD53C4">
        <w:rPr>
          <w:rFonts w:eastAsia="Times New Roman" w:cs="Tahoma"/>
          <w:color w:val="000000"/>
          <w:lang w:eastAsia="nl-NL"/>
        </w:rPr>
        <w:t xml:space="preserve"> </w:t>
      </w:r>
    </w:p>
    <w:p w:rsidR="00DD53C4" w:rsidRDefault="00DD53C4" w:rsidP="00DD53C4">
      <w:pPr>
        <w:pStyle w:val="Geenafstand"/>
        <w:jc w:val="both"/>
        <w:rPr>
          <w:rFonts w:eastAsia="Times New Roman" w:cs="Tahoma"/>
          <w:color w:val="000000"/>
          <w:lang w:eastAsia="nl-NL"/>
        </w:rPr>
      </w:pPr>
    </w:p>
    <w:p w:rsidR="00DD53C4" w:rsidRDefault="00DD53C4" w:rsidP="00DD53C4">
      <w:pPr>
        <w:pStyle w:val="Geenafstand"/>
        <w:jc w:val="both"/>
        <w:rPr>
          <w:rFonts w:eastAsia="Times New Roman" w:cs="Tahoma"/>
          <w:color w:val="000000"/>
          <w:lang w:eastAsia="nl-NL"/>
        </w:rPr>
      </w:pPr>
      <w:r w:rsidRPr="00DD53C4">
        <w:rPr>
          <w:rFonts w:eastAsia="Times New Roman" w:cs="Tahoma"/>
          <w:color w:val="000000"/>
          <w:lang w:eastAsia="nl-NL"/>
        </w:rPr>
        <w:t xml:space="preserve">28 </w:t>
      </w:r>
      <w:r w:rsidR="00FF270C">
        <w:rPr>
          <w:rFonts w:eastAsia="Times New Roman" w:cs="Tahoma"/>
          <w:color w:val="000000"/>
          <w:lang w:eastAsia="nl-NL"/>
        </w:rPr>
        <w:t>July</w:t>
      </w:r>
      <w:r w:rsidRPr="00DD53C4">
        <w:rPr>
          <w:rFonts w:eastAsia="Times New Roman" w:cs="Tahoma"/>
          <w:color w:val="000000"/>
          <w:lang w:eastAsia="nl-NL"/>
        </w:rPr>
        <w:t xml:space="preserve"> </w:t>
      </w:r>
      <w:r>
        <w:rPr>
          <w:rFonts w:eastAsia="Times New Roman" w:cs="Tahoma"/>
          <w:color w:val="000000"/>
          <w:lang w:eastAsia="nl-NL"/>
        </w:rPr>
        <w:t xml:space="preserve">2017 </w:t>
      </w:r>
    </w:p>
    <w:p w:rsidR="00DD53C4" w:rsidRPr="00EC54E3" w:rsidRDefault="00DD53C4" w:rsidP="00DD53C4">
      <w:pPr>
        <w:pStyle w:val="Geenafstand"/>
        <w:jc w:val="both"/>
        <w:rPr>
          <w:rFonts w:eastAsia="Times New Roman" w:cs="Tahoma"/>
          <w:color w:val="000000"/>
          <w:lang w:eastAsia="nl-NL"/>
        </w:rPr>
        <w:sectPr w:rsidR="00DD53C4" w:rsidRPr="00EC54E3" w:rsidSect="00DD53C4">
          <w:type w:val="continuous"/>
          <w:pgSz w:w="11906" w:h="16838"/>
          <w:pgMar w:top="1417" w:right="1417" w:bottom="1417" w:left="1417" w:header="708" w:footer="708" w:gutter="0"/>
          <w:pgNumType w:start="1"/>
          <w:cols w:num="2" w:space="708"/>
          <w:docGrid w:linePitch="360"/>
        </w:sectPr>
      </w:pPr>
    </w:p>
    <w:p w:rsidR="00DD53C4" w:rsidRDefault="00DD53C4" w:rsidP="009A4848">
      <w:pPr>
        <w:pStyle w:val="Voettekst"/>
        <w:rPr>
          <w:lang w:eastAsia="nl-NL"/>
        </w:rPr>
        <w:sectPr w:rsidR="00DD53C4" w:rsidSect="00DD53C4">
          <w:type w:val="continuous"/>
          <w:pgSz w:w="11906" w:h="16838"/>
          <w:pgMar w:top="1417" w:right="1417" w:bottom="1417" w:left="1417" w:header="708" w:footer="708" w:gutter="0"/>
          <w:pgNumType w:start="1"/>
          <w:cols w:num="2" w:space="708"/>
          <w:docGrid w:linePitch="360"/>
        </w:sectPr>
      </w:pPr>
    </w:p>
    <w:p w:rsidR="009A4848" w:rsidRPr="009A4848" w:rsidRDefault="009A4848" w:rsidP="009A4848">
      <w:pPr>
        <w:pStyle w:val="Voettekst"/>
      </w:pPr>
      <w:r w:rsidRPr="00DD53C4">
        <w:rPr>
          <w:lang w:eastAsia="nl-NL"/>
        </w:rPr>
        <w:lastRenderedPageBreak/>
        <w:br w:type="page"/>
      </w:r>
      <w:sdt>
        <w:sdtPr>
          <w:rPr>
            <w:lang w:val="nl-NL"/>
          </w:rPr>
          <w:id w:val="1059140266"/>
          <w:docPartObj>
            <w:docPartGallery w:val="Page Numbers (Bottom of Page)"/>
            <w:docPartUnique/>
          </w:docPartObj>
        </w:sdtPr>
        <w:sdtEndPr/>
        <w:sdtContent>
          <w:r w:rsidRPr="008227A3">
            <w:rPr>
              <w:noProof/>
              <w:lang w:val="nl-NL" w:eastAsia="nl-NL"/>
            </w:rPr>
            <mc:AlternateContent>
              <mc:Choice Requires="wps">
                <w:drawing>
                  <wp:anchor distT="0" distB="0" distL="114300" distR="114300" simplePos="0" relativeHeight="251660288" behindDoc="0" locked="0" layoutInCell="1" allowOverlap="1" wp14:anchorId="4A05A92A" wp14:editId="56378779">
                    <wp:simplePos x="0" y="0"/>
                    <wp:positionH relativeFrom="leftMargin">
                      <wp:align>center</wp:align>
                    </wp:positionH>
                    <wp:positionV relativeFrom="bottomMargin">
                      <wp:align>center</wp:align>
                    </wp:positionV>
                    <wp:extent cx="565785" cy="191770"/>
                    <wp:effectExtent l="0" t="0" r="0" b="0"/>
                    <wp:wrapNone/>
                    <wp:docPr id="2" name="Rechthoek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flipH="1">
                              <a:off x="0" y="0"/>
                              <a:ext cx="565785" cy="191770"/>
                            </a:xfrm>
                            <a:prstGeom prst="rect">
                              <a:avLst/>
                            </a:prstGeom>
                            <a:noFill/>
                            <a:extLst>
                              <a:ext uri="{909E8E84-426E-40DD-AFC4-6F175D3DCCD1}">
                                <a14:hiddenFill xmlns:a14="http://schemas.microsoft.com/office/drawing/2010/main">
                                  <a:solidFill>
                                    <a:srgbClr val="C0504D"/>
                                  </a:solidFill>
                                </a14:hiddenFill>
                              </a:ext>
                              <a:ext uri="{91240B29-F687-4F45-9708-019B960494DF}">
                                <a14:hiddenLine xmlns:a14="http://schemas.microsoft.com/office/drawing/2010/main" w="28575">
                                  <a:solidFill>
                                    <a:srgbClr val="5C83B4"/>
                                  </a:solidFill>
                                  <a:miter lim="800000"/>
                                  <a:headEnd/>
                                  <a:tailEnd/>
                                </a14:hiddenLine>
                              </a:ext>
                            </a:extLst>
                          </wps:spPr>
                          <wps:txbx>
                            <w:txbxContent>
                              <w:p w:rsidR="00610AF9" w:rsidRDefault="00610AF9" w:rsidP="009A4848">
                                <w:pPr>
                                  <w:pBdr>
                                    <w:top w:val="single" w:sz="4" w:space="1" w:color="7F7F7F" w:themeColor="background1" w:themeShade="7F"/>
                                  </w:pBdr>
                                  <w:jc w:val="center"/>
                                  <w:rPr>
                                    <w:color w:val="C0504D" w:themeColor="accent2"/>
                                  </w:rPr>
                                </w:pPr>
                                <w:r>
                                  <w:fldChar w:fldCharType="begin"/>
                                </w:r>
                                <w:r>
                                  <w:instrText>PAGE   \* MERGEFORMAT</w:instrText>
                                </w:r>
                                <w:r>
                                  <w:fldChar w:fldCharType="separate"/>
                                </w:r>
                                <w:r w:rsidRPr="009A4848">
                                  <w:rPr>
                                    <w:noProof/>
                                    <w:color w:val="C0504D" w:themeColor="accent2"/>
                                    <w:lang w:val="nl-NL"/>
                                  </w:rPr>
                                  <w:t>2</w:t>
                                </w:r>
                                <w:r>
                                  <w:rPr>
                                    <w:color w:val="C0504D" w:themeColor="accent2"/>
                                  </w:rPr>
                                  <w:fldChar w:fldCharType="end"/>
                                </w:r>
                              </w:p>
                            </w:txbxContent>
                          </wps:txbx>
                          <wps:bodyPr rot="0" vert="horz" wrap="square" lIns="91440" tIns="0" rIns="91440" bIns="0" anchor="t" anchorCtr="0" upright="1">
                            <a:noAutofit/>
                          </wps:bodyPr>
                        </wps:wsp>
                      </a:graphicData>
                    </a:graphic>
                    <wp14:sizeRelH relativeFrom="page">
                      <wp14:pctWidth>0</wp14:pctWidth>
                    </wp14:sizeRelH>
                    <wp14:sizeRelV relativeFrom="bottomMargin">
                      <wp14:pctHeight>0</wp14:pctHeight>
                    </wp14:sizeRelV>
                  </wp:anchor>
                </w:drawing>
              </mc:Choice>
              <mc:Fallback>
                <w:pict>
                  <v:rect id="Rechthoek 2" o:spid="_x0000_s1026" style="position:absolute;margin-left:0;margin-top:0;width:44.55pt;height:15.1pt;rotation:180;flip:x;z-index:251660288;visibility:visible;mso-wrap-style:square;mso-width-percent:0;mso-height-percent:0;mso-wrap-distance-left:9pt;mso-wrap-distance-top:0;mso-wrap-distance-right:9pt;mso-wrap-distance-bottom:0;mso-position-horizontal:center;mso-position-horizontal-relative:left-margin-area;mso-position-vertical:center;mso-position-vertical-relative:bottom-margin-area;mso-width-percent:0;mso-height-percent:0;mso-width-relative:page;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" filled="f" fillcolor="#c0504d" stroked="f" strokecolor="#5c83b4" strokeweight="2.25pt">
                    <v:textbox inset=",0,,0">
                      <w:txbxContent>
                        <w:p w:rsidR="00610AF9" w:rsidRDefault="00610AF9" w:rsidP="009A4848">
                          <w:pPr>
                            <w:pBdr>
                              <w:top w:val="single" w:sz="4" w:space="1" w:color="7F7F7F" w:themeColor="background1" w:themeShade="7F"/>
                            </w:pBdr>
                            <w:jc w:val="center"/>
                            <w:rPr>
                              <w:color w:val="C0504D" w:themeColor="accent2"/>
                            </w:rPr>
                          </w:pPr>
                          <w:r>
                            <w:fldChar w:fldCharType="begin"/>
                          </w:r>
                          <w:r>
                            <w:instrText>PAGE   \* MERGEFORMAT</w:instrText>
                          </w:r>
                          <w:r>
                            <w:fldChar w:fldCharType="separate"/>
                          </w:r>
                          <w:r w:rsidRPr="009A4848">
                            <w:rPr>
                              <w:noProof/>
                              <w:color w:val="C0504D" w:themeColor="accent2"/>
                              <w:lang w:val="nl-NL"/>
                            </w:rPr>
                            <w:t>2</w:t>
                          </w:r>
                          <w:r>
                            <w:rPr>
                              <w:color w:val="C0504D" w:themeColor="accent2"/>
                            </w:rPr>
                            <w:fldChar w:fldCharType="end"/>
                          </w:r>
                        </w:p>
                      </w:txbxContent>
                    </v:textbox>
                    <w10:wrap anchorx="margin" anchory="margin"/>
                  </v:rect>
                </w:pict>
              </mc:Fallback>
            </mc:AlternateContent>
          </w:r>
          <w:r w:rsidRPr="009A4848">
            <w:t>*Title image</w:t>
          </w:r>
          <w:r w:rsidR="0022217F">
            <w:t xml:space="preserve"> is</w:t>
          </w:r>
          <w:r w:rsidRPr="009A4848">
            <w:t xml:space="preserve"> </w:t>
          </w:r>
          <w:r w:rsidR="00234989">
            <w:t>copied</w:t>
          </w:r>
          <w:r w:rsidRPr="009A4848">
            <w:t xml:space="preserve"> from </w:t>
          </w:r>
          <w:r>
            <w:t xml:space="preserve">‘The Kosovo Crisis’ by </w:t>
          </w:r>
          <w:proofErr w:type="spellStart"/>
          <w:r>
            <w:t>Latawski</w:t>
          </w:r>
          <w:proofErr w:type="spellEnd"/>
          <w:r>
            <w:t xml:space="preserve"> and Smith</w:t>
          </w:r>
          <w:r w:rsidR="00EC54E3">
            <w:t xml:space="preserve"> (2003)</w:t>
          </w:r>
        </w:sdtContent>
      </w:sdt>
    </w:p>
    <w:p w:rsidR="009A4848" w:rsidRPr="009A4848" w:rsidRDefault="009A4848" w:rsidP="009A4848">
      <w:pPr>
        <w:rPr>
          <w:lang w:eastAsia="nl-NL"/>
        </w:rPr>
      </w:pPr>
      <w:r w:rsidRPr="009A4848">
        <w:rPr>
          <w:lang w:eastAsia="nl-NL"/>
        </w:rPr>
        <w:t xml:space="preserve"> </w:t>
      </w:r>
      <w:r w:rsidRPr="009A4848">
        <w:rPr>
          <w:lang w:eastAsia="nl-NL"/>
        </w:rPr>
        <w:br w:type="page"/>
      </w:r>
    </w:p>
    <w:p w:rsidR="00BD201E" w:rsidRPr="00770C55" w:rsidRDefault="00BD201E" w:rsidP="00F11CB3">
      <w:pPr>
        <w:pStyle w:val="Kop1"/>
        <w:spacing w:line="360" w:lineRule="auto"/>
        <w:jc w:val="both"/>
        <w:rPr>
          <w:rFonts w:asciiTheme="minorHAnsi" w:hAnsiTheme="minorHAnsi"/>
          <w:b w:val="0"/>
        </w:rPr>
      </w:pPr>
      <w:bookmarkStart w:id="0" w:name="_Toc489007215"/>
      <w:r w:rsidRPr="00770C55">
        <w:rPr>
          <w:rFonts w:asciiTheme="minorHAnsi" w:hAnsiTheme="minorHAnsi"/>
          <w:b w:val="0"/>
        </w:rPr>
        <w:lastRenderedPageBreak/>
        <w:t>Abstract</w:t>
      </w:r>
      <w:bookmarkEnd w:id="0"/>
    </w:p>
    <w:p w:rsidR="001C6B9C" w:rsidRDefault="001C6B9C" w:rsidP="00F11CB3">
      <w:pPr>
        <w:spacing w:line="360" w:lineRule="auto"/>
        <w:jc w:val="both"/>
        <w:rPr>
          <w:rFonts w:cs="Times New Roman"/>
        </w:rPr>
      </w:pPr>
      <w:r w:rsidRPr="001C6B9C">
        <w:t xml:space="preserve">This study </w:t>
      </w:r>
      <w:r w:rsidRPr="00F11CB3">
        <w:t xml:space="preserve">argues </w:t>
      </w:r>
      <w:r w:rsidR="008355DB">
        <w:t>that a</w:t>
      </w:r>
      <w:r w:rsidRPr="00F11CB3">
        <w:t xml:space="preserve"> successful outcome of a secession process is more likely</w:t>
      </w:r>
      <w:r w:rsidR="008355DB">
        <w:t xml:space="preserve"> to occur</w:t>
      </w:r>
      <w:r w:rsidRPr="00F11CB3">
        <w:t xml:space="preserve"> once an international advocacy network gets involved. </w:t>
      </w:r>
      <w:r w:rsidR="00A60EAC">
        <w:t>Therefore, this study will demonstrate the influence of an i</w:t>
      </w:r>
      <w:r w:rsidR="00756005">
        <w:t>nternational advocacy network towards</w:t>
      </w:r>
      <w:r w:rsidR="00A60EAC">
        <w:t xml:space="preserve"> a more positive outcome of a secession tendency, in this case Kosovo. </w:t>
      </w:r>
      <w:r w:rsidR="00D82EEA" w:rsidRPr="00F11CB3">
        <w:t xml:space="preserve">This expectation will be assessed  through an in-depth single case study analysis, in which the role of an international advocacy network is set out. </w:t>
      </w:r>
      <w:r w:rsidR="00F11CB3" w:rsidRPr="00F11CB3">
        <w:rPr>
          <w:rFonts w:cs="Times New Roman"/>
        </w:rPr>
        <w:t xml:space="preserve">In order to prove this </w:t>
      </w:r>
      <w:r w:rsidR="00DC360C">
        <w:rPr>
          <w:rFonts w:cs="Times New Roman"/>
        </w:rPr>
        <w:t xml:space="preserve">fit, this paper draws upon the </w:t>
      </w:r>
      <w:r w:rsidR="00DC5C3F">
        <w:rPr>
          <w:rFonts w:cs="Times New Roman"/>
        </w:rPr>
        <w:t>boomerang model</w:t>
      </w:r>
      <w:r w:rsidR="00F11CB3" w:rsidRPr="00F11CB3">
        <w:rPr>
          <w:rFonts w:cs="Times New Roman"/>
        </w:rPr>
        <w:t xml:space="preserve"> introduced by Keck and </w:t>
      </w:r>
      <w:proofErr w:type="spellStart"/>
      <w:r w:rsidR="00F11CB3" w:rsidRPr="00F11CB3">
        <w:rPr>
          <w:rFonts w:cs="Times New Roman"/>
        </w:rPr>
        <w:t>Sikkink</w:t>
      </w:r>
      <w:proofErr w:type="spellEnd"/>
      <w:r w:rsidR="00F11CB3" w:rsidRPr="00F11CB3">
        <w:rPr>
          <w:rFonts w:cs="Times New Roman"/>
        </w:rPr>
        <w:t xml:space="preserve"> (1999), which recognizes the role of the international community in solving intra state conflicts. </w:t>
      </w:r>
      <w:r w:rsidR="00DC360C">
        <w:rPr>
          <w:rFonts w:cs="Times New Roman"/>
        </w:rPr>
        <w:t xml:space="preserve">The core feature of the boomerang model is the </w:t>
      </w:r>
      <w:r w:rsidR="00D81CF3">
        <w:rPr>
          <w:rFonts w:cs="Times New Roman"/>
        </w:rPr>
        <w:t>‘linking up’ between a domestic group and international allies</w:t>
      </w:r>
      <w:r w:rsidR="003F0001">
        <w:rPr>
          <w:rFonts w:cs="Times New Roman"/>
        </w:rPr>
        <w:t>. This</w:t>
      </w:r>
      <w:r w:rsidR="00D81CF3">
        <w:rPr>
          <w:rFonts w:cs="Times New Roman"/>
        </w:rPr>
        <w:t xml:space="preserve"> establishes a boomerang pattern that allows for intensified pressure on a target state. </w:t>
      </w:r>
      <w:r w:rsidR="00F11CB3" w:rsidRPr="00F11CB3">
        <w:rPr>
          <w:rFonts w:cs="Times New Roman"/>
        </w:rPr>
        <w:t>In order to reveal this specific role of international institutions, a process tracing method is applied to the case of Kosovo</w:t>
      </w:r>
      <w:r w:rsidR="00075DA3">
        <w:rPr>
          <w:rFonts w:cs="Times New Roman"/>
        </w:rPr>
        <w:t>.</w:t>
      </w:r>
      <w:r w:rsidR="00186EC9">
        <w:rPr>
          <w:rFonts w:cs="Times New Roman"/>
        </w:rPr>
        <w:t xml:space="preserve"> A method of process tracing allows for an in-depth analysis and description of the five phases that the boomerang model consists of.</w:t>
      </w:r>
      <w:r w:rsidR="008355DB">
        <w:rPr>
          <w:rFonts w:cs="Times New Roman"/>
        </w:rPr>
        <w:t xml:space="preserve"> </w:t>
      </w:r>
      <w:r w:rsidR="00343B65">
        <w:rPr>
          <w:rFonts w:cs="Times New Roman"/>
        </w:rPr>
        <w:t xml:space="preserve">The theoretical approach </w:t>
      </w:r>
      <w:r w:rsidR="001851A2">
        <w:rPr>
          <w:rFonts w:cs="Times New Roman"/>
        </w:rPr>
        <w:t xml:space="preserve">of this study </w:t>
      </w:r>
      <w:r w:rsidR="00343B65">
        <w:rPr>
          <w:rFonts w:cs="Times New Roman"/>
        </w:rPr>
        <w:t xml:space="preserve">assumes that the Kosovar Albanians want to secede from the Serbian state, their oppressor, and create a sovereign and independent state. Since their claims do not have any significant effect, they reach out to the international community. This </w:t>
      </w:r>
      <w:r w:rsidR="00756005">
        <w:rPr>
          <w:rFonts w:cs="Times New Roman"/>
        </w:rPr>
        <w:t xml:space="preserve">may </w:t>
      </w:r>
      <w:r w:rsidR="00343B65">
        <w:rPr>
          <w:rFonts w:cs="Times New Roman"/>
        </w:rPr>
        <w:t xml:space="preserve">result in international support </w:t>
      </w:r>
      <w:r w:rsidR="00944074">
        <w:rPr>
          <w:rFonts w:cs="Times New Roman"/>
        </w:rPr>
        <w:t>from an inte</w:t>
      </w:r>
      <w:r w:rsidR="00756005">
        <w:rPr>
          <w:rFonts w:cs="Times New Roman"/>
        </w:rPr>
        <w:t>rnational advocacy network, which</w:t>
      </w:r>
      <w:r w:rsidR="00343B65">
        <w:rPr>
          <w:rFonts w:cs="Times New Roman"/>
        </w:rPr>
        <w:t xml:space="preserve"> strengthens the claims of the Kosovar Albanian people towards their desired outcome. </w:t>
      </w:r>
    </w:p>
    <w:p w:rsidR="00A726FD" w:rsidRPr="00CF372F" w:rsidRDefault="00A726FD" w:rsidP="00F11CB3">
      <w:pPr>
        <w:spacing w:line="360" w:lineRule="auto"/>
        <w:jc w:val="both"/>
      </w:pPr>
      <w:r w:rsidRPr="00CF372F">
        <w:br w:type="page"/>
      </w:r>
    </w:p>
    <w:sdt>
      <w:sdtPr>
        <w:rPr>
          <w:rFonts w:asciiTheme="minorHAnsi" w:eastAsiaTheme="minorHAnsi" w:hAnsiTheme="minorHAnsi" w:cstheme="minorBidi"/>
          <w:b w:val="0"/>
          <w:bCs w:val="0"/>
          <w:color w:val="auto"/>
          <w:sz w:val="22"/>
          <w:szCs w:val="22"/>
          <w:lang w:val="en-US" w:eastAsia="en-US"/>
        </w:rPr>
        <w:id w:val="-384946474"/>
        <w:docPartObj>
          <w:docPartGallery w:val="Table of Contents"/>
          <w:docPartUnique/>
        </w:docPartObj>
      </w:sdtPr>
      <w:sdtEndPr/>
      <w:sdtContent>
        <w:p w:rsidR="00DA35FA" w:rsidRDefault="00DA35FA">
          <w:pPr>
            <w:pStyle w:val="Kopvaninhoudsopgave"/>
          </w:pPr>
          <w:r>
            <w:t>Inhoud</w:t>
          </w:r>
        </w:p>
        <w:p w:rsidR="00F94BF8" w:rsidRDefault="00DA35FA">
          <w:pPr>
            <w:pStyle w:val="Inhopg1"/>
            <w:tabs>
              <w:tab w:val="right" w:leader="dot" w:pos="9062"/>
            </w:tabs>
            <w:rPr>
              <w:rFonts w:eastAsiaTheme="minorEastAsia"/>
              <w:noProof/>
              <w:lang w:val="nl-NL" w:eastAsia="nl-NL"/>
            </w:rPr>
          </w:pPr>
          <w:r>
            <w:fldChar w:fldCharType="begin"/>
          </w:r>
          <w:r>
            <w:instrText xml:space="preserve"> TOC \o "1-3" \h \z \u </w:instrText>
          </w:r>
          <w:r>
            <w:fldChar w:fldCharType="separate"/>
          </w:r>
          <w:hyperlink w:anchor="_Toc489007215" w:history="1">
            <w:r w:rsidR="00F94BF8" w:rsidRPr="00300ADF">
              <w:rPr>
                <w:rStyle w:val="Hyperlink"/>
                <w:noProof/>
              </w:rPr>
              <w:t>Abstract</w:t>
            </w:r>
            <w:r w:rsidR="00F94BF8">
              <w:rPr>
                <w:noProof/>
                <w:webHidden/>
              </w:rPr>
              <w:tab/>
            </w:r>
            <w:r w:rsidR="00F94BF8">
              <w:rPr>
                <w:noProof/>
                <w:webHidden/>
              </w:rPr>
              <w:fldChar w:fldCharType="begin"/>
            </w:r>
            <w:r w:rsidR="00F94BF8">
              <w:rPr>
                <w:noProof/>
                <w:webHidden/>
              </w:rPr>
              <w:instrText xml:space="preserve"> PAGEREF _Toc489007215 \h </w:instrText>
            </w:r>
            <w:r w:rsidR="00F94BF8">
              <w:rPr>
                <w:noProof/>
                <w:webHidden/>
              </w:rPr>
            </w:r>
            <w:r w:rsidR="00F94BF8">
              <w:rPr>
                <w:noProof/>
                <w:webHidden/>
              </w:rPr>
              <w:fldChar w:fldCharType="separate"/>
            </w:r>
            <w:r w:rsidR="00F94BF8">
              <w:rPr>
                <w:noProof/>
                <w:webHidden/>
              </w:rPr>
              <w:t>3</w:t>
            </w:r>
            <w:r w:rsidR="00F94BF8">
              <w:rPr>
                <w:noProof/>
                <w:webHidden/>
              </w:rPr>
              <w:fldChar w:fldCharType="end"/>
            </w:r>
          </w:hyperlink>
        </w:p>
        <w:p w:rsidR="00F94BF8" w:rsidRDefault="003D28E2">
          <w:pPr>
            <w:pStyle w:val="Inhopg1"/>
            <w:tabs>
              <w:tab w:val="right" w:leader="dot" w:pos="9062"/>
            </w:tabs>
            <w:rPr>
              <w:rFonts w:eastAsiaTheme="minorEastAsia"/>
              <w:noProof/>
              <w:lang w:val="nl-NL" w:eastAsia="nl-NL"/>
            </w:rPr>
          </w:pPr>
          <w:hyperlink w:anchor="_Toc489007216" w:history="1">
            <w:r w:rsidR="00F94BF8" w:rsidRPr="00300ADF">
              <w:rPr>
                <w:rStyle w:val="Hyperlink"/>
                <w:rFonts w:cs="Times New Roman"/>
                <w:noProof/>
              </w:rPr>
              <w:t>List of abbreviations</w:t>
            </w:r>
            <w:r w:rsidR="00F94BF8">
              <w:rPr>
                <w:noProof/>
                <w:webHidden/>
              </w:rPr>
              <w:tab/>
            </w:r>
            <w:r w:rsidR="00F94BF8">
              <w:rPr>
                <w:noProof/>
                <w:webHidden/>
              </w:rPr>
              <w:fldChar w:fldCharType="begin"/>
            </w:r>
            <w:r w:rsidR="00F94BF8">
              <w:rPr>
                <w:noProof/>
                <w:webHidden/>
              </w:rPr>
              <w:instrText xml:space="preserve"> PAGEREF _Toc489007216 \h </w:instrText>
            </w:r>
            <w:r w:rsidR="00F94BF8">
              <w:rPr>
                <w:noProof/>
                <w:webHidden/>
              </w:rPr>
            </w:r>
            <w:r w:rsidR="00F94BF8">
              <w:rPr>
                <w:noProof/>
                <w:webHidden/>
              </w:rPr>
              <w:fldChar w:fldCharType="separate"/>
            </w:r>
            <w:r w:rsidR="00F94BF8">
              <w:rPr>
                <w:noProof/>
                <w:webHidden/>
              </w:rPr>
              <w:t>6</w:t>
            </w:r>
            <w:r w:rsidR="00F94BF8">
              <w:rPr>
                <w:noProof/>
                <w:webHidden/>
              </w:rPr>
              <w:fldChar w:fldCharType="end"/>
            </w:r>
          </w:hyperlink>
        </w:p>
        <w:p w:rsidR="00F94BF8" w:rsidRDefault="003D28E2">
          <w:pPr>
            <w:pStyle w:val="Inhopg1"/>
            <w:tabs>
              <w:tab w:val="right" w:leader="dot" w:pos="9062"/>
            </w:tabs>
            <w:rPr>
              <w:rFonts w:eastAsiaTheme="minorEastAsia"/>
              <w:noProof/>
              <w:lang w:val="nl-NL" w:eastAsia="nl-NL"/>
            </w:rPr>
          </w:pPr>
          <w:hyperlink w:anchor="_Toc489007217" w:history="1">
            <w:r w:rsidR="00F94BF8" w:rsidRPr="00300ADF">
              <w:rPr>
                <w:rStyle w:val="Hyperlink"/>
                <w:rFonts w:cs="Times New Roman"/>
                <w:noProof/>
              </w:rPr>
              <w:t>Chapter 1: Introduction</w:t>
            </w:r>
            <w:r w:rsidR="00F94BF8">
              <w:rPr>
                <w:noProof/>
                <w:webHidden/>
              </w:rPr>
              <w:tab/>
            </w:r>
            <w:r w:rsidR="00F94BF8">
              <w:rPr>
                <w:noProof/>
                <w:webHidden/>
              </w:rPr>
              <w:fldChar w:fldCharType="begin"/>
            </w:r>
            <w:r w:rsidR="00F94BF8">
              <w:rPr>
                <w:noProof/>
                <w:webHidden/>
              </w:rPr>
              <w:instrText xml:space="preserve"> PAGEREF _Toc489007217 \h </w:instrText>
            </w:r>
            <w:r w:rsidR="00F94BF8">
              <w:rPr>
                <w:noProof/>
                <w:webHidden/>
              </w:rPr>
            </w:r>
            <w:r w:rsidR="00F94BF8">
              <w:rPr>
                <w:noProof/>
                <w:webHidden/>
              </w:rPr>
              <w:fldChar w:fldCharType="separate"/>
            </w:r>
            <w:r w:rsidR="00F94BF8">
              <w:rPr>
                <w:noProof/>
                <w:webHidden/>
              </w:rPr>
              <w:t>7</w:t>
            </w:r>
            <w:r w:rsidR="00F94BF8">
              <w:rPr>
                <w:noProof/>
                <w:webHidden/>
              </w:rPr>
              <w:fldChar w:fldCharType="end"/>
            </w:r>
          </w:hyperlink>
        </w:p>
        <w:p w:rsidR="00F94BF8" w:rsidRDefault="003D28E2">
          <w:pPr>
            <w:pStyle w:val="Inhopg2"/>
            <w:tabs>
              <w:tab w:val="right" w:leader="dot" w:pos="9062"/>
            </w:tabs>
            <w:rPr>
              <w:rFonts w:eastAsiaTheme="minorEastAsia"/>
              <w:noProof/>
              <w:lang w:val="nl-NL" w:eastAsia="nl-NL"/>
            </w:rPr>
          </w:pPr>
          <w:hyperlink w:anchor="_Toc489007218" w:history="1">
            <w:r w:rsidR="00F94BF8" w:rsidRPr="00300ADF">
              <w:rPr>
                <w:rStyle w:val="Hyperlink"/>
                <w:rFonts w:cs="Times New Roman"/>
                <w:noProof/>
              </w:rPr>
              <w:t>1.1 Puzzle</w:t>
            </w:r>
            <w:r w:rsidR="00F94BF8">
              <w:rPr>
                <w:noProof/>
                <w:webHidden/>
              </w:rPr>
              <w:tab/>
            </w:r>
            <w:r w:rsidR="00F94BF8">
              <w:rPr>
                <w:noProof/>
                <w:webHidden/>
              </w:rPr>
              <w:fldChar w:fldCharType="begin"/>
            </w:r>
            <w:r w:rsidR="00F94BF8">
              <w:rPr>
                <w:noProof/>
                <w:webHidden/>
              </w:rPr>
              <w:instrText xml:space="preserve"> PAGEREF _Toc489007218 \h </w:instrText>
            </w:r>
            <w:r w:rsidR="00F94BF8">
              <w:rPr>
                <w:noProof/>
                <w:webHidden/>
              </w:rPr>
            </w:r>
            <w:r w:rsidR="00F94BF8">
              <w:rPr>
                <w:noProof/>
                <w:webHidden/>
              </w:rPr>
              <w:fldChar w:fldCharType="separate"/>
            </w:r>
            <w:r w:rsidR="00F94BF8">
              <w:rPr>
                <w:noProof/>
                <w:webHidden/>
              </w:rPr>
              <w:t>7</w:t>
            </w:r>
            <w:r w:rsidR="00F94BF8">
              <w:rPr>
                <w:noProof/>
                <w:webHidden/>
              </w:rPr>
              <w:fldChar w:fldCharType="end"/>
            </w:r>
          </w:hyperlink>
        </w:p>
        <w:p w:rsidR="00F94BF8" w:rsidRDefault="003D28E2">
          <w:pPr>
            <w:pStyle w:val="Inhopg2"/>
            <w:tabs>
              <w:tab w:val="right" w:leader="dot" w:pos="9062"/>
            </w:tabs>
            <w:rPr>
              <w:rFonts w:eastAsiaTheme="minorEastAsia"/>
              <w:noProof/>
              <w:lang w:val="nl-NL" w:eastAsia="nl-NL"/>
            </w:rPr>
          </w:pPr>
          <w:hyperlink w:anchor="_Toc489007219" w:history="1">
            <w:r w:rsidR="00F94BF8" w:rsidRPr="00300ADF">
              <w:rPr>
                <w:rStyle w:val="Hyperlink"/>
                <w:rFonts w:cs="Times New Roman"/>
                <w:noProof/>
              </w:rPr>
              <w:t>1.2 Theory</w:t>
            </w:r>
            <w:r w:rsidR="00F94BF8">
              <w:rPr>
                <w:noProof/>
                <w:webHidden/>
              </w:rPr>
              <w:tab/>
            </w:r>
            <w:r w:rsidR="00F94BF8">
              <w:rPr>
                <w:noProof/>
                <w:webHidden/>
              </w:rPr>
              <w:fldChar w:fldCharType="begin"/>
            </w:r>
            <w:r w:rsidR="00F94BF8">
              <w:rPr>
                <w:noProof/>
                <w:webHidden/>
              </w:rPr>
              <w:instrText xml:space="preserve"> PAGEREF _Toc489007219 \h </w:instrText>
            </w:r>
            <w:r w:rsidR="00F94BF8">
              <w:rPr>
                <w:noProof/>
                <w:webHidden/>
              </w:rPr>
            </w:r>
            <w:r w:rsidR="00F94BF8">
              <w:rPr>
                <w:noProof/>
                <w:webHidden/>
              </w:rPr>
              <w:fldChar w:fldCharType="separate"/>
            </w:r>
            <w:r w:rsidR="00F94BF8">
              <w:rPr>
                <w:noProof/>
                <w:webHidden/>
              </w:rPr>
              <w:t>9</w:t>
            </w:r>
            <w:r w:rsidR="00F94BF8">
              <w:rPr>
                <w:noProof/>
                <w:webHidden/>
              </w:rPr>
              <w:fldChar w:fldCharType="end"/>
            </w:r>
          </w:hyperlink>
        </w:p>
        <w:p w:rsidR="00F94BF8" w:rsidRDefault="003D28E2">
          <w:pPr>
            <w:pStyle w:val="Inhopg2"/>
            <w:tabs>
              <w:tab w:val="right" w:leader="dot" w:pos="9062"/>
            </w:tabs>
            <w:rPr>
              <w:rFonts w:eastAsiaTheme="minorEastAsia"/>
              <w:noProof/>
              <w:lang w:val="nl-NL" w:eastAsia="nl-NL"/>
            </w:rPr>
          </w:pPr>
          <w:hyperlink w:anchor="_Toc489007220" w:history="1">
            <w:r w:rsidR="00F94BF8" w:rsidRPr="00300ADF">
              <w:rPr>
                <w:rStyle w:val="Hyperlink"/>
                <w:rFonts w:cs="Times New Roman"/>
                <w:noProof/>
              </w:rPr>
              <w:t>1.3 Dependent variable</w:t>
            </w:r>
            <w:r w:rsidR="00F94BF8">
              <w:rPr>
                <w:noProof/>
                <w:webHidden/>
              </w:rPr>
              <w:tab/>
            </w:r>
            <w:r w:rsidR="00F94BF8">
              <w:rPr>
                <w:noProof/>
                <w:webHidden/>
              </w:rPr>
              <w:fldChar w:fldCharType="begin"/>
            </w:r>
            <w:r w:rsidR="00F94BF8">
              <w:rPr>
                <w:noProof/>
                <w:webHidden/>
              </w:rPr>
              <w:instrText xml:space="preserve"> PAGEREF _Toc489007220 \h </w:instrText>
            </w:r>
            <w:r w:rsidR="00F94BF8">
              <w:rPr>
                <w:noProof/>
                <w:webHidden/>
              </w:rPr>
            </w:r>
            <w:r w:rsidR="00F94BF8">
              <w:rPr>
                <w:noProof/>
                <w:webHidden/>
              </w:rPr>
              <w:fldChar w:fldCharType="separate"/>
            </w:r>
            <w:r w:rsidR="00F94BF8">
              <w:rPr>
                <w:noProof/>
                <w:webHidden/>
              </w:rPr>
              <w:t>10</w:t>
            </w:r>
            <w:r w:rsidR="00F94BF8">
              <w:rPr>
                <w:noProof/>
                <w:webHidden/>
              </w:rPr>
              <w:fldChar w:fldCharType="end"/>
            </w:r>
          </w:hyperlink>
        </w:p>
        <w:p w:rsidR="00F94BF8" w:rsidRDefault="003D28E2">
          <w:pPr>
            <w:pStyle w:val="Inhopg2"/>
            <w:tabs>
              <w:tab w:val="right" w:leader="dot" w:pos="9062"/>
            </w:tabs>
            <w:rPr>
              <w:rFonts w:eastAsiaTheme="minorEastAsia"/>
              <w:noProof/>
              <w:lang w:val="nl-NL" w:eastAsia="nl-NL"/>
            </w:rPr>
          </w:pPr>
          <w:hyperlink w:anchor="_Toc489007221" w:history="1">
            <w:r w:rsidR="00F94BF8" w:rsidRPr="00300ADF">
              <w:rPr>
                <w:rStyle w:val="Hyperlink"/>
                <w:rFonts w:cs="Times New Roman"/>
                <w:noProof/>
              </w:rPr>
              <w:t>1.4 Independent variable</w:t>
            </w:r>
            <w:r w:rsidR="00F94BF8">
              <w:rPr>
                <w:noProof/>
                <w:webHidden/>
              </w:rPr>
              <w:tab/>
            </w:r>
            <w:r w:rsidR="00F94BF8">
              <w:rPr>
                <w:noProof/>
                <w:webHidden/>
              </w:rPr>
              <w:fldChar w:fldCharType="begin"/>
            </w:r>
            <w:r w:rsidR="00F94BF8">
              <w:rPr>
                <w:noProof/>
                <w:webHidden/>
              </w:rPr>
              <w:instrText xml:space="preserve"> PAGEREF _Toc489007221 \h </w:instrText>
            </w:r>
            <w:r w:rsidR="00F94BF8">
              <w:rPr>
                <w:noProof/>
                <w:webHidden/>
              </w:rPr>
            </w:r>
            <w:r w:rsidR="00F94BF8">
              <w:rPr>
                <w:noProof/>
                <w:webHidden/>
              </w:rPr>
              <w:fldChar w:fldCharType="separate"/>
            </w:r>
            <w:r w:rsidR="00F94BF8">
              <w:rPr>
                <w:noProof/>
                <w:webHidden/>
              </w:rPr>
              <w:t>10</w:t>
            </w:r>
            <w:r w:rsidR="00F94BF8">
              <w:rPr>
                <w:noProof/>
                <w:webHidden/>
              </w:rPr>
              <w:fldChar w:fldCharType="end"/>
            </w:r>
          </w:hyperlink>
        </w:p>
        <w:p w:rsidR="00F94BF8" w:rsidRDefault="003D28E2">
          <w:pPr>
            <w:pStyle w:val="Inhopg2"/>
            <w:tabs>
              <w:tab w:val="right" w:leader="dot" w:pos="9062"/>
            </w:tabs>
            <w:rPr>
              <w:rFonts w:eastAsiaTheme="minorEastAsia"/>
              <w:noProof/>
              <w:lang w:val="nl-NL" w:eastAsia="nl-NL"/>
            </w:rPr>
          </w:pPr>
          <w:hyperlink w:anchor="_Toc489007222" w:history="1">
            <w:r w:rsidR="00F94BF8" w:rsidRPr="00300ADF">
              <w:rPr>
                <w:rStyle w:val="Hyperlink"/>
                <w:rFonts w:cs="Times New Roman"/>
                <w:noProof/>
              </w:rPr>
              <w:t>1.5 Case selection</w:t>
            </w:r>
            <w:r w:rsidR="00F94BF8">
              <w:rPr>
                <w:noProof/>
                <w:webHidden/>
              </w:rPr>
              <w:tab/>
            </w:r>
            <w:r w:rsidR="00F94BF8">
              <w:rPr>
                <w:noProof/>
                <w:webHidden/>
              </w:rPr>
              <w:fldChar w:fldCharType="begin"/>
            </w:r>
            <w:r w:rsidR="00F94BF8">
              <w:rPr>
                <w:noProof/>
                <w:webHidden/>
              </w:rPr>
              <w:instrText xml:space="preserve"> PAGEREF _Toc489007222 \h </w:instrText>
            </w:r>
            <w:r w:rsidR="00F94BF8">
              <w:rPr>
                <w:noProof/>
                <w:webHidden/>
              </w:rPr>
            </w:r>
            <w:r w:rsidR="00F94BF8">
              <w:rPr>
                <w:noProof/>
                <w:webHidden/>
              </w:rPr>
              <w:fldChar w:fldCharType="separate"/>
            </w:r>
            <w:r w:rsidR="00F94BF8">
              <w:rPr>
                <w:noProof/>
                <w:webHidden/>
              </w:rPr>
              <w:t>11</w:t>
            </w:r>
            <w:r w:rsidR="00F94BF8">
              <w:rPr>
                <w:noProof/>
                <w:webHidden/>
              </w:rPr>
              <w:fldChar w:fldCharType="end"/>
            </w:r>
          </w:hyperlink>
        </w:p>
        <w:p w:rsidR="00F94BF8" w:rsidRDefault="003D28E2">
          <w:pPr>
            <w:pStyle w:val="Inhopg2"/>
            <w:tabs>
              <w:tab w:val="right" w:leader="dot" w:pos="9062"/>
            </w:tabs>
            <w:rPr>
              <w:rFonts w:eastAsiaTheme="minorEastAsia"/>
              <w:noProof/>
              <w:lang w:val="nl-NL" w:eastAsia="nl-NL"/>
            </w:rPr>
          </w:pPr>
          <w:hyperlink w:anchor="_Toc489007223" w:history="1">
            <w:r w:rsidR="00F94BF8" w:rsidRPr="00300ADF">
              <w:rPr>
                <w:rStyle w:val="Hyperlink"/>
                <w:rFonts w:cs="Times New Roman"/>
                <w:noProof/>
              </w:rPr>
              <w:t>1.6 The Kosovo case</w:t>
            </w:r>
            <w:r w:rsidR="00F94BF8">
              <w:rPr>
                <w:noProof/>
                <w:webHidden/>
              </w:rPr>
              <w:tab/>
            </w:r>
            <w:r w:rsidR="00F94BF8">
              <w:rPr>
                <w:noProof/>
                <w:webHidden/>
              </w:rPr>
              <w:fldChar w:fldCharType="begin"/>
            </w:r>
            <w:r w:rsidR="00F94BF8">
              <w:rPr>
                <w:noProof/>
                <w:webHidden/>
              </w:rPr>
              <w:instrText xml:space="preserve"> PAGEREF _Toc489007223 \h </w:instrText>
            </w:r>
            <w:r w:rsidR="00F94BF8">
              <w:rPr>
                <w:noProof/>
                <w:webHidden/>
              </w:rPr>
            </w:r>
            <w:r w:rsidR="00F94BF8">
              <w:rPr>
                <w:noProof/>
                <w:webHidden/>
              </w:rPr>
              <w:fldChar w:fldCharType="separate"/>
            </w:r>
            <w:r w:rsidR="00F94BF8">
              <w:rPr>
                <w:noProof/>
                <w:webHidden/>
              </w:rPr>
              <w:t>11</w:t>
            </w:r>
            <w:r w:rsidR="00F94BF8">
              <w:rPr>
                <w:noProof/>
                <w:webHidden/>
              </w:rPr>
              <w:fldChar w:fldCharType="end"/>
            </w:r>
          </w:hyperlink>
        </w:p>
        <w:p w:rsidR="00F94BF8" w:rsidRDefault="003D28E2">
          <w:pPr>
            <w:pStyle w:val="Inhopg2"/>
            <w:tabs>
              <w:tab w:val="right" w:leader="dot" w:pos="9062"/>
            </w:tabs>
            <w:rPr>
              <w:rFonts w:eastAsiaTheme="minorEastAsia"/>
              <w:noProof/>
              <w:lang w:val="nl-NL" w:eastAsia="nl-NL"/>
            </w:rPr>
          </w:pPr>
          <w:hyperlink w:anchor="_Toc489007224" w:history="1">
            <w:r w:rsidR="00F94BF8" w:rsidRPr="00300ADF">
              <w:rPr>
                <w:rStyle w:val="Hyperlink"/>
                <w:rFonts w:cs="Times New Roman"/>
                <w:noProof/>
              </w:rPr>
              <w:t>1.7 Method</w:t>
            </w:r>
            <w:r w:rsidR="00F94BF8">
              <w:rPr>
                <w:noProof/>
                <w:webHidden/>
              </w:rPr>
              <w:tab/>
            </w:r>
            <w:r w:rsidR="00F94BF8">
              <w:rPr>
                <w:noProof/>
                <w:webHidden/>
              </w:rPr>
              <w:fldChar w:fldCharType="begin"/>
            </w:r>
            <w:r w:rsidR="00F94BF8">
              <w:rPr>
                <w:noProof/>
                <w:webHidden/>
              </w:rPr>
              <w:instrText xml:space="preserve"> PAGEREF _Toc489007224 \h </w:instrText>
            </w:r>
            <w:r w:rsidR="00F94BF8">
              <w:rPr>
                <w:noProof/>
                <w:webHidden/>
              </w:rPr>
            </w:r>
            <w:r w:rsidR="00F94BF8">
              <w:rPr>
                <w:noProof/>
                <w:webHidden/>
              </w:rPr>
              <w:fldChar w:fldCharType="separate"/>
            </w:r>
            <w:r w:rsidR="00F94BF8">
              <w:rPr>
                <w:noProof/>
                <w:webHidden/>
              </w:rPr>
              <w:t>12</w:t>
            </w:r>
            <w:r w:rsidR="00F94BF8">
              <w:rPr>
                <w:noProof/>
                <w:webHidden/>
              </w:rPr>
              <w:fldChar w:fldCharType="end"/>
            </w:r>
          </w:hyperlink>
        </w:p>
        <w:p w:rsidR="00F94BF8" w:rsidRDefault="003D28E2">
          <w:pPr>
            <w:pStyle w:val="Inhopg2"/>
            <w:tabs>
              <w:tab w:val="right" w:leader="dot" w:pos="9062"/>
            </w:tabs>
            <w:rPr>
              <w:rFonts w:eastAsiaTheme="minorEastAsia"/>
              <w:noProof/>
              <w:lang w:val="nl-NL" w:eastAsia="nl-NL"/>
            </w:rPr>
          </w:pPr>
          <w:hyperlink w:anchor="_Toc489007225" w:history="1">
            <w:r w:rsidR="00F94BF8" w:rsidRPr="00300ADF">
              <w:rPr>
                <w:rStyle w:val="Hyperlink"/>
                <w:rFonts w:cs="Times New Roman"/>
                <w:noProof/>
              </w:rPr>
              <w:t>1.8 Data selection</w:t>
            </w:r>
            <w:r w:rsidR="00F94BF8">
              <w:rPr>
                <w:noProof/>
                <w:webHidden/>
              </w:rPr>
              <w:tab/>
            </w:r>
            <w:r w:rsidR="00F94BF8">
              <w:rPr>
                <w:noProof/>
                <w:webHidden/>
              </w:rPr>
              <w:fldChar w:fldCharType="begin"/>
            </w:r>
            <w:r w:rsidR="00F94BF8">
              <w:rPr>
                <w:noProof/>
                <w:webHidden/>
              </w:rPr>
              <w:instrText xml:space="preserve"> PAGEREF _Toc489007225 \h </w:instrText>
            </w:r>
            <w:r w:rsidR="00F94BF8">
              <w:rPr>
                <w:noProof/>
                <w:webHidden/>
              </w:rPr>
            </w:r>
            <w:r w:rsidR="00F94BF8">
              <w:rPr>
                <w:noProof/>
                <w:webHidden/>
              </w:rPr>
              <w:fldChar w:fldCharType="separate"/>
            </w:r>
            <w:r w:rsidR="00F94BF8">
              <w:rPr>
                <w:noProof/>
                <w:webHidden/>
              </w:rPr>
              <w:t>13</w:t>
            </w:r>
            <w:r w:rsidR="00F94BF8">
              <w:rPr>
                <w:noProof/>
                <w:webHidden/>
              </w:rPr>
              <w:fldChar w:fldCharType="end"/>
            </w:r>
          </w:hyperlink>
        </w:p>
        <w:p w:rsidR="00F94BF8" w:rsidRDefault="003D28E2">
          <w:pPr>
            <w:pStyle w:val="Inhopg1"/>
            <w:tabs>
              <w:tab w:val="right" w:leader="dot" w:pos="9062"/>
            </w:tabs>
            <w:rPr>
              <w:rFonts w:eastAsiaTheme="minorEastAsia"/>
              <w:noProof/>
              <w:lang w:val="nl-NL" w:eastAsia="nl-NL"/>
            </w:rPr>
          </w:pPr>
          <w:hyperlink w:anchor="_Toc489007226" w:history="1">
            <w:r w:rsidR="00F94BF8" w:rsidRPr="00300ADF">
              <w:rPr>
                <w:rStyle w:val="Hyperlink"/>
                <w:rFonts w:cs="Times New Roman"/>
                <w:noProof/>
              </w:rPr>
              <w:t>Chapter 2: theoretical framework</w:t>
            </w:r>
            <w:r w:rsidR="00F94BF8">
              <w:rPr>
                <w:noProof/>
                <w:webHidden/>
              </w:rPr>
              <w:tab/>
            </w:r>
            <w:r w:rsidR="00F94BF8">
              <w:rPr>
                <w:noProof/>
                <w:webHidden/>
              </w:rPr>
              <w:fldChar w:fldCharType="begin"/>
            </w:r>
            <w:r w:rsidR="00F94BF8">
              <w:rPr>
                <w:noProof/>
                <w:webHidden/>
              </w:rPr>
              <w:instrText xml:space="preserve"> PAGEREF _Toc489007226 \h </w:instrText>
            </w:r>
            <w:r w:rsidR="00F94BF8">
              <w:rPr>
                <w:noProof/>
                <w:webHidden/>
              </w:rPr>
            </w:r>
            <w:r w:rsidR="00F94BF8">
              <w:rPr>
                <w:noProof/>
                <w:webHidden/>
              </w:rPr>
              <w:fldChar w:fldCharType="separate"/>
            </w:r>
            <w:r w:rsidR="00F94BF8">
              <w:rPr>
                <w:noProof/>
                <w:webHidden/>
              </w:rPr>
              <w:t>15</w:t>
            </w:r>
            <w:r w:rsidR="00F94BF8">
              <w:rPr>
                <w:noProof/>
                <w:webHidden/>
              </w:rPr>
              <w:fldChar w:fldCharType="end"/>
            </w:r>
          </w:hyperlink>
        </w:p>
        <w:p w:rsidR="00F94BF8" w:rsidRDefault="003D28E2">
          <w:pPr>
            <w:pStyle w:val="Inhopg2"/>
            <w:tabs>
              <w:tab w:val="right" w:leader="dot" w:pos="9062"/>
            </w:tabs>
            <w:rPr>
              <w:rFonts w:eastAsiaTheme="minorEastAsia"/>
              <w:noProof/>
              <w:lang w:val="nl-NL" w:eastAsia="nl-NL"/>
            </w:rPr>
          </w:pPr>
          <w:hyperlink w:anchor="_Toc489007227" w:history="1">
            <w:r w:rsidR="00F94BF8" w:rsidRPr="00300ADF">
              <w:rPr>
                <w:rStyle w:val="Hyperlink"/>
                <w:noProof/>
              </w:rPr>
              <w:t>2.1 Dependent variable</w:t>
            </w:r>
            <w:r w:rsidR="00F94BF8">
              <w:rPr>
                <w:noProof/>
                <w:webHidden/>
              </w:rPr>
              <w:tab/>
            </w:r>
            <w:r w:rsidR="00F94BF8">
              <w:rPr>
                <w:noProof/>
                <w:webHidden/>
              </w:rPr>
              <w:fldChar w:fldCharType="begin"/>
            </w:r>
            <w:r w:rsidR="00F94BF8">
              <w:rPr>
                <w:noProof/>
                <w:webHidden/>
              </w:rPr>
              <w:instrText xml:space="preserve"> PAGEREF _Toc489007227 \h </w:instrText>
            </w:r>
            <w:r w:rsidR="00F94BF8">
              <w:rPr>
                <w:noProof/>
                <w:webHidden/>
              </w:rPr>
            </w:r>
            <w:r w:rsidR="00F94BF8">
              <w:rPr>
                <w:noProof/>
                <w:webHidden/>
              </w:rPr>
              <w:fldChar w:fldCharType="separate"/>
            </w:r>
            <w:r w:rsidR="00F94BF8">
              <w:rPr>
                <w:noProof/>
                <w:webHidden/>
              </w:rPr>
              <w:t>15</w:t>
            </w:r>
            <w:r w:rsidR="00F94BF8">
              <w:rPr>
                <w:noProof/>
                <w:webHidden/>
              </w:rPr>
              <w:fldChar w:fldCharType="end"/>
            </w:r>
          </w:hyperlink>
        </w:p>
        <w:p w:rsidR="00F94BF8" w:rsidRDefault="003D28E2">
          <w:pPr>
            <w:pStyle w:val="Inhopg3"/>
            <w:tabs>
              <w:tab w:val="right" w:leader="dot" w:pos="9062"/>
            </w:tabs>
            <w:rPr>
              <w:rFonts w:eastAsiaTheme="minorEastAsia"/>
              <w:noProof/>
              <w:lang w:val="nl-NL" w:eastAsia="nl-NL"/>
            </w:rPr>
          </w:pPr>
          <w:hyperlink w:anchor="_Toc489007228" w:history="1">
            <w:r w:rsidR="00F94BF8" w:rsidRPr="00300ADF">
              <w:rPr>
                <w:rStyle w:val="Hyperlink"/>
                <w:noProof/>
              </w:rPr>
              <w:t>2.1.1 Secession</w:t>
            </w:r>
            <w:r w:rsidR="00F94BF8">
              <w:rPr>
                <w:noProof/>
                <w:webHidden/>
              </w:rPr>
              <w:tab/>
            </w:r>
            <w:r w:rsidR="00F94BF8">
              <w:rPr>
                <w:noProof/>
                <w:webHidden/>
              </w:rPr>
              <w:fldChar w:fldCharType="begin"/>
            </w:r>
            <w:r w:rsidR="00F94BF8">
              <w:rPr>
                <w:noProof/>
                <w:webHidden/>
              </w:rPr>
              <w:instrText xml:space="preserve"> PAGEREF _Toc489007228 \h </w:instrText>
            </w:r>
            <w:r w:rsidR="00F94BF8">
              <w:rPr>
                <w:noProof/>
                <w:webHidden/>
              </w:rPr>
            </w:r>
            <w:r w:rsidR="00F94BF8">
              <w:rPr>
                <w:noProof/>
                <w:webHidden/>
              </w:rPr>
              <w:fldChar w:fldCharType="separate"/>
            </w:r>
            <w:r w:rsidR="00F94BF8">
              <w:rPr>
                <w:noProof/>
                <w:webHidden/>
              </w:rPr>
              <w:t>15</w:t>
            </w:r>
            <w:r w:rsidR="00F94BF8">
              <w:rPr>
                <w:noProof/>
                <w:webHidden/>
              </w:rPr>
              <w:fldChar w:fldCharType="end"/>
            </w:r>
          </w:hyperlink>
        </w:p>
        <w:p w:rsidR="00F94BF8" w:rsidRDefault="003D28E2">
          <w:pPr>
            <w:pStyle w:val="Inhopg3"/>
            <w:tabs>
              <w:tab w:val="right" w:leader="dot" w:pos="9062"/>
            </w:tabs>
            <w:rPr>
              <w:rFonts w:eastAsiaTheme="minorEastAsia"/>
              <w:noProof/>
              <w:lang w:val="nl-NL" w:eastAsia="nl-NL"/>
            </w:rPr>
          </w:pPr>
          <w:hyperlink w:anchor="_Toc489007229" w:history="1">
            <w:r w:rsidR="00F94BF8" w:rsidRPr="00300ADF">
              <w:rPr>
                <w:rStyle w:val="Hyperlink"/>
                <w:noProof/>
              </w:rPr>
              <w:t>2.1.2 Ethnic conflict</w:t>
            </w:r>
            <w:r w:rsidR="00F94BF8">
              <w:rPr>
                <w:noProof/>
                <w:webHidden/>
              </w:rPr>
              <w:tab/>
            </w:r>
            <w:r w:rsidR="00F94BF8">
              <w:rPr>
                <w:noProof/>
                <w:webHidden/>
              </w:rPr>
              <w:fldChar w:fldCharType="begin"/>
            </w:r>
            <w:r w:rsidR="00F94BF8">
              <w:rPr>
                <w:noProof/>
                <w:webHidden/>
              </w:rPr>
              <w:instrText xml:space="preserve"> PAGEREF _Toc489007229 \h </w:instrText>
            </w:r>
            <w:r w:rsidR="00F94BF8">
              <w:rPr>
                <w:noProof/>
                <w:webHidden/>
              </w:rPr>
            </w:r>
            <w:r w:rsidR="00F94BF8">
              <w:rPr>
                <w:noProof/>
                <w:webHidden/>
              </w:rPr>
              <w:fldChar w:fldCharType="separate"/>
            </w:r>
            <w:r w:rsidR="00F94BF8">
              <w:rPr>
                <w:noProof/>
                <w:webHidden/>
              </w:rPr>
              <w:t>18</w:t>
            </w:r>
            <w:r w:rsidR="00F94BF8">
              <w:rPr>
                <w:noProof/>
                <w:webHidden/>
              </w:rPr>
              <w:fldChar w:fldCharType="end"/>
            </w:r>
          </w:hyperlink>
        </w:p>
        <w:p w:rsidR="00F94BF8" w:rsidRDefault="003D28E2">
          <w:pPr>
            <w:pStyle w:val="Inhopg3"/>
            <w:tabs>
              <w:tab w:val="right" w:leader="dot" w:pos="9062"/>
            </w:tabs>
            <w:rPr>
              <w:rFonts w:eastAsiaTheme="minorEastAsia"/>
              <w:noProof/>
              <w:lang w:val="nl-NL" w:eastAsia="nl-NL"/>
            </w:rPr>
          </w:pPr>
          <w:hyperlink w:anchor="_Toc489007230" w:history="1">
            <w:r w:rsidR="00F94BF8" w:rsidRPr="00300ADF">
              <w:rPr>
                <w:rStyle w:val="Hyperlink"/>
                <w:noProof/>
              </w:rPr>
              <w:t>2.1.3 Successful secession</w:t>
            </w:r>
            <w:r w:rsidR="00F94BF8">
              <w:rPr>
                <w:noProof/>
                <w:webHidden/>
              </w:rPr>
              <w:tab/>
            </w:r>
            <w:r w:rsidR="00F94BF8">
              <w:rPr>
                <w:noProof/>
                <w:webHidden/>
              </w:rPr>
              <w:fldChar w:fldCharType="begin"/>
            </w:r>
            <w:r w:rsidR="00F94BF8">
              <w:rPr>
                <w:noProof/>
                <w:webHidden/>
              </w:rPr>
              <w:instrText xml:space="preserve"> PAGEREF _Toc489007230 \h </w:instrText>
            </w:r>
            <w:r w:rsidR="00F94BF8">
              <w:rPr>
                <w:noProof/>
                <w:webHidden/>
              </w:rPr>
            </w:r>
            <w:r w:rsidR="00F94BF8">
              <w:rPr>
                <w:noProof/>
                <w:webHidden/>
              </w:rPr>
              <w:fldChar w:fldCharType="separate"/>
            </w:r>
            <w:r w:rsidR="00F94BF8">
              <w:rPr>
                <w:noProof/>
                <w:webHidden/>
              </w:rPr>
              <w:t>19</w:t>
            </w:r>
            <w:r w:rsidR="00F94BF8">
              <w:rPr>
                <w:noProof/>
                <w:webHidden/>
              </w:rPr>
              <w:fldChar w:fldCharType="end"/>
            </w:r>
          </w:hyperlink>
        </w:p>
        <w:p w:rsidR="00F94BF8" w:rsidRDefault="003D28E2">
          <w:pPr>
            <w:pStyle w:val="Inhopg2"/>
            <w:tabs>
              <w:tab w:val="right" w:leader="dot" w:pos="9062"/>
            </w:tabs>
            <w:rPr>
              <w:rFonts w:eastAsiaTheme="minorEastAsia"/>
              <w:noProof/>
              <w:lang w:val="nl-NL" w:eastAsia="nl-NL"/>
            </w:rPr>
          </w:pPr>
          <w:hyperlink w:anchor="_Toc489007231" w:history="1">
            <w:r w:rsidR="00F94BF8" w:rsidRPr="00300ADF">
              <w:rPr>
                <w:rStyle w:val="Hyperlink"/>
                <w:noProof/>
              </w:rPr>
              <w:t>2.2 Independent variable</w:t>
            </w:r>
            <w:r w:rsidR="00F94BF8">
              <w:rPr>
                <w:noProof/>
                <w:webHidden/>
              </w:rPr>
              <w:tab/>
            </w:r>
            <w:r w:rsidR="00F94BF8">
              <w:rPr>
                <w:noProof/>
                <w:webHidden/>
              </w:rPr>
              <w:fldChar w:fldCharType="begin"/>
            </w:r>
            <w:r w:rsidR="00F94BF8">
              <w:rPr>
                <w:noProof/>
                <w:webHidden/>
              </w:rPr>
              <w:instrText xml:space="preserve"> PAGEREF _Toc489007231 \h </w:instrText>
            </w:r>
            <w:r w:rsidR="00F94BF8">
              <w:rPr>
                <w:noProof/>
                <w:webHidden/>
              </w:rPr>
            </w:r>
            <w:r w:rsidR="00F94BF8">
              <w:rPr>
                <w:noProof/>
                <w:webHidden/>
              </w:rPr>
              <w:fldChar w:fldCharType="separate"/>
            </w:r>
            <w:r w:rsidR="00F94BF8">
              <w:rPr>
                <w:noProof/>
                <w:webHidden/>
              </w:rPr>
              <w:t>20</w:t>
            </w:r>
            <w:r w:rsidR="00F94BF8">
              <w:rPr>
                <w:noProof/>
                <w:webHidden/>
              </w:rPr>
              <w:fldChar w:fldCharType="end"/>
            </w:r>
          </w:hyperlink>
        </w:p>
        <w:p w:rsidR="00F94BF8" w:rsidRDefault="003D28E2">
          <w:pPr>
            <w:pStyle w:val="Inhopg3"/>
            <w:tabs>
              <w:tab w:val="right" w:leader="dot" w:pos="9062"/>
            </w:tabs>
            <w:rPr>
              <w:rFonts w:eastAsiaTheme="minorEastAsia"/>
              <w:noProof/>
              <w:lang w:val="nl-NL" w:eastAsia="nl-NL"/>
            </w:rPr>
          </w:pPr>
          <w:hyperlink w:anchor="_Toc489007232" w:history="1">
            <w:r w:rsidR="00F94BF8" w:rsidRPr="00300ADF">
              <w:rPr>
                <w:rStyle w:val="Hyperlink"/>
                <w:noProof/>
              </w:rPr>
              <w:t>2.2.1 Theoretical debate</w:t>
            </w:r>
            <w:r w:rsidR="00F94BF8">
              <w:rPr>
                <w:noProof/>
                <w:webHidden/>
              </w:rPr>
              <w:tab/>
            </w:r>
            <w:r w:rsidR="00F94BF8">
              <w:rPr>
                <w:noProof/>
                <w:webHidden/>
              </w:rPr>
              <w:fldChar w:fldCharType="begin"/>
            </w:r>
            <w:r w:rsidR="00F94BF8">
              <w:rPr>
                <w:noProof/>
                <w:webHidden/>
              </w:rPr>
              <w:instrText xml:space="preserve"> PAGEREF _Toc489007232 \h </w:instrText>
            </w:r>
            <w:r w:rsidR="00F94BF8">
              <w:rPr>
                <w:noProof/>
                <w:webHidden/>
              </w:rPr>
            </w:r>
            <w:r w:rsidR="00F94BF8">
              <w:rPr>
                <w:noProof/>
                <w:webHidden/>
              </w:rPr>
              <w:fldChar w:fldCharType="separate"/>
            </w:r>
            <w:r w:rsidR="00F94BF8">
              <w:rPr>
                <w:noProof/>
                <w:webHidden/>
              </w:rPr>
              <w:t>20</w:t>
            </w:r>
            <w:r w:rsidR="00F94BF8">
              <w:rPr>
                <w:noProof/>
                <w:webHidden/>
              </w:rPr>
              <w:fldChar w:fldCharType="end"/>
            </w:r>
          </w:hyperlink>
        </w:p>
        <w:p w:rsidR="00F94BF8" w:rsidRDefault="003D28E2">
          <w:pPr>
            <w:pStyle w:val="Inhopg3"/>
            <w:tabs>
              <w:tab w:val="right" w:leader="dot" w:pos="9062"/>
            </w:tabs>
            <w:rPr>
              <w:rFonts w:eastAsiaTheme="minorEastAsia"/>
              <w:noProof/>
              <w:lang w:val="nl-NL" w:eastAsia="nl-NL"/>
            </w:rPr>
          </w:pPr>
          <w:hyperlink w:anchor="_Toc489007233" w:history="1">
            <w:r w:rsidR="00F94BF8" w:rsidRPr="00300ADF">
              <w:rPr>
                <w:rStyle w:val="Hyperlink"/>
                <w:noProof/>
              </w:rPr>
              <w:t>2.2.2 The boomerang model</w:t>
            </w:r>
            <w:r w:rsidR="00F94BF8">
              <w:rPr>
                <w:noProof/>
                <w:webHidden/>
              </w:rPr>
              <w:tab/>
            </w:r>
            <w:r w:rsidR="00F94BF8">
              <w:rPr>
                <w:noProof/>
                <w:webHidden/>
              </w:rPr>
              <w:fldChar w:fldCharType="begin"/>
            </w:r>
            <w:r w:rsidR="00F94BF8">
              <w:rPr>
                <w:noProof/>
                <w:webHidden/>
              </w:rPr>
              <w:instrText xml:space="preserve"> PAGEREF _Toc489007233 \h </w:instrText>
            </w:r>
            <w:r w:rsidR="00F94BF8">
              <w:rPr>
                <w:noProof/>
                <w:webHidden/>
              </w:rPr>
            </w:r>
            <w:r w:rsidR="00F94BF8">
              <w:rPr>
                <w:noProof/>
                <w:webHidden/>
              </w:rPr>
              <w:fldChar w:fldCharType="separate"/>
            </w:r>
            <w:r w:rsidR="00F94BF8">
              <w:rPr>
                <w:noProof/>
                <w:webHidden/>
              </w:rPr>
              <w:t>23</w:t>
            </w:r>
            <w:r w:rsidR="00F94BF8">
              <w:rPr>
                <w:noProof/>
                <w:webHidden/>
              </w:rPr>
              <w:fldChar w:fldCharType="end"/>
            </w:r>
          </w:hyperlink>
        </w:p>
        <w:p w:rsidR="00F94BF8" w:rsidRDefault="003D28E2">
          <w:pPr>
            <w:pStyle w:val="Inhopg3"/>
            <w:tabs>
              <w:tab w:val="right" w:leader="dot" w:pos="9062"/>
            </w:tabs>
            <w:rPr>
              <w:rFonts w:eastAsiaTheme="minorEastAsia"/>
              <w:noProof/>
              <w:lang w:val="nl-NL" w:eastAsia="nl-NL"/>
            </w:rPr>
          </w:pPr>
          <w:hyperlink w:anchor="_Toc489007234" w:history="1">
            <w:r w:rsidR="00F94BF8" w:rsidRPr="00300ADF">
              <w:rPr>
                <w:rStyle w:val="Hyperlink"/>
                <w:noProof/>
              </w:rPr>
              <w:t>2.2.3 The International Advocacy Network</w:t>
            </w:r>
            <w:r w:rsidR="00F94BF8">
              <w:rPr>
                <w:noProof/>
                <w:webHidden/>
              </w:rPr>
              <w:tab/>
            </w:r>
            <w:r w:rsidR="00F94BF8">
              <w:rPr>
                <w:noProof/>
                <w:webHidden/>
              </w:rPr>
              <w:fldChar w:fldCharType="begin"/>
            </w:r>
            <w:r w:rsidR="00F94BF8">
              <w:rPr>
                <w:noProof/>
                <w:webHidden/>
              </w:rPr>
              <w:instrText xml:space="preserve"> PAGEREF _Toc489007234 \h </w:instrText>
            </w:r>
            <w:r w:rsidR="00F94BF8">
              <w:rPr>
                <w:noProof/>
                <w:webHidden/>
              </w:rPr>
            </w:r>
            <w:r w:rsidR="00F94BF8">
              <w:rPr>
                <w:noProof/>
                <w:webHidden/>
              </w:rPr>
              <w:fldChar w:fldCharType="separate"/>
            </w:r>
            <w:r w:rsidR="00F94BF8">
              <w:rPr>
                <w:noProof/>
                <w:webHidden/>
              </w:rPr>
              <w:t>24</w:t>
            </w:r>
            <w:r w:rsidR="00F94BF8">
              <w:rPr>
                <w:noProof/>
                <w:webHidden/>
              </w:rPr>
              <w:fldChar w:fldCharType="end"/>
            </w:r>
          </w:hyperlink>
        </w:p>
        <w:p w:rsidR="00F94BF8" w:rsidRDefault="003D28E2">
          <w:pPr>
            <w:pStyle w:val="Inhopg3"/>
            <w:tabs>
              <w:tab w:val="right" w:leader="dot" w:pos="9062"/>
            </w:tabs>
            <w:rPr>
              <w:rFonts w:eastAsiaTheme="minorEastAsia"/>
              <w:noProof/>
              <w:lang w:val="nl-NL" w:eastAsia="nl-NL"/>
            </w:rPr>
          </w:pPr>
          <w:hyperlink w:anchor="_Toc489007235" w:history="1">
            <w:r w:rsidR="00F94BF8" w:rsidRPr="00300ADF">
              <w:rPr>
                <w:rStyle w:val="Hyperlink"/>
                <w:noProof/>
              </w:rPr>
              <w:t>2.2.4 Actors and target state</w:t>
            </w:r>
            <w:r w:rsidR="00F94BF8">
              <w:rPr>
                <w:noProof/>
                <w:webHidden/>
              </w:rPr>
              <w:tab/>
            </w:r>
            <w:r w:rsidR="00F94BF8">
              <w:rPr>
                <w:noProof/>
                <w:webHidden/>
              </w:rPr>
              <w:fldChar w:fldCharType="begin"/>
            </w:r>
            <w:r w:rsidR="00F94BF8">
              <w:rPr>
                <w:noProof/>
                <w:webHidden/>
              </w:rPr>
              <w:instrText xml:space="preserve"> PAGEREF _Toc489007235 \h </w:instrText>
            </w:r>
            <w:r w:rsidR="00F94BF8">
              <w:rPr>
                <w:noProof/>
                <w:webHidden/>
              </w:rPr>
            </w:r>
            <w:r w:rsidR="00F94BF8">
              <w:rPr>
                <w:noProof/>
                <w:webHidden/>
              </w:rPr>
              <w:fldChar w:fldCharType="separate"/>
            </w:r>
            <w:r w:rsidR="00F94BF8">
              <w:rPr>
                <w:noProof/>
                <w:webHidden/>
              </w:rPr>
              <w:t>25</w:t>
            </w:r>
            <w:r w:rsidR="00F94BF8">
              <w:rPr>
                <w:noProof/>
                <w:webHidden/>
              </w:rPr>
              <w:fldChar w:fldCharType="end"/>
            </w:r>
          </w:hyperlink>
        </w:p>
        <w:p w:rsidR="00F94BF8" w:rsidRDefault="003D28E2">
          <w:pPr>
            <w:pStyle w:val="Inhopg3"/>
            <w:tabs>
              <w:tab w:val="right" w:leader="dot" w:pos="9062"/>
            </w:tabs>
            <w:rPr>
              <w:rFonts w:eastAsiaTheme="minorEastAsia"/>
              <w:noProof/>
              <w:lang w:val="nl-NL" w:eastAsia="nl-NL"/>
            </w:rPr>
          </w:pPr>
          <w:hyperlink w:anchor="_Toc489007236" w:history="1">
            <w:r w:rsidR="00F94BF8" w:rsidRPr="00300ADF">
              <w:rPr>
                <w:rStyle w:val="Hyperlink"/>
                <w:noProof/>
              </w:rPr>
              <w:t>2.2.5 Strategies</w:t>
            </w:r>
            <w:r w:rsidR="00F94BF8">
              <w:rPr>
                <w:noProof/>
                <w:webHidden/>
              </w:rPr>
              <w:tab/>
            </w:r>
            <w:r w:rsidR="00F94BF8">
              <w:rPr>
                <w:noProof/>
                <w:webHidden/>
              </w:rPr>
              <w:fldChar w:fldCharType="begin"/>
            </w:r>
            <w:r w:rsidR="00F94BF8">
              <w:rPr>
                <w:noProof/>
                <w:webHidden/>
              </w:rPr>
              <w:instrText xml:space="preserve"> PAGEREF _Toc489007236 \h </w:instrText>
            </w:r>
            <w:r w:rsidR="00F94BF8">
              <w:rPr>
                <w:noProof/>
                <w:webHidden/>
              </w:rPr>
            </w:r>
            <w:r w:rsidR="00F94BF8">
              <w:rPr>
                <w:noProof/>
                <w:webHidden/>
              </w:rPr>
              <w:fldChar w:fldCharType="separate"/>
            </w:r>
            <w:r w:rsidR="00F94BF8">
              <w:rPr>
                <w:noProof/>
                <w:webHidden/>
              </w:rPr>
              <w:t>25</w:t>
            </w:r>
            <w:r w:rsidR="00F94BF8">
              <w:rPr>
                <w:noProof/>
                <w:webHidden/>
              </w:rPr>
              <w:fldChar w:fldCharType="end"/>
            </w:r>
          </w:hyperlink>
        </w:p>
        <w:p w:rsidR="00F94BF8" w:rsidRDefault="003D28E2">
          <w:pPr>
            <w:pStyle w:val="Inhopg3"/>
            <w:tabs>
              <w:tab w:val="right" w:leader="dot" w:pos="9062"/>
            </w:tabs>
            <w:rPr>
              <w:rFonts w:eastAsiaTheme="minorEastAsia"/>
              <w:noProof/>
              <w:lang w:val="nl-NL" w:eastAsia="nl-NL"/>
            </w:rPr>
          </w:pPr>
          <w:hyperlink w:anchor="_Toc489007237" w:history="1">
            <w:r w:rsidR="00F94BF8" w:rsidRPr="00300ADF">
              <w:rPr>
                <w:rStyle w:val="Hyperlink"/>
                <w:noProof/>
              </w:rPr>
              <w:t>2.2.6 Institutionalized norms and principles</w:t>
            </w:r>
            <w:r w:rsidR="00F94BF8">
              <w:rPr>
                <w:noProof/>
                <w:webHidden/>
              </w:rPr>
              <w:tab/>
            </w:r>
            <w:r w:rsidR="00F94BF8">
              <w:rPr>
                <w:noProof/>
                <w:webHidden/>
              </w:rPr>
              <w:fldChar w:fldCharType="begin"/>
            </w:r>
            <w:r w:rsidR="00F94BF8">
              <w:rPr>
                <w:noProof/>
                <w:webHidden/>
              </w:rPr>
              <w:instrText xml:space="preserve"> PAGEREF _Toc489007237 \h </w:instrText>
            </w:r>
            <w:r w:rsidR="00F94BF8">
              <w:rPr>
                <w:noProof/>
                <w:webHidden/>
              </w:rPr>
            </w:r>
            <w:r w:rsidR="00F94BF8">
              <w:rPr>
                <w:noProof/>
                <w:webHidden/>
              </w:rPr>
              <w:fldChar w:fldCharType="separate"/>
            </w:r>
            <w:r w:rsidR="00F94BF8">
              <w:rPr>
                <w:noProof/>
                <w:webHidden/>
              </w:rPr>
              <w:t>27</w:t>
            </w:r>
            <w:r w:rsidR="00F94BF8">
              <w:rPr>
                <w:noProof/>
                <w:webHidden/>
              </w:rPr>
              <w:fldChar w:fldCharType="end"/>
            </w:r>
          </w:hyperlink>
        </w:p>
        <w:p w:rsidR="00F94BF8" w:rsidRDefault="003D28E2">
          <w:pPr>
            <w:pStyle w:val="Inhopg3"/>
            <w:tabs>
              <w:tab w:val="right" w:leader="dot" w:pos="9062"/>
            </w:tabs>
            <w:rPr>
              <w:rFonts w:eastAsiaTheme="minorEastAsia"/>
              <w:noProof/>
              <w:lang w:val="nl-NL" w:eastAsia="nl-NL"/>
            </w:rPr>
          </w:pPr>
          <w:hyperlink w:anchor="_Toc489007238" w:history="1">
            <w:r w:rsidR="00F94BF8" w:rsidRPr="00300ADF">
              <w:rPr>
                <w:rStyle w:val="Hyperlink"/>
                <w:noProof/>
              </w:rPr>
              <w:t>2.2.7 Spiral Model</w:t>
            </w:r>
            <w:r w:rsidR="00F94BF8">
              <w:rPr>
                <w:noProof/>
                <w:webHidden/>
              </w:rPr>
              <w:tab/>
            </w:r>
            <w:r w:rsidR="00F94BF8">
              <w:rPr>
                <w:noProof/>
                <w:webHidden/>
              </w:rPr>
              <w:fldChar w:fldCharType="begin"/>
            </w:r>
            <w:r w:rsidR="00F94BF8">
              <w:rPr>
                <w:noProof/>
                <w:webHidden/>
              </w:rPr>
              <w:instrText xml:space="preserve"> PAGEREF _Toc489007238 \h </w:instrText>
            </w:r>
            <w:r w:rsidR="00F94BF8">
              <w:rPr>
                <w:noProof/>
                <w:webHidden/>
              </w:rPr>
            </w:r>
            <w:r w:rsidR="00F94BF8">
              <w:rPr>
                <w:noProof/>
                <w:webHidden/>
              </w:rPr>
              <w:fldChar w:fldCharType="separate"/>
            </w:r>
            <w:r w:rsidR="00F94BF8">
              <w:rPr>
                <w:noProof/>
                <w:webHidden/>
              </w:rPr>
              <w:t>29</w:t>
            </w:r>
            <w:r w:rsidR="00F94BF8">
              <w:rPr>
                <w:noProof/>
                <w:webHidden/>
              </w:rPr>
              <w:fldChar w:fldCharType="end"/>
            </w:r>
          </w:hyperlink>
        </w:p>
        <w:p w:rsidR="00F94BF8" w:rsidRDefault="003D28E2">
          <w:pPr>
            <w:pStyle w:val="Inhopg3"/>
            <w:tabs>
              <w:tab w:val="right" w:leader="dot" w:pos="9062"/>
            </w:tabs>
            <w:rPr>
              <w:rFonts w:eastAsiaTheme="minorEastAsia"/>
              <w:noProof/>
              <w:lang w:val="nl-NL" w:eastAsia="nl-NL"/>
            </w:rPr>
          </w:pPr>
          <w:hyperlink w:anchor="_Toc489007239" w:history="1">
            <w:r w:rsidR="00F94BF8" w:rsidRPr="00300ADF">
              <w:rPr>
                <w:rStyle w:val="Hyperlink"/>
                <w:noProof/>
              </w:rPr>
              <w:t>2.2.8 Limitations</w:t>
            </w:r>
            <w:r w:rsidR="00F94BF8">
              <w:rPr>
                <w:noProof/>
                <w:webHidden/>
              </w:rPr>
              <w:tab/>
            </w:r>
            <w:r w:rsidR="00F94BF8">
              <w:rPr>
                <w:noProof/>
                <w:webHidden/>
              </w:rPr>
              <w:fldChar w:fldCharType="begin"/>
            </w:r>
            <w:r w:rsidR="00F94BF8">
              <w:rPr>
                <w:noProof/>
                <w:webHidden/>
              </w:rPr>
              <w:instrText xml:space="preserve"> PAGEREF _Toc489007239 \h </w:instrText>
            </w:r>
            <w:r w:rsidR="00F94BF8">
              <w:rPr>
                <w:noProof/>
                <w:webHidden/>
              </w:rPr>
            </w:r>
            <w:r w:rsidR="00F94BF8">
              <w:rPr>
                <w:noProof/>
                <w:webHidden/>
              </w:rPr>
              <w:fldChar w:fldCharType="separate"/>
            </w:r>
            <w:r w:rsidR="00F94BF8">
              <w:rPr>
                <w:noProof/>
                <w:webHidden/>
              </w:rPr>
              <w:t>31</w:t>
            </w:r>
            <w:r w:rsidR="00F94BF8">
              <w:rPr>
                <w:noProof/>
                <w:webHidden/>
              </w:rPr>
              <w:fldChar w:fldCharType="end"/>
            </w:r>
          </w:hyperlink>
        </w:p>
        <w:p w:rsidR="00F94BF8" w:rsidRDefault="003D28E2">
          <w:pPr>
            <w:pStyle w:val="Inhopg1"/>
            <w:tabs>
              <w:tab w:val="right" w:leader="dot" w:pos="9062"/>
            </w:tabs>
            <w:rPr>
              <w:rFonts w:eastAsiaTheme="minorEastAsia"/>
              <w:noProof/>
              <w:lang w:val="nl-NL" w:eastAsia="nl-NL"/>
            </w:rPr>
          </w:pPr>
          <w:hyperlink w:anchor="_Toc489007240" w:history="1">
            <w:r w:rsidR="00F94BF8" w:rsidRPr="00300ADF">
              <w:rPr>
                <w:rStyle w:val="Hyperlink"/>
                <w:rFonts w:cs="Times New Roman"/>
                <w:noProof/>
              </w:rPr>
              <w:t>Chapter 3: Methodology</w:t>
            </w:r>
            <w:r w:rsidR="00F94BF8">
              <w:rPr>
                <w:noProof/>
                <w:webHidden/>
              </w:rPr>
              <w:tab/>
            </w:r>
            <w:r w:rsidR="00F94BF8">
              <w:rPr>
                <w:noProof/>
                <w:webHidden/>
              </w:rPr>
              <w:fldChar w:fldCharType="begin"/>
            </w:r>
            <w:r w:rsidR="00F94BF8">
              <w:rPr>
                <w:noProof/>
                <w:webHidden/>
              </w:rPr>
              <w:instrText xml:space="preserve"> PAGEREF _Toc489007240 \h </w:instrText>
            </w:r>
            <w:r w:rsidR="00F94BF8">
              <w:rPr>
                <w:noProof/>
                <w:webHidden/>
              </w:rPr>
            </w:r>
            <w:r w:rsidR="00F94BF8">
              <w:rPr>
                <w:noProof/>
                <w:webHidden/>
              </w:rPr>
              <w:fldChar w:fldCharType="separate"/>
            </w:r>
            <w:r w:rsidR="00F94BF8">
              <w:rPr>
                <w:noProof/>
                <w:webHidden/>
              </w:rPr>
              <w:t>32</w:t>
            </w:r>
            <w:r w:rsidR="00F94BF8">
              <w:rPr>
                <w:noProof/>
                <w:webHidden/>
              </w:rPr>
              <w:fldChar w:fldCharType="end"/>
            </w:r>
          </w:hyperlink>
        </w:p>
        <w:p w:rsidR="00F94BF8" w:rsidRDefault="003D28E2">
          <w:pPr>
            <w:pStyle w:val="Inhopg2"/>
            <w:tabs>
              <w:tab w:val="right" w:leader="dot" w:pos="9062"/>
            </w:tabs>
            <w:rPr>
              <w:rFonts w:eastAsiaTheme="minorEastAsia"/>
              <w:noProof/>
              <w:lang w:val="nl-NL" w:eastAsia="nl-NL"/>
            </w:rPr>
          </w:pPr>
          <w:hyperlink w:anchor="_Toc489007241" w:history="1">
            <w:r w:rsidR="00F94BF8" w:rsidRPr="00300ADF">
              <w:rPr>
                <w:rStyle w:val="Hyperlink"/>
                <w:rFonts w:cs="Times New Roman"/>
                <w:noProof/>
              </w:rPr>
              <w:t>3.1 The causal mechanism</w:t>
            </w:r>
            <w:r w:rsidR="00F94BF8">
              <w:rPr>
                <w:noProof/>
                <w:webHidden/>
              </w:rPr>
              <w:tab/>
            </w:r>
            <w:r w:rsidR="00F94BF8">
              <w:rPr>
                <w:noProof/>
                <w:webHidden/>
              </w:rPr>
              <w:fldChar w:fldCharType="begin"/>
            </w:r>
            <w:r w:rsidR="00F94BF8">
              <w:rPr>
                <w:noProof/>
                <w:webHidden/>
              </w:rPr>
              <w:instrText xml:space="preserve"> PAGEREF _Toc489007241 \h </w:instrText>
            </w:r>
            <w:r w:rsidR="00F94BF8">
              <w:rPr>
                <w:noProof/>
                <w:webHidden/>
              </w:rPr>
            </w:r>
            <w:r w:rsidR="00F94BF8">
              <w:rPr>
                <w:noProof/>
                <w:webHidden/>
              </w:rPr>
              <w:fldChar w:fldCharType="separate"/>
            </w:r>
            <w:r w:rsidR="00F94BF8">
              <w:rPr>
                <w:noProof/>
                <w:webHidden/>
              </w:rPr>
              <w:t>32</w:t>
            </w:r>
            <w:r w:rsidR="00F94BF8">
              <w:rPr>
                <w:noProof/>
                <w:webHidden/>
              </w:rPr>
              <w:fldChar w:fldCharType="end"/>
            </w:r>
          </w:hyperlink>
        </w:p>
        <w:p w:rsidR="00F94BF8" w:rsidRDefault="003D28E2">
          <w:pPr>
            <w:pStyle w:val="Inhopg2"/>
            <w:tabs>
              <w:tab w:val="right" w:leader="dot" w:pos="9062"/>
            </w:tabs>
            <w:rPr>
              <w:rFonts w:eastAsiaTheme="minorEastAsia"/>
              <w:noProof/>
              <w:lang w:val="nl-NL" w:eastAsia="nl-NL"/>
            </w:rPr>
          </w:pPr>
          <w:hyperlink w:anchor="_Toc489007242" w:history="1">
            <w:r w:rsidR="00F94BF8" w:rsidRPr="00300ADF">
              <w:rPr>
                <w:rStyle w:val="Hyperlink"/>
                <w:rFonts w:cs="Times New Roman"/>
                <w:noProof/>
              </w:rPr>
              <w:t>3.2 Operationalization of causal mechanism(s)</w:t>
            </w:r>
            <w:r w:rsidR="00F94BF8">
              <w:rPr>
                <w:noProof/>
                <w:webHidden/>
              </w:rPr>
              <w:tab/>
            </w:r>
            <w:r w:rsidR="00F94BF8">
              <w:rPr>
                <w:noProof/>
                <w:webHidden/>
              </w:rPr>
              <w:fldChar w:fldCharType="begin"/>
            </w:r>
            <w:r w:rsidR="00F94BF8">
              <w:rPr>
                <w:noProof/>
                <w:webHidden/>
              </w:rPr>
              <w:instrText xml:space="preserve"> PAGEREF _Toc489007242 \h </w:instrText>
            </w:r>
            <w:r w:rsidR="00F94BF8">
              <w:rPr>
                <w:noProof/>
                <w:webHidden/>
              </w:rPr>
            </w:r>
            <w:r w:rsidR="00F94BF8">
              <w:rPr>
                <w:noProof/>
                <w:webHidden/>
              </w:rPr>
              <w:fldChar w:fldCharType="separate"/>
            </w:r>
            <w:r w:rsidR="00F94BF8">
              <w:rPr>
                <w:noProof/>
                <w:webHidden/>
              </w:rPr>
              <w:t>33</w:t>
            </w:r>
            <w:r w:rsidR="00F94BF8">
              <w:rPr>
                <w:noProof/>
                <w:webHidden/>
              </w:rPr>
              <w:fldChar w:fldCharType="end"/>
            </w:r>
          </w:hyperlink>
        </w:p>
        <w:p w:rsidR="00F94BF8" w:rsidRDefault="003D28E2">
          <w:pPr>
            <w:pStyle w:val="Inhopg2"/>
            <w:tabs>
              <w:tab w:val="right" w:leader="dot" w:pos="9062"/>
            </w:tabs>
            <w:rPr>
              <w:rFonts w:eastAsiaTheme="minorEastAsia"/>
              <w:noProof/>
              <w:lang w:val="nl-NL" w:eastAsia="nl-NL"/>
            </w:rPr>
          </w:pPr>
          <w:hyperlink w:anchor="_Toc489007243" w:history="1">
            <w:r w:rsidR="00F94BF8" w:rsidRPr="00300ADF">
              <w:rPr>
                <w:rStyle w:val="Hyperlink"/>
                <w:rFonts w:cs="Times New Roman"/>
                <w:noProof/>
              </w:rPr>
              <w:t>3.3 From causal mechanism(s) to hypotheses</w:t>
            </w:r>
            <w:r w:rsidR="00F94BF8">
              <w:rPr>
                <w:noProof/>
                <w:webHidden/>
              </w:rPr>
              <w:tab/>
            </w:r>
            <w:r w:rsidR="00F94BF8">
              <w:rPr>
                <w:noProof/>
                <w:webHidden/>
              </w:rPr>
              <w:fldChar w:fldCharType="begin"/>
            </w:r>
            <w:r w:rsidR="00F94BF8">
              <w:rPr>
                <w:noProof/>
                <w:webHidden/>
              </w:rPr>
              <w:instrText xml:space="preserve"> PAGEREF _Toc489007243 \h </w:instrText>
            </w:r>
            <w:r w:rsidR="00F94BF8">
              <w:rPr>
                <w:noProof/>
                <w:webHidden/>
              </w:rPr>
            </w:r>
            <w:r w:rsidR="00F94BF8">
              <w:rPr>
                <w:noProof/>
                <w:webHidden/>
              </w:rPr>
              <w:fldChar w:fldCharType="separate"/>
            </w:r>
            <w:r w:rsidR="00F94BF8">
              <w:rPr>
                <w:noProof/>
                <w:webHidden/>
              </w:rPr>
              <w:t>35</w:t>
            </w:r>
            <w:r w:rsidR="00F94BF8">
              <w:rPr>
                <w:noProof/>
                <w:webHidden/>
              </w:rPr>
              <w:fldChar w:fldCharType="end"/>
            </w:r>
          </w:hyperlink>
        </w:p>
        <w:p w:rsidR="00F94BF8" w:rsidRDefault="003D28E2">
          <w:pPr>
            <w:pStyle w:val="Inhopg2"/>
            <w:tabs>
              <w:tab w:val="right" w:leader="dot" w:pos="9062"/>
            </w:tabs>
            <w:rPr>
              <w:rFonts w:eastAsiaTheme="minorEastAsia"/>
              <w:noProof/>
              <w:lang w:val="nl-NL" w:eastAsia="nl-NL"/>
            </w:rPr>
          </w:pPr>
          <w:hyperlink w:anchor="_Toc489007244" w:history="1">
            <w:r w:rsidR="00F94BF8" w:rsidRPr="00300ADF">
              <w:rPr>
                <w:rStyle w:val="Hyperlink"/>
                <w:rFonts w:cs="Times New Roman"/>
                <w:noProof/>
              </w:rPr>
              <w:t>3.4 Case study</w:t>
            </w:r>
            <w:r w:rsidR="00F94BF8">
              <w:rPr>
                <w:noProof/>
                <w:webHidden/>
              </w:rPr>
              <w:tab/>
            </w:r>
            <w:r w:rsidR="00F94BF8">
              <w:rPr>
                <w:noProof/>
                <w:webHidden/>
              </w:rPr>
              <w:fldChar w:fldCharType="begin"/>
            </w:r>
            <w:r w:rsidR="00F94BF8">
              <w:rPr>
                <w:noProof/>
                <w:webHidden/>
              </w:rPr>
              <w:instrText xml:space="preserve"> PAGEREF _Toc489007244 \h </w:instrText>
            </w:r>
            <w:r w:rsidR="00F94BF8">
              <w:rPr>
                <w:noProof/>
                <w:webHidden/>
              </w:rPr>
            </w:r>
            <w:r w:rsidR="00F94BF8">
              <w:rPr>
                <w:noProof/>
                <w:webHidden/>
              </w:rPr>
              <w:fldChar w:fldCharType="separate"/>
            </w:r>
            <w:r w:rsidR="00F94BF8">
              <w:rPr>
                <w:noProof/>
                <w:webHidden/>
              </w:rPr>
              <w:t>40</w:t>
            </w:r>
            <w:r w:rsidR="00F94BF8">
              <w:rPr>
                <w:noProof/>
                <w:webHidden/>
              </w:rPr>
              <w:fldChar w:fldCharType="end"/>
            </w:r>
          </w:hyperlink>
        </w:p>
        <w:p w:rsidR="00F94BF8" w:rsidRDefault="003D28E2">
          <w:pPr>
            <w:pStyle w:val="Inhopg2"/>
            <w:tabs>
              <w:tab w:val="right" w:leader="dot" w:pos="9062"/>
            </w:tabs>
            <w:rPr>
              <w:rFonts w:eastAsiaTheme="minorEastAsia"/>
              <w:noProof/>
              <w:lang w:val="nl-NL" w:eastAsia="nl-NL"/>
            </w:rPr>
          </w:pPr>
          <w:hyperlink w:anchor="_Toc489007245" w:history="1">
            <w:r w:rsidR="00F94BF8" w:rsidRPr="00300ADF">
              <w:rPr>
                <w:rStyle w:val="Hyperlink"/>
                <w:rFonts w:cs="Times New Roman"/>
                <w:noProof/>
              </w:rPr>
              <w:t>3.5 Process-Tracing</w:t>
            </w:r>
            <w:r w:rsidR="00F94BF8">
              <w:rPr>
                <w:noProof/>
                <w:webHidden/>
              </w:rPr>
              <w:tab/>
            </w:r>
            <w:r w:rsidR="00F94BF8">
              <w:rPr>
                <w:noProof/>
                <w:webHidden/>
              </w:rPr>
              <w:fldChar w:fldCharType="begin"/>
            </w:r>
            <w:r w:rsidR="00F94BF8">
              <w:rPr>
                <w:noProof/>
                <w:webHidden/>
              </w:rPr>
              <w:instrText xml:space="preserve"> PAGEREF _Toc489007245 \h </w:instrText>
            </w:r>
            <w:r w:rsidR="00F94BF8">
              <w:rPr>
                <w:noProof/>
                <w:webHidden/>
              </w:rPr>
            </w:r>
            <w:r w:rsidR="00F94BF8">
              <w:rPr>
                <w:noProof/>
                <w:webHidden/>
              </w:rPr>
              <w:fldChar w:fldCharType="separate"/>
            </w:r>
            <w:r w:rsidR="00F94BF8">
              <w:rPr>
                <w:noProof/>
                <w:webHidden/>
              </w:rPr>
              <w:t>42</w:t>
            </w:r>
            <w:r w:rsidR="00F94BF8">
              <w:rPr>
                <w:noProof/>
                <w:webHidden/>
              </w:rPr>
              <w:fldChar w:fldCharType="end"/>
            </w:r>
          </w:hyperlink>
        </w:p>
        <w:p w:rsidR="00F94BF8" w:rsidRDefault="003D28E2">
          <w:pPr>
            <w:pStyle w:val="Inhopg2"/>
            <w:tabs>
              <w:tab w:val="right" w:leader="dot" w:pos="9062"/>
            </w:tabs>
            <w:rPr>
              <w:rFonts w:eastAsiaTheme="minorEastAsia"/>
              <w:noProof/>
              <w:lang w:val="nl-NL" w:eastAsia="nl-NL"/>
            </w:rPr>
          </w:pPr>
          <w:hyperlink w:anchor="_Toc489007246" w:history="1">
            <w:r w:rsidR="00F94BF8" w:rsidRPr="00300ADF">
              <w:rPr>
                <w:rStyle w:val="Hyperlink"/>
                <w:noProof/>
              </w:rPr>
              <w:t>3.6 Weakness</w:t>
            </w:r>
            <w:r w:rsidR="00F94BF8">
              <w:rPr>
                <w:noProof/>
                <w:webHidden/>
              </w:rPr>
              <w:tab/>
            </w:r>
            <w:r w:rsidR="00F94BF8">
              <w:rPr>
                <w:noProof/>
                <w:webHidden/>
              </w:rPr>
              <w:fldChar w:fldCharType="begin"/>
            </w:r>
            <w:r w:rsidR="00F94BF8">
              <w:rPr>
                <w:noProof/>
                <w:webHidden/>
              </w:rPr>
              <w:instrText xml:space="preserve"> PAGEREF _Toc489007246 \h </w:instrText>
            </w:r>
            <w:r w:rsidR="00F94BF8">
              <w:rPr>
                <w:noProof/>
                <w:webHidden/>
              </w:rPr>
            </w:r>
            <w:r w:rsidR="00F94BF8">
              <w:rPr>
                <w:noProof/>
                <w:webHidden/>
              </w:rPr>
              <w:fldChar w:fldCharType="separate"/>
            </w:r>
            <w:r w:rsidR="00F94BF8">
              <w:rPr>
                <w:noProof/>
                <w:webHidden/>
              </w:rPr>
              <w:t>43</w:t>
            </w:r>
            <w:r w:rsidR="00F94BF8">
              <w:rPr>
                <w:noProof/>
                <w:webHidden/>
              </w:rPr>
              <w:fldChar w:fldCharType="end"/>
            </w:r>
          </w:hyperlink>
        </w:p>
        <w:p w:rsidR="00F94BF8" w:rsidRDefault="003D28E2">
          <w:pPr>
            <w:pStyle w:val="Inhopg2"/>
            <w:tabs>
              <w:tab w:val="right" w:leader="dot" w:pos="9062"/>
            </w:tabs>
            <w:rPr>
              <w:rFonts w:eastAsiaTheme="minorEastAsia"/>
              <w:noProof/>
              <w:lang w:val="nl-NL" w:eastAsia="nl-NL"/>
            </w:rPr>
          </w:pPr>
          <w:hyperlink w:anchor="_Toc489007247" w:history="1">
            <w:r w:rsidR="00F94BF8" w:rsidRPr="00300ADF">
              <w:rPr>
                <w:rStyle w:val="Hyperlink"/>
                <w:rFonts w:cs="Times New Roman"/>
                <w:noProof/>
              </w:rPr>
              <w:t>3.7 Data selection</w:t>
            </w:r>
            <w:r w:rsidR="00F94BF8">
              <w:rPr>
                <w:noProof/>
                <w:webHidden/>
              </w:rPr>
              <w:tab/>
            </w:r>
            <w:r w:rsidR="00F94BF8">
              <w:rPr>
                <w:noProof/>
                <w:webHidden/>
              </w:rPr>
              <w:fldChar w:fldCharType="begin"/>
            </w:r>
            <w:r w:rsidR="00F94BF8">
              <w:rPr>
                <w:noProof/>
                <w:webHidden/>
              </w:rPr>
              <w:instrText xml:space="preserve"> PAGEREF _Toc489007247 \h </w:instrText>
            </w:r>
            <w:r w:rsidR="00F94BF8">
              <w:rPr>
                <w:noProof/>
                <w:webHidden/>
              </w:rPr>
            </w:r>
            <w:r w:rsidR="00F94BF8">
              <w:rPr>
                <w:noProof/>
                <w:webHidden/>
              </w:rPr>
              <w:fldChar w:fldCharType="separate"/>
            </w:r>
            <w:r w:rsidR="00F94BF8">
              <w:rPr>
                <w:noProof/>
                <w:webHidden/>
              </w:rPr>
              <w:t>43</w:t>
            </w:r>
            <w:r w:rsidR="00F94BF8">
              <w:rPr>
                <w:noProof/>
                <w:webHidden/>
              </w:rPr>
              <w:fldChar w:fldCharType="end"/>
            </w:r>
          </w:hyperlink>
        </w:p>
        <w:p w:rsidR="00F94BF8" w:rsidRDefault="003D28E2">
          <w:pPr>
            <w:pStyle w:val="Inhopg1"/>
            <w:tabs>
              <w:tab w:val="right" w:leader="dot" w:pos="9062"/>
            </w:tabs>
            <w:rPr>
              <w:rFonts w:eastAsiaTheme="minorEastAsia"/>
              <w:noProof/>
              <w:lang w:val="nl-NL" w:eastAsia="nl-NL"/>
            </w:rPr>
          </w:pPr>
          <w:hyperlink w:anchor="_Toc489007248" w:history="1">
            <w:r w:rsidR="00F94BF8" w:rsidRPr="00300ADF">
              <w:rPr>
                <w:rStyle w:val="Hyperlink"/>
                <w:noProof/>
              </w:rPr>
              <w:t>Chapter 4: Empirical analysis</w:t>
            </w:r>
            <w:r w:rsidR="00F94BF8">
              <w:rPr>
                <w:noProof/>
                <w:webHidden/>
              </w:rPr>
              <w:tab/>
            </w:r>
            <w:r w:rsidR="00F94BF8">
              <w:rPr>
                <w:noProof/>
                <w:webHidden/>
              </w:rPr>
              <w:fldChar w:fldCharType="begin"/>
            </w:r>
            <w:r w:rsidR="00F94BF8">
              <w:rPr>
                <w:noProof/>
                <w:webHidden/>
              </w:rPr>
              <w:instrText xml:space="preserve"> PAGEREF _Toc489007248 \h </w:instrText>
            </w:r>
            <w:r w:rsidR="00F94BF8">
              <w:rPr>
                <w:noProof/>
                <w:webHidden/>
              </w:rPr>
            </w:r>
            <w:r w:rsidR="00F94BF8">
              <w:rPr>
                <w:noProof/>
                <w:webHidden/>
              </w:rPr>
              <w:fldChar w:fldCharType="separate"/>
            </w:r>
            <w:r w:rsidR="00F94BF8">
              <w:rPr>
                <w:noProof/>
                <w:webHidden/>
              </w:rPr>
              <w:t>46</w:t>
            </w:r>
            <w:r w:rsidR="00F94BF8">
              <w:rPr>
                <w:noProof/>
                <w:webHidden/>
              </w:rPr>
              <w:fldChar w:fldCharType="end"/>
            </w:r>
          </w:hyperlink>
        </w:p>
        <w:p w:rsidR="00F94BF8" w:rsidRDefault="003D28E2">
          <w:pPr>
            <w:pStyle w:val="Inhopg2"/>
            <w:tabs>
              <w:tab w:val="right" w:leader="dot" w:pos="9062"/>
            </w:tabs>
            <w:rPr>
              <w:rFonts w:eastAsiaTheme="minorEastAsia"/>
              <w:noProof/>
              <w:lang w:val="nl-NL" w:eastAsia="nl-NL"/>
            </w:rPr>
          </w:pPr>
          <w:hyperlink w:anchor="_Toc489007249" w:history="1">
            <w:r w:rsidR="00F94BF8" w:rsidRPr="00300ADF">
              <w:rPr>
                <w:rStyle w:val="Hyperlink"/>
                <w:noProof/>
              </w:rPr>
              <w:t>4.1 The network</w:t>
            </w:r>
            <w:r w:rsidR="00F94BF8">
              <w:rPr>
                <w:noProof/>
                <w:webHidden/>
              </w:rPr>
              <w:tab/>
            </w:r>
            <w:r w:rsidR="00F94BF8">
              <w:rPr>
                <w:noProof/>
                <w:webHidden/>
              </w:rPr>
              <w:fldChar w:fldCharType="begin"/>
            </w:r>
            <w:r w:rsidR="00F94BF8">
              <w:rPr>
                <w:noProof/>
                <w:webHidden/>
              </w:rPr>
              <w:instrText xml:space="preserve"> PAGEREF _Toc489007249 \h </w:instrText>
            </w:r>
            <w:r w:rsidR="00F94BF8">
              <w:rPr>
                <w:noProof/>
                <w:webHidden/>
              </w:rPr>
            </w:r>
            <w:r w:rsidR="00F94BF8">
              <w:rPr>
                <w:noProof/>
                <w:webHidden/>
              </w:rPr>
              <w:fldChar w:fldCharType="separate"/>
            </w:r>
            <w:r w:rsidR="00F94BF8">
              <w:rPr>
                <w:noProof/>
                <w:webHidden/>
              </w:rPr>
              <w:t>46</w:t>
            </w:r>
            <w:r w:rsidR="00F94BF8">
              <w:rPr>
                <w:noProof/>
                <w:webHidden/>
              </w:rPr>
              <w:fldChar w:fldCharType="end"/>
            </w:r>
          </w:hyperlink>
        </w:p>
        <w:p w:rsidR="00F94BF8" w:rsidRDefault="003D28E2">
          <w:pPr>
            <w:pStyle w:val="Inhopg2"/>
            <w:tabs>
              <w:tab w:val="right" w:leader="dot" w:pos="9062"/>
            </w:tabs>
            <w:rPr>
              <w:rFonts w:eastAsiaTheme="minorEastAsia"/>
              <w:noProof/>
              <w:lang w:val="nl-NL" w:eastAsia="nl-NL"/>
            </w:rPr>
          </w:pPr>
          <w:hyperlink w:anchor="_Toc489007250" w:history="1">
            <w:r w:rsidR="00F94BF8" w:rsidRPr="00300ADF">
              <w:rPr>
                <w:rStyle w:val="Hyperlink"/>
                <w:noProof/>
              </w:rPr>
              <w:t>4.2 Historical overview</w:t>
            </w:r>
            <w:r w:rsidR="00F94BF8">
              <w:rPr>
                <w:noProof/>
                <w:webHidden/>
              </w:rPr>
              <w:tab/>
            </w:r>
            <w:r w:rsidR="00F94BF8">
              <w:rPr>
                <w:noProof/>
                <w:webHidden/>
              </w:rPr>
              <w:fldChar w:fldCharType="begin"/>
            </w:r>
            <w:r w:rsidR="00F94BF8">
              <w:rPr>
                <w:noProof/>
                <w:webHidden/>
              </w:rPr>
              <w:instrText xml:space="preserve"> PAGEREF _Toc489007250 \h </w:instrText>
            </w:r>
            <w:r w:rsidR="00F94BF8">
              <w:rPr>
                <w:noProof/>
                <w:webHidden/>
              </w:rPr>
            </w:r>
            <w:r w:rsidR="00F94BF8">
              <w:rPr>
                <w:noProof/>
                <w:webHidden/>
              </w:rPr>
              <w:fldChar w:fldCharType="separate"/>
            </w:r>
            <w:r w:rsidR="00F94BF8">
              <w:rPr>
                <w:noProof/>
                <w:webHidden/>
              </w:rPr>
              <w:t>48</w:t>
            </w:r>
            <w:r w:rsidR="00F94BF8">
              <w:rPr>
                <w:noProof/>
                <w:webHidden/>
              </w:rPr>
              <w:fldChar w:fldCharType="end"/>
            </w:r>
          </w:hyperlink>
        </w:p>
        <w:p w:rsidR="00F94BF8" w:rsidRDefault="003D28E2">
          <w:pPr>
            <w:pStyle w:val="Inhopg3"/>
            <w:tabs>
              <w:tab w:val="right" w:leader="dot" w:pos="9062"/>
            </w:tabs>
            <w:rPr>
              <w:rFonts w:eastAsiaTheme="minorEastAsia"/>
              <w:noProof/>
              <w:lang w:val="nl-NL" w:eastAsia="nl-NL"/>
            </w:rPr>
          </w:pPr>
          <w:hyperlink w:anchor="_Toc489007251" w:history="1">
            <w:r w:rsidR="00F94BF8" w:rsidRPr="00300ADF">
              <w:rPr>
                <w:rStyle w:val="Hyperlink"/>
                <w:noProof/>
              </w:rPr>
              <w:t>4.2.1 Background</w:t>
            </w:r>
            <w:r w:rsidR="00F94BF8">
              <w:rPr>
                <w:noProof/>
                <w:webHidden/>
              </w:rPr>
              <w:tab/>
            </w:r>
            <w:r w:rsidR="00F94BF8">
              <w:rPr>
                <w:noProof/>
                <w:webHidden/>
              </w:rPr>
              <w:fldChar w:fldCharType="begin"/>
            </w:r>
            <w:r w:rsidR="00F94BF8">
              <w:rPr>
                <w:noProof/>
                <w:webHidden/>
              </w:rPr>
              <w:instrText xml:space="preserve"> PAGEREF _Toc489007251 \h </w:instrText>
            </w:r>
            <w:r w:rsidR="00F94BF8">
              <w:rPr>
                <w:noProof/>
                <w:webHidden/>
              </w:rPr>
            </w:r>
            <w:r w:rsidR="00F94BF8">
              <w:rPr>
                <w:noProof/>
                <w:webHidden/>
              </w:rPr>
              <w:fldChar w:fldCharType="separate"/>
            </w:r>
            <w:r w:rsidR="00F94BF8">
              <w:rPr>
                <w:noProof/>
                <w:webHidden/>
              </w:rPr>
              <w:t>48</w:t>
            </w:r>
            <w:r w:rsidR="00F94BF8">
              <w:rPr>
                <w:noProof/>
                <w:webHidden/>
              </w:rPr>
              <w:fldChar w:fldCharType="end"/>
            </w:r>
          </w:hyperlink>
        </w:p>
        <w:p w:rsidR="00F94BF8" w:rsidRDefault="003D28E2">
          <w:pPr>
            <w:pStyle w:val="Inhopg3"/>
            <w:tabs>
              <w:tab w:val="right" w:leader="dot" w:pos="9062"/>
            </w:tabs>
            <w:rPr>
              <w:rFonts w:eastAsiaTheme="minorEastAsia"/>
              <w:noProof/>
              <w:lang w:val="nl-NL" w:eastAsia="nl-NL"/>
            </w:rPr>
          </w:pPr>
          <w:hyperlink w:anchor="_Toc489007252" w:history="1">
            <w:r w:rsidR="00F94BF8" w:rsidRPr="00300ADF">
              <w:rPr>
                <w:rStyle w:val="Hyperlink"/>
                <w:noProof/>
              </w:rPr>
              <w:t>4.2.2 1998 – 2000: Crisis point</w:t>
            </w:r>
            <w:r w:rsidR="00F94BF8">
              <w:rPr>
                <w:noProof/>
                <w:webHidden/>
              </w:rPr>
              <w:tab/>
            </w:r>
            <w:r w:rsidR="00F94BF8">
              <w:rPr>
                <w:noProof/>
                <w:webHidden/>
              </w:rPr>
              <w:fldChar w:fldCharType="begin"/>
            </w:r>
            <w:r w:rsidR="00F94BF8">
              <w:rPr>
                <w:noProof/>
                <w:webHidden/>
              </w:rPr>
              <w:instrText xml:space="preserve"> PAGEREF _Toc489007252 \h </w:instrText>
            </w:r>
            <w:r w:rsidR="00F94BF8">
              <w:rPr>
                <w:noProof/>
                <w:webHidden/>
              </w:rPr>
            </w:r>
            <w:r w:rsidR="00F94BF8">
              <w:rPr>
                <w:noProof/>
                <w:webHidden/>
              </w:rPr>
              <w:fldChar w:fldCharType="separate"/>
            </w:r>
            <w:r w:rsidR="00F94BF8">
              <w:rPr>
                <w:noProof/>
                <w:webHidden/>
              </w:rPr>
              <w:t>49</w:t>
            </w:r>
            <w:r w:rsidR="00F94BF8">
              <w:rPr>
                <w:noProof/>
                <w:webHidden/>
              </w:rPr>
              <w:fldChar w:fldCharType="end"/>
            </w:r>
          </w:hyperlink>
        </w:p>
        <w:p w:rsidR="00F94BF8" w:rsidRDefault="003D28E2">
          <w:pPr>
            <w:pStyle w:val="Inhopg3"/>
            <w:tabs>
              <w:tab w:val="right" w:leader="dot" w:pos="9062"/>
            </w:tabs>
            <w:rPr>
              <w:rFonts w:eastAsiaTheme="minorEastAsia"/>
              <w:noProof/>
              <w:lang w:val="nl-NL" w:eastAsia="nl-NL"/>
            </w:rPr>
          </w:pPr>
          <w:hyperlink w:anchor="_Toc489007253" w:history="1">
            <w:r w:rsidR="00F94BF8" w:rsidRPr="00300ADF">
              <w:rPr>
                <w:rStyle w:val="Hyperlink"/>
                <w:noProof/>
              </w:rPr>
              <w:t>4.2.3 2001 – 2005: Interim period</w:t>
            </w:r>
            <w:r w:rsidR="00F94BF8">
              <w:rPr>
                <w:noProof/>
                <w:webHidden/>
              </w:rPr>
              <w:tab/>
            </w:r>
            <w:r w:rsidR="00F94BF8">
              <w:rPr>
                <w:noProof/>
                <w:webHidden/>
              </w:rPr>
              <w:fldChar w:fldCharType="begin"/>
            </w:r>
            <w:r w:rsidR="00F94BF8">
              <w:rPr>
                <w:noProof/>
                <w:webHidden/>
              </w:rPr>
              <w:instrText xml:space="preserve"> PAGEREF _Toc489007253 \h </w:instrText>
            </w:r>
            <w:r w:rsidR="00F94BF8">
              <w:rPr>
                <w:noProof/>
                <w:webHidden/>
              </w:rPr>
            </w:r>
            <w:r w:rsidR="00F94BF8">
              <w:rPr>
                <w:noProof/>
                <w:webHidden/>
              </w:rPr>
              <w:fldChar w:fldCharType="separate"/>
            </w:r>
            <w:r w:rsidR="00F94BF8">
              <w:rPr>
                <w:noProof/>
                <w:webHidden/>
              </w:rPr>
              <w:t>50</w:t>
            </w:r>
            <w:r w:rsidR="00F94BF8">
              <w:rPr>
                <w:noProof/>
                <w:webHidden/>
              </w:rPr>
              <w:fldChar w:fldCharType="end"/>
            </w:r>
          </w:hyperlink>
        </w:p>
        <w:p w:rsidR="00F94BF8" w:rsidRDefault="003D28E2">
          <w:pPr>
            <w:pStyle w:val="Inhopg3"/>
            <w:tabs>
              <w:tab w:val="right" w:leader="dot" w:pos="9062"/>
            </w:tabs>
            <w:rPr>
              <w:rFonts w:eastAsiaTheme="minorEastAsia"/>
              <w:noProof/>
              <w:lang w:val="nl-NL" w:eastAsia="nl-NL"/>
            </w:rPr>
          </w:pPr>
          <w:hyperlink w:anchor="_Toc489007254" w:history="1">
            <w:r w:rsidR="00F94BF8" w:rsidRPr="00300ADF">
              <w:rPr>
                <w:rStyle w:val="Hyperlink"/>
                <w:noProof/>
              </w:rPr>
              <w:t>4.2.4 2005 – 2006: The Vienna negotiations.</w:t>
            </w:r>
            <w:r w:rsidR="00F94BF8">
              <w:rPr>
                <w:noProof/>
                <w:webHidden/>
              </w:rPr>
              <w:tab/>
            </w:r>
            <w:r w:rsidR="00F94BF8">
              <w:rPr>
                <w:noProof/>
                <w:webHidden/>
              </w:rPr>
              <w:fldChar w:fldCharType="begin"/>
            </w:r>
            <w:r w:rsidR="00F94BF8">
              <w:rPr>
                <w:noProof/>
                <w:webHidden/>
              </w:rPr>
              <w:instrText xml:space="preserve"> PAGEREF _Toc489007254 \h </w:instrText>
            </w:r>
            <w:r w:rsidR="00F94BF8">
              <w:rPr>
                <w:noProof/>
                <w:webHidden/>
              </w:rPr>
            </w:r>
            <w:r w:rsidR="00F94BF8">
              <w:rPr>
                <w:noProof/>
                <w:webHidden/>
              </w:rPr>
              <w:fldChar w:fldCharType="separate"/>
            </w:r>
            <w:r w:rsidR="00F94BF8">
              <w:rPr>
                <w:noProof/>
                <w:webHidden/>
              </w:rPr>
              <w:t>52</w:t>
            </w:r>
            <w:r w:rsidR="00F94BF8">
              <w:rPr>
                <w:noProof/>
                <w:webHidden/>
              </w:rPr>
              <w:fldChar w:fldCharType="end"/>
            </w:r>
          </w:hyperlink>
        </w:p>
        <w:p w:rsidR="00F94BF8" w:rsidRDefault="003D28E2">
          <w:pPr>
            <w:pStyle w:val="Inhopg3"/>
            <w:tabs>
              <w:tab w:val="right" w:leader="dot" w:pos="9062"/>
            </w:tabs>
            <w:rPr>
              <w:rFonts w:eastAsiaTheme="minorEastAsia"/>
              <w:noProof/>
              <w:lang w:val="nl-NL" w:eastAsia="nl-NL"/>
            </w:rPr>
          </w:pPr>
          <w:hyperlink w:anchor="_Toc489007255" w:history="1">
            <w:r w:rsidR="00F94BF8" w:rsidRPr="00300ADF">
              <w:rPr>
                <w:rStyle w:val="Hyperlink"/>
                <w:noProof/>
              </w:rPr>
              <w:t>4.2.5 2007 – 2008: The final package</w:t>
            </w:r>
            <w:r w:rsidR="00F94BF8">
              <w:rPr>
                <w:noProof/>
                <w:webHidden/>
              </w:rPr>
              <w:tab/>
            </w:r>
            <w:r w:rsidR="00F94BF8">
              <w:rPr>
                <w:noProof/>
                <w:webHidden/>
              </w:rPr>
              <w:fldChar w:fldCharType="begin"/>
            </w:r>
            <w:r w:rsidR="00F94BF8">
              <w:rPr>
                <w:noProof/>
                <w:webHidden/>
              </w:rPr>
              <w:instrText xml:space="preserve"> PAGEREF _Toc489007255 \h </w:instrText>
            </w:r>
            <w:r w:rsidR="00F94BF8">
              <w:rPr>
                <w:noProof/>
                <w:webHidden/>
              </w:rPr>
            </w:r>
            <w:r w:rsidR="00F94BF8">
              <w:rPr>
                <w:noProof/>
                <w:webHidden/>
              </w:rPr>
              <w:fldChar w:fldCharType="separate"/>
            </w:r>
            <w:r w:rsidR="00F94BF8">
              <w:rPr>
                <w:noProof/>
                <w:webHidden/>
              </w:rPr>
              <w:t>54</w:t>
            </w:r>
            <w:r w:rsidR="00F94BF8">
              <w:rPr>
                <w:noProof/>
                <w:webHidden/>
              </w:rPr>
              <w:fldChar w:fldCharType="end"/>
            </w:r>
          </w:hyperlink>
        </w:p>
        <w:p w:rsidR="00F94BF8" w:rsidRDefault="003D28E2">
          <w:pPr>
            <w:pStyle w:val="Inhopg2"/>
            <w:tabs>
              <w:tab w:val="right" w:leader="dot" w:pos="9062"/>
            </w:tabs>
            <w:rPr>
              <w:rFonts w:eastAsiaTheme="minorEastAsia"/>
              <w:noProof/>
              <w:lang w:val="nl-NL" w:eastAsia="nl-NL"/>
            </w:rPr>
          </w:pPr>
          <w:hyperlink w:anchor="_Toc489007256" w:history="1">
            <w:r w:rsidR="00F94BF8" w:rsidRPr="00300ADF">
              <w:rPr>
                <w:rStyle w:val="Hyperlink"/>
                <w:noProof/>
              </w:rPr>
              <w:t>4.3 Theoretical analysis</w:t>
            </w:r>
            <w:r w:rsidR="00F94BF8">
              <w:rPr>
                <w:noProof/>
                <w:webHidden/>
              </w:rPr>
              <w:tab/>
            </w:r>
            <w:r w:rsidR="00F94BF8">
              <w:rPr>
                <w:noProof/>
                <w:webHidden/>
              </w:rPr>
              <w:fldChar w:fldCharType="begin"/>
            </w:r>
            <w:r w:rsidR="00F94BF8">
              <w:rPr>
                <w:noProof/>
                <w:webHidden/>
              </w:rPr>
              <w:instrText xml:space="preserve"> PAGEREF _Toc489007256 \h </w:instrText>
            </w:r>
            <w:r w:rsidR="00F94BF8">
              <w:rPr>
                <w:noProof/>
                <w:webHidden/>
              </w:rPr>
            </w:r>
            <w:r w:rsidR="00F94BF8">
              <w:rPr>
                <w:noProof/>
                <w:webHidden/>
              </w:rPr>
              <w:fldChar w:fldCharType="separate"/>
            </w:r>
            <w:r w:rsidR="00F94BF8">
              <w:rPr>
                <w:noProof/>
                <w:webHidden/>
              </w:rPr>
              <w:t>57</w:t>
            </w:r>
            <w:r w:rsidR="00F94BF8">
              <w:rPr>
                <w:noProof/>
                <w:webHidden/>
              </w:rPr>
              <w:fldChar w:fldCharType="end"/>
            </w:r>
          </w:hyperlink>
        </w:p>
        <w:p w:rsidR="00F94BF8" w:rsidRDefault="003D28E2">
          <w:pPr>
            <w:pStyle w:val="Inhopg3"/>
            <w:tabs>
              <w:tab w:val="right" w:leader="dot" w:pos="9062"/>
            </w:tabs>
            <w:rPr>
              <w:rFonts w:eastAsiaTheme="minorEastAsia"/>
              <w:noProof/>
              <w:lang w:val="nl-NL" w:eastAsia="nl-NL"/>
            </w:rPr>
          </w:pPr>
          <w:hyperlink w:anchor="_Toc489007257" w:history="1">
            <w:r w:rsidR="00F94BF8" w:rsidRPr="00300ADF">
              <w:rPr>
                <w:rStyle w:val="Hyperlink"/>
                <w:noProof/>
              </w:rPr>
              <w:t>4.3.1 The phase of repression</w:t>
            </w:r>
            <w:r w:rsidR="00F94BF8">
              <w:rPr>
                <w:noProof/>
                <w:webHidden/>
              </w:rPr>
              <w:tab/>
            </w:r>
            <w:r w:rsidR="00F94BF8">
              <w:rPr>
                <w:noProof/>
                <w:webHidden/>
              </w:rPr>
              <w:fldChar w:fldCharType="begin"/>
            </w:r>
            <w:r w:rsidR="00F94BF8">
              <w:rPr>
                <w:noProof/>
                <w:webHidden/>
              </w:rPr>
              <w:instrText xml:space="preserve"> PAGEREF _Toc489007257 \h </w:instrText>
            </w:r>
            <w:r w:rsidR="00F94BF8">
              <w:rPr>
                <w:noProof/>
                <w:webHidden/>
              </w:rPr>
            </w:r>
            <w:r w:rsidR="00F94BF8">
              <w:rPr>
                <w:noProof/>
                <w:webHidden/>
              </w:rPr>
              <w:fldChar w:fldCharType="separate"/>
            </w:r>
            <w:r w:rsidR="00F94BF8">
              <w:rPr>
                <w:noProof/>
                <w:webHidden/>
              </w:rPr>
              <w:t>57</w:t>
            </w:r>
            <w:r w:rsidR="00F94BF8">
              <w:rPr>
                <w:noProof/>
                <w:webHidden/>
              </w:rPr>
              <w:fldChar w:fldCharType="end"/>
            </w:r>
          </w:hyperlink>
        </w:p>
        <w:p w:rsidR="00F94BF8" w:rsidRDefault="003D28E2">
          <w:pPr>
            <w:pStyle w:val="Inhopg3"/>
            <w:tabs>
              <w:tab w:val="right" w:leader="dot" w:pos="9062"/>
            </w:tabs>
            <w:rPr>
              <w:rFonts w:eastAsiaTheme="minorEastAsia"/>
              <w:noProof/>
              <w:lang w:val="nl-NL" w:eastAsia="nl-NL"/>
            </w:rPr>
          </w:pPr>
          <w:hyperlink w:anchor="_Toc489007258" w:history="1">
            <w:r w:rsidR="00F94BF8" w:rsidRPr="00300ADF">
              <w:rPr>
                <w:rStyle w:val="Hyperlink"/>
                <w:noProof/>
              </w:rPr>
              <w:t>4.3.2 Phase of denial</w:t>
            </w:r>
            <w:r w:rsidR="00F94BF8">
              <w:rPr>
                <w:noProof/>
                <w:webHidden/>
              </w:rPr>
              <w:tab/>
            </w:r>
            <w:r w:rsidR="00F94BF8">
              <w:rPr>
                <w:noProof/>
                <w:webHidden/>
              </w:rPr>
              <w:fldChar w:fldCharType="begin"/>
            </w:r>
            <w:r w:rsidR="00F94BF8">
              <w:rPr>
                <w:noProof/>
                <w:webHidden/>
              </w:rPr>
              <w:instrText xml:space="preserve"> PAGEREF _Toc489007258 \h </w:instrText>
            </w:r>
            <w:r w:rsidR="00F94BF8">
              <w:rPr>
                <w:noProof/>
                <w:webHidden/>
              </w:rPr>
            </w:r>
            <w:r w:rsidR="00F94BF8">
              <w:rPr>
                <w:noProof/>
                <w:webHidden/>
              </w:rPr>
              <w:fldChar w:fldCharType="separate"/>
            </w:r>
            <w:r w:rsidR="00F94BF8">
              <w:rPr>
                <w:noProof/>
                <w:webHidden/>
              </w:rPr>
              <w:t>59</w:t>
            </w:r>
            <w:r w:rsidR="00F94BF8">
              <w:rPr>
                <w:noProof/>
                <w:webHidden/>
              </w:rPr>
              <w:fldChar w:fldCharType="end"/>
            </w:r>
          </w:hyperlink>
        </w:p>
        <w:p w:rsidR="00F94BF8" w:rsidRDefault="003D28E2">
          <w:pPr>
            <w:pStyle w:val="Inhopg3"/>
            <w:tabs>
              <w:tab w:val="right" w:leader="dot" w:pos="9062"/>
            </w:tabs>
            <w:rPr>
              <w:rFonts w:eastAsiaTheme="minorEastAsia"/>
              <w:noProof/>
              <w:lang w:val="nl-NL" w:eastAsia="nl-NL"/>
            </w:rPr>
          </w:pPr>
          <w:hyperlink w:anchor="_Toc489007259" w:history="1">
            <w:r w:rsidR="00F94BF8" w:rsidRPr="00300ADF">
              <w:rPr>
                <w:rStyle w:val="Hyperlink"/>
                <w:noProof/>
              </w:rPr>
              <w:t>4.3.3 Phase of tactical concessions</w:t>
            </w:r>
            <w:r w:rsidR="00F94BF8">
              <w:rPr>
                <w:noProof/>
                <w:webHidden/>
              </w:rPr>
              <w:tab/>
            </w:r>
            <w:r w:rsidR="00F94BF8">
              <w:rPr>
                <w:noProof/>
                <w:webHidden/>
              </w:rPr>
              <w:fldChar w:fldCharType="begin"/>
            </w:r>
            <w:r w:rsidR="00F94BF8">
              <w:rPr>
                <w:noProof/>
                <w:webHidden/>
              </w:rPr>
              <w:instrText xml:space="preserve"> PAGEREF _Toc489007259 \h </w:instrText>
            </w:r>
            <w:r w:rsidR="00F94BF8">
              <w:rPr>
                <w:noProof/>
                <w:webHidden/>
              </w:rPr>
            </w:r>
            <w:r w:rsidR="00F94BF8">
              <w:rPr>
                <w:noProof/>
                <w:webHidden/>
              </w:rPr>
              <w:fldChar w:fldCharType="separate"/>
            </w:r>
            <w:r w:rsidR="00F94BF8">
              <w:rPr>
                <w:noProof/>
                <w:webHidden/>
              </w:rPr>
              <w:t>60</w:t>
            </w:r>
            <w:r w:rsidR="00F94BF8">
              <w:rPr>
                <w:noProof/>
                <w:webHidden/>
              </w:rPr>
              <w:fldChar w:fldCharType="end"/>
            </w:r>
          </w:hyperlink>
        </w:p>
        <w:p w:rsidR="00F94BF8" w:rsidRDefault="003D28E2">
          <w:pPr>
            <w:pStyle w:val="Inhopg3"/>
            <w:tabs>
              <w:tab w:val="right" w:leader="dot" w:pos="9062"/>
            </w:tabs>
            <w:rPr>
              <w:rFonts w:eastAsiaTheme="minorEastAsia"/>
              <w:noProof/>
              <w:lang w:val="nl-NL" w:eastAsia="nl-NL"/>
            </w:rPr>
          </w:pPr>
          <w:hyperlink w:anchor="_Toc489007260" w:history="1">
            <w:r w:rsidR="00F94BF8" w:rsidRPr="00300ADF">
              <w:rPr>
                <w:rStyle w:val="Hyperlink"/>
                <w:noProof/>
              </w:rPr>
              <w:t>4.3.4 Argumentative behavior</w:t>
            </w:r>
            <w:r w:rsidR="00F94BF8">
              <w:rPr>
                <w:noProof/>
                <w:webHidden/>
              </w:rPr>
              <w:tab/>
            </w:r>
            <w:r w:rsidR="00F94BF8">
              <w:rPr>
                <w:noProof/>
                <w:webHidden/>
              </w:rPr>
              <w:fldChar w:fldCharType="begin"/>
            </w:r>
            <w:r w:rsidR="00F94BF8">
              <w:rPr>
                <w:noProof/>
                <w:webHidden/>
              </w:rPr>
              <w:instrText xml:space="preserve"> PAGEREF _Toc489007260 \h </w:instrText>
            </w:r>
            <w:r w:rsidR="00F94BF8">
              <w:rPr>
                <w:noProof/>
                <w:webHidden/>
              </w:rPr>
            </w:r>
            <w:r w:rsidR="00F94BF8">
              <w:rPr>
                <w:noProof/>
                <w:webHidden/>
              </w:rPr>
              <w:fldChar w:fldCharType="separate"/>
            </w:r>
            <w:r w:rsidR="00F94BF8">
              <w:rPr>
                <w:noProof/>
                <w:webHidden/>
              </w:rPr>
              <w:t>62</w:t>
            </w:r>
            <w:r w:rsidR="00F94BF8">
              <w:rPr>
                <w:noProof/>
                <w:webHidden/>
              </w:rPr>
              <w:fldChar w:fldCharType="end"/>
            </w:r>
          </w:hyperlink>
        </w:p>
        <w:p w:rsidR="00F94BF8" w:rsidRDefault="003D28E2">
          <w:pPr>
            <w:pStyle w:val="Inhopg3"/>
            <w:tabs>
              <w:tab w:val="right" w:leader="dot" w:pos="9062"/>
            </w:tabs>
            <w:rPr>
              <w:rFonts w:eastAsiaTheme="minorEastAsia"/>
              <w:noProof/>
              <w:lang w:val="nl-NL" w:eastAsia="nl-NL"/>
            </w:rPr>
          </w:pPr>
          <w:hyperlink w:anchor="_Toc489007261" w:history="1">
            <w:r w:rsidR="00F94BF8" w:rsidRPr="00300ADF">
              <w:rPr>
                <w:rStyle w:val="Hyperlink"/>
                <w:noProof/>
              </w:rPr>
              <w:t>4.3.5 Phase of internalization</w:t>
            </w:r>
            <w:r w:rsidR="00F94BF8">
              <w:rPr>
                <w:noProof/>
                <w:webHidden/>
              </w:rPr>
              <w:tab/>
            </w:r>
            <w:r w:rsidR="00F94BF8">
              <w:rPr>
                <w:noProof/>
                <w:webHidden/>
              </w:rPr>
              <w:fldChar w:fldCharType="begin"/>
            </w:r>
            <w:r w:rsidR="00F94BF8">
              <w:rPr>
                <w:noProof/>
                <w:webHidden/>
              </w:rPr>
              <w:instrText xml:space="preserve"> PAGEREF _Toc489007261 \h </w:instrText>
            </w:r>
            <w:r w:rsidR="00F94BF8">
              <w:rPr>
                <w:noProof/>
                <w:webHidden/>
              </w:rPr>
            </w:r>
            <w:r w:rsidR="00F94BF8">
              <w:rPr>
                <w:noProof/>
                <w:webHidden/>
              </w:rPr>
              <w:fldChar w:fldCharType="separate"/>
            </w:r>
            <w:r w:rsidR="00F94BF8">
              <w:rPr>
                <w:noProof/>
                <w:webHidden/>
              </w:rPr>
              <w:t>63</w:t>
            </w:r>
            <w:r w:rsidR="00F94BF8">
              <w:rPr>
                <w:noProof/>
                <w:webHidden/>
              </w:rPr>
              <w:fldChar w:fldCharType="end"/>
            </w:r>
          </w:hyperlink>
        </w:p>
        <w:p w:rsidR="00F94BF8" w:rsidRDefault="003D28E2">
          <w:pPr>
            <w:pStyle w:val="Inhopg3"/>
            <w:tabs>
              <w:tab w:val="right" w:leader="dot" w:pos="9062"/>
            </w:tabs>
            <w:rPr>
              <w:rFonts w:eastAsiaTheme="minorEastAsia"/>
              <w:noProof/>
              <w:lang w:val="nl-NL" w:eastAsia="nl-NL"/>
            </w:rPr>
          </w:pPr>
          <w:hyperlink w:anchor="_Toc489007262" w:history="1">
            <w:r w:rsidR="00F94BF8" w:rsidRPr="00300ADF">
              <w:rPr>
                <w:rStyle w:val="Hyperlink"/>
                <w:noProof/>
              </w:rPr>
              <w:t>4.3.6 Conclusion</w:t>
            </w:r>
            <w:r w:rsidR="00F94BF8">
              <w:rPr>
                <w:noProof/>
                <w:webHidden/>
              </w:rPr>
              <w:tab/>
            </w:r>
            <w:r w:rsidR="00F94BF8">
              <w:rPr>
                <w:noProof/>
                <w:webHidden/>
              </w:rPr>
              <w:fldChar w:fldCharType="begin"/>
            </w:r>
            <w:r w:rsidR="00F94BF8">
              <w:rPr>
                <w:noProof/>
                <w:webHidden/>
              </w:rPr>
              <w:instrText xml:space="preserve"> PAGEREF _Toc489007262 \h </w:instrText>
            </w:r>
            <w:r w:rsidR="00F94BF8">
              <w:rPr>
                <w:noProof/>
                <w:webHidden/>
              </w:rPr>
            </w:r>
            <w:r w:rsidR="00F94BF8">
              <w:rPr>
                <w:noProof/>
                <w:webHidden/>
              </w:rPr>
              <w:fldChar w:fldCharType="separate"/>
            </w:r>
            <w:r w:rsidR="00F94BF8">
              <w:rPr>
                <w:noProof/>
                <w:webHidden/>
              </w:rPr>
              <w:t>64</w:t>
            </w:r>
            <w:r w:rsidR="00F94BF8">
              <w:rPr>
                <w:noProof/>
                <w:webHidden/>
              </w:rPr>
              <w:fldChar w:fldCharType="end"/>
            </w:r>
          </w:hyperlink>
        </w:p>
        <w:p w:rsidR="00F94BF8" w:rsidRDefault="003D28E2">
          <w:pPr>
            <w:pStyle w:val="Inhopg1"/>
            <w:tabs>
              <w:tab w:val="right" w:leader="dot" w:pos="9062"/>
            </w:tabs>
            <w:rPr>
              <w:rFonts w:eastAsiaTheme="minorEastAsia"/>
              <w:noProof/>
              <w:lang w:val="nl-NL" w:eastAsia="nl-NL"/>
            </w:rPr>
          </w:pPr>
          <w:hyperlink w:anchor="_Toc489007263" w:history="1">
            <w:r w:rsidR="00F94BF8" w:rsidRPr="00300ADF">
              <w:rPr>
                <w:rStyle w:val="Hyperlink"/>
                <w:noProof/>
              </w:rPr>
              <w:t>Chapter 5: Conclusion and Discussion</w:t>
            </w:r>
            <w:r w:rsidR="00F94BF8">
              <w:rPr>
                <w:noProof/>
                <w:webHidden/>
              </w:rPr>
              <w:tab/>
            </w:r>
            <w:r w:rsidR="00F94BF8">
              <w:rPr>
                <w:noProof/>
                <w:webHidden/>
              </w:rPr>
              <w:fldChar w:fldCharType="begin"/>
            </w:r>
            <w:r w:rsidR="00F94BF8">
              <w:rPr>
                <w:noProof/>
                <w:webHidden/>
              </w:rPr>
              <w:instrText xml:space="preserve"> PAGEREF _Toc489007263 \h </w:instrText>
            </w:r>
            <w:r w:rsidR="00F94BF8">
              <w:rPr>
                <w:noProof/>
                <w:webHidden/>
              </w:rPr>
            </w:r>
            <w:r w:rsidR="00F94BF8">
              <w:rPr>
                <w:noProof/>
                <w:webHidden/>
              </w:rPr>
              <w:fldChar w:fldCharType="separate"/>
            </w:r>
            <w:r w:rsidR="00F94BF8">
              <w:rPr>
                <w:noProof/>
                <w:webHidden/>
              </w:rPr>
              <w:t>66</w:t>
            </w:r>
            <w:r w:rsidR="00F94BF8">
              <w:rPr>
                <w:noProof/>
                <w:webHidden/>
              </w:rPr>
              <w:fldChar w:fldCharType="end"/>
            </w:r>
          </w:hyperlink>
        </w:p>
        <w:p w:rsidR="00F94BF8" w:rsidRDefault="003D28E2">
          <w:pPr>
            <w:pStyle w:val="Inhopg2"/>
            <w:tabs>
              <w:tab w:val="right" w:leader="dot" w:pos="9062"/>
            </w:tabs>
            <w:rPr>
              <w:rFonts w:eastAsiaTheme="minorEastAsia"/>
              <w:noProof/>
              <w:lang w:val="nl-NL" w:eastAsia="nl-NL"/>
            </w:rPr>
          </w:pPr>
          <w:hyperlink w:anchor="_Toc489007264" w:history="1">
            <w:r w:rsidR="00F94BF8" w:rsidRPr="00300ADF">
              <w:rPr>
                <w:rStyle w:val="Hyperlink"/>
                <w:noProof/>
              </w:rPr>
              <w:t>5.1 Summary</w:t>
            </w:r>
            <w:r w:rsidR="00F94BF8">
              <w:rPr>
                <w:noProof/>
                <w:webHidden/>
              </w:rPr>
              <w:tab/>
            </w:r>
            <w:r w:rsidR="00F94BF8">
              <w:rPr>
                <w:noProof/>
                <w:webHidden/>
              </w:rPr>
              <w:fldChar w:fldCharType="begin"/>
            </w:r>
            <w:r w:rsidR="00F94BF8">
              <w:rPr>
                <w:noProof/>
                <w:webHidden/>
              </w:rPr>
              <w:instrText xml:space="preserve"> PAGEREF _Toc489007264 \h </w:instrText>
            </w:r>
            <w:r w:rsidR="00F94BF8">
              <w:rPr>
                <w:noProof/>
                <w:webHidden/>
              </w:rPr>
            </w:r>
            <w:r w:rsidR="00F94BF8">
              <w:rPr>
                <w:noProof/>
                <w:webHidden/>
              </w:rPr>
              <w:fldChar w:fldCharType="separate"/>
            </w:r>
            <w:r w:rsidR="00F94BF8">
              <w:rPr>
                <w:noProof/>
                <w:webHidden/>
              </w:rPr>
              <w:t>66</w:t>
            </w:r>
            <w:r w:rsidR="00F94BF8">
              <w:rPr>
                <w:noProof/>
                <w:webHidden/>
              </w:rPr>
              <w:fldChar w:fldCharType="end"/>
            </w:r>
          </w:hyperlink>
        </w:p>
        <w:p w:rsidR="00F94BF8" w:rsidRDefault="003D28E2">
          <w:pPr>
            <w:pStyle w:val="Inhopg2"/>
            <w:tabs>
              <w:tab w:val="right" w:leader="dot" w:pos="9062"/>
            </w:tabs>
            <w:rPr>
              <w:rFonts w:eastAsiaTheme="minorEastAsia"/>
              <w:noProof/>
              <w:lang w:val="nl-NL" w:eastAsia="nl-NL"/>
            </w:rPr>
          </w:pPr>
          <w:hyperlink w:anchor="_Toc489007265" w:history="1">
            <w:r w:rsidR="00F94BF8" w:rsidRPr="00300ADF">
              <w:rPr>
                <w:rStyle w:val="Hyperlink"/>
                <w:noProof/>
              </w:rPr>
              <w:t>5.2 Major findings</w:t>
            </w:r>
            <w:r w:rsidR="00F94BF8">
              <w:rPr>
                <w:noProof/>
                <w:webHidden/>
              </w:rPr>
              <w:tab/>
            </w:r>
            <w:r w:rsidR="00F94BF8">
              <w:rPr>
                <w:noProof/>
                <w:webHidden/>
              </w:rPr>
              <w:fldChar w:fldCharType="begin"/>
            </w:r>
            <w:r w:rsidR="00F94BF8">
              <w:rPr>
                <w:noProof/>
                <w:webHidden/>
              </w:rPr>
              <w:instrText xml:space="preserve"> PAGEREF _Toc489007265 \h </w:instrText>
            </w:r>
            <w:r w:rsidR="00F94BF8">
              <w:rPr>
                <w:noProof/>
                <w:webHidden/>
              </w:rPr>
            </w:r>
            <w:r w:rsidR="00F94BF8">
              <w:rPr>
                <w:noProof/>
                <w:webHidden/>
              </w:rPr>
              <w:fldChar w:fldCharType="separate"/>
            </w:r>
            <w:r w:rsidR="00F94BF8">
              <w:rPr>
                <w:noProof/>
                <w:webHidden/>
              </w:rPr>
              <w:t>66</w:t>
            </w:r>
            <w:r w:rsidR="00F94BF8">
              <w:rPr>
                <w:noProof/>
                <w:webHidden/>
              </w:rPr>
              <w:fldChar w:fldCharType="end"/>
            </w:r>
          </w:hyperlink>
        </w:p>
        <w:p w:rsidR="00F94BF8" w:rsidRDefault="003D28E2">
          <w:pPr>
            <w:pStyle w:val="Inhopg2"/>
            <w:tabs>
              <w:tab w:val="right" w:leader="dot" w:pos="9062"/>
            </w:tabs>
            <w:rPr>
              <w:rFonts w:eastAsiaTheme="minorEastAsia"/>
              <w:noProof/>
              <w:lang w:val="nl-NL" w:eastAsia="nl-NL"/>
            </w:rPr>
          </w:pPr>
          <w:hyperlink w:anchor="_Toc489007266" w:history="1">
            <w:r w:rsidR="00F94BF8" w:rsidRPr="00300ADF">
              <w:rPr>
                <w:rStyle w:val="Hyperlink"/>
                <w:noProof/>
              </w:rPr>
              <w:t>5.3 Interpretations of the results</w:t>
            </w:r>
            <w:r w:rsidR="00F94BF8">
              <w:rPr>
                <w:noProof/>
                <w:webHidden/>
              </w:rPr>
              <w:tab/>
            </w:r>
            <w:r w:rsidR="00F94BF8">
              <w:rPr>
                <w:noProof/>
                <w:webHidden/>
              </w:rPr>
              <w:fldChar w:fldCharType="begin"/>
            </w:r>
            <w:r w:rsidR="00F94BF8">
              <w:rPr>
                <w:noProof/>
                <w:webHidden/>
              </w:rPr>
              <w:instrText xml:space="preserve"> PAGEREF _Toc489007266 \h </w:instrText>
            </w:r>
            <w:r w:rsidR="00F94BF8">
              <w:rPr>
                <w:noProof/>
                <w:webHidden/>
              </w:rPr>
            </w:r>
            <w:r w:rsidR="00F94BF8">
              <w:rPr>
                <w:noProof/>
                <w:webHidden/>
              </w:rPr>
              <w:fldChar w:fldCharType="separate"/>
            </w:r>
            <w:r w:rsidR="00F94BF8">
              <w:rPr>
                <w:noProof/>
                <w:webHidden/>
              </w:rPr>
              <w:t>68</w:t>
            </w:r>
            <w:r w:rsidR="00F94BF8">
              <w:rPr>
                <w:noProof/>
                <w:webHidden/>
              </w:rPr>
              <w:fldChar w:fldCharType="end"/>
            </w:r>
          </w:hyperlink>
        </w:p>
        <w:p w:rsidR="00F94BF8" w:rsidRDefault="003D28E2">
          <w:pPr>
            <w:pStyle w:val="Inhopg2"/>
            <w:tabs>
              <w:tab w:val="right" w:leader="dot" w:pos="9062"/>
            </w:tabs>
            <w:rPr>
              <w:rFonts w:eastAsiaTheme="minorEastAsia"/>
              <w:noProof/>
              <w:lang w:val="nl-NL" w:eastAsia="nl-NL"/>
            </w:rPr>
          </w:pPr>
          <w:hyperlink w:anchor="_Toc489007267" w:history="1">
            <w:r w:rsidR="00F94BF8" w:rsidRPr="00300ADF">
              <w:rPr>
                <w:rStyle w:val="Hyperlink"/>
                <w:noProof/>
              </w:rPr>
              <w:t>5.4 Validity of the results</w:t>
            </w:r>
            <w:r w:rsidR="00F94BF8">
              <w:rPr>
                <w:noProof/>
                <w:webHidden/>
              </w:rPr>
              <w:tab/>
            </w:r>
            <w:r w:rsidR="00F94BF8">
              <w:rPr>
                <w:noProof/>
                <w:webHidden/>
              </w:rPr>
              <w:fldChar w:fldCharType="begin"/>
            </w:r>
            <w:r w:rsidR="00F94BF8">
              <w:rPr>
                <w:noProof/>
                <w:webHidden/>
              </w:rPr>
              <w:instrText xml:space="preserve"> PAGEREF _Toc489007267 \h </w:instrText>
            </w:r>
            <w:r w:rsidR="00F94BF8">
              <w:rPr>
                <w:noProof/>
                <w:webHidden/>
              </w:rPr>
            </w:r>
            <w:r w:rsidR="00F94BF8">
              <w:rPr>
                <w:noProof/>
                <w:webHidden/>
              </w:rPr>
              <w:fldChar w:fldCharType="separate"/>
            </w:r>
            <w:r w:rsidR="00F94BF8">
              <w:rPr>
                <w:noProof/>
                <w:webHidden/>
              </w:rPr>
              <w:t>69</w:t>
            </w:r>
            <w:r w:rsidR="00F94BF8">
              <w:rPr>
                <w:noProof/>
                <w:webHidden/>
              </w:rPr>
              <w:fldChar w:fldCharType="end"/>
            </w:r>
          </w:hyperlink>
        </w:p>
        <w:p w:rsidR="00F94BF8" w:rsidRDefault="003D28E2">
          <w:pPr>
            <w:pStyle w:val="Inhopg2"/>
            <w:tabs>
              <w:tab w:val="right" w:leader="dot" w:pos="9062"/>
            </w:tabs>
            <w:rPr>
              <w:rFonts w:eastAsiaTheme="minorEastAsia"/>
              <w:noProof/>
              <w:lang w:val="nl-NL" w:eastAsia="nl-NL"/>
            </w:rPr>
          </w:pPr>
          <w:hyperlink w:anchor="_Toc489007268" w:history="1">
            <w:r w:rsidR="00F94BF8" w:rsidRPr="00300ADF">
              <w:rPr>
                <w:rStyle w:val="Hyperlink"/>
                <w:noProof/>
              </w:rPr>
              <w:t>5.5 Limitations of theory</w:t>
            </w:r>
            <w:r w:rsidR="00F94BF8">
              <w:rPr>
                <w:noProof/>
                <w:webHidden/>
              </w:rPr>
              <w:tab/>
            </w:r>
            <w:r w:rsidR="00F94BF8">
              <w:rPr>
                <w:noProof/>
                <w:webHidden/>
              </w:rPr>
              <w:fldChar w:fldCharType="begin"/>
            </w:r>
            <w:r w:rsidR="00F94BF8">
              <w:rPr>
                <w:noProof/>
                <w:webHidden/>
              </w:rPr>
              <w:instrText xml:space="preserve"> PAGEREF _Toc489007268 \h </w:instrText>
            </w:r>
            <w:r w:rsidR="00F94BF8">
              <w:rPr>
                <w:noProof/>
                <w:webHidden/>
              </w:rPr>
            </w:r>
            <w:r w:rsidR="00F94BF8">
              <w:rPr>
                <w:noProof/>
                <w:webHidden/>
              </w:rPr>
              <w:fldChar w:fldCharType="separate"/>
            </w:r>
            <w:r w:rsidR="00F94BF8">
              <w:rPr>
                <w:noProof/>
                <w:webHidden/>
              </w:rPr>
              <w:t>70</w:t>
            </w:r>
            <w:r w:rsidR="00F94BF8">
              <w:rPr>
                <w:noProof/>
                <w:webHidden/>
              </w:rPr>
              <w:fldChar w:fldCharType="end"/>
            </w:r>
          </w:hyperlink>
        </w:p>
        <w:p w:rsidR="00F94BF8" w:rsidRDefault="003D28E2">
          <w:pPr>
            <w:pStyle w:val="Inhopg2"/>
            <w:tabs>
              <w:tab w:val="right" w:leader="dot" w:pos="9062"/>
            </w:tabs>
            <w:rPr>
              <w:rFonts w:eastAsiaTheme="minorEastAsia"/>
              <w:noProof/>
              <w:lang w:val="nl-NL" w:eastAsia="nl-NL"/>
            </w:rPr>
          </w:pPr>
          <w:hyperlink w:anchor="_Toc489007269" w:history="1">
            <w:r w:rsidR="00F94BF8" w:rsidRPr="00300ADF">
              <w:rPr>
                <w:rStyle w:val="Hyperlink"/>
                <w:noProof/>
              </w:rPr>
              <w:t>5.6 Future recommendations</w:t>
            </w:r>
            <w:r w:rsidR="00F94BF8">
              <w:rPr>
                <w:noProof/>
                <w:webHidden/>
              </w:rPr>
              <w:tab/>
            </w:r>
            <w:r w:rsidR="00F94BF8">
              <w:rPr>
                <w:noProof/>
                <w:webHidden/>
              </w:rPr>
              <w:fldChar w:fldCharType="begin"/>
            </w:r>
            <w:r w:rsidR="00F94BF8">
              <w:rPr>
                <w:noProof/>
                <w:webHidden/>
              </w:rPr>
              <w:instrText xml:space="preserve"> PAGEREF _Toc489007269 \h </w:instrText>
            </w:r>
            <w:r w:rsidR="00F94BF8">
              <w:rPr>
                <w:noProof/>
                <w:webHidden/>
              </w:rPr>
            </w:r>
            <w:r w:rsidR="00F94BF8">
              <w:rPr>
                <w:noProof/>
                <w:webHidden/>
              </w:rPr>
              <w:fldChar w:fldCharType="separate"/>
            </w:r>
            <w:r w:rsidR="00F94BF8">
              <w:rPr>
                <w:noProof/>
                <w:webHidden/>
              </w:rPr>
              <w:t>71</w:t>
            </w:r>
            <w:r w:rsidR="00F94BF8">
              <w:rPr>
                <w:noProof/>
                <w:webHidden/>
              </w:rPr>
              <w:fldChar w:fldCharType="end"/>
            </w:r>
          </w:hyperlink>
        </w:p>
        <w:p w:rsidR="00F94BF8" w:rsidRDefault="003D28E2">
          <w:pPr>
            <w:pStyle w:val="Inhopg2"/>
            <w:tabs>
              <w:tab w:val="right" w:leader="dot" w:pos="9062"/>
            </w:tabs>
            <w:rPr>
              <w:rFonts w:eastAsiaTheme="minorEastAsia"/>
              <w:noProof/>
              <w:lang w:val="nl-NL" w:eastAsia="nl-NL"/>
            </w:rPr>
          </w:pPr>
          <w:hyperlink w:anchor="_Toc489007270" w:history="1">
            <w:r w:rsidR="00F94BF8" w:rsidRPr="00300ADF">
              <w:rPr>
                <w:rStyle w:val="Hyperlink"/>
                <w:noProof/>
              </w:rPr>
              <w:t>5.7 Implications</w:t>
            </w:r>
            <w:r w:rsidR="00F94BF8">
              <w:rPr>
                <w:noProof/>
                <w:webHidden/>
              </w:rPr>
              <w:tab/>
            </w:r>
            <w:r w:rsidR="00F94BF8">
              <w:rPr>
                <w:noProof/>
                <w:webHidden/>
              </w:rPr>
              <w:fldChar w:fldCharType="begin"/>
            </w:r>
            <w:r w:rsidR="00F94BF8">
              <w:rPr>
                <w:noProof/>
                <w:webHidden/>
              </w:rPr>
              <w:instrText xml:space="preserve"> PAGEREF _Toc489007270 \h </w:instrText>
            </w:r>
            <w:r w:rsidR="00F94BF8">
              <w:rPr>
                <w:noProof/>
                <w:webHidden/>
              </w:rPr>
            </w:r>
            <w:r w:rsidR="00F94BF8">
              <w:rPr>
                <w:noProof/>
                <w:webHidden/>
              </w:rPr>
              <w:fldChar w:fldCharType="separate"/>
            </w:r>
            <w:r w:rsidR="00F94BF8">
              <w:rPr>
                <w:noProof/>
                <w:webHidden/>
              </w:rPr>
              <w:t>71</w:t>
            </w:r>
            <w:r w:rsidR="00F94BF8">
              <w:rPr>
                <w:noProof/>
                <w:webHidden/>
              </w:rPr>
              <w:fldChar w:fldCharType="end"/>
            </w:r>
          </w:hyperlink>
        </w:p>
        <w:p w:rsidR="00F94BF8" w:rsidRDefault="003D28E2">
          <w:pPr>
            <w:pStyle w:val="Inhopg1"/>
            <w:tabs>
              <w:tab w:val="right" w:leader="dot" w:pos="9062"/>
            </w:tabs>
            <w:rPr>
              <w:rFonts w:eastAsiaTheme="minorEastAsia"/>
              <w:noProof/>
              <w:lang w:val="nl-NL" w:eastAsia="nl-NL"/>
            </w:rPr>
          </w:pPr>
          <w:hyperlink w:anchor="_Toc489007271" w:history="1">
            <w:r w:rsidR="00F94BF8" w:rsidRPr="00300ADF">
              <w:rPr>
                <w:rStyle w:val="Hyperlink"/>
                <w:noProof/>
              </w:rPr>
              <w:t>Literature</w:t>
            </w:r>
            <w:r w:rsidR="00F94BF8">
              <w:rPr>
                <w:noProof/>
                <w:webHidden/>
              </w:rPr>
              <w:tab/>
            </w:r>
            <w:r w:rsidR="00F94BF8">
              <w:rPr>
                <w:noProof/>
                <w:webHidden/>
              </w:rPr>
              <w:fldChar w:fldCharType="begin"/>
            </w:r>
            <w:r w:rsidR="00F94BF8">
              <w:rPr>
                <w:noProof/>
                <w:webHidden/>
              </w:rPr>
              <w:instrText xml:space="preserve"> PAGEREF _Toc489007271 \h </w:instrText>
            </w:r>
            <w:r w:rsidR="00F94BF8">
              <w:rPr>
                <w:noProof/>
                <w:webHidden/>
              </w:rPr>
            </w:r>
            <w:r w:rsidR="00F94BF8">
              <w:rPr>
                <w:noProof/>
                <w:webHidden/>
              </w:rPr>
              <w:fldChar w:fldCharType="separate"/>
            </w:r>
            <w:r w:rsidR="00F94BF8">
              <w:rPr>
                <w:noProof/>
                <w:webHidden/>
              </w:rPr>
              <w:t>73</w:t>
            </w:r>
            <w:r w:rsidR="00F94BF8">
              <w:rPr>
                <w:noProof/>
                <w:webHidden/>
              </w:rPr>
              <w:fldChar w:fldCharType="end"/>
            </w:r>
          </w:hyperlink>
        </w:p>
        <w:p w:rsidR="00F94BF8" w:rsidRDefault="003D28E2">
          <w:pPr>
            <w:pStyle w:val="Inhopg1"/>
            <w:tabs>
              <w:tab w:val="right" w:leader="dot" w:pos="9062"/>
            </w:tabs>
            <w:rPr>
              <w:rFonts w:eastAsiaTheme="minorEastAsia"/>
              <w:noProof/>
              <w:lang w:val="nl-NL" w:eastAsia="nl-NL"/>
            </w:rPr>
          </w:pPr>
          <w:hyperlink w:anchor="_Toc489007272" w:history="1">
            <w:r w:rsidR="00F94BF8" w:rsidRPr="00300ADF">
              <w:rPr>
                <w:rStyle w:val="Hyperlink"/>
                <w:noProof/>
              </w:rPr>
              <w:t>Appendix A: UNSC Resolution 1244</w:t>
            </w:r>
            <w:r w:rsidR="00F94BF8">
              <w:rPr>
                <w:noProof/>
                <w:webHidden/>
              </w:rPr>
              <w:tab/>
            </w:r>
            <w:r w:rsidR="00F94BF8">
              <w:rPr>
                <w:noProof/>
                <w:webHidden/>
              </w:rPr>
              <w:fldChar w:fldCharType="begin"/>
            </w:r>
            <w:r w:rsidR="00F94BF8">
              <w:rPr>
                <w:noProof/>
                <w:webHidden/>
              </w:rPr>
              <w:instrText xml:space="preserve"> PAGEREF _Toc489007272 \h </w:instrText>
            </w:r>
            <w:r w:rsidR="00F94BF8">
              <w:rPr>
                <w:noProof/>
                <w:webHidden/>
              </w:rPr>
            </w:r>
            <w:r w:rsidR="00F94BF8">
              <w:rPr>
                <w:noProof/>
                <w:webHidden/>
              </w:rPr>
              <w:fldChar w:fldCharType="separate"/>
            </w:r>
            <w:r w:rsidR="00F94BF8">
              <w:rPr>
                <w:noProof/>
                <w:webHidden/>
              </w:rPr>
              <w:t>80</w:t>
            </w:r>
            <w:r w:rsidR="00F94BF8">
              <w:rPr>
                <w:noProof/>
                <w:webHidden/>
              </w:rPr>
              <w:fldChar w:fldCharType="end"/>
            </w:r>
          </w:hyperlink>
        </w:p>
        <w:p w:rsidR="00DA35FA" w:rsidRDefault="00DA35FA">
          <w:r>
            <w:rPr>
              <w:b/>
              <w:bCs/>
            </w:rPr>
            <w:fldChar w:fldCharType="end"/>
          </w:r>
        </w:p>
      </w:sdtContent>
    </w:sdt>
    <w:p w:rsidR="0019288B" w:rsidRPr="00E211C5" w:rsidRDefault="0019288B" w:rsidP="00E211C5">
      <w:pPr>
        <w:pStyle w:val="Geenafstand"/>
        <w:rPr>
          <w:rFonts w:eastAsiaTheme="majorEastAsia" w:cs="Times New Roman"/>
          <w:bCs/>
          <w:color w:val="365F91" w:themeColor="accent1" w:themeShade="BF"/>
          <w:sz w:val="28"/>
          <w:szCs w:val="28"/>
          <w:lang w:val="nl-NL"/>
        </w:rPr>
      </w:pPr>
    </w:p>
    <w:p w:rsidR="00DA35FA" w:rsidRDefault="00DA35FA">
      <w:pPr>
        <w:rPr>
          <w:rFonts w:eastAsiaTheme="majorEastAsia" w:cs="Times New Roman"/>
          <w:bCs/>
          <w:color w:val="365F91" w:themeColor="accent1" w:themeShade="BF"/>
          <w:sz w:val="28"/>
          <w:szCs w:val="28"/>
        </w:rPr>
      </w:pPr>
      <w:r>
        <w:rPr>
          <w:rFonts w:cs="Times New Roman"/>
          <w:b/>
        </w:rPr>
        <w:br w:type="page"/>
      </w:r>
    </w:p>
    <w:p w:rsidR="00E211C5" w:rsidRDefault="002C7BB5" w:rsidP="00726925">
      <w:pPr>
        <w:pStyle w:val="Kop1"/>
        <w:spacing w:line="360" w:lineRule="auto"/>
        <w:jc w:val="both"/>
        <w:rPr>
          <w:rFonts w:asciiTheme="minorHAnsi" w:hAnsiTheme="minorHAnsi" w:cs="Times New Roman"/>
          <w:b w:val="0"/>
        </w:rPr>
      </w:pPr>
      <w:bookmarkStart w:id="1" w:name="_Toc489007216"/>
      <w:r>
        <w:rPr>
          <w:rFonts w:asciiTheme="minorHAnsi" w:hAnsiTheme="minorHAnsi" w:cs="Times New Roman"/>
          <w:b w:val="0"/>
        </w:rPr>
        <w:lastRenderedPageBreak/>
        <w:t>List of a</w:t>
      </w:r>
      <w:r w:rsidR="00E211C5">
        <w:rPr>
          <w:rFonts w:asciiTheme="minorHAnsi" w:hAnsiTheme="minorHAnsi" w:cs="Times New Roman"/>
          <w:b w:val="0"/>
        </w:rPr>
        <w:t>bbreviations</w:t>
      </w:r>
      <w:bookmarkEnd w:id="1"/>
      <w:r w:rsidR="00E211C5">
        <w:rPr>
          <w:rFonts w:asciiTheme="minorHAnsi" w:hAnsiTheme="minorHAnsi" w:cs="Times New Roman"/>
          <w:b w:val="0"/>
        </w:rPr>
        <w:t xml:space="preserve"> </w:t>
      </w:r>
    </w:p>
    <w:p w:rsidR="009F31AF" w:rsidRDefault="009F31AF" w:rsidP="00726925">
      <w:pPr>
        <w:pStyle w:val="Geenafstand"/>
        <w:spacing w:line="360" w:lineRule="auto"/>
        <w:jc w:val="both"/>
      </w:pPr>
      <w:r>
        <w:t>Contact Group</w:t>
      </w:r>
      <w:r>
        <w:tab/>
      </w:r>
      <w:r>
        <w:tab/>
      </w:r>
      <w:r w:rsidRPr="003742EE">
        <w:t>France, Germany, Italy, Russia, the UK and the US</w:t>
      </w:r>
    </w:p>
    <w:p w:rsidR="00EB67FF" w:rsidRDefault="00EB67FF" w:rsidP="00726925">
      <w:pPr>
        <w:pStyle w:val="Geenafstand"/>
        <w:spacing w:line="360" w:lineRule="auto"/>
        <w:jc w:val="both"/>
      </w:pPr>
      <w:r>
        <w:t>CRDP</w:t>
      </w:r>
      <w:r>
        <w:tab/>
      </w:r>
      <w:r>
        <w:tab/>
      </w:r>
      <w:r w:rsidR="009F31AF">
        <w:tab/>
      </w:r>
      <w:r w:rsidRPr="003742EE">
        <w:t>Centre for Research, Documentation and Publication</w:t>
      </w:r>
    </w:p>
    <w:p w:rsidR="00E3350D" w:rsidRDefault="00E3350D" w:rsidP="00726925">
      <w:pPr>
        <w:pStyle w:val="Geenafstand"/>
        <w:spacing w:line="360" w:lineRule="auto"/>
        <w:jc w:val="both"/>
      </w:pPr>
      <w:r>
        <w:t>EU</w:t>
      </w:r>
      <w:r>
        <w:tab/>
      </w:r>
      <w:r>
        <w:tab/>
      </w:r>
      <w:r>
        <w:tab/>
        <w:t>European Union</w:t>
      </w:r>
    </w:p>
    <w:p w:rsidR="002C7BB5" w:rsidRDefault="002C7BB5" w:rsidP="00726925">
      <w:pPr>
        <w:pStyle w:val="Geenafstand"/>
        <w:spacing w:line="360" w:lineRule="auto"/>
        <w:jc w:val="both"/>
      </w:pPr>
      <w:r>
        <w:t>FRY</w:t>
      </w:r>
      <w:r>
        <w:tab/>
      </w:r>
      <w:r>
        <w:tab/>
      </w:r>
      <w:r w:rsidR="009F31AF">
        <w:tab/>
      </w:r>
      <w:r>
        <w:t xml:space="preserve">Federal Republic of Yugoslavia </w:t>
      </w:r>
    </w:p>
    <w:p w:rsidR="002C7BB5" w:rsidRDefault="002C7BB5" w:rsidP="00726925">
      <w:pPr>
        <w:pStyle w:val="Geenafstand"/>
        <w:spacing w:line="360" w:lineRule="auto"/>
        <w:jc w:val="both"/>
      </w:pPr>
      <w:r>
        <w:t>ICG</w:t>
      </w:r>
      <w:r>
        <w:tab/>
      </w:r>
      <w:r>
        <w:tab/>
      </w:r>
      <w:r w:rsidR="009F31AF">
        <w:tab/>
      </w:r>
      <w:r>
        <w:t>International Crisis Group</w:t>
      </w:r>
    </w:p>
    <w:p w:rsidR="00D22C8B" w:rsidRDefault="00D22C8B" w:rsidP="00726925">
      <w:pPr>
        <w:pStyle w:val="Geenafstand"/>
        <w:spacing w:line="360" w:lineRule="auto"/>
        <w:jc w:val="both"/>
      </w:pPr>
      <w:r>
        <w:t>IICK</w:t>
      </w:r>
      <w:r>
        <w:tab/>
      </w:r>
      <w:r>
        <w:tab/>
      </w:r>
      <w:r>
        <w:tab/>
      </w:r>
      <w:r w:rsidRPr="003742EE">
        <w:t>Independent International Commission on Kosovo</w:t>
      </w:r>
    </w:p>
    <w:p w:rsidR="005A456B" w:rsidRDefault="005A456B" w:rsidP="00726925">
      <w:pPr>
        <w:pStyle w:val="Geenafstand"/>
        <w:spacing w:line="360" w:lineRule="auto"/>
        <w:jc w:val="both"/>
      </w:pPr>
      <w:r>
        <w:t>INGO</w:t>
      </w:r>
      <w:r>
        <w:tab/>
      </w:r>
      <w:r>
        <w:tab/>
      </w:r>
      <w:r>
        <w:tab/>
        <w:t>International Non-Governmental Organization</w:t>
      </w:r>
    </w:p>
    <w:p w:rsidR="00AF7488" w:rsidRDefault="00AF7488" w:rsidP="00726925">
      <w:pPr>
        <w:pStyle w:val="Geenafstand"/>
        <w:spacing w:line="360" w:lineRule="auto"/>
        <w:jc w:val="both"/>
      </w:pPr>
      <w:r>
        <w:t>KFOR</w:t>
      </w:r>
      <w:r>
        <w:tab/>
      </w:r>
      <w:r>
        <w:tab/>
      </w:r>
      <w:r>
        <w:tab/>
        <w:t>The Kosovo Force</w:t>
      </w:r>
    </w:p>
    <w:p w:rsidR="002C7BB5" w:rsidRDefault="002C7BB5" w:rsidP="00726925">
      <w:pPr>
        <w:pStyle w:val="Geenafstand"/>
        <w:spacing w:line="360" w:lineRule="auto"/>
        <w:jc w:val="both"/>
      </w:pPr>
      <w:r>
        <w:t>KLA</w:t>
      </w:r>
      <w:r>
        <w:tab/>
      </w:r>
      <w:r>
        <w:tab/>
      </w:r>
      <w:r w:rsidR="009F31AF">
        <w:tab/>
      </w:r>
      <w:r>
        <w:t>Kosovo Liberation Army</w:t>
      </w:r>
    </w:p>
    <w:p w:rsidR="00FE176E" w:rsidRDefault="00FE176E" w:rsidP="00726925">
      <w:pPr>
        <w:pStyle w:val="Geenafstand"/>
        <w:spacing w:line="360" w:lineRule="auto"/>
        <w:jc w:val="both"/>
      </w:pPr>
      <w:r>
        <w:t>KVM</w:t>
      </w:r>
      <w:r>
        <w:tab/>
      </w:r>
      <w:r>
        <w:tab/>
      </w:r>
      <w:r>
        <w:tab/>
        <w:t>Kosovo Verification Mission</w:t>
      </w:r>
    </w:p>
    <w:p w:rsidR="00A86CBB" w:rsidRDefault="002C7BB5" w:rsidP="00726925">
      <w:pPr>
        <w:pStyle w:val="Geenafstand"/>
        <w:spacing w:line="360" w:lineRule="auto"/>
        <w:jc w:val="both"/>
      </w:pPr>
      <w:r>
        <w:t>NATO</w:t>
      </w:r>
      <w:r>
        <w:tab/>
      </w:r>
      <w:r>
        <w:tab/>
      </w:r>
      <w:r w:rsidR="009F31AF">
        <w:tab/>
      </w:r>
      <w:r>
        <w:t xml:space="preserve">North Atlantic Treaty Organization </w:t>
      </w:r>
    </w:p>
    <w:p w:rsidR="006A1CD7" w:rsidRDefault="006A1CD7" w:rsidP="00726925">
      <w:pPr>
        <w:pStyle w:val="Geenafstand"/>
        <w:spacing w:line="360" w:lineRule="auto"/>
        <w:jc w:val="both"/>
      </w:pPr>
      <w:r>
        <w:t>OSCE</w:t>
      </w:r>
      <w:r>
        <w:tab/>
      </w:r>
      <w:r>
        <w:tab/>
      </w:r>
      <w:r>
        <w:tab/>
        <w:t>Organization for Security and Co-operation in Europe</w:t>
      </w:r>
    </w:p>
    <w:p w:rsidR="001015CE" w:rsidRDefault="001015CE" w:rsidP="00726925">
      <w:pPr>
        <w:pStyle w:val="Geenafstand"/>
        <w:spacing w:line="360" w:lineRule="auto"/>
        <w:jc w:val="both"/>
      </w:pPr>
      <w:r>
        <w:t>Troika</w:t>
      </w:r>
      <w:r>
        <w:tab/>
      </w:r>
      <w:r>
        <w:tab/>
      </w:r>
      <w:r>
        <w:tab/>
        <w:t>European Union/United States/Russian Federation</w:t>
      </w:r>
    </w:p>
    <w:p w:rsidR="008C6ED3" w:rsidRDefault="008C6ED3" w:rsidP="00726925">
      <w:pPr>
        <w:pStyle w:val="Geenafstand"/>
        <w:spacing w:line="360" w:lineRule="auto"/>
        <w:jc w:val="both"/>
      </w:pPr>
      <w:r>
        <w:t>UK</w:t>
      </w:r>
      <w:r>
        <w:tab/>
      </w:r>
      <w:r>
        <w:tab/>
      </w:r>
      <w:r w:rsidR="009F31AF">
        <w:tab/>
      </w:r>
      <w:r>
        <w:t>United Kingdom</w:t>
      </w:r>
    </w:p>
    <w:p w:rsidR="00A86CBB" w:rsidRDefault="00A86CBB" w:rsidP="00726925">
      <w:pPr>
        <w:pStyle w:val="Geenafstand"/>
        <w:spacing w:line="360" w:lineRule="auto"/>
        <w:jc w:val="both"/>
      </w:pPr>
      <w:r>
        <w:t>UN</w:t>
      </w:r>
      <w:r>
        <w:tab/>
      </w:r>
      <w:r>
        <w:tab/>
      </w:r>
      <w:r w:rsidR="009F31AF">
        <w:tab/>
      </w:r>
      <w:r>
        <w:t>United Nations</w:t>
      </w:r>
    </w:p>
    <w:p w:rsidR="00F0773C" w:rsidRDefault="00F0773C" w:rsidP="00726925">
      <w:pPr>
        <w:pStyle w:val="Geenafstand"/>
        <w:spacing w:line="360" w:lineRule="auto"/>
        <w:jc w:val="both"/>
      </w:pPr>
      <w:r>
        <w:t>UNMIK</w:t>
      </w:r>
      <w:r>
        <w:tab/>
      </w:r>
      <w:r>
        <w:tab/>
      </w:r>
      <w:r w:rsidR="009F31AF">
        <w:tab/>
      </w:r>
      <w:r w:rsidRPr="003742EE">
        <w:t xml:space="preserve">United Nations Mission in Kosovo </w:t>
      </w:r>
    </w:p>
    <w:p w:rsidR="00A86CBB" w:rsidRDefault="00A86CBB" w:rsidP="00726925">
      <w:pPr>
        <w:pStyle w:val="Geenafstand"/>
        <w:spacing w:line="360" w:lineRule="auto"/>
        <w:jc w:val="both"/>
      </w:pPr>
      <w:r>
        <w:t>UNSC</w:t>
      </w:r>
      <w:r>
        <w:tab/>
      </w:r>
      <w:r>
        <w:tab/>
      </w:r>
      <w:r w:rsidR="009F31AF">
        <w:tab/>
      </w:r>
      <w:r>
        <w:t>United Nations Security Council</w:t>
      </w:r>
    </w:p>
    <w:p w:rsidR="00726925" w:rsidRDefault="00A86CBB" w:rsidP="00726925">
      <w:pPr>
        <w:pStyle w:val="Geenafstand"/>
        <w:spacing w:line="360" w:lineRule="auto"/>
        <w:jc w:val="both"/>
      </w:pPr>
      <w:r>
        <w:t>US</w:t>
      </w:r>
      <w:r>
        <w:tab/>
      </w:r>
      <w:r>
        <w:tab/>
      </w:r>
      <w:r w:rsidR="009F31AF">
        <w:tab/>
      </w:r>
      <w:r>
        <w:t>United</w:t>
      </w:r>
      <w:r w:rsidR="00726925">
        <w:t xml:space="preserve"> States</w:t>
      </w:r>
    </w:p>
    <w:p w:rsidR="002C7BB5" w:rsidRPr="00E211C5" w:rsidRDefault="00726925" w:rsidP="00726925">
      <w:pPr>
        <w:pStyle w:val="Geenafstand"/>
        <w:spacing w:line="360" w:lineRule="auto"/>
        <w:jc w:val="both"/>
      </w:pPr>
      <w:r>
        <w:t xml:space="preserve"> </w:t>
      </w:r>
      <w:r w:rsidR="002C7BB5">
        <w:br/>
      </w:r>
    </w:p>
    <w:p w:rsidR="00284029" w:rsidRDefault="00284029" w:rsidP="00726925">
      <w:pPr>
        <w:jc w:val="both"/>
        <w:rPr>
          <w:rFonts w:eastAsiaTheme="majorEastAsia" w:cs="Times New Roman"/>
          <w:bCs/>
          <w:color w:val="365F91" w:themeColor="accent1" w:themeShade="BF"/>
          <w:sz w:val="28"/>
          <w:szCs w:val="28"/>
        </w:rPr>
      </w:pPr>
      <w:r>
        <w:rPr>
          <w:rFonts w:cs="Times New Roman"/>
          <w:b/>
        </w:rPr>
        <w:br w:type="page"/>
      </w:r>
    </w:p>
    <w:p w:rsidR="00D15816" w:rsidRPr="003742EE" w:rsidRDefault="00D15816" w:rsidP="003778BF">
      <w:pPr>
        <w:pStyle w:val="Kop1"/>
        <w:spacing w:line="360" w:lineRule="auto"/>
        <w:jc w:val="both"/>
        <w:rPr>
          <w:rFonts w:asciiTheme="minorHAnsi" w:hAnsiTheme="minorHAnsi" w:cs="Times New Roman"/>
          <w:b w:val="0"/>
        </w:rPr>
      </w:pPr>
      <w:bookmarkStart w:id="2" w:name="_Toc489007217"/>
      <w:r w:rsidRPr="003742EE">
        <w:rPr>
          <w:rFonts w:asciiTheme="minorHAnsi" w:hAnsiTheme="minorHAnsi" w:cs="Times New Roman"/>
          <w:b w:val="0"/>
        </w:rPr>
        <w:lastRenderedPageBreak/>
        <w:t>Chapter 1: Introduction</w:t>
      </w:r>
      <w:bookmarkEnd w:id="2"/>
    </w:p>
    <w:p w:rsidR="00D15816" w:rsidRPr="003742EE" w:rsidRDefault="00F03CDD" w:rsidP="003778BF">
      <w:pPr>
        <w:pStyle w:val="Kop2"/>
        <w:spacing w:line="360" w:lineRule="auto"/>
        <w:jc w:val="both"/>
        <w:rPr>
          <w:rFonts w:asciiTheme="minorHAnsi" w:hAnsiTheme="minorHAnsi" w:cs="Times New Roman"/>
          <w:b w:val="0"/>
        </w:rPr>
      </w:pPr>
      <w:bookmarkStart w:id="3" w:name="_Toc489007218"/>
      <w:r>
        <w:rPr>
          <w:rFonts w:asciiTheme="minorHAnsi" w:hAnsiTheme="minorHAnsi" w:cs="Times New Roman"/>
          <w:b w:val="0"/>
        </w:rPr>
        <w:t xml:space="preserve">1.1 </w:t>
      </w:r>
      <w:r w:rsidR="00D15816" w:rsidRPr="003742EE">
        <w:rPr>
          <w:rFonts w:asciiTheme="minorHAnsi" w:hAnsiTheme="minorHAnsi" w:cs="Times New Roman"/>
          <w:b w:val="0"/>
        </w:rPr>
        <w:t>Puzzle</w:t>
      </w:r>
      <w:bookmarkEnd w:id="3"/>
    </w:p>
    <w:p w:rsidR="00D15816" w:rsidRPr="003778BF" w:rsidRDefault="00D15816" w:rsidP="003778BF">
      <w:pPr>
        <w:spacing w:line="360" w:lineRule="auto"/>
        <w:jc w:val="both"/>
        <w:rPr>
          <w:rFonts w:cs="Times New Roman"/>
        </w:rPr>
      </w:pPr>
      <w:r w:rsidRPr="003778BF">
        <w:rPr>
          <w:rFonts w:cs="Times New Roman"/>
        </w:rPr>
        <w:t>Since the end of the Cold War, a structural change towards a more liberalized global society has occurred. Consequently, even though secession is not a relatively new phenomenon (</w:t>
      </w:r>
      <w:proofErr w:type="spellStart"/>
      <w:r w:rsidRPr="003778BF">
        <w:rPr>
          <w:rFonts w:cs="Times New Roman"/>
        </w:rPr>
        <w:t>Saideman</w:t>
      </w:r>
      <w:proofErr w:type="spellEnd"/>
      <w:r w:rsidRPr="003778BF">
        <w:rPr>
          <w:rFonts w:cs="Times New Roman"/>
        </w:rPr>
        <w:t>, 1997, p. 721), (failed)secession conflicts have become more prominent. There have been ongoing struggles in the former Yugoslavia, as well as many violent encounters in Africa and the Middle East, which involved secession. This is rather contradicting with the expectations of many observers and scholars in the 1990’s, who expected that international cooperation would manage the few conflicts that mi</w:t>
      </w:r>
      <w:r w:rsidR="004A0434">
        <w:rPr>
          <w:rFonts w:cs="Times New Roman"/>
        </w:rPr>
        <w:t>ght break out (</w:t>
      </w:r>
      <w:proofErr w:type="spellStart"/>
      <w:r w:rsidR="004A0434">
        <w:rPr>
          <w:rFonts w:cs="Times New Roman"/>
        </w:rPr>
        <w:t>Saideman</w:t>
      </w:r>
      <w:proofErr w:type="spellEnd"/>
      <w:r w:rsidR="004A0434">
        <w:rPr>
          <w:rFonts w:cs="Times New Roman"/>
        </w:rPr>
        <w:t xml:space="preserve">, 1997, </w:t>
      </w:r>
      <w:r w:rsidRPr="003778BF">
        <w:rPr>
          <w:rFonts w:cs="Times New Roman"/>
        </w:rPr>
        <w:t xml:space="preserve">p. 721). As Johnson’s (2008) numbers show though, this has unfortunately not been the case. There has been a rise in the frequency of ethnic civil wars. In the 1990’s there has been over 200 ethnic minorities and subordinate majorities who contested their political status, more often resulting in </w:t>
      </w:r>
      <w:r w:rsidR="004A0434">
        <w:rPr>
          <w:rFonts w:cs="Times New Roman"/>
        </w:rPr>
        <w:t xml:space="preserve">civil conflict (Johnson, 2008, </w:t>
      </w:r>
      <w:r w:rsidRPr="003778BF">
        <w:rPr>
          <w:rFonts w:cs="Times New Roman"/>
        </w:rPr>
        <w:t>p. 140). This keeps pace with a growing amount of cases in which secession has been proposed as a solution by one party or another. Previous cases may suggest that many of these cries for secession result from a diversity in ethnic and/or religious groups, which leads to insecurity among those groups (e.g., Serbian and Albanian regions within Kosovo). Posen (1993) argues that it is due to this security dilemma that groups start to reco</w:t>
      </w:r>
      <w:r w:rsidR="004A0434">
        <w:rPr>
          <w:rFonts w:cs="Times New Roman"/>
        </w:rPr>
        <w:t>gnize each other as the enemy (</w:t>
      </w:r>
      <w:r w:rsidRPr="003778BF">
        <w:rPr>
          <w:rFonts w:cs="Times New Roman"/>
        </w:rPr>
        <w:t xml:space="preserve">p. 17). Consequently all members of a group need to mobilize before conflict starts, and secession may become a viable solution. Yet, many of these secession tendencies turned out to be rather negative in terms of their consequences. </w:t>
      </w:r>
      <w:r w:rsidRPr="003778BF">
        <w:rPr>
          <w:rFonts w:cs="Times New Roman"/>
        </w:rPr>
        <w:tab/>
      </w:r>
      <w:r w:rsidRPr="003778BF">
        <w:rPr>
          <w:rFonts w:cs="Times New Roman"/>
        </w:rPr>
        <w:tab/>
      </w:r>
      <w:r w:rsidR="004A0434">
        <w:rPr>
          <w:rFonts w:cs="Times New Roman"/>
        </w:rPr>
        <w:tab/>
      </w:r>
      <w:r w:rsidRPr="003778BF">
        <w:rPr>
          <w:rFonts w:cs="Times New Roman"/>
        </w:rPr>
        <w:t>The former Yugoslavia provides for a good example, and shows how the structural, global transformation towards a more liberal society has led to chaos, power struggles, and conflict. The end of the Cold War meant the start of a post-socialist world and the rise of neoliberalis</w:t>
      </w:r>
      <w:r w:rsidR="000D14D8">
        <w:rPr>
          <w:rFonts w:cs="Times New Roman"/>
        </w:rPr>
        <w:t>m (Bunce, 1999). It is this process</w:t>
      </w:r>
      <w:r w:rsidRPr="003778BF">
        <w:rPr>
          <w:rFonts w:cs="Times New Roman"/>
        </w:rPr>
        <w:t xml:space="preserve"> of transformation in Central and Eastern Europe, including former Yugoslavia, that was far from smooth and straight (ibid, 1999). This, howe</w:t>
      </w:r>
      <w:r w:rsidR="000D14D8">
        <w:rPr>
          <w:rFonts w:cs="Times New Roman"/>
        </w:rPr>
        <w:t>ver, strongly differed among</w:t>
      </w:r>
      <w:r w:rsidRPr="003778BF">
        <w:rPr>
          <w:rFonts w:cs="Times New Roman"/>
        </w:rPr>
        <w:t xml:space="preserve"> states. Former Czechoslovakia for example, experienced a relatively smooth secession trajectory, while many would agree that this has not been the case in the former Yugoslavia. This is odd and interesting because of multiple reasons. First of all, the process of transformation began from a similar point of departure, and roughly at the same time. And secondly, because of the alikeness of many of the socialist regimes, and the homogenizing effects of the soc</w:t>
      </w:r>
      <w:r w:rsidR="00761936">
        <w:rPr>
          <w:rFonts w:cs="Times New Roman"/>
        </w:rPr>
        <w:t xml:space="preserve">ial experience (ibid, 1999). </w:t>
      </w:r>
      <w:r w:rsidR="00761936">
        <w:rPr>
          <w:rFonts w:cs="Times New Roman"/>
        </w:rPr>
        <w:tab/>
      </w:r>
      <w:r w:rsidRPr="003778BF">
        <w:rPr>
          <w:rFonts w:cs="Times New Roman"/>
        </w:rPr>
        <w:t>Secession can be a consequence of multiple causes, since there is multiple types of conflict that may trigger the need to secede from a countries homeland. This study focusses on a type of conflict that has become increasingly dominant on a global scale, ethnic civil conflicts. Among the civil wars it is the ethnic wars that have become more common and turned out to last longer than non-eth</w:t>
      </w:r>
      <w:r w:rsidR="004A0434">
        <w:rPr>
          <w:rFonts w:cs="Times New Roman"/>
        </w:rPr>
        <w:t xml:space="preserve">nic civil wars (Johnson, 2008, </w:t>
      </w:r>
      <w:r w:rsidRPr="003778BF">
        <w:rPr>
          <w:rFonts w:cs="Times New Roman"/>
        </w:rPr>
        <w:t xml:space="preserve">p. 140). Furthermore, there lays a challenge in dealing with </w:t>
      </w:r>
      <w:r w:rsidRPr="003778BF">
        <w:rPr>
          <w:rFonts w:cs="Times New Roman"/>
        </w:rPr>
        <w:lastRenderedPageBreak/>
        <w:t>ending civil wars and its high rate of recidivism, facing a fifty-fifty chance of renewed conflict within five years after the initial terminatio</w:t>
      </w:r>
      <w:r w:rsidR="004A0434">
        <w:rPr>
          <w:rFonts w:cs="Times New Roman"/>
        </w:rPr>
        <w:t xml:space="preserve">n of the conflict (ibid, 2008, </w:t>
      </w:r>
      <w:r w:rsidRPr="003778BF">
        <w:rPr>
          <w:rFonts w:cs="Times New Roman"/>
        </w:rPr>
        <w:t>p. 141). In order to prevent this from happening in the future, secession may be a viable solution. Yet, today there is huge debate on whether secession can be considered a solid solution for ethnic civil wars, especially when one takes into account many o</w:t>
      </w:r>
      <w:r w:rsidR="00BE698E">
        <w:rPr>
          <w:rFonts w:cs="Times New Roman"/>
        </w:rPr>
        <w:t xml:space="preserve">f the past outcomes. </w:t>
      </w:r>
      <w:r w:rsidR="00BE698E">
        <w:rPr>
          <w:rFonts w:cs="Times New Roman"/>
        </w:rPr>
        <w:tab/>
      </w:r>
      <w:r w:rsidR="00BE698E">
        <w:rPr>
          <w:rFonts w:cs="Times New Roman"/>
        </w:rPr>
        <w:tab/>
      </w:r>
      <w:r w:rsidR="00BE698E">
        <w:rPr>
          <w:rFonts w:cs="Times New Roman"/>
        </w:rPr>
        <w:tab/>
      </w:r>
      <w:r w:rsidR="00BE698E">
        <w:rPr>
          <w:rFonts w:cs="Times New Roman"/>
        </w:rPr>
        <w:tab/>
      </w:r>
      <w:r w:rsidR="00BE698E">
        <w:rPr>
          <w:rFonts w:cs="Times New Roman"/>
        </w:rPr>
        <w:tab/>
      </w:r>
      <w:r w:rsidR="00BE698E">
        <w:rPr>
          <w:rFonts w:cs="Times New Roman"/>
        </w:rPr>
        <w:tab/>
      </w:r>
      <w:r w:rsidR="00BE698E">
        <w:rPr>
          <w:rFonts w:cs="Times New Roman"/>
        </w:rPr>
        <w:tab/>
      </w:r>
      <w:r w:rsidR="00BE698E">
        <w:rPr>
          <w:rFonts w:cs="Times New Roman"/>
        </w:rPr>
        <w:tab/>
      </w:r>
      <w:r w:rsidRPr="003778BF">
        <w:rPr>
          <w:rFonts w:cs="Times New Roman"/>
        </w:rPr>
        <w:t>Johnson (2008) concurs with this controversy, and argues that Western policymakers are often ambivalent towards sec</w:t>
      </w:r>
      <w:r w:rsidR="004A0434">
        <w:rPr>
          <w:rFonts w:cs="Times New Roman"/>
        </w:rPr>
        <w:t>ession, depending on the case (</w:t>
      </w:r>
      <w:r w:rsidRPr="003778BF">
        <w:rPr>
          <w:rFonts w:cs="Times New Roman"/>
        </w:rPr>
        <w:t>p. 142). The Kosovo case strongly displays this ambivalence, since its independence is contested within the European Union for example. Furthermore, the Kosovo case even allows for further secession taking into account the many Albanian and Serbian regions with the republic of Kosovo. Secession, therefore, rarely is an obvious and effective tool for solving an ethnic conflict. Although it is a process that has showed to be successful in the past, it has at the same time been a failure in a signif</w:t>
      </w:r>
      <w:r w:rsidR="00BE698E">
        <w:rPr>
          <w:rFonts w:cs="Times New Roman"/>
        </w:rPr>
        <w:t>icant amount of cases.</w:t>
      </w:r>
      <w:r w:rsidR="00BE698E">
        <w:rPr>
          <w:rFonts w:cs="Times New Roman"/>
        </w:rPr>
        <w:tab/>
      </w:r>
      <w:r w:rsidRPr="003778BF">
        <w:rPr>
          <w:rFonts w:cs="Times New Roman"/>
        </w:rPr>
        <w:t xml:space="preserve">Despite the controversy, this paper does not question the potential of secession as a way to successfully end ethnic conflicts, but seeks to assess the influence of the international community in successfully achieving secession. As Keck and </w:t>
      </w:r>
      <w:proofErr w:type="spellStart"/>
      <w:r w:rsidRPr="003778BF">
        <w:rPr>
          <w:rFonts w:cs="Times New Roman"/>
        </w:rPr>
        <w:t>Sikkink</w:t>
      </w:r>
      <w:proofErr w:type="spellEnd"/>
      <w:r w:rsidRPr="003778BF">
        <w:rPr>
          <w:rFonts w:cs="Times New Roman"/>
        </w:rPr>
        <w:t xml:space="preserve"> (1999) acknowledge, the role of the state over its public affairs has diminished over the years, in favor o</w:t>
      </w:r>
      <w:r w:rsidR="004A0434">
        <w:rPr>
          <w:rFonts w:cs="Times New Roman"/>
        </w:rPr>
        <w:t>f the international community (</w:t>
      </w:r>
      <w:r w:rsidRPr="003778BF">
        <w:rPr>
          <w:rFonts w:cs="Times New Roman"/>
        </w:rPr>
        <w:t>p. 89). This trend can also be linked to secession tendencies, and  the cries for help of minority groups. Since the changing dynamics and the increasing role of the international community in public affairs, this community has become part of the discussion</w:t>
      </w:r>
      <w:r w:rsidR="000D14D8">
        <w:rPr>
          <w:rFonts w:cs="Times New Roman"/>
        </w:rPr>
        <w:t xml:space="preserve"> on secession as well. </w:t>
      </w:r>
      <w:r w:rsidRPr="003778BF">
        <w:rPr>
          <w:rFonts w:cs="Times New Roman"/>
        </w:rPr>
        <w:t>Especially if one takes into consideration that secession is legitimized if it is recognition by the international community (</w:t>
      </w:r>
      <w:proofErr w:type="spellStart"/>
      <w:r w:rsidRPr="003778BF">
        <w:rPr>
          <w:rFonts w:cs="Times New Roman"/>
        </w:rPr>
        <w:t>Tir</w:t>
      </w:r>
      <w:proofErr w:type="spellEnd"/>
      <w:r w:rsidRPr="003778BF">
        <w:rPr>
          <w:rFonts w:cs="Times New Roman"/>
        </w:rPr>
        <w:t xml:space="preserve">, 2005, p. 714).  </w:t>
      </w:r>
      <w:r w:rsidRPr="003778BF">
        <w:rPr>
          <w:rFonts w:cs="Times New Roman"/>
        </w:rPr>
        <w:tab/>
      </w:r>
      <w:r w:rsidRPr="003778BF">
        <w:rPr>
          <w:rFonts w:cs="Times New Roman"/>
        </w:rPr>
        <w:tab/>
      </w:r>
      <w:r w:rsidRPr="003778BF">
        <w:rPr>
          <w:rFonts w:cs="Times New Roman"/>
        </w:rPr>
        <w:tab/>
      </w:r>
      <w:r w:rsidRPr="003778BF">
        <w:rPr>
          <w:rFonts w:cs="Times New Roman"/>
        </w:rPr>
        <w:tab/>
      </w:r>
      <w:r w:rsidRPr="003778BF">
        <w:rPr>
          <w:rFonts w:cs="Times New Roman"/>
        </w:rPr>
        <w:tab/>
      </w:r>
      <w:r w:rsidRPr="003778BF">
        <w:rPr>
          <w:rFonts w:cs="Times New Roman"/>
        </w:rPr>
        <w:tab/>
      </w:r>
      <w:r w:rsidRPr="003778BF">
        <w:rPr>
          <w:rFonts w:cs="Times New Roman"/>
        </w:rPr>
        <w:tab/>
      </w:r>
      <w:r w:rsidRPr="003778BF">
        <w:rPr>
          <w:rFonts w:cs="Times New Roman"/>
        </w:rPr>
        <w:tab/>
      </w:r>
      <w:r w:rsidRPr="003778BF">
        <w:rPr>
          <w:rFonts w:cs="Times New Roman"/>
        </w:rPr>
        <w:tab/>
      </w:r>
      <w:r w:rsidR="00BE698E">
        <w:rPr>
          <w:rFonts w:cs="Times New Roman"/>
        </w:rPr>
        <w:tab/>
      </w:r>
      <w:r w:rsidR="00BE698E">
        <w:rPr>
          <w:rFonts w:cs="Times New Roman"/>
        </w:rPr>
        <w:tab/>
      </w:r>
      <w:r w:rsidRPr="003778BF">
        <w:rPr>
          <w:rFonts w:cs="Times New Roman"/>
        </w:rPr>
        <w:t xml:space="preserve">Scholars have not yet reached full consensus on the core conditions that need to be at play in order to reach a state of successful secession. What is rather straightforward though, is the level of uniqueness of every single secession case. This is problematic in terms of making firm claims about any conditions of importance for secession in general. Though, it is agreed upon by many scholars (Baskin and Pickering, 2014; </w:t>
      </w:r>
      <w:proofErr w:type="spellStart"/>
      <w:r w:rsidRPr="003778BF">
        <w:rPr>
          <w:rFonts w:cs="Times New Roman"/>
        </w:rPr>
        <w:t>Jenne</w:t>
      </w:r>
      <w:proofErr w:type="spellEnd"/>
      <w:r w:rsidRPr="003778BF">
        <w:rPr>
          <w:rFonts w:cs="Times New Roman"/>
        </w:rPr>
        <w:t xml:space="preserve">, 2004; Welsh, 1994; </w:t>
      </w:r>
      <w:proofErr w:type="spellStart"/>
      <w:r w:rsidRPr="003778BF">
        <w:rPr>
          <w:rFonts w:cs="Times New Roman"/>
        </w:rPr>
        <w:t>Woodwell</w:t>
      </w:r>
      <w:proofErr w:type="spellEnd"/>
      <w:r w:rsidRPr="003778BF">
        <w:rPr>
          <w:rFonts w:cs="Times New Roman"/>
        </w:rPr>
        <w:t>, 2004) that the international community does play at least some sort of role in many of the secession tendencies, positive or negative, which strongly varies per case. Since secession tendencies are on the rise since</w:t>
      </w:r>
      <w:r w:rsidR="004A0434">
        <w:rPr>
          <w:rFonts w:cs="Times New Roman"/>
        </w:rPr>
        <w:t xml:space="preserve"> the mid-1990s (Johnson, 2008, </w:t>
      </w:r>
      <w:r w:rsidRPr="003778BF">
        <w:rPr>
          <w:rFonts w:cs="Times New Roman"/>
        </w:rPr>
        <w:t xml:space="preserve">p. 141), and the international community often feels the necessity to intervene for material or ideological interests, it is important to set out in what way international involvement can be beneficial for successfully achieving secession. In order to determine this, the guiding question for this research becomes: </w:t>
      </w:r>
    </w:p>
    <w:p w:rsidR="00D15816" w:rsidRPr="003778BF" w:rsidRDefault="00D15816" w:rsidP="003778BF">
      <w:pPr>
        <w:spacing w:line="360" w:lineRule="auto"/>
        <w:jc w:val="both"/>
        <w:rPr>
          <w:rFonts w:cs="Times New Roman"/>
        </w:rPr>
      </w:pPr>
      <w:r w:rsidRPr="003778BF">
        <w:rPr>
          <w:rFonts w:cs="Times New Roman"/>
          <w:i/>
        </w:rPr>
        <w:t>How, and to what extent can international involvement in a secession tendency be beneficial for successfully achieving this?</w:t>
      </w:r>
      <w:r w:rsidRPr="003778BF">
        <w:rPr>
          <w:rFonts w:cs="Times New Roman"/>
        </w:rPr>
        <w:t xml:space="preserve"> </w:t>
      </w:r>
      <w:r w:rsidRPr="003778BF">
        <w:rPr>
          <w:rFonts w:cs="Times New Roman"/>
        </w:rPr>
        <w:tab/>
      </w:r>
      <w:r w:rsidRPr="003778BF">
        <w:rPr>
          <w:rFonts w:cs="Times New Roman"/>
        </w:rPr>
        <w:tab/>
      </w:r>
      <w:r w:rsidRPr="003778BF">
        <w:rPr>
          <w:rFonts w:cs="Times New Roman"/>
        </w:rPr>
        <w:tab/>
      </w:r>
      <w:r w:rsidRPr="003778BF">
        <w:rPr>
          <w:rFonts w:cs="Times New Roman"/>
        </w:rPr>
        <w:tab/>
      </w:r>
      <w:r w:rsidRPr="003778BF">
        <w:rPr>
          <w:rFonts w:cs="Times New Roman"/>
        </w:rPr>
        <w:tab/>
      </w:r>
      <w:r w:rsidRPr="003778BF">
        <w:rPr>
          <w:rFonts w:cs="Times New Roman"/>
        </w:rPr>
        <w:tab/>
      </w:r>
      <w:r w:rsidRPr="003778BF">
        <w:rPr>
          <w:rFonts w:cs="Times New Roman"/>
        </w:rPr>
        <w:tab/>
      </w:r>
    </w:p>
    <w:p w:rsidR="00D15816" w:rsidRPr="003778BF" w:rsidRDefault="00D15816" w:rsidP="003778BF">
      <w:pPr>
        <w:spacing w:line="360" w:lineRule="auto"/>
        <w:jc w:val="both"/>
        <w:rPr>
          <w:rFonts w:cs="Times New Roman"/>
        </w:rPr>
      </w:pPr>
      <w:r w:rsidRPr="003778BF">
        <w:rPr>
          <w:rFonts w:cs="Times New Roman"/>
        </w:rPr>
        <w:lastRenderedPageBreak/>
        <w:t xml:space="preserve">The aim of this study is to provide some insights in possible types of international involvement </w:t>
      </w:r>
      <w:r w:rsidR="0071071E">
        <w:rPr>
          <w:rFonts w:cs="Times New Roman"/>
        </w:rPr>
        <w:t xml:space="preserve">that might be </w:t>
      </w:r>
      <w:r w:rsidRPr="003778BF">
        <w:rPr>
          <w:rFonts w:cs="Times New Roman"/>
        </w:rPr>
        <w:t xml:space="preserve">favorable for successful secession. The aim, however, is not to find a ‘one type fits all’ type of international involvement that guarantees success in all secession cases, because there is no blueprint for secession for various reasons: the historical background, context, domestic political structure, economic structure, culture, neighboring states, actors’ interests, etc. Therefore, it is not reasonable and doable to set out a roadmap for international engagement which makes secession a guaranteed success. </w:t>
      </w:r>
    </w:p>
    <w:p w:rsidR="00D15816" w:rsidRPr="003742EE" w:rsidRDefault="00F03CDD" w:rsidP="003778BF">
      <w:pPr>
        <w:pStyle w:val="Kop2"/>
        <w:spacing w:line="360" w:lineRule="auto"/>
        <w:jc w:val="both"/>
        <w:rPr>
          <w:rFonts w:asciiTheme="minorHAnsi" w:hAnsiTheme="minorHAnsi" w:cs="Times New Roman"/>
          <w:b w:val="0"/>
        </w:rPr>
      </w:pPr>
      <w:bookmarkStart w:id="4" w:name="_Toc489007219"/>
      <w:r>
        <w:rPr>
          <w:rFonts w:asciiTheme="minorHAnsi" w:hAnsiTheme="minorHAnsi" w:cs="Times New Roman"/>
          <w:b w:val="0"/>
        </w:rPr>
        <w:t xml:space="preserve">1.2 </w:t>
      </w:r>
      <w:r w:rsidR="00D15816" w:rsidRPr="003742EE">
        <w:rPr>
          <w:rFonts w:asciiTheme="minorHAnsi" w:hAnsiTheme="minorHAnsi" w:cs="Times New Roman"/>
          <w:b w:val="0"/>
        </w:rPr>
        <w:t>Theory</w:t>
      </w:r>
      <w:bookmarkEnd w:id="4"/>
    </w:p>
    <w:p w:rsidR="00D15816" w:rsidRPr="003778BF" w:rsidRDefault="00D15816" w:rsidP="003778BF">
      <w:pPr>
        <w:spacing w:line="360" w:lineRule="auto"/>
        <w:jc w:val="both"/>
        <w:rPr>
          <w:rFonts w:cs="Times New Roman"/>
        </w:rPr>
      </w:pPr>
      <w:r w:rsidRPr="003778BF">
        <w:rPr>
          <w:rFonts w:cs="Times New Roman"/>
        </w:rPr>
        <w:t>Many scholars have been struggling to identify the conditions needed for a secession process to be successful. Consequently there is multiple theories that may be applied to multiple secession cases. Besides a large diversity in the approaches, the applicability of a theory also depends on context, actor structure, and the historical background. Furthermore, there may be a variety of underlying causes at play, which ask for different approaches. Causes may be ideologically rooted, but can also be material. This wide array of different perceptions, contextual differences, and varying backgrounds, may justify different theoretical approaches. This may also explain why theorists have not yet been able to successfully apply one theory consistently across cases. This paper approaches secession processes from a middle-ground theory, recognizing both the neoliberal as well as the constructivist aspects that</w:t>
      </w:r>
      <w:r w:rsidR="00BE698E">
        <w:rPr>
          <w:rFonts w:cs="Times New Roman"/>
        </w:rPr>
        <w:t xml:space="preserve"> come with secession.</w:t>
      </w:r>
      <w:r w:rsidR="00BE698E">
        <w:rPr>
          <w:rFonts w:cs="Times New Roman"/>
        </w:rPr>
        <w:tab/>
      </w:r>
      <w:r w:rsidR="00BE698E">
        <w:rPr>
          <w:rFonts w:cs="Times New Roman"/>
        </w:rPr>
        <w:tab/>
      </w:r>
      <w:r w:rsidR="00BE698E">
        <w:rPr>
          <w:rFonts w:cs="Times New Roman"/>
        </w:rPr>
        <w:tab/>
      </w:r>
      <w:r w:rsidR="00BE698E">
        <w:rPr>
          <w:rFonts w:cs="Times New Roman"/>
        </w:rPr>
        <w:tab/>
      </w:r>
      <w:r w:rsidR="00BE698E">
        <w:rPr>
          <w:rFonts w:cs="Times New Roman"/>
        </w:rPr>
        <w:tab/>
      </w:r>
      <w:r w:rsidR="00BE698E">
        <w:rPr>
          <w:rFonts w:cs="Times New Roman"/>
        </w:rPr>
        <w:tab/>
      </w:r>
      <w:r w:rsidR="00BE698E">
        <w:rPr>
          <w:rFonts w:cs="Times New Roman"/>
        </w:rPr>
        <w:tab/>
      </w:r>
      <w:r w:rsidRPr="003778BF">
        <w:rPr>
          <w:rFonts w:cs="Times New Roman"/>
        </w:rPr>
        <w:t>Neoliberalism has relatively great faith in the capabilities of human beings to obtain progressively better outcomes. Outcomes that promote freedom, peace, prosperity, and justice on the global scale. A structure of international cooperation and international institutions is key in this. This structure consists of institutional arrangements, so-called international regimes, that contain sets of norms and rules (Sterling-</w:t>
      </w:r>
      <w:proofErr w:type="spellStart"/>
      <w:r w:rsidRPr="003778BF">
        <w:rPr>
          <w:rFonts w:cs="Times New Roman"/>
        </w:rPr>
        <w:t>Folker</w:t>
      </w:r>
      <w:proofErr w:type="spellEnd"/>
      <w:r w:rsidRPr="003778BF">
        <w:rPr>
          <w:rFonts w:cs="Times New Roman"/>
        </w:rPr>
        <w:t>, 2013). These sets can be implici</w:t>
      </w:r>
      <w:r w:rsidR="00BE698E">
        <w:rPr>
          <w:rFonts w:cs="Times New Roman"/>
        </w:rPr>
        <w:t xml:space="preserve">t as well as explicit. </w:t>
      </w:r>
      <w:r w:rsidR="00BE698E">
        <w:rPr>
          <w:rFonts w:cs="Times New Roman"/>
        </w:rPr>
        <w:tab/>
      </w:r>
      <w:r w:rsidR="00BE698E">
        <w:rPr>
          <w:rFonts w:cs="Times New Roman"/>
        </w:rPr>
        <w:tab/>
      </w:r>
      <w:r w:rsidRPr="003778BF">
        <w:rPr>
          <w:rFonts w:cs="Times New Roman"/>
        </w:rPr>
        <w:t>Constructivists argue that international relations is a social construction (</w:t>
      </w:r>
      <w:proofErr w:type="spellStart"/>
      <w:r w:rsidRPr="003778BF">
        <w:rPr>
          <w:rFonts w:cs="Times New Roman"/>
        </w:rPr>
        <w:t>Fierke</w:t>
      </w:r>
      <w:proofErr w:type="spellEnd"/>
      <w:r w:rsidRPr="003778BF">
        <w:rPr>
          <w:rFonts w:cs="Times New Roman"/>
        </w:rPr>
        <w:t>, 2013). This i</w:t>
      </w:r>
      <w:r w:rsidR="003647D5">
        <w:rPr>
          <w:rFonts w:cs="Times New Roman"/>
        </w:rPr>
        <w:t xml:space="preserve">mplies that this approach </w:t>
      </w:r>
      <w:r w:rsidRPr="003778BF">
        <w:rPr>
          <w:rFonts w:cs="Times New Roman"/>
        </w:rPr>
        <w:t>argue</w:t>
      </w:r>
      <w:r w:rsidR="003647D5">
        <w:rPr>
          <w:rFonts w:cs="Times New Roman"/>
        </w:rPr>
        <w:t>s</w:t>
      </w:r>
      <w:r w:rsidRPr="003778BF">
        <w:rPr>
          <w:rFonts w:cs="Times New Roman"/>
        </w:rPr>
        <w:t xml:space="preserve"> that both international cooperation and international institutions are a social construction as well, emphasizing on the social dimensions of these institutions such as: norms, rules, but also language. What constructivists focus </w:t>
      </w:r>
      <w:r w:rsidR="003647D5">
        <w:rPr>
          <w:rFonts w:cs="Times New Roman"/>
        </w:rPr>
        <w:t>on more than the neoliberals, hence</w:t>
      </w:r>
      <w:r w:rsidRPr="003778BF">
        <w:rPr>
          <w:rFonts w:cs="Times New Roman"/>
        </w:rPr>
        <w:t xml:space="preserve"> is a major contribution to this research, is the constitutive role of norms and shared understandings, as well as the relationship between agency and s</w:t>
      </w:r>
      <w:r w:rsidR="005D6966">
        <w:rPr>
          <w:rFonts w:cs="Times New Roman"/>
        </w:rPr>
        <w:t xml:space="preserve">tructure (Wendt, 1987). </w:t>
      </w:r>
      <w:r w:rsidR="005D6966">
        <w:rPr>
          <w:rFonts w:cs="Times New Roman"/>
        </w:rPr>
        <w:tab/>
      </w:r>
      <w:r w:rsidR="005D6966">
        <w:rPr>
          <w:rFonts w:cs="Times New Roman"/>
        </w:rPr>
        <w:tab/>
      </w:r>
      <w:r w:rsidR="003647D5">
        <w:rPr>
          <w:rFonts w:cs="Times New Roman"/>
        </w:rPr>
        <w:tab/>
      </w:r>
      <w:r w:rsidR="003647D5">
        <w:rPr>
          <w:rFonts w:cs="Times New Roman"/>
        </w:rPr>
        <w:tab/>
      </w:r>
      <w:r w:rsidR="003647D5">
        <w:rPr>
          <w:rFonts w:cs="Times New Roman"/>
        </w:rPr>
        <w:tab/>
      </w:r>
      <w:r w:rsidRPr="003778BF">
        <w:rPr>
          <w:rFonts w:cs="Times New Roman"/>
        </w:rPr>
        <w:t>The international structure as it is today, is one in which state borders have faded and  international institutional frameworks have gained greater influence. The EU is a striking example of this. Many states within this Union used to be enemies at some point in history (</w:t>
      </w:r>
      <w:proofErr w:type="spellStart"/>
      <w:r w:rsidRPr="003778BF">
        <w:rPr>
          <w:rFonts w:cs="Times New Roman"/>
        </w:rPr>
        <w:t>Fierke</w:t>
      </w:r>
      <w:proofErr w:type="spellEnd"/>
      <w:r w:rsidRPr="003778BF">
        <w:rPr>
          <w:rFonts w:cs="Times New Roman"/>
        </w:rPr>
        <w:t xml:space="preserve">, 2013). Now, however, they have learned to cooperate and engaged in mutual relationships. Institutional structures consist partly of the norms and rules which are socially constructed, although material </w:t>
      </w:r>
      <w:r w:rsidRPr="003778BF">
        <w:rPr>
          <w:rFonts w:cs="Times New Roman"/>
        </w:rPr>
        <w:lastRenderedPageBreak/>
        <w:t>interests play a role in this as well. Both constructivist and liberal approaches encompass features which cannot be neglected. Therefore, this study draws upon a middle-ground theory that combines important features of both.</w:t>
      </w:r>
      <w:r w:rsidRPr="003778BF">
        <w:rPr>
          <w:rFonts w:cs="Times New Roman"/>
        </w:rPr>
        <w:tab/>
      </w:r>
      <w:r w:rsidRPr="003778BF">
        <w:rPr>
          <w:rFonts w:cs="Times New Roman"/>
        </w:rPr>
        <w:tab/>
      </w:r>
      <w:r w:rsidRPr="003778BF">
        <w:rPr>
          <w:rFonts w:cs="Times New Roman"/>
        </w:rPr>
        <w:tab/>
      </w:r>
      <w:r w:rsidRPr="003778BF">
        <w:rPr>
          <w:rFonts w:cs="Times New Roman"/>
        </w:rPr>
        <w:tab/>
      </w:r>
      <w:r w:rsidR="006335A5">
        <w:rPr>
          <w:rFonts w:cs="Times New Roman"/>
        </w:rPr>
        <w:tab/>
      </w:r>
      <w:r w:rsidR="006335A5">
        <w:rPr>
          <w:rFonts w:cs="Times New Roman"/>
        </w:rPr>
        <w:tab/>
      </w:r>
      <w:r w:rsidR="006335A5">
        <w:rPr>
          <w:rFonts w:cs="Times New Roman"/>
        </w:rPr>
        <w:tab/>
      </w:r>
      <w:r w:rsidR="006335A5">
        <w:rPr>
          <w:rFonts w:cs="Times New Roman"/>
        </w:rPr>
        <w:tab/>
      </w:r>
      <w:r w:rsidR="006335A5">
        <w:rPr>
          <w:rFonts w:cs="Times New Roman"/>
        </w:rPr>
        <w:tab/>
      </w:r>
      <w:r w:rsidR="006335A5">
        <w:rPr>
          <w:rFonts w:cs="Times New Roman"/>
        </w:rPr>
        <w:tab/>
      </w:r>
      <w:r w:rsidRPr="003778BF">
        <w:rPr>
          <w:rFonts w:cs="Times New Roman"/>
        </w:rPr>
        <w:t xml:space="preserve">The theory adopted originates from the liberal global governance literature and is introduced by Keck and </w:t>
      </w:r>
      <w:proofErr w:type="spellStart"/>
      <w:r w:rsidRPr="003778BF">
        <w:rPr>
          <w:rFonts w:cs="Times New Roman"/>
        </w:rPr>
        <w:t>Sikkink</w:t>
      </w:r>
      <w:proofErr w:type="spellEnd"/>
      <w:r w:rsidRPr="003778BF">
        <w:rPr>
          <w:rFonts w:cs="Times New Roman"/>
        </w:rPr>
        <w:t>: the so-called ‘boomerang model’. International relations, through increasingly dense networks, have becom</w:t>
      </w:r>
      <w:r w:rsidR="00480383">
        <w:rPr>
          <w:rFonts w:cs="Times New Roman"/>
        </w:rPr>
        <w:t>e more important over the years.</w:t>
      </w:r>
      <w:r w:rsidRPr="003778BF">
        <w:rPr>
          <w:rFonts w:cs="Times New Roman"/>
        </w:rPr>
        <w:t xml:space="preserve"> Keck and </w:t>
      </w:r>
      <w:proofErr w:type="spellStart"/>
      <w:r w:rsidRPr="003778BF">
        <w:rPr>
          <w:rFonts w:cs="Times New Roman"/>
        </w:rPr>
        <w:t>Sikkink</w:t>
      </w:r>
      <w:proofErr w:type="spellEnd"/>
      <w:r w:rsidRPr="003778BF">
        <w:rPr>
          <w:rFonts w:cs="Times New Roman"/>
        </w:rPr>
        <w:t xml:space="preserve"> believe that states are embedded in these networks. The rise of this international </w:t>
      </w:r>
      <w:r w:rsidR="00480383">
        <w:rPr>
          <w:rFonts w:cs="Times New Roman"/>
        </w:rPr>
        <w:t>network</w:t>
      </w:r>
      <w:r w:rsidRPr="003778BF">
        <w:rPr>
          <w:rFonts w:cs="Times New Roman"/>
        </w:rPr>
        <w:t xml:space="preserve"> comes with the rise of an internationally recognized set of rules, and norms. </w:t>
      </w:r>
      <w:proofErr w:type="spellStart"/>
      <w:r w:rsidRPr="003778BF">
        <w:rPr>
          <w:rFonts w:cs="Times New Roman"/>
        </w:rPr>
        <w:t>Risse</w:t>
      </w:r>
      <w:proofErr w:type="spellEnd"/>
      <w:r w:rsidRPr="003778BF">
        <w:rPr>
          <w:rFonts w:cs="Times New Roman"/>
        </w:rPr>
        <w:t xml:space="preserve"> (1999) states it as a society with a collective understanding about appropriate behavior. Human rights for example, can be considered an accepted collective understanding, internalized in the international community. These international networks appear to become useful if there is hampered relations between a national government and domestic g</w:t>
      </w:r>
      <w:r w:rsidR="000C1190">
        <w:rPr>
          <w:rFonts w:cs="Times New Roman"/>
        </w:rPr>
        <w:t xml:space="preserve">roups (Keck and </w:t>
      </w:r>
      <w:proofErr w:type="spellStart"/>
      <w:r w:rsidR="000C1190">
        <w:rPr>
          <w:rFonts w:cs="Times New Roman"/>
        </w:rPr>
        <w:t>Sikkink</w:t>
      </w:r>
      <w:proofErr w:type="spellEnd"/>
      <w:r w:rsidR="000C1190">
        <w:rPr>
          <w:rFonts w:cs="Times New Roman"/>
        </w:rPr>
        <w:t xml:space="preserve">, 1999, </w:t>
      </w:r>
      <w:r w:rsidRPr="003778BF">
        <w:rPr>
          <w:rFonts w:cs="Times New Roman"/>
        </w:rPr>
        <w:t>p. 93). Secession tende</w:t>
      </w:r>
      <w:r w:rsidR="009A7F52">
        <w:rPr>
          <w:rFonts w:cs="Times New Roman"/>
        </w:rPr>
        <w:t>ncies perfectly fit this theory</w:t>
      </w:r>
      <w:r w:rsidRPr="003778BF">
        <w:rPr>
          <w:rFonts w:cs="Times New Roman"/>
        </w:rPr>
        <w:t xml:space="preserve"> since it is a consequence of an intra-state conflict, rooted in ethnic diversity in this study. This means that there is hampered relations between a domestic group and the government, which makes the boomerang model suitable.</w:t>
      </w:r>
      <w:r w:rsidRPr="003778BF">
        <w:rPr>
          <w:rFonts w:cs="Times New Roman"/>
        </w:rPr>
        <w:tab/>
      </w:r>
      <w:r w:rsidRPr="003778BF">
        <w:rPr>
          <w:rFonts w:cs="Times New Roman"/>
        </w:rPr>
        <w:tab/>
      </w:r>
      <w:r w:rsidRPr="003778BF">
        <w:rPr>
          <w:rFonts w:cs="Times New Roman"/>
        </w:rPr>
        <w:tab/>
      </w:r>
      <w:r w:rsidRPr="003778BF">
        <w:rPr>
          <w:rFonts w:cs="Times New Roman"/>
        </w:rPr>
        <w:tab/>
      </w:r>
      <w:r w:rsidRPr="003778BF">
        <w:rPr>
          <w:rFonts w:cs="Times New Roman"/>
        </w:rPr>
        <w:tab/>
      </w:r>
      <w:r w:rsidRPr="003778BF">
        <w:rPr>
          <w:rFonts w:cs="Times New Roman"/>
        </w:rPr>
        <w:tab/>
      </w:r>
      <w:r w:rsidRPr="003778BF">
        <w:rPr>
          <w:rFonts w:cs="Times New Roman"/>
        </w:rPr>
        <w:tab/>
      </w:r>
      <w:r w:rsidRPr="003778BF">
        <w:rPr>
          <w:rFonts w:cs="Times New Roman"/>
        </w:rPr>
        <w:tab/>
      </w:r>
      <w:r w:rsidRPr="003778BF">
        <w:rPr>
          <w:rFonts w:cs="Times New Roman"/>
        </w:rPr>
        <w:tab/>
      </w:r>
      <w:r w:rsidRPr="003778BF">
        <w:rPr>
          <w:rFonts w:cs="Times New Roman"/>
        </w:rPr>
        <w:tab/>
      </w:r>
      <w:r w:rsidRPr="003778BF">
        <w:rPr>
          <w:rFonts w:cs="Times New Roman"/>
        </w:rPr>
        <w:tab/>
      </w:r>
    </w:p>
    <w:p w:rsidR="00D15816" w:rsidRPr="003742EE" w:rsidRDefault="00F03CDD" w:rsidP="003778BF">
      <w:pPr>
        <w:pStyle w:val="Kop2"/>
        <w:spacing w:line="360" w:lineRule="auto"/>
        <w:jc w:val="both"/>
        <w:rPr>
          <w:rFonts w:asciiTheme="minorHAnsi" w:hAnsiTheme="minorHAnsi" w:cs="Times New Roman"/>
          <w:b w:val="0"/>
        </w:rPr>
      </w:pPr>
      <w:bookmarkStart w:id="5" w:name="_Toc489007220"/>
      <w:r>
        <w:rPr>
          <w:rFonts w:asciiTheme="minorHAnsi" w:hAnsiTheme="minorHAnsi" w:cs="Times New Roman"/>
          <w:b w:val="0"/>
        </w:rPr>
        <w:t xml:space="preserve">1.3 </w:t>
      </w:r>
      <w:r w:rsidR="00D15816" w:rsidRPr="003742EE">
        <w:rPr>
          <w:rFonts w:asciiTheme="minorHAnsi" w:hAnsiTheme="minorHAnsi" w:cs="Times New Roman"/>
          <w:b w:val="0"/>
        </w:rPr>
        <w:t>Dependent variable</w:t>
      </w:r>
      <w:bookmarkEnd w:id="5"/>
    </w:p>
    <w:p w:rsidR="00D15816" w:rsidRPr="003778BF" w:rsidRDefault="00D15816" w:rsidP="003778BF">
      <w:pPr>
        <w:spacing w:line="360" w:lineRule="auto"/>
        <w:jc w:val="both"/>
        <w:rPr>
          <w:rFonts w:cs="Times New Roman"/>
        </w:rPr>
      </w:pPr>
      <w:r w:rsidRPr="003778BF">
        <w:rPr>
          <w:rFonts w:cs="Times New Roman"/>
        </w:rPr>
        <w:t xml:space="preserve">Secession is a process in which a domestic group, in this research an ethnic minority, wants to secede from an existing state. There are cases in which this process has gone rather smooth, but in many cases this has unfortunately not been the case. </w:t>
      </w:r>
      <w:proofErr w:type="spellStart"/>
      <w:r w:rsidRPr="003778BF">
        <w:rPr>
          <w:rFonts w:cs="Times New Roman"/>
        </w:rPr>
        <w:t>Tir</w:t>
      </w:r>
      <w:proofErr w:type="spellEnd"/>
      <w:r w:rsidRPr="003778BF">
        <w:rPr>
          <w:rFonts w:cs="Times New Roman"/>
        </w:rPr>
        <w:t xml:space="preserve"> (2005) defines secession as </w:t>
      </w:r>
      <w:r w:rsidRPr="003778BF">
        <w:rPr>
          <w:rFonts w:cs="Times New Roman"/>
          <w:i/>
        </w:rPr>
        <w:t>‘’… an internally motivated division of a country’s homeland (i.e., non-colonial) territory that results in the creation of at least one new independent (i.e., secessionist) state (e.g., Eritrea) – with full sovereign rights and legal recognition by the international community – and leaves behind the now territorially smaller rump state (e.g., Ethiopia).’’</w:t>
      </w:r>
      <w:r w:rsidR="000C1190">
        <w:rPr>
          <w:rFonts w:cs="Times New Roman"/>
        </w:rPr>
        <w:t xml:space="preserve">  (</w:t>
      </w:r>
      <w:r w:rsidRPr="003778BF">
        <w:rPr>
          <w:rFonts w:cs="Times New Roman"/>
        </w:rPr>
        <w:t xml:space="preserve">p. 714). In practice, it turns out that in many cases these sovereign rights are not recognized by the state’s government, who therefore does not allow a certain group on a territory to secede. The boomerang model assumes that it is the international community that can empower these dominated minority group(s). This community is in this research presented as an advocacy network. </w:t>
      </w:r>
    </w:p>
    <w:p w:rsidR="00D15816" w:rsidRPr="003742EE" w:rsidRDefault="00F03CDD" w:rsidP="003778BF">
      <w:pPr>
        <w:pStyle w:val="Kop2"/>
        <w:spacing w:line="360" w:lineRule="auto"/>
        <w:jc w:val="both"/>
        <w:rPr>
          <w:rFonts w:asciiTheme="minorHAnsi" w:hAnsiTheme="minorHAnsi" w:cs="Times New Roman"/>
          <w:b w:val="0"/>
        </w:rPr>
      </w:pPr>
      <w:bookmarkStart w:id="6" w:name="_Toc489007221"/>
      <w:r>
        <w:rPr>
          <w:rFonts w:asciiTheme="minorHAnsi" w:hAnsiTheme="minorHAnsi" w:cs="Times New Roman"/>
          <w:b w:val="0"/>
        </w:rPr>
        <w:t xml:space="preserve">1.4 </w:t>
      </w:r>
      <w:r w:rsidR="00D15816" w:rsidRPr="003742EE">
        <w:rPr>
          <w:rFonts w:asciiTheme="minorHAnsi" w:hAnsiTheme="minorHAnsi" w:cs="Times New Roman"/>
          <w:b w:val="0"/>
        </w:rPr>
        <w:t>Independent variable</w:t>
      </w:r>
      <w:bookmarkEnd w:id="6"/>
    </w:p>
    <w:p w:rsidR="00D15816" w:rsidRPr="003778BF" w:rsidRDefault="00D15816" w:rsidP="003778BF">
      <w:pPr>
        <w:spacing w:line="360" w:lineRule="auto"/>
        <w:jc w:val="both"/>
        <w:rPr>
          <w:rFonts w:cs="Times New Roman"/>
        </w:rPr>
      </w:pPr>
      <w:r w:rsidRPr="003778BF">
        <w:rPr>
          <w:rFonts w:cs="Times New Roman"/>
        </w:rPr>
        <w:t xml:space="preserve">The international advocacy network is the independent variable in this research. The main question to determine is whether or not international involvement does contribute to successful secession. However, the concept international involvement is rather broad and open for different interpretations. For the purposes of this research therefore, international involvement will be </w:t>
      </w:r>
      <w:r w:rsidRPr="003778BF">
        <w:rPr>
          <w:rFonts w:cs="Times New Roman"/>
        </w:rPr>
        <w:lastRenderedPageBreak/>
        <w:t>conceptualized as an international advocacy network that consists of actors and organizations a</w:t>
      </w:r>
      <w:r w:rsidR="009A7F52">
        <w:rPr>
          <w:rFonts w:cs="Times New Roman"/>
        </w:rPr>
        <w:t xml:space="preserve">t the international level only, such as the UN for instance. </w:t>
      </w:r>
      <w:r w:rsidRPr="003778BF">
        <w:rPr>
          <w:rFonts w:cs="Times New Roman"/>
        </w:rPr>
        <w:t xml:space="preserve">As </w:t>
      </w:r>
      <w:proofErr w:type="spellStart"/>
      <w:r w:rsidRPr="003778BF">
        <w:rPr>
          <w:rFonts w:cs="Times New Roman"/>
        </w:rPr>
        <w:t>Sterio</w:t>
      </w:r>
      <w:proofErr w:type="spellEnd"/>
      <w:r w:rsidRPr="003778BF">
        <w:rPr>
          <w:rFonts w:cs="Times New Roman"/>
        </w:rPr>
        <w:t xml:space="preserve"> (2015) has argued already, leverage is needed for </w:t>
      </w:r>
      <w:r w:rsidR="000C1190">
        <w:rPr>
          <w:rFonts w:cs="Times New Roman"/>
        </w:rPr>
        <w:t>brokering a peace arrangement (</w:t>
      </w:r>
      <w:r w:rsidRPr="003778BF">
        <w:rPr>
          <w:rFonts w:cs="Times New Roman"/>
        </w:rPr>
        <w:t xml:space="preserve">p. 290). Keck and </w:t>
      </w:r>
      <w:proofErr w:type="spellStart"/>
      <w:r w:rsidRPr="003778BF">
        <w:rPr>
          <w:rFonts w:cs="Times New Roman"/>
        </w:rPr>
        <w:t>Sikkink</w:t>
      </w:r>
      <w:proofErr w:type="spellEnd"/>
      <w:r w:rsidRPr="003778BF">
        <w:rPr>
          <w:rFonts w:cs="Times New Roman"/>
        </w:rPr>
        <w:t xml:space="preserve"> (1999) also acknowledge the importance of leverage and distinguish four types of strategies that transnational actors can engage in: informational politics, symbolic politics, leverage politics</w:t>
      </w:r>
      <w:r w:rsidR="000C1190">
        <w:rPr>
          <w:rFonts w:cs="Times New Roman"/>
        </w:rPr>
        <w:t>, and accountability politics (</w:t>
      </w:r>
      <w:r w:rsidRPr="003778BF">
        <w:rPr>
          <w:rFonts w:cs="Times New Roman"/>
        </w:rPr>
        <w:t>p. 95). This study assumes that international advocacy networks, be it through one of the above mentioned strategies, can increase the legitimacy of a domestic group, and therefore increases the chances of successful secession.</w:t>
      </w:r>
    </w:p>
    <w:p w:rsidR="00D15816" w:rsidRPr="003742EE" w:rsidRDefault="00F03CDD" w:rsidP="003778BF">
      <w:pPr>
        <w:pStyle w:val="Kop2"/>
        <w:spacing w:line="360" w:lineRule="auto"/>
        <w:jc w:val="both"/>
        <w:rPr>
          <w:rFonts w:asciiTheme="minorHAnsi" w:hAnsiTheme="minorHAnsi" w:cs="Times New Roman"/>
          <w:b w:val="0"/>
          <w:sz w:val="24"/>
          <w:szCs w:val="24"/>
        </w:rPr>
      </w:pPr>
      <w:bookmarkStart w:id="7" w:name="_Toc489007222"/>
      <w:r>
        <w:rPr>
          <w:rFonts w:asciiTheme="minorHAnsi" w:hAnsiTheme="minorHAnsi" w:cs="Times New Roman"/>
          <w:b w:val="0"/>
        </w:rPr>
        <w:t xml:space="preserve">1.5 </w:t>
      </w:r>
      <w:r w:rsidR="00D15816" w:rsidRPr="003742EE">
        <w:rPr>
          <w:rFonts w:asciiTheme="minorHAnsi" w:hAnsiTheme="minorHAnsi" w:cs="Times New Roman"/>
          <w:b w:val="0"/>
        </w:rPr>
        <w:t>Case selection</w:t>
      </w:r>
      <w:bookmarkEnd w:id="7"/>
    </w:p>
    <w:p w:rsidR="00D15816" w:rsidRPr="003778BF" w:rsidRDefault="00D15816" w:rsidP="003778BF">
      <w:pPr>
        <w:spacing w:line="360" w:lineRule="auto"/>
        <w:jc w:val="both"/>
        <w:rPr>
          <w:rFonts w:cs="Times New Roman"/>
        </w:rPr>
      </w:pPr>
      <w:r w:rsidRPr="003778BF">
        <w:rPr>
          <w:rFonts w:cs="Times New Roman"/>
        </w:rPr>
        <w:t>The most important features for proper case selection are representation and causal leverage. The selected case must be representative, which it can be in various ways, must be of theoretical interest, and fit the theory (</w:t>
      </w:r>
      <w:proofErr w:type="spellStart"/>
      <w:r w:rsidRPr="003778BF">
        <w:rPr>
          <w:rFonts w:cs="Times New Roman"/>
        </w:rPr>
        <w:t>Gerring</w:t>
      </w:r>
      <w:proofErr w:type="spellEnd"/>
      <w:r w:rsidRPr="003778BF">
        <w:rPr>
          <w:rFonts w:cs="Times New Roman"/>
        </w:rPr>
        <w:t xml:space="preserve">, 2008, pp. 1 – 2). According to </w:t>
      </w:r>
      <w:proofErr w:type="spellStart"/>
      <w:r w:rsidRPr="003778BF">
        <w:rPr>
          <w:rFonts w:cs="Times New Roman"/>
        </w:rPr>
        <w:t>Gerring</w:t>
      </w:r>
      <w:proofErr w:type="spellEnd"/>
      <w:r w:rsidRPr="003778BF">
        <w:rPr>
          <w:rFonts w:cs="Times New Roman"/>
        </w:rPr>
        <w:t xml:space="preserve"> (2008) the above mentioned principles should be taken into account in order to select a suitable case to study. Secession however is a unusual phenomenon, due to its uniqueness. This makes the logic of case selection introduced by </w:t>
      </w:r>
      <w:proofErr w:type="spellStart"/>
      <w:r w:rsidRPr="003778BF">
        <w:rPr>
          <w:rFonts w:cs="Times New Roman"/>
        </w:rPr>
        <w:t>Gerring</w:t>
      </w:r>
      <w:proofErr w:type="spellEnd"/>
      <w:r w:rsidRPr="003778BF">
        <w:rPr>
          <w:rFonts w:cs="Times New Roman"/>
        </w:rPr>
        <w:t xml:space="preserve"> less suitable and  rather complicated. Nevertheless, those general principles will be useful in the process of case selection.</w:t>
      </w:r>
      <w:r w:rsidRPr="003778BF">
        <w:rPr>
          <w:rFonts w:cs="Times New Roman"/>
        </w:rPr>
        <w:tab/>
      </w:r>
      <w:r w:rsidRPr="003778BF">
        <w:rPr>
          <w:rFonts w:cs="Times New Roman"/>
        </w:rPr>
        <w:tab/>
      </w:r>
      <w:r w:rsidRPr="003778BF">
        <w:rPr>
          <w:rFonts w:cs="Times New Roman"/>
        </w:rPr>
        <w:tab/>
      </w:r>
      <w:r w:rsidRPr="003778BF">
        <w:rPr>
          <w:rFonts w:cs="Times New Roman"/>
        </w:rPr>
        <w:tab/>
      </w:r>
      <w:r w:rsidRPr="003778BF">
        <w:rPr>
          <w:rFonts w:cs="Times New Roman"/>
        </w:rPr>
        <w:tab/>
        <w:t xml:space="preserve">Important to take into account is the uniqueness of every secession case, due to its different circumstances such as context, historical background, and actors involved. Therefore it is hard to speak of typical, deviant, and least or most likely cases, according to </w:t>
      </w:r>
      <w:proofErr w:type="spellStart"/>
      <w:r w:rsidRPr="003778BF">
        <w:rPr>
          <w:rFonts w:cs="Times New Roman"/>
        </w:rPr>
        <w:t>Gerring’s</w:t>
      </w:r>
      <w:proofErr w:type="spellEnd"/>
      <w:r w:rsidRPr="003778BF">
        <w:rPr>
          <w:rFonts w:cs="Times New Roman"/>
        </w:rPr>
        <w:t xml:space="preserve"> terminology. This also means that any case is hardly representative to other cases, and generalizability of the results to the wider population is a utopia. Yet, this does not mean that a case which is not per definition very representative, might not be of theoretical interest since it can still test a theory or build a new one. This is possible as long as the case is a good fit to the theoretical approach. This is important since the theory pursued in this study is not applicable to all secession cases. In fact, this theory is only applicable to secession cases in which no consensus has been reached between a state and the ethnic domestic minority that wants to secede. Since there is cases of secession tendencies in which such a consensus has been reached, these should be ignored. In addition, previous cases of secession in which the international community did not at all engage have been excluded as well. Hence, the theoretical interest lays not in testing a theory for secession, nor in building a new theory concerning secession. The aim is to explain the outcome of a specific case. </w:t>
      </w:r>
    </w:p>
    <w:p w:rsidR="00D15816" w:rsidRPr="003742EE" w:rsidRDefault="00F03CDD" w:rsidP="003778BF">
      <w:pPr>
        <w:pStyle w:val="Kop2"/>
        <w:spacing w:line="360" w:lineRule="auto"/>
        <w:jc w:val="both"/>
        <w:rPr>
          <w:rFonts w:asciiTheme="minorHAnsi" w:hAnsiTheme="minorHAnsi" w:cs="Times New Roman"/>
          <w:b w:val="0"/>
        </w:rPr>
      </w:pPr>
      <w:bookmarkStart w:id="8" w:name="_Toc489007223"/>
      <w:r>
        <w:rPr>
          <w:rFonts w:asciiTheme="minorHAnsi" w:hAnsiTheme="minorHAnsi" w:cs="Times New Roman"/>
          <w:b w:val="0"/>
        </w:rPr>
        <w:t xml:space="preserve">1.6 </w:t>
      </w:r>
      <w:r w:rsidR="00D15816" w:rsidRPr="003742EE">
        <w:rPr>
          <w:rFonts w:asciiTheme="minorHAnsi" w:hAnsiTheme="minorHAnsi" w:cs="Times New Roman"/>
          <w:b w:val="0"/>
        </w:rPr>
        <w:t>The Kosovo case</w:t>
      </w:r>
      <w:bookmarkEnd w:id="8"/>
    </w:p>
    <w:p w:rsidR="00D15816" w:rsidRPr="003778BF" w:rsidRDefault="00D15816" w:rsidP="003778BF">
      <w:pPr>
        <w:spacing w:line="360" w:lineRule="auto"/>
        <w:jc w:val="both"/>
        <w:rPr>
          <w:rFonts w:cs="Times New Roman"/>
        </w:rPr>
      </w:pPr>
      <w:r w:rsidRPr="003778BF">
        <w:rPr>
          <w:rFonts w:cs="Times New Roman"/>
        </w:rPr>
        <w:t xml:space="preserve">For the purposes of this research, Kosovo has been selected as a suitable case. The secession of Kosovo is rather relevant, since the event only took place in recent history. In addition, this case is </w:t>
      </w:r>
      <w:r w:rsidRPr="003778BF">
        <w:rPr>
          <w:rFonts w:cs="Times New Roman"/>
        </w:rPr>
        <w:lastRenderedPageBreak/>
        <w:t>representative since there is no consensus reached, and a clear dispute occurred. As discussed above, comparability and generalizability of case studies regarding secession is hardly possible. Yet, the Kosovo case may become of future value for other single case studies on secession. Kosovo used to be part of the former Yugoslavia, in which secession has not been a rare phenomenon since the demolition of the Soviet bloc. In addition, being</w:t>
      </w:r>
      <w:r w:rsidR="0007620C">
        <w:rPr>
          <w:rFonts w:cs="Times New Roman"/>
        </w:rPr>
        <w:t xml:space="preserve"> part of the former Soviet Bloc</w:t>
      </w:r>
      <w:r w:rsidRPr="003778BF">
        <w:rPr>
          <w:rFonts w:cs="Times New Roman"/>
        </w:rPr>
        <w:t xml:space="preserve"> also meant a similar political structure, comparable to other states in Central and Eastern Europe and former Yugoslavia. Kosovo also represents a case in which there has been a conspicuous multiethnic conflict, and the international community has had a significant influence. Therefore, the Kosovo case contains all the elements which are considered to be necessary </w:t>
      </w:r>
      <w:r w:rsidR="006335A5">
        <w:rPr>
          <w:rFonts w:cs="Times New Roman"/>
        </w:rPr>
        <w:t xml:space="preserve">for this research design. </w:t>
      </w:r>
      <w:r w:rsidR="006335A5">
        <w:rPr>
          <w:rFonts w:cs="Times New Roman"/>
        </w:rPr>
        <w:tab/>
      </w:r>
      <w:r w:rsidR="006335A5">
        <w:rPr>
          <w:rFonts w:cs="Times New Roman"/>
        </w:rPr>
        <w:tab/>
      </w:r>
      <w:r w:rsidR="006335A5">
        <w:rPr>
          <w:rFonts w:cs="Times New Roman"/>
        </w:rPr>
        <w:tab/>
      </w:r>
      <w:r w:rsidR="006335A5">
        <w:rPr>
          <w:rFonts w:cs="Times New Roman"/>
        </w:rPr>
        <w:tab/>
      </w:r>
      <w:r w:rsidRPr="003778BF">
        <w:rPr>
          <w:rFonts w:cs="Times New Roman"/>
        </w:rPr>
        <w:t xml:space="preserve">The Kosovo case is considered to be an influential one. Previous qualitative and quantitative research has pointed towards different dominant conditions that led to secession, different conditions which fitted different theoretical explanations. For the purposes of this study the boomerang theory is adopted, but its usefulness may differ per case. This wide array of different theories used for the analysis of secession tendencies suggests insecurity about all of these theories. According to </w:t>
      </w:r>
      <w:proofErr w:type="spellStart"/>
      <w:r w:rsidRPr="003778BF">
        <w:rPr>
          <w:rFonts w:cs="Times New Roman"/>
        </w:rPr>
        <w:t>Gerring</w:t>
      </w:r>
      <w:proofErr w:type="spellEnd"/>
      <w:r w:rsidRPr="003778BF">
        <w:rPr>
          <w:rFonts w:cs="Times New Roman"/>
        </w:rPr>
        <w:t xml:space="preserve"> (2008) this insecurity is a main feature of an influential case, since</w:t>
      </w:r>
      <w:r w:rsidR="000C1190">
        <w:rPr>
          <w:rFonts w:cs="Times New Roman"/>
        </w:rPr>
        <w:t xml:space="preserve"> it casts doubt upon a theory (</w:t>
      </w:r>
      <w:r w:rsidRPr="003778BF">
        <w:rPr>
          <w:rFonts w:cs="Times New Roman"/>
        </w:rPr>
        <w:t>p. 15). One could argue, then, that the uniqueness of all secession cases indicates that every case is an influential one. However, what sets apart the Kosovo case is its contemporary societal relevance, and possible comparability to many other former S</w:t>
      </w:r>
      <w:r w:rsidR="006335A5">
        <w:rPr>
          <w:rFonts w:cs="Times New Roman"/>
        </w:rPr>
        <w:t xml:space="preserve">oviet secession cases. </w:t>
      </w:r>
      <w:r w:rsidR="006335A5">
        <w:rPr>
          <w:rFonts w:cs="Times New Roman"/>
        </w:rPr>
        <w:tab/>
      </w:r>
      <w:r w:rsidR="006335A5">
        <w:rPr>
          <w:rFonts w:cs="Times New Roman"/>
        </w:rPr>
        <w:tab/>
      </w:r>
      <w:r w:rsidRPr="003778BF">
        <w:rPr>
          <w:rFonts w:cs="Times New Roman"/>
        </w:rPr>
        <w:t>The middle-ground approach adopting the boomerang theory can be considered a rather innovative theoretical way of analyzing this phenomenon, which asks for some critical case assessments in order to prove its fit. This is another reason why this case study can be considered as rather influential, since it might prove or disprove its usefulness for further research on secession.</w:t>
      </w:r>
    </w:p>
    <w:p w:rsidR="00D15816" w:rsidRPr="003742EE" w:rsidRDefault="00F03CDD" w:rsidP="003778BF">
      <w:pPr>
        <w:pStyle w:val="Kop2"/>
        <w:spacing w:line="360" w:lineRule="auto"/>
        <w:jc w:val="both"/>
        <w:rPr>
          <w:rFonts w:asciiTheme="minorHAnsi" w:hAnsiTheme="minorHAnsi" w:cs="Times New Roman"/>
          <w:b w:val="0"/>
          <w:sz w:val="24"/>
          <w:szCs w:val="24"/>
        </w:rPr>
      </w:pPr>
      <w:bookmarkStart w:id="9" w:name="_Toc489007224"/>
      <w:r>
        <w:rPr>
          <w:rFonts w:asciiTheme="minorHAnsi" w:hAnsiTheme="minorHAnsi" w:cs="Times New Roman"/>
          <w:b w:val="0"/>
        </w:rPr>
        <w:t xml:space="preserve">1.7 </w:t>
      </w:r>
      <w:r w:rsidR="00D15816" w:rsidRPr="003742EE">
        <w:rPr>
          <w:rFonts w:asciiTheme="minorHAnsi" w:hAnsiTheme="minorHAnsi" w:cs="Times New Roman"/>
          <w:b w:val="0"/>
        </w:rPr>
        <w:t>Method</w:t>
      </w:r>
      <w:bookmarkEnd w:id="9"/>
    </w:p>
    <w:p w:rsidR="00D15816" w:rsidRPr="003778BF" w:rsidRDefault="00D15816" w:rsidP="003778BF">
      <w:pPr>
        <w:spacing w:line="360" w:lineRule="auto"/>
        <w:jc w:val="both"/>
        <w:rPr>
          <w:rFonts w:cs="Times New Roman"/>
        </w:rPr>
      </w:pPr>
      <w:r w:rsidRPr="003778BF">
        <w:rPr>
          <w:rFonts w:cs="Times New Roman"/>
        </w:rPr>
        <w:t xml:space="preserve">Every secession trajectory is unique, and hardly comparable to other cases of secession. Process tracing as a qualitative research design allows to make strong within-case causal inferences in small-n case study designs (Bennet, 2008, p. 19; Beach and Pedersen, 2013, p. 2), which makes it highly suitable for the </w:t>
      </w:r>
      <w:r w:rsidR="004A42C9">
        <w:rPr>
          <w:rFonts w:cs="Times New Roman"/>
        </w:rPr>
        <w:t xml:space="preserve">single </w:t>
      </w:r>
      <w:r w:rsidRPr="003778BF">
        <w:rPr>
          <w:rFonts w:cs="Times New Roman"/>
        </w:rPr>
        <w:t xml:space="preserve">case study this paper seeks to carry out. As </w:t>
      </w:r>
      <w:proofErr w:type="spellStart"/>
      <w:r w:rsidRPr="003778BF">
        <w:rPr>
          <w:rFonts w:cs="Times New Roman"/>
        </w:rPr>
        <w:t>Brast</w:t>
      </w:r>
      <w:proofErr w:type="spellEnd"/>
      <w:r w:rsidRPr="003778BF">
        <w:rPr>
          <w:rFonts w:cs="Times New Roman"/>
        </w:rPr>
        <w:t xml:space="preserve"> (2015) explains, process tracing is a perfect tool for overcoming the problem of indeterm</w:t>
      </w:r>
      <w:r w:rsidR="000C1190">
        <w:rPr>
          <w:rFonts w:cs="Times New Roman"/>
        </w:rPr>
        <w:t>inacy in small-n case studies (</w:t>
      </w:r>
      <w:r w:rsidRPr="003778BF">
        <w:rPr>
          <w:rFonts w:cs="Times New Roman"/>
        </w:rPr>
        <w:t>p. 1). It allows to get inside the box of causation, rather than staying on the surface as is often the case in many quantitative research designs. Consequently, this method can uncover the intervening processes through which independent variables cause the dependent variable to occu</w:t>
      </w:r>
      <w:r w:rsidR="00D47F65">
        <w:rPr>
          <w:rFonts w:cs="Times New Roman"/>
        </w:rPr>
        <w:t>r.</w:t>
      </w:r>
      <w:r w:rsidR="00D47F65">
        <w:rPr>
          <w:rFonts w:cs="Times New Roman"/>
        </w:rPr>
        <w:tab/>
      </w:r>
      <w:r w:rsidR="00D47F65">
        <w:rPr>
          <w:rFonts w:cs="Times New Roman"/>
        </w:rPr>
        <w:tab/>
      </w:r>
      <w:r w:rsidRPr="003778BF">
        <w:rPr>
          <w:rFonts w:cs="Times New Roman"/>
        </w:rPr>
        <w:t>Previous research has shown a statistical correlation between international involvement (X) in secession and a successful outcome (Y) (</w:t>
      </w:r>
      <w:proofErr w:type="spellStart"/>
      <w:r w:rsidRPr="003778BF">
        <w:rPr>
          <w:rFonts w:cs="Times New Roman"/>
        </w:rPr>
        <w:t>Woodwell</w:t>
      </w:r>
      <w:proofErr w:type="spellEnd"/>
      <w:r w:rsidRPr="003778BF">
        <w:rPr>
          <w:rFonts w:cs="Times New Roman"/>
        </w:rPr>
        <w:t xml:space="preserve">, 2004; </w:t>
      </w:r>
      <w:proofErr w:type="spellStart"/>
      <w:r w:rsidRPr="003778BF">
        <w:rPr>
          <w:rFonts w:cs="Times New Roman"/>
        </w:rPr>
        <w:t>Jenne</w:t>
      </w:r>
      <w:proofErr w:type="spellEnd"/>
      <w:r w:rsidRPr="003778BF">
        <w:rPr>
          <w:rFonts w:cs="Times New Roman"/>
        </w:rPr>
        <w:t xml:space="preserve">, 2004). Nevertheless, correlation does not necessarily mean causation. In order to prove whether or not one can speak of a causal </w:t>
      </w:r>
      <w:r w:rsidRPr="003778BF">
        <w:rPr>
          <w:rFonts w:cs="Times New Roman"/>
        </w:rPr>
        <w:lastRenderedPageBreak/>
        <w:t xml:space="preserve">relationship, process-tracing can serve as a tool to unpack the causal mechanism and test the hypothesis. A causal mechanism, in this, can according to Beach and Pedersen (2013) be defined as </w:t>
      </w:r>
      <w:r w:rsidRPr="003778BF">
        <w:rPr>
          <w:rFonts w:cs="Times New Roman"/>
          <w:i/>
        </w:rPr>
        <w:t xml:space="preserve">‘’a complex system, which produces an outcome by the interaction of a number of parts’’ </w:t>
      </w:r>
      <w:r w:rsidR="000C1190">
        <w:rPr>
          <w:rFonts w:cs="Times New Roman"/>
        </w:rPr>
        <w:t>(</w:t>
      </w:r>
      <w:r w:rsidRPr="000C1190">
        <w:rPr>
          <w:rFonts w:cs="Times New Roman"/>
        </w:rPr>
        <w:t>p. 1).</w:t>
      </w:r>
      <w:r w:rsidR="00D47F65">
        <w:rPr>
          <w:rFonts w:cs="Times New Roman"/>
        </w:rPr>
        <w:tab/>
      </w:r>
      <w:r w:rsidR="00D47F65">
        <w:rPr>
          <w:rFonts w:cs="Times New Roman"/>
        </w:rPr>
        <w:tab/>
      </w:r>
      <w:r w:rsidRPr="003778BF">
        <w:rPr>
          <w:rFonts w:cs="Times New Roman"/>
        </w:rPr>
        <w:t>Beach and Pedersen differentiate between three types of process-tracing: theory-testing, theory-building, and the explaining-outcome variant. Since this study builds on previous research on the correlation between international involvement and its influence on secession outcomes, this study seeks to test an already existing theory. Therefore this research can be categorized as theory-testing. Theory-testing entails the deduction of a theory from the existing literature, and test whether evidence shows if the causal mechanism is present or not (Beach and Pedersen, 2013, pp. 14 - 15). So a causal mechanism is identified, and needs to be tested in this specific case in order to be able to affirm this mechanism. However, the study also molds this theory in a way to make it more applicable to the processes of secession. Therefore, its seeks to uncover some new elements to this theory, which comes closer to theory building. The point of departure, however, is an already existing theory which is applied and tested in this specific Kosovo case. Consequently, the aim is to explain the processes and the outcome(s) of this specific case. Therefore, the research is considered to be in line with the third variant of process tracing</w:t>
      </w:r>
      <w:r w:rsidR="004769DB">
        <w:rPr>
          <w:rFonts w:cs="Times New Roman"/>
        </w:rPr>
        <w:t>: the case-explaining variant (</w:t>
      </w:r>
      <w:r w:rsidRPr="003778BF">
        <w:rPr>
          <w:rFonts w:cs="Times New Roman"/>
        </w:rPr>
        <w:t xml:space="preserve">p. 18). </w:t>
      </w:r>
    </w:p>
    <w:p w:rsidR="00D15816" w:rsidRPr="003742EE" w:rsidRDefault="00F03CDD" w:rsidP="003778BF">
      <w:pPr>
        <w:pStyle w:val="Kop2"/>
        <w:spacing w:line="360" w:lineRule="auto"/>
        <w:jc w:val="both"/>
        <w:rPr>
          <w:rFonts w:asciiTheme="minorHAnsi" w:hAnsiTheme="minorHAnsi" w:cs="Times New Roman"/>
          <w:b w:val="0"/>
          <w:sz w:val="24"/>
          <w:szCs w:val="24"/>
        </w:rPr>
      </w:pPr>
      <w:bookmarkStart w:id="10" w:name="_Toc489007225"/>
      <w:r>
        <w:rPr>
          <w:rFonts w:asciiTheme="minorHAnsi" w:hAnsiTheme="minorHAnsi" w:cs="Times New Roman"/>
          <w:b w:val="0"/>
          <w:sz w:val="24"/>
          <w:szCs w:val="24"/>
        </w:rPr>
        <w:t xml:space="preserve">1.8 </w:t>
      </w:r>
      <w:r w:rsidR="00D15816" w:rsidRPr="003742EE">
        <w:rPr>
          <w:rFonts w:asciiTheme="minorHAnsi" w:hAnsiTheme="minorHAnsi" w:cs="Times New Roman"/>
          <w:b w:val="0"/>
          <w:sz w:val="24"/>
          <w:szCs w:val="24"/>
        </w:rPr>
        <w:t>Data selection</w:t>
      </w:r>
      <w:bookmarkEnd w:id="10"/>
    </w:p>
    <w:p w:rsidR="00D15816" w:rsidRPr="003778BF" w:rsidRDefault="00D15816" w:rsidP="003778BF">
      <w:pPr>
        <w:spacing w:line="360" w:lineRule="auto"/>
        <w:jc w:val="both"/>
        <w:rPr>
          <w:rFonts w:cs="Times New Roman"/>
        </w:rPr>
      </w:pPr>
      <w:r w:rsidRPr="003778BF">
        <w:rPr>
          <w:rFonts w:cs="Times New Roman"/>
        </w:rPr>
        <w:t>Data gathering will take place mainly through content analysis. The content can be, in this study, retrieved from multiple sources such as: (International)newspapers, governmental documents, non-governmental organizations, historical archives, but also video content for instance. Whereas media sources provide one with in-depth intel on specific issues and important events, (non-)governmental reports and documents provide you with the information on negotiations and interactions from their perspective. Hence, important insights in ongoing affairs regarding the case. Sources from historical archives may be useful for the description of the dispute and the description of a historical timeline. This is of importance for the an</w:t>
      </w:r>
      <w:r w:rsidR="00D47F65">
        <w:rPr>
          <w:rFonts w:cs="Times New Roman"/>
        </w:rPr>
        <w:t>alysis of the dispute.</w:t>
      </w:r>
      <w:r w:rsidR="00D47F65">
        <w:rPr>
          <w:rFonts w:cs="Times New Roman"/>
        </w:rPr>
        <w:tab/>
      </w:r>
      <w:r w:rsidR="00D47F65">
        <w:rPr>
          <w:rFonts w:cs="Times New Roman"/>
        </w:rPr>
        <w:tab/>
      </w:r>
      <w:r w:rsidR="00D47F65">
        <w:rPr>
          <w:rFonts w:cs="Times New Roman"/>
        </w:rPr>
        <w:tab/>
      </w:r>
      <w:r w:rsidR="00D47F65">
        <w:rPr>
          <w:rFonts w:cs="Times New Roman"/>
        </w:rPr>
        <w:tab/>
      </w:r>
      <w:r w:rsidR="00D47F65">
        <w:rPr>
          <w:rFonts w:cs="Times New Roman"/>
        </w:rPr>
        <w:tab/>
      </w:r>
      <w:r w:rsidR="00D47F65">
        <w:rPr>
          <w:rFonts w:cs="Times New Roman"/>
        </w:rPr>
        <w:tab/>
      </w:r>
      <w:r w:rsidR="00D47F65">
        <w:rPr>
          <w:rFonts w:cs="Times New Roman"/>
        </w:rPr>
        <w:tab/>
      </w:r>
      <w:r w:rsidRPr="003778BF">
        <w:rPr>
          <w:rFonts w:cs="Times New Roman"/>
        </w:rPr>
        <w:t>Since it is a significant amount of content that needs to be analyzed, the most efficient way to proceed is through coding, using both the quantitative and the qualitative component. Applying categories to the sources of information and order them accordingly. This allows for more efficient data collecting. Nevertheless, there are some drawbacks to this data gathering method. Quantitative approaches of data collection make it often harder to find strong diagnostic evidence, which is needed in order to strengthen this case. Ideal would be to find a doubly decisive type of evidence in the analyzed content. However, this will be hard for multiple reasons. Doubly decisive evidence is both uni</w:t>
      </w:r>
      <w:r w:rsidR="004769DB">
        <w:rPr>
          <w:rFonts w:cs="Times New Roman"/>
        </w:rPr>
        <w:t xml:space="preserve">que and certain (Bennet, 2008, </w:t>
      </w:r>
      <w:r w:rsidRPr="003778BF">
        <w:rPr>
          <w:rFonts w:cs="Times New Roman"/>
        </w:rPr>
        <w:t xml:space="preserve">p. 6), and correct interpretations of evidence is therefore a necessity. This paper thus suggests to neglect a more quantitative approach of data collection, and </w:t>
      </w:r>
      <w:r w:rsidRPr="003778BF">
        <w:rPr>
          <w:rFonts w:cs="Times New Roman"/>
        </w:rPr>
        <w:lastRenderedPageBreak/>
        <w:t xml:space="preserve">analyze from a more qualitative scope. In addition, there is multiple acts of involvement that can be categorized in one of the three categories distinguished above, which also opts for qualitative coding as the most desirable for this case study. Without this more qualitative approach, categorization would become rather inaccurate. </w:t>
      </w:r>
    </w:p>
    <w:p w:rsidR="00D15816" w:rsidRPr="003742EE" w:rsidRDefault="00D15816" w:rsidP="003778BF">
      <w:pPr>
        <w:spacing w:line="360" w:lineRule="auto"/>
        <w:jc w:val="both"/>
        <w:rPr>
          <w:rFonts w:cs="Times New Roman"/>
        </w:rPr>
      </w:pPr>
      <w:r w:rsidRPr="003742EE">
        <w:rPr>
          <w:rFonts w:cs="Times New Roman"/>
        </w:rPr>
        <w:br w:type="page"/>
      </w:r>
    </w:p>
    <w:p w:rsidR="00D15816" w:rsidRPr="003742EE" w:rsidRDefault="00D15816" w:rsidP="003778BF">
      <w:pPr>
        <w:pStyle w:val="Kop1"/>
        <w:spacing w:line="360" w:lineRule="auto"/>
        <w:jc w:val="both"/>
        <w:rPr>
          <w:rFonts w:asciiTheme="minorHAnsi" w:hAnsiTheme="minorHAnsi" w:cs="Times New Roman"/>
          <w:b w:val="0"/>
          <w:sz w:val="32"/>
          <w:szCs w:val="32"/>
        </w:rPr>
      </w:pPr>
      <w:bookmarkStart w:id="11" w:name="_Toc489007226"/>
      <w:r w:rsidRPr="003742EE">
        <w:rPr>
          <w:rFonts w:asciiTheme="minorHAnsi" w:hAnsiTheme="minorHAnsi" w:cs="Times New Roman"/>
          <w:b w:val="0"/>
          <w:sz w:val="32"/>
          <w:szCs w:val="32"/>
        </w:rPr>
        <w:lastRenderedPageBreak/>
        <w:t>Chapter 2: theoretical framework</w:t>
      </w:r>
      <w:bookmarkEnd w:id="11"/>
    </w:p>
    <w:p w:rsidR="00D15816" w:rsidRPr="003778BF" w:rsidRDefault="00D15816" w:rsidP="003778BF">
      <w:pPr>
        <w:spacing w:line="360" w:lineRule="auto"/>
        <w:jc w:val="both"/>
        <w:rPr>
          <w:rFonts w:cs="Times New Roman"/>
        </w:rPr>
      </w:pPr>
      <w:r w:rsidRPr="003778BF">
        <w:rPr>
          <w:rFonts w:cs="Times New Roman"/>
        </w:rPr>
        <w:t>As Waltz endorsed, empirical knowledge is potentially in</w:t>
      </w:r>
      <w:r w:rsidR="004769DB">
        <w:rPr>
          <w:rFonts w:cs="Times New Roman"/>
        </w:rPr>
        <w:t xml:space="preserve">finite in extent (Waltz, 2010, </w:t>
      </w:r>
      <w:r w:rsidRPr="003778BF">
        <w:rPr>
          <w:rFonts w:cs="Times New Roman"/>
        </w:rPr>
        <w:t>p. 4). This potential consequently asks for theoretical guidance in order to comprehensibly gather the empirical data to support a case. Therefore a theoretical framework is of key importance in every research design. A theory is invented or adopted, as a tool for explaining phenomena. It seeks to show why certain associations betwee</w:t>
      </w:r>
      <w:r w:rsidR="004769DB">
        <w:rPr>
          <w:rFonts w:cs="Times New Roman"/>
        </w:rPr>
        <w:t xml:space="preserve">n X and Y obtain (Waltz, 2010, </w:t>
      </w:r>
      <w:r w:rsidRPr="003778BF">
        <w:rPr>
          <w:rFonts w:cs="Times New Roman"/>
        </w:rPr>
        <w:t xml:space="preserve">p. 5). It is this association between the X variable and the Y variable that will be elaborated upon in this chapter. This chapter consists of two large sections, the dependent variable and the independent variable. First of all, the dependent variable will be set out, which is successful secession. Part of this section will be the exploration of the scholarly discussion on secession, and how this is best achieved. Also, a short overview of an important cause for secession will be set out. Finally, a specific definition will be brought forward, one that embraces the purposes of this research. The second section elaborates on the independent variable, which is the international advocacy network. This section sets out how this network works, and what types of actors are involved in such a network. Moreover, this section elaborates on the association between this independent variable and the dependent variable, and introduces a theoretical framework that displays and shows the association between the two. This also consists of an in-depth description of the theory, its assumptions, and functioning. </w:t>
      </w:r>
    </w:p>
    <w:p w:rsidR="00D15816" w:rsidRPr="00F03CDD" w:rsidRDefault="00F03CDD" w:rsidP="00F03CDD">
      <w:pPr>
        <w:pStyle w:val="Kop2"/>
        <w:rPr>
          <w:rFonts w:asciiTheme="minorHAnsi" w:hAnsiTheme="minorHAnsi"/>
          <w:b w:val="0"/>
        </w:rPr>
      </w:pPr>
      <w:bookmarkStart w:id="12" w:name="_Toc489007227"/>
      <w:r w:rsidRPr="00F03CDD">
        <w:rPr>
          <w:rFonts w:asciiTheme="minorHAnsi" w:hAnsiTheme="minorHAnsi"/>
          <w:b w:val="0"/>
        </w:rPr>
        <w:t xml:space="preserve">2.1 </w:t>
      </w:r>
      <w:r w:rsidR="00D15816" w:rsidRPr="00F03CDD">
        <w:rPr>
          <w:rFonts w:asciiTheme="minorHAnsi" w:hAnsiTheme="minorHAnsi"/>
          <w:b w:val="0"/>
        </w:rPr>
        <w:t>Dependent variable</w:t>
      </w:r>
      <w:bookmarkEnd w:id="12"/>
    </w:p>
    <w:p w:rsidR="00D15816" w:rsidRPr="003742EE" w:rsidRDefault="00D15816" w:rsidP="003778BF">
      <w:pPr>
        <w:spacing w:line="360" w:lineRule="auto"/>
        <w:jc w:val="both"/>
      </w:pPr>
      <w:r w:rsidRPr="003742EE">
        <w:t>This section will elaborate on the complexity of secession as a dependent variable. Although secession may come across as a rather straightforward and fixed term, the opposite is the case. This ambiguity will be set out in the section below. First of all, the scholarly debate on secession will be demonstrated in which different perspectives and definitions are discussed. Secondly, for the purposes of this study a suitable definition of secession will be introduced. Consequently this definition needs some elaboration in which the specific definition will be further conceptualized, which will be done in part three. The final paragraph deals with the translation of sece</w:t>
      </w:r>
      <w:r w:rsidR="002A5E0E">
        <w:t xml:space="preserve">ssion to successful secession, </w:t>
      </w:r>
      <w:r w:rsidRPr="003742EE">
        <w:t>which is important since many of the secession processes cannot be considered to be successful, and successful secession is the desired outcome of the process in this study.</w:t>
      </w:r>
    </w:p>
    <w:p w:rsidR="00D15816" w:rsidRPr="00F03CDD" w:rsidRDefault="00F03CDD" w:rsidP="00F03CDD">
      <w:pPr>
        <w:pStyle w:val="Kop3"/>
        <w:rPr>
          <w:rFonts w:asciiTheme="minorHAnsi" w:hAnsiTheme="minorHAnsi"/>
          <w:b w:val="0"/>
        </w:rPr>
      </w:pPr>
      <w:bookmarkStart w:id="13" w:name="_Toc489007228"/>
      <w:r>
        <w:rPr>
          <w:rFonts w:asciiTheme="minorHAnsi" w:hAnsiTheme="minorHAnsi"/>
          <w:b w:val="0"/>
        </w:rPr>
        <w:t xml:space="preserve">2.1.1 </w:t>
      </w:r>
      <w:r w:rsidR="00D15816" w:rsidRPr="00F03CDD">
        <w:rPr>
          <w:rFonts w:asciiTheme="minorHAnsi" w:hAnsiTheme="minorHAnsi"/>
          <w:b w:val="0"/>
        </w:rPr>
        <w:t>Secession</w:t>
      </w:r>
      <w:bookmarkEnd w:id="13"/>
    </w:p>
    <w:p w:rsidR="00D15816" w:rsidRPr="003778BF" w:rsidRDefault="00D15816" w:rsidP="003778BF">
      <w:pPr>
        <w:spacing w:line="360" w:lineRule="auto"/>
        <w:jc w:val="both"/>
        <w:rPr>
          <w:rFonts w:cs="Times New Roman"/>
        </w:rPr>
      </w:pPr>
      <w:r w:rsidRPr="003778BF">
        <w:rPr>
          <w:rFonts w:cs="Times New Roman"/>
        </w:rPr>
        <w:t>From 1989 onwards a huge political transformation in Europe has been set in motion, in which neoliberal reforms have been at the core. Scholars have been divided in terms of the potential consequences regarding this shift. The wave of democratization and liberalization in Eastern Europe and the former Soviet Union has on the one hand led to some concerns about possible new conflicts (</w:t>
      </w:r>
      <w:proofErr w:type="spellStart"/>
      <w:r w:rsidRPr="003778BF">
        <w:rPr>
          <w:rFonts w:cs="Times New Roman"/>
        </w:rPr>
        <w:t>One</w:t>
      </w:r>
      <w:r w:rsidR="004769DB">
        <w:rPr>
          <w:rFonts w:cs="Times New Roman"/>
        </w:rPr>
        <w:t>al</w:t>
      </w:r>
      <w:proofErr w:type="spellEnd"/>
      <w:r w:rsidR="004769DB">
        <w:rPr>
          <w:rFonts w:cs="Times New Roman"/>
        </w:rPr>
        <w:t xml:space="preserve">, </w:t>
      </w:r>
      <w:proofErr w:type="spellStart"/>
      <w:r w:rsidR="004769DB">
        <w:rPr>
          <w:rFonts w:cs="Times New Roman"/>
        </w:rPr>
        <w:t>Russett</w:t>
      </w:r>
      <w:proofErr w:type="spellEnd"/>
      <w:r w:rsidR="004769DB">
        <w:rPr>
          <w:rFonts w:cs="Times New Roman"/>
        </w:rPr>
        <w:t xml:space="preserve"> and </w:t>
      </w:r>
      <w:proofErr w:type="spellStart"/>
      <w:r w:rsidR="004769DB">
        <w:rPr>
          <w:rFonts w:cs="Times New Roman"/>
        </w:rPr>
        <w:t>Berbaum</w:t>
      </w:r>
      <w:proofErr w:type="spellEnd"/>
      <w:r w:rsidR="004769DB">
        <w:rPr>
          <w:rFonts w:cs="Times New Roman"/>
        </w:rPr>
        <w:t xml:space="preserve">, 2003, </w:t>
      </w:r>
      <w:r w:rsidRPr="003778BF">
        <w:rPr>
          <w:rFonts w:cs="Times New Roman"/>
        </w:rPr>
        <w:t xml:space="preserve">p. 383). On the other hand, others expected that the growing </w:t>
      </w:r>
      <w:r w:rsidRPr="003778BF">
        <w:rPr>
          <w:rFonts w:cs="Times New Roman"/>
        </w:rPr>
        <w:lastRenderedPageBreak/>
        <w:t>international cooperation as a result of the end of the Cold War would decrease the amount of new co</w:t>
      </w:r>
      <w:r w:rsidR="004769DB">
        <w:rPr>
          <w:rFonts w:cs="Times New Roman"/>
        </w:rPr>
        <w:t>nflicts (</w:t>
      </w:r>
      <w:proofErr w:type="spellStart"/>
      <w:r w:rsidR="004769DB">
        <w:rPr>
          <w:rFonts w:cs="Times New Roman"/>
        </w:rPr>
        <w:t>Saideman</w:t>
      </w:r>
      <w:proofErr w:type="spellEnd"/>
      <w:r w:rsidR="004769DB">
        <w:rPr>
          <w:rFonts w:cs="Times New Roman"/>
        </w:rPr>
        <w:t xml:space="preserve">, 1997, </w:t>
      </w:r>
      <w:r w:rsidRPr="003778BF">
        <w:rPr>
          <w:rFonts w:cs="Times New Roman"/>
        </w:rPr>
        <w:t>p. 721). Yet, it turned out that these concerns were justified, and in fact, resulted in a steady increase in the amount of intra-st</w:t>
      </w:r>
      <w:r w:rsidR="004769DB">
        <w:rPr>
          <w:rFonts w:cs="Times New Roman"/>
        </w:rPr>
        <w:t>ate conflicts (</w:t>
      </w:r>
      <w:proofErr w:type="spellStart"/>
      <w:r w:rsidR="004769DB">
        <w:rPr>
          <w:rFonts w:cs="Times New Roman"/>
        </w:rPr>
        <w:t>Sadowski</w:t>
      </w:r>
      <w:proofErr w:type="spellEnd"/>
      <w:r w:rsidR="004769DB">
        <w:rPr>
          <w:rFonts w:cs="Times New Roman"/>
        </w:rPr>
        <w:t xml:space="preserve">, 1998, </w:t>
      </w:r>
      <w:r w:rsidRPr="003778BF">
        <w:rPr>
          <w:rFonts w:cs="Times New Roman"/>
        </w:rPr>
        <w:t xml:space="preserve">p. 12), especially in Eastern Europe and former Yugoslavia. These conflicts often turned out to be rooted in ethnic diversity within former blocs and within states. Many of these impending ethnically grounded disputes turned out to be impossible to be solved by a state. Consequently secession became a viable solution, since it can negate the problematic influence of these disputes. Secession is a process that can be conducted peacefully, as well as violently. An example of a peaceful secession is the separation of the Czech Republic and Slovakia, which showed that such disputes can be solved constructively. Unfortunately, there is a significant amount of cases which have not been solved that peacefully. These cases often escalated into violent secession conflicts. </w:t>
      </w:r>
      <w:r w:rsidRPr="003778BF">
        <w:rPr>
          <w:rFonts w:cs="Times New Roman"/>
        </w:rPr>
        <w:tab/>
      </w:r>
      <w:r w:rsidRPr="003778BF">
        <w:rPr>
          <w:rFonts w:cs="Times New Roman"/>
        </w:rPr>
        <w:tab/>
      </w:r>
      <w:r w:rsidRPr="003778BF">
        <w:rPr>
          <w:rFonts w:cs="Times New Roman"/>
        </w:rPr>
        <w:tab/>
      </w:r>
      <w:r w:rsidRPr="003778BF">
        <w:rPr>
          <w:rFonts w:cs="Times New Roman"/>
        </w:rPr>
        <w:tab/>
        <w:t xml:space="preserve">Studies on secession have justified the relative merits of secession as a way to solve ethnic conflicts. Advocates argue that under the right conditions, secession of groups into separate states provides for the best chances to end conflict and provide for </w:t>
      </w:r>
      <w:r w:rsidR="004769DB">
        <w:rPr>
          <w:rFonts w:cs="Times New Roman"/>
        </w:rPr>
        <w:t xml:space="preserve">enduring peace (Johnson, 2008, </w:t>
      </w:r>
      <w:r w:rsidRPr="003778BF">
        <w:rPr>
          <w:rFonts w:cs="Times New Roman"/>
        </w:rPr>
        <w:t>p. 142). These ‘right conditions’ often arise once ethnic conflicts have escalated into large scale massacres, and long-term military intervention has been unable to es</w:t>
      </w:r>
      <w:r w:rsidR="004769DB">
        <w:rPr>
          <w:rFonts w:cs="Times New Roman"/>
        </w:rPr>
        <w:t xml:space="preserve">tablish peace (Kaufmann, 1996, </w:t>
      </w:r>
      <w:r w:rsidRPr="003778BF">
        <w:rPr>
          <w:rFonts w:cs="Times New Roman"/>
        </w:rPr>
        <w:t xml:space="preserve">p. 159). Therefore, advocates argue that secession may be viable as a last resort to produce peace. Opponents, such as </w:t>
      </w:r>
      <w:proofErr w:type="spellStart"/>
      <w:r w:rsidRPr="003778BF">
        <w:rPr>
          <w:rFonts w:cs="Times New Roman"/>
        </w:rPr>
        <w:t>Lemarchand</w:t>
      </w:r>
      <w:proofErr w:type="spellEnd"/>
      <w:r w:rsidRPr="003778BF">
        <w:rPr>
          <w:rFonts w:cs="Times New Roman"/>
        </w:rPr>
        <w:t xml:space="preserve"> (2007), question the major drawbacks that can come with secession as a solution for ethnic conflict. In addition, </w:t>
      </w:r>
      <w:proofErr w:type="spellStart"/>
      <w:r w:rsidRPr="003778BF">
        <w:rPr>
          <w:rFonts w:cs="Times New Roman"/>
        </w:rPr>
        <w:t>Sambanis</w:t>
      </w:r>
      <w:proofErr w:type="spellEnd"/>
      <w:r w:rsidRPr="003778BF">
        <w:rPr>
          <w:rFonts w:cs="Times New Roman"/>
        </w:rPr>
        <w:t xml:space="preserve"> (2000) found evidence which questions the use of secession, stating that secession of a population is coerced, painful, and costly. Furthermore, secession may sow the seeds for future conflict (p. 478). To substantiate their case, opposing scholars refer to the many cases of failed and partially failed secession that occurred in the past. The former Yugoslavian cases provide for a good example, as well as the case of</w:t>
      </w:r>
      <w:r w:rsidR="00EB7D4A">
        <w:rPr>
          <w:rFonts w:cs="Times New Roman"/>
        </w:rPr>
        <w:t xml:space="preserve"> British India for instance. </w:t>
      </w:r>
      <w:r w:rsidR="00EB7D4A">
        <w:rPr>
          <w:rFonts w:cs="Times New Roman"/>
        </w:rPr>
        <w:tab/>
      </w:r>
      <w:r w:rsidRPr="003778BF">
        <w:rPr>
          <w:rFonts w:cs="Times New Roman"/>
        </w:rPr>
        <w:t>Consequently, the debate over secession is a rather heated one, with many contributions from scholars with different backgrounds over the course of the 21</w:t>
      </w:r>
      <w:r w:rsidRPr="003778BF">
        <w:rPr>
          <w:rFonts w:cs="Times New Roman"/>
          <w:vertAlign w:val="superscript"/>
        </w:rPr>
        <w:t>st</w:t>
      </w:r>
      <w:r w:rsidRPr="003778BF">
        <w:rPr>
          <w:rFonts w:cs="Times New Roman"/>
        </w:rPr>
        <w:t xml:space="preserve"> century. Especially the subfields in political sciences, international relations and comparative politics, have provided a fair share of additional input. Yet, the concept secession often lacks a proper conceptualization in many of these studies. This is the result of many different perceptions in different fields and disciplines. Comparative politics scholarship often distinguish between different ‘types’ of secession, as Chapman and Roeder (2007) set out: de jure partition, de facto separation, and de jure autonomy</w:t>
      </w:r>
      <w:r w:rsidR="004769DB">
        <w:rPr>
          <w:rFonts w:cs="Times New Roman"/>
        </w:rPr>
        <w:t xml:space="preserve"> (p. 678)</w:t>
      </w:r>
      <w:r w:rsidRPr="003778BF">
        <w:rPr>
          <w:rFonts w:cs="Times New Roman"/>
        </w:rPr>
        <w:t>. De jure partition can be described as the type of partition process which results in separate sovereign states. De facto separation is described as a typical ceasefire that leaves the secessionists in effective control of their region and population. De jure autonomy grants self-rule to the population, but within the borders of the original sovereign state (</w:t>
      </w:r>
      <w:r w:rsidR="004769DB">
        <w:rPr>
          <w:rFonts w:cs="Times New Roman"/>
        </w:rPr>
        <w:t>ibid</w:t>
      </w:r>
      <w:r w:rsidRPr="003778BF">
        <w:rPr>
          <w:rFonts w:cs="Times New Roman"/>
        </w:rPr>
        <w:t xml:space="preserve">, 2007, p. 678). While the comparative politics scholars distinguish between these three types, it is the international relations </w:t>
      </w:r>
      <w:r w:rsidRPr="003778BF">
        <w:rPr>
          <w:rFonts w:cs="Times New Roman"/>
        </w:rPr>
        <w:lastRenderedPageBreak/>
        <w:t>scholarship that brackets all three types with the same label ‘partition’ (</w:t>
      </w:r>
      <w:proofErr w:type="spellStart"/>
      <w:r w:rsidRPr="003778BF">
        <w:rPr>
          <w:rFonts w:cs="Times New Roman"/>
        </w:rPr>
        <w:t>Kuperman</w:t>
      </w:r>
      <w:proofErr w:type="spellEnd"/>
      <w:r w:rsidRPr="003778BF">
        <w:rPr>
          <w:rFonts w:cs="Times New Roman"/>
        </w:rPr>
        <w:t>, 200</w:t>
      </w:r>
      <w:r w:rsidR="004769DB">
        <w:rPr>
          <w:rFonts w:cs="Times New Roman"/>
        </w:rPr>
        <w:t xml:space="preserve">4 in Chapman and Roeder, 2007, </w:t>
      </w:r>
      <w:r w:rsidRPr="003778BF">
        <w:rPr>
          <w:rFonts w:cs="Times New Roman"/>
        </w:rPr>
        <w:t>p. 678).</w:t>
      </w:r>
      <w:r w:rsidRPr="003778BF">
        <w:rPr>
          <w:rFonts w:cs="Times New Roman"/>
          <w:b/>
        </w:rPr>
        <w:t xml:space="preserve"> </w:t>
      </w:r>
      <w:r w:rsidRPr="003778BF">
        <w:rPr>
          <w:rFonts w:cs="Times New Roman"/>
        </w:rPr>
        <w:t xml:space="preserve">Consequently, international relations scholars as well as conflict studies scholars more often use one definition for secession, which often slightly differs per scholar. Where </w:t>
      </w:r>
      <w:proofErr w:type="spellStart"/>
      <w:r w:rsidRPr="003778BF">
        <w:rPr>
          <w:rFonts w:cs="Times New Roman"/>
        </w:rPr>
        <w:t>Tir’s</w:t>
      </w:r>
      <w:proofErr w:type="spellEnd"/>
      <w:r w:rsidRPr="003778BF">
        <w:rPr>
          <w:rFonts w:cs="Times New Roman"/>
        </w:rPr>
        <w:t xml:space="preserve"> (2005) definition tackles all three types of partition:</w:t>
      </w:r>
    </w:p>
    <w:p w:rsidR="00D15816" w:rsidRPr="003778BF" w:rsidRDefault="00D15816" w:rsidP="003778BF">
      <w:pPr>
        <w:spacing w:line="360" w:lineRule="auto"/>
        <w:jc w:val="both"/>
        <w:rPr>
          <w:rFonts w:cs="Times New Roman"/>
        </w:rPr>
      </w:pPr>
      <w:r w:rsidRPr="003778BF">
        <w:rPr>
          <w:rFonts w:cs="Times New Roman"/>
          <w:i/>
        </w:rPr>
        <w:t>‘’… an internally motivated division of a country’s homeland (i.e., non-colonial) territory that results in the creation of at least one new independent (i.e., secessionist) state (e.g., Eritrea) – with full sovereign rights and legal recognition by the international community – and leaves behind the now territorially smaller rump state (e.g., Ethiopia).’’</w:t>
      </w:r>
      <w:r w:rsidR="00EA123C">
        <w:rPr>
          <w:rFonts w:cs="Times New Roman"/>
        </w:rPr>
        <w:t xml:space="preserve"> (</w:t>
      </w:r>
      <w:r w:rsidRPr="003778BF">
        <w:rPr>
          <w:rFonts w:cs="Times New Roman"/>
        </w:rPr>
        <w:t>p. 714).</w:t>
      </w:r>
    </w:p>
    <w:p w:rsidR="00D15816" w:rsidRPr="003778BF" w:rsidRDefault="00D15816" w:rsidP="003778BF">
      <w:pPr>
        <w:spacing w:line="360" w:lineRule="auto"/>
        <w:jc w:val="both"/>
        <w:rPr>
          <w:rFonts w:cs="Times New Roman"/>
        </w:rPr>
      </w:pPr>
      <w:r w:rsidRPr="003778BF">
        <w:rPr>
          <w:rFonts w:cs="Times New Roman"/>
        </w:rPr>
        <w:t>Kaufmann (1998)</w:t>
      </w:r>
      <w:r w:rsidRPr="003778BF">
        <w:rPr>
          <w:rFonts w:cs="Times New Roman"/>
          <w:b/>
        </w:rPr>
        <w:t xml:space="preserve"> </w:t>
      </w:r>
      <w:r w:rsidRPr="003778BF">
        <w:rPr>
          <w:rFonts w:cs="Times New Roman"/>
        </w:rPr>
        <w:t>sketches it in a narrower fashion</w:t>
      </w:r>
      <w:r w:rsidRPr="003778BF">
        <w:rPr>
          <w:rFonts w:cs="Times New Roman"/>
          <w:b/>
        </w:rPr>
        <w:t>:</w:t>
      </w:r>
      <w:r w:rsidRPr="003778BF">
        <w:rPr>
          <w:rFonts w:cs="Times New Roman"/>
        </w:rPr>
        <w:t xml:space="preserve"> </w:t>
      </w:r>
    </w:p>
    <w:p w:rsidR="00D15816" w:rsidRPr="003778BF" w:rsidRDefault="00D15816" w:rsidP="003778BF">
      <w:pPr>
        <w:spacing w:line="360" w:lineRule="auto"/>
        <w:jc w:val="both"/>
        <w:rPr>
          <w:rFonts w:cs="Times New Roman"/>
        </w:rPr>
      </w:pPr>
      <w:r w:rsidRPr="003778BF">
        <w:rPr>
          <w:rFonts w:cs="Times New Roman"/>
          <w:i/>
        </w:rPr>
        <w:t xml:space="preserve">‘’separations jointly decided upon by the responsible powers: either agreed between the two sides (and not under pressure of imminent military victory by one side), or imposed on both sides by a stronger third party ... [and he defined] secessions as new states created by the unilateral action of a rebellious ethnic group.’’ </w:t>
      </w:r>
      <w:r w:rsidR="00EA123C">
        <w:rPr>
          <w:rFonts w:cs="Times New Roman"/>
        </w:rPr>
        <w:t>(</w:t>
      </w:r>
      <w:r w:rsidRPr="003778BF">
        <w:rPr>
          <w:rFonts w:cs="Times New Roman"/>
        </w:rPr>
        <w:t xml:space="preserve">p. 125). </w:t>
      </w:r>
    </w:p>
    <w:p w:rsidR="00D15816" w:rsidRPr="003778BF" w:rsidRDefault="00D15816" w:rsidP="003778BF">
      <w:pPr>
        <w:spacing w:line="360" w:lineRule="auto"/>
        <w:jc w:val="both"/>
        <w:rPr>
          <w:rFonts w:cs="Times New Roman"/>
        </w:rPr>
      </w:pPr>
      <w:r w:rsidRPr="003778BF">
        <w:rPr>
          <w:rFonts w:cs="Times New Roman"/>
        </w:rPr>
        <w:t>Whereas both scholars set out their definitions in an understandabl</w:t>
      </w:r>
      <w:r w:rsidR="00B339FD">
        <w:rPr>
          <w:rFonts w:cs="Times New Roman"/>
        </w:rPr>
        <w:t>e and straightforward fashion, b</w:t>
      </w:r>
      <w:r w:rsidRPr="003778BF">
        <w:rPr>
          <w:rFonts w:cs="Times New Roman"/>
        </w:rPr>
        <w:t xml:space="preserve">oth exhibit a totally different perspective of secession. Whereas Kaufmann considers a separation to be a secession if it is agreed upon by the two sides, </w:t>
      </w:r>
      <w:proofErr w:type="spellStart"/>
      <w:r w:rsidRPr="003778BF">
        <w:rPr>
          <w:rFonts w:cs="Times New Roman"/>
        </w:rPr>
        <w:t>Tir</w:t>
      </w:r>
      <w:proofErr w:type="spellEnd"/>
      <w:r w:rsidRPr="003778BF">
        <w:rPr>
          <w:rFonts w:cs="Times New Roman"/>
        </w:rPr>
        <w:t xml:space="preserve"> explicitly states in his definition that the international community should recognize the separation before it can be considered to be a legal secession. For </w:t>
      </w:r>
      <w:proofErr w:type="spellStart"/>
      <w:r w:rsidRPr="003778BF">
        <w:rPr>
          <w:rFonts w:cs="Times New Roman"/>
        </w:rPr>
        <w:t>Tir</w:t>
      </w:r>
      <w:proofErr w:type="spellEnd"/>
      <w:r w:rsidRPr="003778BF">
        <w:rPr>
          <w:rFonts w:cs="Times New Roman"/>
        </w:rPr>
        <w:t xml:space="preserve">, the recognition of the international community is leading, which is for Kaufmann not necessarily the case. </w:t>
      </w:r>
      <w:r w:rsidR="004828D6">
        <w:rPr>
          <w:rFonts w:cs="Times New Roman"/>
        </w:rPr>
        <w:tab/>
      </w:r>
      <w:r w:rsidR="004828D6">
        <w:rPr>
          <w:rFonts w:cs="Times New Roman"/>
        </w:rPr>
        <w:tab/>
      </w:r>
      <w:r w:rsidR="004828D6">
        <w:rPr>
          <w:rFonts w:cs="Times New Roman"/>
        </w:rPr>
        <w:tab/>
      </w:r>
      <w:r w:rsidR="004828D6">
        <w:rPr>
          <w:rFonts w:cs="Times New Roman"/>
        </w:rPr>
        <w:tab/>
      </w:r>
      <w:r w:rsidR="004828D6">
        <w:rPr>
          <w:rFonts w:cs="Times New Roman"/>
        </w:rPr>
        <w:tab/>
      </w:r>
      <w:r w:rsidR="004828D6">
        <w:rPr>
          <w:rFonts w:cs="Times New Roman"/>
        </w:rPr>
        <w:tab/>
      </w:r>
      <w:r w:rsidR="004828D6">
        <w:rPr>
          <w:rFonts w:cs="Times New Roman"/>
        </w:rPr>
        <w:tab/>
      </w:r>
      <w:r w:rsidR="004828D6">
        <w:rPr>
          <w:rFonts w:cs="Times New Roman"/>
        </w:rPr>
        <w:tab/>
      </w:r>
      <w:r w:rsidR="004828D6">
        <w:rPr>
          <w:rFonts w:cs="Times New Roman"/>
        </w:rPr>
        <w:tab/>
      </w:r>
      <w:r w:rsidR="004828D6">
        <w:rPr>
          <w:rFonts w:cs="Times New Roman"/>
        </w:rPr>
        <w:tab/>
      </w:r>
      <w:r w:rsidRPr="003778BF">
        <w:rPr>
          <w:rFonts w:cs="Times New Roman"/>
        </w:rPr>
        <w:t xml:space="preserve">The differences in perceptions and ideas regarding secession is striking and limits the usefulness of the accumulation of insights that have been produced so far. A clear definition for the purposes of this study is therefore of key importance as well. This definition will be, as is often the case with international relations scholars, a comprehensive definition that captures all three types of partition as distinguished by Chapman and Roeder. For a clear definition of secession, this paper will draw upon the definition provided by </w:t>
      </w:r>
      <w:proofErr w:type="spellStart"/>
      <w:r w:rsidRPr="003778BF">
        <w:rPr>
          <w:rFonts w:cs="Times New Roman"/>
        </w:rPr>
        <w:t>Tir</w:t>
      </w:r>
      <w:proofErr w:type="spellEnd"/>
      <w:r w:rsidRPr="003778BF">
        <w:rPr>
          <w:rFonts w:cs="Times New Roman"/>
        </w:rPr>
        <w:t xml:space="preserve"> (2005). </w:t>
      </w:r>
      <w:proofErr w:type="spellStart"/>
      <w:r w:rsidRPr="003778BF">
        <w:rPr>
          <w:rFonts w:cs="Times New Roman"/>
        </w:rPr>
        <w:t>Tir</w:t>
      </w:r>
      <w:proofErr w:type="spellEnd"/>
      <w:r w:rsidRPr="003778BF">
        <w:rPr>
          <w:rFonts w:cs="Times New Roman"/>
        </w:rPr>
        <w:t xml:space="preserve"> recognizes the importance of the international community for secession process, which is a must since the role of the international community is the core of this study. However, for the purposes of this study, this definition needs to be adapted a little. This study solely focusses upon ethnic conflicts, hence it excludes the other types of secessionist conflicts. Examples of some other type of secession processes or the ones originated from economic differences or ideological difference</w:t>
      </w:r>
      <w:r w:rsidR="00F30565">
        <w:rPr>
          <w:rFonts w:cs="Times New Roman"/>
        </w:rPr>
        <w:t>s (</w:t>
      </w:r>
      <w:proofErr w:type="spellStart"/>
      <w:r w:rsidR="00F30565">
        <w:rPr>
          <w:rFonts w:cs="Times New Roman"/>
        </w:rPr>
        <w:t>Tir</w:t>
      </w:r>
      <w:proofErr w:type="spellEnd"/>
      <w:r w:rsidR="00F30565">
        <w:rPr>
          <w:rFonts w:cs="Times New Roman"/>
        </w:rPr>
        <w:t xml:space="preserve">, 2005, </w:t>
      </w:r>
      <w:r w:rsidRPr="003778BF">
        <w:rPr>
          <w:rFonts w:cs="Times New Roman"/>
        </w:rPr>
        <w:t xml:space="preserve">p. 714). Therefore, the internal motivated division is a given already. Besides this minor adaptation for the purposes of this study, </w:t>
      </w:r>
      <w:proofErr w:type="spellStart"/>
      <w:r w:rsidRPr="003778BF">
        <w:rPr>
          <w:rFonts w:cs="Times New Roman"/>
        </w:rPr>
        <w:t>Tir’s</w:t>
      </w:r>
      <w:proofErr w:type="spellEnd"/>
      <w:r w:rsidRPr="003778BF">
        <w:rPr>
          <w:rFonts w:cs="Times New Roman"/>
        </w:rPr>
        <w:t xml:space="preserve"> definition is clear, comprehensive, and applicable to the ambiguity of secession in p</w:t>
      </w:r>
      <w:r w:rsidR="005D3FB9">
        <w:rPr>
          <w:rFonts w:cs="Times New Roman"/>
        </w:rPr>
        <w:t xml:space="preserve">ractice. </w:t>
      </w:r>
      <w:r w:rsidR="005D3FB9">
        <w:rPr>
          <w:rFonts w:cs="Times New Roman"/>
        </w:rPr>
        <w:tab/>
      </w:r>
      <w:r w:rsidRPr="003778BF">
        <w:rPr>
          <w:rFonts w:cs="Times New Roman"/>
        </w:rPr>
        <w:t>Secession may achieve different prospects for different gro</w:t>
      </w:r>
      <w:r w:rsidR="00F30565">
        <w:rPr>
          <w:rFonts w:cs="Times New Roman"/>
        </w:rPr>
        <w:t xml:space="preserve">ups (Chapman and Roeder, 2007, </w:t>
      </w:r>
      <w:r w:rsidRPr="003778BF">
        <w:rPr>
          <w:rFonts w:cs="Times New Roman"/>
        </w:rPr>
        <w:lastRenderedPageBreak/>
        <w:t>p. 678). Therefore it is important to define the prospects secession seeks to pursue, since this determines the array of cases that can be examined. General prospects such as peace, sovereignty, recognition, and independence seem to be inherent to all secession cases. However, there may be different prospects in different cases at play. Ethnic groups for instance, may have different prospects compared to a minority group with differing interests. For this reason it is of importance to define ethnic conflict, since this is a main component in this study that motivates secession.</w:t>
      </w:r>
    </w:p>
    <w:p w:rsidR="00D15816" w:rsidRPr="00B91377" w:rsidRDefault="00F03CDD" w:rsidP="00B91377">
      <w:pPr>
        <w:pStyle w:val="Kop3"/>
        <w:rPr>
          <w:rFonts w:asciiTheme="minorHAnsi" w:hAnsiTheme="minorHAnsi"/>
          <w:b w:val="0"/>
        </w:rPr>
      </w:pPr>
      <w:bookmarkStart w:id="14" w:name="_Toc489007229"/>
      <w:r w:rsidRPr="00B91377">
        <w:rPr>
          <w:rFonts w:asciiTheme="minorHAnsi" w:hAnsiTheme="minorHAnsi"/>
          <w:b w:val="0"/>
        </w:rPr>
        <w:t xml:space="preserve">2.1.2 </w:t>
      </w:r>
      <w:r w:rsidR="00D15816" w:rsidRPr="00B91377">
        <w:rPr>
          <w:rFonts w:asciiTheme="minorHAnsi" w:hAnsiTheme="minorHAnsi"/>
          <w:b w:val="0"/>
        </w:rPr>
        <w:t>Ethnic conflict</w:t>
      </w:r>
      <w:bookmarkEnd w:id="14"/>
    </w:p>
    <w:p w:rsidR="00D15816" w:rsidRPr="003778BF" w:rsidRDefault="00D15816" w:rsidP="003778BF">
      <w:pPr>
        <w:spacing w:line="360" w:lineRule="auto"/>
        <w:jc w:val="both"/>
        <w:rPr>
          <w:rFonts w:cs="Times New Roman"/>
        </w:rPr>
      </w:pPr>
      <w:r w:rsidRPr="003778BF">
        <w:rPr>
          <w:rFonts w:cs="Times New Roman"/>
        </w:rPr>
        <w:t xml:space="preserve">Ethnic conflict is a concept which is problematic for multiple reasons. First of all, its definition must be drawn from a useful definition of ethnicity itself, which turns out to be a rather complicated concept itself. Secondly, ethnic conflict differs from ethnic wars, even though there is some overlapping markers. Lastly, it is difficult to determine in practice whether or not a conflict originates from ethnic differences or not. Kyrgyzstan is home to multiple ethnic minority groups, which fight over the same source of water (Kazbek and </w:t>
      </w:r>
      <w:proofErr w:type="spellStart"/>
      <w:r w:rsidRPr="003778BF">
        <w:rPr>
          <w:rFonts w:cs="Times New Roman"/>
        </w:rPr>
        <w:t>Rickleton</w:t>
      </w:r>
      <w:proofErr w:type="spellEnd"/>
      <w:r w:rsidRPr="003778BF">
        <w:rPr>
          <w:rFonts w:cs="Times New Roman"/>
        </w:rPr>
        <w:t xml:space="preserve">, 2014). It is hard to determine in such a case if ethnic differences play a significant role or not. Even though one can label a conflict between two or more ethnic minority groups as an ethnic conflict, the ethnic differences are not the initial cause that led to the conflict. A conflict is not per definition ethnic merely because all sides are ethnically distinct, other factors should be taken into account as well. According to Gilley (2004), a problematic concept such as ethnic conflict turns out to be merely a holding pen, a concept open for scholarly preferences. Consequently, Gilley proposes a simple, end-based definition of the concept which at least meets a series of strict necessary conditions: </w:t>
      </w:r>
      <w:r w:rsidRPr="003778BF">
        <w:rPr>
          <w:rFonts w:cs="Times New Roman"/>
          <w:i/>
        </w:rPr>
        <w:t xml:space="preserve">‘’… a sustained and violent conflict by ethnically distinct actors in which the issue is integral to one ethnicity.’’ </w:t>
      </w:r>
      <w:r w:rsidR="00F30565">
        <w:rPr>
          <w:rFonts w:cs="Times New Roman"/>
        </w:rPr>
        <w:t xml:space="preserve">(Gilley, 2004, </w:t>
      </w:r>
      <w:r w:rsidRPr="003778BF">
        <w:rPr>
          <w:rFonts w:cs="Times New Roman"/>
        </w:rPr>
        <w:t>p. 1160).</w:t>
      </w:r>
      <w:r w:rsidRPr="003778BF">
        <w:rPr>
          <w:rFonts w:cs="Times New Roman"/>
          <w:i/>
        </w:rPr>
        <w:t xml:space="preserve"> </w:t>
      </w:r>
      <w:r w:rsidRPr="003778BF">
        <w:rPr>
          <w:rFonts w:cs="Times New Roman"/>
        </w:rPr>
        <w:t>Obviously, it differs per case whether or not the cause of the conflict is integral to one’s ethnicity. Acts of aggression can be rooted in terms of ‘ancient hatreds’ towards each other ethnical backgrounds, but other cases may be less straightforward. This work will refer to ethnic conflict if one group’s ethnicity can be linked to a cause for the conflict. Therefore, it is of importance to define the term ethnic groups. A ethnic group is a collective group with a shared membership, that is determined by one’s ancestral inherited ties. These ties, consequently, are systematically affecting this group’s place and fate in the political and socioeconomic structure of their state and society (</w:t>
      </w:r>
      <w:proofErr w:type="spellStart"/>
      <w:r w:rsidRPr="003778BF">
        <w:rPr>
          <w:rFonts w:cs="Times New Roman"/>
        </w:rPr>
        <w:t>Saideman</w:t>
      </w:r>
      <w:proofErr w:type="spellEnd"/>
      <w:r w:rsidRPr="003778BF">
        <w:rPr>
          <w:rFonts w:cs="Times New Roman"/>
        </w:rPr>
        <w:t>, 1997, p.7). As is argued by Johnson (2008), secession may be a viable solution a</w:t>
      </w:r>
      <w:r w:rsidR="00F30565">
        <w:rPr>
          <w:rFonts w:cs="Times New Roman"/>
        </w:rPr>
        <w:t>s a last resort towards peace (</w:t>
      </w:r>
      <w:r w:rsidRPr="003778BF">
        <w:rPr>
          <w:rFonts w:cs="Times New Roman"/>
        </w:rPr>
        <w:t xml:space="preserve">p. 142). Once a point of conflict escalation has been reached and long-term military intervention has turned out to be a failure. Escalation of ethnic conflict may hint towards secession as a solution to ethnic war. This paper, however, distant itself from a possible link. In order to speak of an ethnic war instead of an ethnic conflict, there are multiple requirements that have to be met. These requirements are in line with other non-ethnic civil wars, and can be defined as </w:t>
      </w:r>
      <w:r w:rsidRPr="003778BF">
        <w:rPr>
          <w:rFonts w:cs="Times New Roman"/>
          <w:i/>
        </w:rPr>
        <w:t xml:space="preserve">‘’… an armed conflict </w:t>
      </w:r>
      <w:r w:rsidRPr="003778BF">
        <w:rPr>
          <w:rFonts w:cs="Times New Roman"/>
          <w:i/>
        </w:rPr>
        <w:lastRenderedPageBreak/>
        <w:t>that has (1) caused more than one thousand deaths; (2) challenged the sovereignty of an inter nationally recognized state; (3) occurred within the recognized boundaries of that state; (4) involved the state as one of the principal combatants; (5) included rebels with the ability to mount an organized opposition; and (6) involved parties concerned with the prospect of living together in the same political un</w:t>
      </w:r>
      <w:r w:rsidR="00CF6445">
        <w:rPr>
          <w:rFonts w:cs="Times New Roman"/>
          <w:i/>
        </w:rPr>
        <w:t xml:space="preserve">it after the end of the war.’’ </w:t>
      </w:r>
      <w:r w:rsidR="00D1064B">
        <w:rPr>
          <w:rFonts w:cs="Times New Roman"/>
        </w:rPr>
        <w:t>(</w:t>
      </w:r>
      <w:proofErr w:type="spellStart"/>
      <w:r w:rsidR="00D1064B">
        <w:rPr>
          <w:rFonts w:cs="Times New Roman"/>
        </w:rPr>
        <w:t>Sambanis</w:t>
      </w:r>
      <w:proofErr w:type="spellEnd"/>
      <w:r w:rsidR="00D1064B">
        <w:rPr>
          <w:rFonts w:cs="Times New Roman"/>
        </w:rPr>
        <w:t xml:space="preserve">, 2000, </w:t>
      </w:r>
      <w:r w:rsidRPr="003778BF">
        <w:rPr>
          <w:rFonts w:cs="Times New Roman"/>
        </w:rPr>
        <w:t xml:space="preserve">p. 444). Yet, escalation of ethnic conflict does not have to be in line with the requirements of ethnic wars. It is the first requirement which raises the most concerns, since this is led by rigid numbers. Secession is in this study perceived as a viable solution to ethnic conflicts with less than one thousand deaths as well, and is therefore not bound to the criteria of an ethnic war. Consequently, this study will focus on ethnic conflicts rather than ethnic wars. </w:t>
      </w:r>
    </w:p>
    <w:p w:rsidR="00D15816" w:rsidRPr="00B91377" w:rsidRDefault="00F03CDD" w:rsidP="00B91377">
      <w:pPr>
        <w:pStyle w:val="Kop3"/>
        <w:rPr>
          <w:rFonts w:asciiTheme="minorHAnsi" w:hAnsiTheme="minorHAnsi"/>
          <w:b w:val="0"/>
        </w:rPr>
      </w:pPr>
      <w:bookmarkStart w:id="15" w:name="_Toc489007230"/>
      <w:r w:rsidRPr="00B91377">
        <w:rPr>
          <w:rFonts w:asciiTheme="minorHAnsi" w:hAnsiTheme="minorHAnsi"/>
          <w:b w:val="0"/>
        </w:rPr>
        <w:t xml:space="preserve">2.1.3 </w:t>
      </w:r>
      <w:r w:rsidR="00D15816" w:rsidRPr="00B91377">
        <w:rPr>
          <w:rFonts w:asciiTheme="minorHAnsi" w:hAnsiTheme="minorHAnsi"/>
          <w:b w:val="0"/>
        </w:rPr>
        <w:t>Successful secession</w:t>
      </w:r>
      <w:bookmarkEnd w:id="15"/>
    </w:p>
    <w:p w:rsidR="00D15816" w:rsidRPr="003778BF" w:rsidRDefault="00D15816" w:rsidP="003778BF">
      <w:pPr>
        <w:spacing w:line="360" w:lineRule="auto"/>
        <w:jc w:val="both"/>
        <w:rPr>
          <w:rFonts w:cs="Times New Roman"/>
        </w:rPr>
      </w:pPr>
      <w:r w:rsidRPr="003778BF">
        <w:rPr>
          <w:rFonts w:cs="Times New Roman"/>
        </w:rPr>
        <w:t xml:space="preserve">At this point, the complicated nature of secession has been defined and conceptualized in terms that fit the purposes of this study. Nevertheless, the dependent variable in this research design is not secession as framed above, but </w:t>
      </w:r>
      <w:r w:rsidRPr="003778BF">
        <w:rPr>
          <w:rFonts w:cs="Times New Roman"/>
          <w:i/>
        </w:rPr>
        <w:t>successful secession</w:t>
      </w:r>
      <w:r w:rsidRPr="003778BF">
        <w:rPr>
          <w:rFonts w:cs="Times New Roman"/>
        </w:rPr>
        <w:t xml:space="preserve">. It is successful secession which is considered to be the dependent variable in this design, which requires a more demarcated definition of the concept. In order to become more specific, the categorical distinction made by the scholarship of comparative politics becomes rather useful. This scholarship distinguishes between three institutional arrangements that result in varying settlements. This paper draws upon </w:t>
      </w:r>
      <w:proofErr w:type="spellStart"/>
      <w:r w:rsidRPr="003778BF">
        <w:rPr>
          <w:rFonts w:cs="Times New Roman"/>
        </w:rPr>
        <w:t>Tir’s</w:t>
      </w:r>
      <w:proofErr w:type="spellEnd"/>
      <w:r w:rsidRPr="003778BF">
        <w:rPr>
          <w:rFonts w:cs="Times New Roman"/>
        </w:rPr>
        <w:t xml:space="preserve"> definition, who presumes that secession results in the creation of at least one new independent state, which is internationally recognized and has sovereign rights. Secession, in that case, will be considered to be successful if the outcome of the secession coincides with the three features </w:t>
      </w:r>
      <w:proofErr w:type="spellStart"/>
      <w:r w:rsidRPr="003778BF">
        <w:rPr>
          <w:rFonts w:cs="Times New Roman"/>
        </w:rPr>
        <w:t>Tir</w:t>
      </w:r>
      <w:proofErr w:type="spellEnd"/>
      <w:r w:rsidRPr="003778BF">
        <w:rPr>
          <w:rFonts w:cs="Times New Roman"/>
        </w:rPr>
        <w:t xml:space="preserve"> sets out in his definition: establishment of a new independent state, sovereignty for this new state, and international recognition. These components are in line with one out of the three types of secession described by Chapman and Roeder (200</w:t>
      </w:r>
      <w:r w:rsidR="00D1064B">
        <w:rPr>
          <w:rFonts w:cs="Times New Roman"/>
        </w:rPr>
        <w:t>7), namely: de jure partition (</w:t>
      </w:r>
      <w:r w:rsidRPr="003778BF">
        <w:rPr>
          <w:rFonts w:cs="Times New Roman"/>
        </w:rPr>
        <w:t>p. 678). De jure partition can be considered the only type of secession that results in in the establishment of a new sovereign state, whereas the other two options can be considered a covenant which (temporarily) tempers the conflict. The latter two strategies belong to the grand strategy of managing ethnonational differences, while the former belongs to the grand strategy of eliminating ethnonational differences (</w:t>
      </w:r>
      <w:r w:rsidR="00D1064B">
        <w:rPr>
          <w:rFonts w:cs="Times New Roman"/>
        </w:rPr>
        <w:t xml:space="preserve">ibid, 2007, </w:t>
      </w:r>
      <w:r w:rsidRPr="003778BF">
        <w:rPr>
          <w:rFonts w:cs="Times New Roman"/>
        </w:rPr>
        <w:t xml:space="preserve">p. 678). Managing ethnonational differences can be considered a viable solution to for ending ethnic conflicts in multiple cases. However, once a conflict has escalated to a point in which managing differences turned out to be not viable, secession becomes a viable solution for ending these differences. Once this threshold has been reached, managing these differences has become a bygone option. In addition, de jure partition is more likely to reduce the incompatibility of national identities. From the secessionist perspective, a partition often strengthens the unity and </w:t>
      </w:r>
      <w:r w:rsidRPr="003778BF">
        <w:rPr>
          <w:rFonts w:cs="Times New Roman"/>
        </w:rPr>
        <w:lastRenderedPageBreak/>
        <w:t>distinctiveness of the group that is now constituted as the successor state. On the other hand, there is the common-state side, which often loses a feeling of shared identity with the population and territory of the lost successor state. They are left  and reconstituted as the rump state (</w:t>
      </w:r>
      <w:r w:rsidR="00BA66CD">
        <w:rPr>
          <w:rFonts w:cs="Times New Roman"/>
        </w:rPr>
        <w:t>ibid</w:t>
      </w:r>
      <w:r w:rsidRPr="003778BF">
        <w:rPr>
          <w:rFonts w:cs="Times New Roman"/>
        </w:rPr>
        <w:t xml:space="preserve">, 2007, p. 680), which is Ethiopia in </w:t>
      </w:r>
      <w:proofErr w:type="spellStart"/>
      <w:r w:rsidRPr="003778BF">
        <w:rPr>
          <w:rFonts w:cs="Times New Roman"/>
        </w:rPr>
        <w:t>Tir’s</w:t>
      </w:r>
      <w:proofErr w:type="spellEnd"/>
      <w:r w:rsidRPr="003778BF">
        <w:rPr>
          <w:rFonts w:cs="Times New Roman"/>
        </w:rPr>
        <w:t xml:space="preserve"> example. In short, successful secession is in line with de jure partition cases in which a new independent state has been established, which is sovereign, and recognized by the international community. In addition, reescalation of conflict has to be brought to a minimum. This can be achieved through eliminating rather than managing ethnonational differences. Nevertheless, the importance of this component is debatable since one cannot guarantee enduring peace after the secession. Although, Chapman and Roeder’s findings display an increase in the prospects of post-conflict peace after de jure partition. Only in 14% of the cases which experienced de jure partition, a resumption of violence occurred within the next two years. This frequency rose to 50% for the de facto separation cases, and 67% for the de jure autonomy cases (</w:t>
      </w:r>
      <w:r w:rsidR="0042164F">
        <w:rPr>
          <w:rFonts w:cs="Times New Roman"/>
        </w:rPr>
        <w:t xml:space="preserve">ibid, 2007, </w:t>
      </w:r>
      <w:r w:rsidRPr="003778BF">
        <w:rPr>
          <w:rFonts w:cs="Times New Roman"/>
        </w:rPr>
        <w:t xml:space="preserve">p. 689). </w:t>
      </w:r>
    </w:p>
    <w:p w:rsidR="00D15816" w:rsidRPr="004243FF" w:rsidRDefault="00F03CDD" w:rsidP="00F03CDD">
      <w:pPr>
        <w:pStyle w:val="Kop2"/>
        <w:rPr>
          <w:rFonts w:asciiTheme="minorHAnsi" w:hAnsiTheme="minorHAnsi"/>
          <w:b w:val="0"/>
        </w:rPr>
      </w:pPr>
      <w:bookmarkStart w:id="16" w:name="_Toc489007231"/>
      <w:r w:rsidRPr="004243FF">
        <w:rPr>
          <w:rFonts w:asciiTheme="minorHAnsi" w:hAnsiTheme="minorHAnsi"/>
          <w:b w:val="0"/>
        </w:rPr>
        <w:t xml:space="preserve">2.2 </w:t>
      </w:r>
      <w:r w:rsidR="00D15816" w:rsidRPr="004243FF">
        <w:rPr>
          <w:rFonts w:asciiTheme="minorHAnsi" w:hAnsiTheme="minorHAnsi"/>
          <w:b w:val="0"/>
        </w:rPr>
        <w:t>Independent variable</w:t>
      </w:r>
      <w:bookmarkEnd w:id="16"/>
    </w:p>
    <w:p w:rsidR="00D15816" w:rsidRPr="003742EE" w:rsidRDefault="00D15816" w:rsidP="003778BF">
      <w:pPr>
        <w:spacing w:line="360" w:lineRule="auto"/>
        <w:jc w:val="both"/>
      </w:pPr>
      <w:r w:rsidRPr="003742EE">
        <w:t xml:space="preserve">Whereas the previous section has sought to set out the dependent variable of this research, this section will focus on the independent variable, which is the international advocacy network. In the first paragraph the current theoretical debate on conditions for secession are set out, in which different perspectives on the role of the international community are presented as well. Secondly, the adopted theory of this research will be set out, followed by an elaboration on the role and function of the international advocacy network within the theory.  This is followed by a section on the actors included in the network, and a description of potential target states of the network. The last part of this section sets out the phases incorporated in the theoretical approach, </w:t>
      </w:r>
      <w:r w:rsidR="00CA350C">
        <w:t>as well as potential limitations of the theoretical approach</w:t>
      </w:r>
      <w:r w:rsidRPr="003742EE">
        <w:t xml:space="preserve">. </w:t>
      </w:r>
    </w:p>
    <w:p w:rsidR="00D15816" w:rsidRPr="004243FF" w:rsidRDefault="00F03CDD" w:rsidP="00F03CDD">
      <w:pPr>
        <w:pStyle w:val="Kop3"/>
        <w:rPr>
          <w:rFonts w:asciiTheme="minorHAnsi" w:hAnsiTheme="minorHAnsi"/>
          <w:b w:val="0"/>
        </w:rPr>
      </w:pPr>
      <w:bookmarkStart w:id="17" w:name="_Toc489007232"/>
      <w:r w:rsidRPr="004243FF">
        <w:rPr>
          <w:rFonts w:asciiTheme="minorHAnsi" w:hAnsiTheme="minorHAnsi"/>
          <w:b w:val="0"/>
        </w:rPr>
        <w:t xml:space="preserve">2.2.1 </w:t>
      </w:r>
      <w:r w:rsidR="00D15816" w:rsidRPr="004243FF">
        <w:rPr>
          <w:rFonts w:asciiTheme="minorHAnsi" w:hAnsiTheme="minorHAnsi"/>
          <w:b w:val="0"/>
        </w:rPr>
        <w:t>Theoretical debate</w:t>
      </w:r>
      <w:bookmarkEnd w:id="17"/>
    </w:p>
    <w:p w:rsidR="00D15816" w:rsidRPr="003778BF" w:rsidRDefault="00D15816" w:rsidP="003778BF">
      <w:pPr>
        <w:spacing w:line="360" w:lineRule="auto"/>
        <w:jc w:val="both"/>
        <w:rPr>
          <w:rFonts w:cs="Times New Roman"/>
        </w:rPr>
      </w:pPr>
      <w:r w:rsidRPr="003778BF">
        <w:rPr>
          <w:rFonts w:cs="Times New Roman"/>
        </w:rPr>
        <w:t>Scholars have come forward with different arguments for explaining the diverging secession tendencies, and its varying outcomes. Some scholars point to the domestic structure (</w:t>
      </w:r>
      <w:proofErr w:type="spellStart"/>
      <w:r w:rsidRPr="003778BF">
        <w:rPr>
          <w:rFonts w:cs="Times New Roman"/>
        </w:rPr>
        <w:t>Kuzio</w:t>
      </w:r>
      <w:proofErr w:type="spellEnd"/>
      <w:r w:rsidRPr="003778BF">
        <w:rPr>
          <w:rFonts w:cs="Times New Roman"/>
        </w:rPr>
        <w:t xml:space="preserve">, 2001 ; </w:t>
      </w:r>
      <w:proofErr w:type="spellStart"/>
      <w:r w:rsidRPr="003778BF">
        <w:rPr>
          <w:rFonts w:cs="Times New Roman"/>
        </w:rPr>
        <w:t>Saideman</w:t>
      </w:r>
      <w:proofErr w:type="spellEnd"/>
      <w:r w:rsidRPr="003778BF">
        <w:rPr>
          <w:rFonts w:cs="Times New Roman"/>
        </w:rPr>
        <w:t>, 1997), while Bunce (1999) believes it all depends on a state’s economic structure and stability. Many scholars though (</w:t>
      </w:r>
      <w:proofErr w:type="spellStart"/>
      <w:r w:rsidRPr="003778BF">
        <w:rPr>
          <w:rFonts w:cs="Times New Roman"/>
        </w:rPr>
        <w:t>Jenne</w:t>
      </w:r>
      <w:proofErr w:type="spellEnd"/>
      <w:r w:rsidRPr="003778BF">
        <w:rPr>
          <w:rFonts w:cs="Times New Roman"/>
        </w:rPr>
        <w:t xml:space="preserve">, 2004; Welsh, 1994; Baskin and Pickering, 2014.; </w:t>
      </w:r>
      <w:proofErr w:type="spellStart"/>
      <w:r w:rsidRPr="003778BF">
        <w:rPr>
          <w:rFonts w:cs="Times New Roman"/>
        </w:rPr>
        <w:t>Woodwell</w:t>
      </w:r>
      <w:proofErr w:type="spellEnd"/>
      <w:r w:rsidRPr="003778BF">
        <w:rPr>
          <w:rFonts w:cs="Times New Roman"/>
        </w:rPr>
        <w:t xml:space="preserve">, 2004; </w:t>
      </w:r>
      <w:proofErr w:type="spellStart"/>
      <w:r w:rsidRPr="003778BF">
        <w:rPr>
          <w:rFonts w:cs="Times New Roman"/>
        </w:rPr>
        <w:t>Brast</w:t>
      </w:r>
      <w:proofErr w:type="spellEnd"/>
      <w:r w:rsidRPr="003778BF">
        <w:rPr>
          <w:rFonts w:cs="Times New Roman"/>
        </w:rPr>
        <w:t xml:space="preserve">, 2015), in one way or another, argue that the international structure is important for the development of a secession process. </w:t>
      </w:r>
      <w:r w:rsidRPr="003778BF">
        <w:rPr>
          <w:rFonts w:cs="Times New Roman"/>
        </w:rPr>
        <w:tab/>
      </w:r>
      <w:r w:rsidRPr="003778BF">
        <w:rPr>
          <w:rFonts w:cs="Times New Roman"/>
        </w:rPr>
        <w:tab/>
      </w:r>
      <w:r w:rsidRPr="003778BF">
        <w:rPr>
          <w:rFonts w:cs="Times New Roman"/>
        </w:rPr>
        <w:tab/>
      </w:r>
      <w:r w:rsidR="004828D6">
        <w:rPr>
          <w:rFonts w:cs="Times New Roman"/>
        </w:rPr>
        <w:tab/>
      </w:r>
      <w:r w:rsidR="004828D6">
        <w:rPr>
          <w:rFonts w:cs="Times New Roman"/>
        </w:rPr>
        <w:tab/>
      </w:r>
      <w:r w:rsidR="004828D6">
        <w:rPr>
          <w:rFonts w:cs="Times New Roman"/>
        </w:rPr>
        <w:tab/>
      </w:r>
      <w:r w:rsidR="004828D6">
        <w:rPr>
          <w:rFonts w:cs="Times New Roman"/>
        </w:rPr>
        <w:tab/>
      </w:r>
      <w:r w:rsidR="004828D6">
        <w:rPr>
          <w:rFonts w:cs="Times New Roman"/>
        </w:rPr>
        <w:tab/>
      </w:r>
      <w:r w:rsidR="004828D6">
        <w:rPr>
          <w:rFonts w:cs="Times New Roman"/>
        </w:rPr>
        <w:tab/>
      </w:r>
      <w:r w:rsidRPr="003778BF">
        <w:rPr>
          <w:rFonts w:cs="Times New Roman"/>
        </w:rPr>
        <w:t xml:space="preserve">Since secession tendencies can be considered unique trajectories, the wide array of different approaches adopted to deal with these processes makes sense. Despite this scholarly controversy, it is second wave partition theory which is favored by many scholars and policy makers as a viable strategy to deal with secession tendencies and ethnic conflict. This realist perspective rests upon the security-dilemma, and argues that </w:t>
      </w:r>
      <w:r w:rsidRPr="003778BF">
        <w:rPr>
          <w:rFonts w:cs="Times New Roman"/>
          <w:i/>
        </w:rPr>
        <w:t xml:space="preserve">‘’…ethnic violence implies that civil politics cannot be restored </w:t>
      </w:r>
      <w:r w:rsidRPr="003778BF">
        <w:rPr>
          <w:rFonts w:cs="Times New Roman"/>
          <w:i/>
        </w:rPr>
        <w:lastRenderedPageBreak/>
        <w:t>unless ethnic groups are demographically separated into defensible enclaves…. Solutions that aim at restoring multi-ethnic civil politics and at avoiding population transfers – such as power-sharing, state re-building, or identity reconstruction – cannot work because they do nothing to dampen the security dilemma’’</w:t>
      </w:r>
      <w:r w:rsidR="005A456B">
        <w:rPr>
          <w:rFonts w:cs="Times New Roman"/>
        </w:rPr>
        <w:t xml:space="preserve"> (</w:t>
      </w:r>
      <w:proofErr w:type="spellStart"/>
      <w:r w:rsidR="005A456B">
        <w:rPr>
          <w:rFonts w:cs="Times New Roman"/>
        </w:rPr>
        <w:t>Sambanis</w:t>
      </w:r>
      <w:proofErr w:type="spellEnd"/>
      <w:r w:rsidR="005A456B">
        <w:rPr>
          <w:rFonts w:cs="Times New Roman"/>
        </w:rPr>
        <w:t xml:space="preserve">, 2000, </w:t>
      </w:r>
      <w:r w:rsidRPr="003778BF">
        <w:rPr>
          <w:rFonts w:cs="Times New Roman"/>
        </w:rPr>
        <w:t>p. 438). This security dilemma arises when two communities perceive each other’s actions as threatening towards their</w:t>
      </w:r>
      <w:r w:rsidR="005A456B">
        <w:rPr>
          <w:rFonts w:cs="Times New Roman"/>
        </w:rPr>
        <w:t xml:space="preserve"> own security (</w:t>
      </w:r>
      <w:proofErr w:type="spellStart"/>
      <w:r w:rsidR="005A456B">
        <w:rPr>
          <w:rFonts w:cs="Times New Roman"/>
        </w:rPr>
        <w:t>Sambanis</w:t>
      </w:r>
      <w:proofErr w:type="spellEnd"/>
      <w:r w:rsidR="005A456B">
        <w:rPr>
          <w:rFonts w:cs="Times New Roman"/>
        </w:rPr>
        <w:t xml:space="preserve">, 2000, </w:t>
      </w:r>
      <w:r w:rsidRPr="003778BF">
        <w:rPr>
          <w:rFonts w:cs="Times New Roman"/>
        </w:rPr>
        <w:t>p. 438), which results in two or more opposing camps and impending dispute(s). Second wave partition theorists would argue that separation of these opposing camps through secession would be the most viable solution. A serious complication though, which seems to be neglected in this theory, is the unequal power relations between the dominating and dominated group. Furthermore, intrastate conflicts rooted in ethnic diversity do not always implicate that it is two ethnic groups strongly opposing each other in a violent way. It may also imply that one ethnic minority group misses a sense of belonging towards their territorial homeland. Partition theory seems to deal with the violent secession cases in which two opposing camps can be explicitly identified. In practice, however, these cases are often not as clear-cut. This paper concurs with the argument stating that security issue is a condition for secession, but assumes tha</w:t>
      </w:r>
      <w:r w:rsidR="0039197B">
        <w:rPr>
          <w:rFonts w:cs="Times New Roman"/>
        </w:rPr>
        <w:t>t there is more to it.</w:t>
      </w:r>
      <w:r w:rsidR="0039197B">
        <w:rPr>
          <w:rFonts w:cs="Times New Roman"/>
        </w:rPr>
        <w:tab/>
      </w:r>
      <w:r w:rsidR="0039197B">
        <w:rPr>
          <w:rFonts w:cs="Times New Roman"/>
        </w:rPr>
        <w:tab/>
      </w:r>
      <w:r w:rsidR="0039197B">
        <w:rPr>
          <w:rFonts w:cs="Times New Roman"/>
        </w:rPr>
        <w:tab/>
      </w:r>
      <w:r w:rsidR="0039197B">
        <w:rPr>
          <w:rFonts w:cs="Times New Roman"/>
        </w:rPr>
        <w:tab/>
      </w:r>
      <w:r w:rsidR="0039197B">
        <w:rPr>
          <w:rFonts w:cs="Times New Roman"/>
        </w:rPr>
        <w:tab/>
      </w:r>
      <w:r w:rsidR="0039197B">
        <w:rPr>
          <w:rFonts w:cs="Times New Roman"/>
        </w:rPr>
        <w:tab/>
      </w:r>
      <w:r w:rsidR="0039197B">
        <w:rPr>
          <w:rFonts w:cs="Times New Roman"/>
        </w:rPr>
        <w:tab/>
      </w:r>
      <w:r w:rsidR="0039197B">
        <w:rPr>
          <w:rFonts w:cs="Times New Roman"/>
        </w:rPr>
        <w:tab/>
      </w:r>
      <w:r w:rsidRPr="003778BF">
        <w:rPr>
          <w:rFonts w:cs="Times New Roman"/>
        </w:rPr>
        <w:t>A more neo-institutional perspective on secession, with a considerable amount of support as well, is the bargaining theory. This theory draws upon the level of radicalization of the minority groups, which depends upon the probability that a lobby state is supportive (</w:t>
      </w:r>
      <w:proofErr w:type="spellStart"/>
      <w:r w:rsidRPr="003778BF">
        <w:rPr>
          <w:rFonts w:cs="Times New Roman"/>
        </w:rPr>
        <w:t>Jenne</w:t>
      </w:r>
      <w:proofErr w:type="spellEnd"/>
      <w:r w:rsidRPr="003778BF">
        <w:rPr>
          <w:rFonts w:cs="Times New Roman"/>
        </w:rPr>
        <w:t xml:space="preserve">, 2004). Welsh (1994) argues that secession as a viable solution to conflict can be achieved through the transitional processes of bargaining, in which different stages can be distinguished. These stages consist of intense bargaining and compromise, consolidation, and competition and cooperation. One of the main conclusions of </w:t>
      </w:r>
      <w:proofErr w:type="spellStart"/>
      <w:r w:rsidRPr="003778BF">
        <w:rPr>
          <w:rFonts w:cs="Times New Roman"/>
        </w:rPr>
        <w:t>Jenne’s</w:t>
      </w:r>
      <w:proofErr w:type="spellEnd"/>
      <w:r w:rsidRPr="003778BF">
        <w:rPr>
          <w:rFonts w:cs="Times New Roman"/>
        </w:rPr>
        <w:t xml:space="preserve"> research is that the external lobbyist has a greater influence on a minority claim making than the majority, dominant</w:t>
      </w:r>
      <w:r w:rsidR="005A456B">
        <w:rPr>
          <w:rFonts w:cs="Times New Roman"/>
        </w:rPr>
        <w:t xml:space="preserve"> state party has (</w:t>
      </w:r>
      <w:proofErr w:type="spellStart"/>
      <w:r w:rsidR="005A456B">
        <w:rPr>
          <w:rFonts w:cs="Times New Roman"/>
        </w:rPr>
        <w:t>Jenne</w:t>
      </w:r>
      <w:proofErr w:type="spellEnd"/>
      <w:r w:rsidR="005A456B">
        <w:rPr>
          <w:rFonts w:cs="Times New Roman"/>
        </w:rPr>
        <w:t xml:space="preserve">, 2004, </w:t>
      </w:r>
      <w:r w:rsidRPr="003778BF">
        <w:rPr>
          <w:rFonts w:cs="Times New Roman"/>
        </w:rPr>
        <w:t>p. 738). This implies that an ethnic minority group dares to oppose the majority group when they favor the support from an external organization (</w:t>
      </w:r>
      <w:proofErr w:type="spellStart"/>
      <w:r w:rsidRPr="003778BF">
        <w:rPr>
          <w:rFonts w:cs="Times New Roman"/>
        </w:rPr>
        <w:t>Jenne</w:t>
      </w:r>
      <w:proofErr w:type="spellEnd"/>
      <w:r w:rsidRPr="003778BF">
        <w:rPr>
          <w:rFonts w:cs="Times New Roman"/>
        </w:rPr>
        <w:t>, 2004; Welsh, 1994). The bargaining theory is rather convincing and seems very much applicable to many secession cases. However, in practice many independent states will not be that impressed by many bargaining advances of external lobbyist and call their rights of state sovereignty. It seems legit to argue that many of the conflicts are often not solved due to the inflexible and definite stance of a violating state. Therefore, this theory seems incomplete and not applicable to secession cases in which there is a deadlock between the two</w:t>
      </w:r>
      <w:r w:rsidR="0039197B">
        <w:rPr>
          <w:rFonts w:cs="Times New Roman"/>
        </w:rPr>
        <w:t xml:space="preserve"> groups in conflict.</w:t>
      </w:r>
      <w:r w:rsidR="0039197B">
        <w:rPr>
          <w:rFonts w:cs="Times New Roman"/>
        </w:rPr>
        <w:tab/>
      </w:r>
      <w:r w:rsidRPr="003778BF">
        <w:rPr>
          <w:rFonts w:cs="Times New Roman"/>
        </w:rPr>
        <w:t xml:space="preserve">Besides a more realist and neo-institutional theoretical perspective on secession, there is also a more constructivist perspective which points to a main underlying cause for secession. </w:t>
      </w:r>
      <w:proofErr w:type="spellStart"/>
      <w:r w:rsidRPr="003778BF">
        <w:rPr>
          <w:rFonts w:cs="Times New Roman"/>
        </w:rPr>
        <w:t>Saideman</w:t>
      </w:r>
      <w:proofErr w:type="spellEnd"/>
      <w:r w:rsidRPr="003778BF">
        <w:rPr>
          <w:rFonts w:cs="Times New Roman"/>
        </w:rPr>
        <w:t xml:space="preserve"> (1997) for example, advances the ethnic ties argument, he argues that the ethnic composition of the constituencies of politicians becomes an essential variable. One of his main conclusions supports the hypothesis that politicians will push for foreign policies that assist the ethnic kin of their constituents, </w:t>
      </w:r>
      <w:r w:rsidRPr="003778BF">
        <w:rPr>
          <w:rFonts w:cs="Times New Roman"/>
        </w:rPr>
        <w:lastRenderedPageBreak/>
        <w:t>while the other ethnic groups are to a larger</w:t>
      </w:r>
      <w:r w:rsidR="005A456B">
        <w:rPr>
          <w:rFonts w:cs="Times New Roman"/>
        </w:rPr>
        <w:t xml:space="preserve"> extent neglected (ibid, 1997, </w:t>
      </w:r>
      <w:r w:rsidRPr="003778BF">
        <w:rPr>
          <w:rFonts w:cs="Times New Roman"/>
        </w:rPr>
        <w:t xml:space="preserve">p. 747). This indeed is a major underlying cause for ethnic disputes within states. The consequence of this kind of domestic and foreign politics is that small ethnic minority groups miss their sense of belonging since they cannot identify with the government in charge, and its political ideology. These impending disputes often result in secession conflicts which may become violent. In order to overcome this repression, cooperation with external parties with a shared ethnic kin may not be viable, since other interests are at stake as well. </w:t>
      </w:r>
      <w:proofErr w:type="spellStart"/>
      <w:r w:rsidRPr="003778BF">
        <w:rPr>
          <w:rFonts w:cs="Times New Roman"/>
        </w:rPr>
        <w:t>Saideman</w:t>
      </w:r>
      <w:proofErr w:type="spellEnd"/>
      <w:r w:rsidRPr="003778BF">
        <w:rPr>
          <w:rFonts w:cs="Times New Roman"/>
        </w:rPr>
        <w:t xml:space="preserve"> does acknowledge the role of the international society in secession processes, but argues that help of the international community is only granted if there is ethnic ties between the groups. This seems rather shortsighted, taking into account the changing dynamics towards a more liberalized global society in the past year. Shared universal norms, values and regulations have led to closer and stronger relations between states, which comes with shared commitments towards each other as well. These commitments go beyond ethnic ties as defined by </w:t>
      </w:r>
      <w:proofErr w:type="spellStart"/>
      <w:r w:rsidRPr="003778BF">
        <w:rPr>
          <w:rFonts w:cs="Times New Roman"/>
        </w:rPr>
        <w:t>Saideman</w:t>
      </w:r>
      <w:proofErr w:type="spellEnd"/>
      <w:r w:rsidRPr="003778BF">
        <w:rPr>
          <w:rFonts w:cs="Times New Roman"/>
        </w:rPr>
        <w:t>.</w:t>
      </w:r>
      <w:r w:rsidRPr="003778BF">
        <w:rPr>
          <w:rFonts w:cs="Times New Roman"/>
        </w:rPr>
        <w:tab/>
      </w:r>
      <w:r w:rsidRPr="003778BF">
        <w:rPr>
          <w:rFonts w:cs="Times New Roman"/>
        </w:rPr>
        <w:tab/>
      </w:r>
      <w:r w:rsidRPr="003778BF">
        <w:rPr>
          <w:rFonts w:cs="Times New Roman"/>
        </w:rPr>
        <w:tab/>
      </w:r>
      <w:r w:rsidRPr="003778BF">
        <w:rPr>
          <w:rFonts w:cs="Times New Roman"/>
        </w:rPr>
        <w:tab/>
      </w:r>
      <w:r w:rsidRPr="003778BF">
        <w:rPr>
          <w:rFonts w:cs="Times New Roman"/>
        </w:rPr>
        <w:tab/>
      </w:r>
      <w:r w:rsidR="000F5676">
        <w:rPr>
          <w:rFonts w:cs="Times New Roman"/>
        </w:rPr>
        <w:tab/>
      </w:r>
      <w:r w:rsidR="000F5676">
        <w:rPr>
          <w:rFonts w:cs="Times New Roman"/>
        </w:rPr>
        <w:tab/>
      </w:r>
      <w:r w:rsidR="000F5676">
        <w:rPr>
          <w:rFonts w:cs="Times New Roman"/>
        </w:rPr>
        <w:tab/>
      </w:r>
      <w:r w:rsidR="000F5676">
        <w:rPr>
          <w:rFonts w:cs="Times New Roman"/>
        </w:rPr>
        <w:tab/>
      </w:r>
      <w:r w:rsidR="000F5676">
        <w:rPr>
          <w:rFonts w:cs="Times New Roman"/>
        </w:rPr>
        <w:tab/>
      </w:r>
      <w:r w:rsidR="000F5676">
        <w:rPr>
          <w:rFonts w:cs="Times New Roman"/>
        </w:rPr>
        <w:tab/>
      </w:r>
      <w:r w:rsidR="000F5676">
        <w:rPr>
          <w:rFonts w:cs="Times New Roman"/>
        </w:rPr>
        <w:tab/>
      </w:r>
      <w:r w:rsidRPr="003778BF">
        <w:rPr>
          <w:rFonts w:cs="Times New Roman"/>
        </w:rPr>
        <w:t xml:space="preserve">This paper asserts that international institutions, as well as their norms and values, may concretely influence outcomes of secession. This is in line with the liberal institutionalist thought, one of the three dominant approaches in international relations theory. Institutionalists believe that the incentives and opportunities created by international institutions influence state choices and </w:t>
      </w:r>
      <w:r w:rsidR="005A456B">
        <w:rPr>
          <w:rFonts w:cs="Times New Roman"/>
        </w:rPr>
        <w:t xml:space="preserve">global outcomes (Armijo, 2007, </w:t>
      </w:r>
      <w:r w:rsidRPr="003778BF">
        <w:rPr>
          <w:rFonts w:cs="Times New Roman"/>
        </w:rPr>
        <w:t>p. 42). This paper argues that it may influence domestic secession outcomes as well. Today, states are not the only actors with a significant influence in international relations. Due to globalizing tendencies, the role of international governmental organizations and more informal global regimes have become more prominent. This is also evident in state-building interventions, which have become a major tool in global governance</w:t>
      </w:r>
      <w:r w:rsidR="005A456B">
        <w:rPr>
          <w:rFonts w:cs="Times New Roman"/>
        </w:rPr>
        <w:t xml:space="preserve"> (</w:t>
      </w:r>
      <w:proofErr w:type="spellStart"/>
      <w:r w:rsidR="005A456B">
        <w:rPr>
          <w:rFonts w:cs="Times New Roman"/>
        </w:rPr>
        <w:t>Brast</w:t>
      </w:r>
      <w:proofErr w:type="spellEnd"/>
      <w:r w:rsidR="005A456B">
        <w:rPr>
          <w:rFonts w:cs="Times New Roman"/>
        </w:rPr>
        <w:t xml:space="preserve">, 2015, </w:t>
      </w:r>
      <w:r w:rsidRPr="003778BF">
        <w:rPr>
          <w:rFonts w:cs="Times New Roman"/>
        </w:rPr>
        <w:t xml:space="preserve">p. 1). Important aspects in this international sphere are shared understandings of norms and values, which have resulted in sets of shared rules, rights and regulations. These can be considered as socially constructed, and have become part of the international governance design. It is these international organizations and institutions that build upon these shared sets of norms and rules (Duffield, 2007), which is in line with a constructivist perspective. As set out above, strict formulations of a realist, neoliberal, and constructivist approach turn out to be not convincing in terms of explaining secession processes. Therefore, a more eclectic variant will be more suitable. This middle-ground theory departs from a neoliberal perspective and incorporates important insights from constructivist theory, as is shortly elaborated upon above. </w:t>
      </w:r>
    </w:p>
    <w:p w:rsidR="00D15816" w:rsidRPr="004243FF" w:rsidRDefault="00F03CDD" w:rsidP="00F03CDD">
      <w:pPr>
        <w:pStyle w:val="Kop3"/>
        <w:rPr>
          <w:rFonts w:asciiTheme="minorHAnsi" w:hAnsiTheme="minorHAnsi"/>
          <w:b w:val="0"/>
        </w:rPr>
      </w:pPr>
      <w:bookmarkStart w:id="18" w:name="_Toc489007233"/>
      <w:r w:rsidRPr="004243FF">
        <w:rPr>
          <w:rFonts w:asciiTheme="minorHAnsi" w:hAnsiTheme="minorHAnsi"/>
          <w:b w:val="0"/>
        </w:rPr>
        <w:t xml:space="preserve">2.2.2 </w:t>
      </w:r>
      <w:r w:rsidR="00D15816" w:rsidRPr="004243FF">
        <w:rPr>
          <w:rFonts w:asciiTheme="minorHAnsi" w:hAnsiTheme="minorHAnsi"/>
          <w:b w:val="0"/>
        </w:rPr>
        <w:t>The boomerang model</w:t>
      </w:r>
      <w:bookmarkEnd w:id="18"/>
      <w:r w:rsidR="00D15816" w:rsidRPr="004243FF">
        <w:rPr>
          <w:rFonts w:asciiTheme="minorHAnsi" w:hAnsiTheme="minorHAnsi"/>
          <w:b w:val="0"/>
        </w:rPr>
        <w:tab/>
      </w:r>
      <w:r w:rsidR="00D15816" w:rsidRPr="004243FF">
        <w:rPr>
          <w:rFonts w:asciiTheme="minorHAnsi" w:hAnsiTheme="minorHAnsi"/>
          <w:b w:val="0"/>
        </w:rPr>
        <w:tab/>
      </w:r>
      <w:r w:rsidR="00D15816" w:rsidRPr="004243FF">
        <w:rPr>
          <w:rFonts w:asciiTheme="minorHAnsi" w:hAnsiTheme="minorHAnsi"/>
          <w:b w:val="0"/>
        </w:rPr>
        <w:tab/>
      </w:r>
    </w:p>
    <w:p w:rsidR="00F03CDD" w:rsidRPr="00F03CDD" w:rsidRDefault="00D15816" w:rsidP="00F03CDD">
      <w:pPr>
        <w:spacing w:line="360" w:lineRule="auto"/>
        <w:jc w:val="both"/>
        <w:rPr>
          <w:rFonts w:cs="Times New Roman"/>
        </w:rPr>
      </w:pPr>
      <w:r w:rsidRPr="003778BF">
        <w:rPr>
          <w:rFonts w:cs="Times New Roman"/>
        </w:rPr>
        <w:t xml:space="preserve">Theoretical eclecticism has become more accessible in international relations theory. To neoliberalism for instance, constructivism adds consideration of the effects norms have on both </w:t>
      </w:r>
      <w:r w:rsidRPr="003778BF">
        <w:rPr>
          <w:rFonts w:cs="Times New Roman"/>
        </w:rPr>
        <w:lastRenderedPageBreak/>
        <w:t xml:space="preserve">formal and informal institutions (Hemmer and </w:t>
      </w:r>
      <w:proofErr w:type="spellStart"/>
      <w:r w:rsidRPr="003778BF">
        <w:rPr>
          <w:rFonts w:cs="Times New Roman"/>
        </w:rPr>
        <w:t>Katzenstein</w:t>
      </w:r>
      <w:proofErr w:type="spellEnd"/>
      <w:r w:rsidRPr="003778BF">
        <w:rPr>
          <w:rFonts w:cs="Times New Roman"/>
        </w:rPr>
        <w:t xml:space="preserve">, 2002, p. 577). In order to successfully analyze the process of secession, this study draws upon an innovative approach in the field of secession; the boomerang model. This model has been adopted from the global governance scholarship and draws upon important aspects from both the neoliberal as well as the constructivist school of thought, hence provides an eclectic variant of analysis. This mechanism builds upon the importance of the international society in overcoming the violation of human rights by governmental actors. </w:t>
      </w:r>
      <w:proofErr w:type="spellStart"/>
      <w:r w:rsidRPr="003778BF">
        <w:rPr>
          <w:rFonts w:cs="Times New Roman"/>
        </w:rPr>
        <w:t>Ropp</w:t>
      </w:r>
      <w:proofErr w:type="spellEnd"/>
      <w:r w:rsidRPr="003778BF">
        <w:rPr>
          <w:rFonts w:cs="Times New Roman"/>
        </w:rPr>
        <w:t xml:space="preserve"> and </w:t>
      </w:r>
      <w:proofErr w:type="spellStart"/>
      <w:r w:rsidRPr="003778BF">
        <w:rPr>
          <w:rFonts w:cs="Times New Roman"/>
        </w:rPr>
        <w:t>Sikkink</w:t>
      </w:r>
      <w:proofErr w:type="spellEnd"/>
      <w:r w:rsidRPr="003778BF">
        <w:rPr>
          <w:rFonts w:cs="Times New Roman"/>
        </w:rPr>
        <w:t xml:space="preserve"> (1999) put it like this: </w:t>
      </w:r>
      <w:r w:rsidRPr="003778BF">
        <w:rPr>
          <w:rFonts w:cs="Times New Roman"/>
          <w:i/>
        </w:rPr>
        <w:t xml:space="preserve">‘’Diffusion of international norms in the human rights area crucially depends on the establishment and the sustainability of networks among domestic and transnational actors who manage to link up with international regimes.’’ </w:t>
      </w:r>
      <w:r w:rsidR="007A5045">
        <w:rPr>
          <w:rFonts w:cs="Times New Roman"/>
        </w:rPr>
        <w:t>(p.5). This ’linking up’</w:t>
      </w:r>
      <w:r w:rsidRPr="003778BF">
        <w:rPr>
          <w:rFonts w:cs="Times New Roman"/>
        </w:rPr>
        <w:t xml:space="preserve"> establishes a boomerang pattern of influence between domestic groups in a repressive state bypassing their state and directly reaching out to international allies, in order to pressure their own state. The international allies consequently provide aid through leverage, access and the provision of information. International allies can ‘amplify’ the demands of domestic groups, before echoing it back into the domestic arena (</w:t>
      </w:r>
      <w:proofErr w:type="spellStart"/>
      <w:r w:rsidRPr="003778BF">
        <w:rPr>
          <w:rFonts w:cs="Times New Roman"/>
        </w:rPr>
        <w:t>Ropp</w:t>
      </w:r>
      <w:proofErr w:type="spellEnd"/>
      <w:r w:rsidRPr="003778BF">
        <w:rPr>
          <w:rFonts w:cs="Times New Roman"/>
        </w:rPr>
        <w:t xml:space="preserve"> et al., 1999, p. 18).</w:t>
      </w:r>
      <w:r w:rsidRPr="003778BF">
        <w:rPr>
          <w:rFonts w:cs="Times New Roman"/>
        </w:rPr>
        <w:tab/>
      </w:r>
      <w:r w:rsidRPr="003778BF">
        <w:rPr>
          <w:rFonts w:cs="Times New Roman"/>
        </w:rPr>
        <w:tab/>
      </w:r>
      <w:r w:rsidRPr="003778BF">
        <w:rPr>
          <w:rFonts w:cs="Times New Roman"/>
        </w:rPr>
        <w:tab/>
      </w:r>
      <w:r w:rsidRPr="003778BF">
        <w:rPr>
          <w:rFonts w:cs="Times New Roman"/>
        </w:rPr>
        <w:tab/>
      </w:r>
      <w:r w:rsidRPr="003778BF">
        <w:rPr>
          <w:rFonts w:cs="Times New Roman"/>
        </w:rPr>
        <w:tab/>
      </w:r>
      <w:r w:rsidR="000F5676">
        <w:rPr>
          <w:rFonts w:cs="Times New Roman"/>
        </w:rPr>
        <w:tab/>
      </w:r>
      <w:r w:rsidR="000F5676">
        <w:rPr>
          <w:rFonts w:cs="Times New Roman"/>
        </w:rPr>
        <w:tab/>
      </w:r>
      <w:r w:rsidRPr="003778BF">
        <w:rPr>
          <w:rFonts w:cs="Times New Roman"/>
        </w:rPr>
        <w:t>The boomerang theory, thus, recognizes the role of transnational and international actors in translating internationally constructed norms into domestic processes and empower those whose rights are violated. In essence, this theory builds upon the power of the international society and the diffusion and execution of universally constructed norms and rights, in a specific issue area. This theory will help to demonstrate the actual impact international norms and rules can have on domestic politics (</w:t>
      </w:r>
      <w:proofErr w:type="spellStart"/>
      <w:r w:rsidRPr="003778BF">
        <w:rPr>
          <w:rFonts w:cs="Times New Roman"/>
        </w:rPr>
        <w:t>Ropp</w:t>
      </w:r>
      <w:proofErr w:type="spellEnd"/>
      <w:r w:rsidRPr="003778BF">
        <w:rPr>
          <w:rFonts w:cs="Times New Roman"/>
        </w:rPr>
        <w:t xml:space="preserve"> et al., 1999, p. 2). As has become evident, the boomerang theory has in the past predominantly been applied to cases in the human rights issue area. However, since this theory builds upon the influence of transnational advocacy networks on domestic political processes, it is applicable to secession processes as well. In addition, it is often agreed upon that governments are the primary ‘guarantors’ of rights. However, in many cases they belong among the primary violators as well (</w:t>
      </w:r>
      <w:proofErr w:type="spellStart"/>
      <w:r w:rsidRPr="003778BF">
        <w:rPr>
          <w:rFonts w:cs="Times New Roman"/>
        </w:rPr>
        <w:t>Risse</w:t>
      </w:r>
      <w:proofErr w:type="spellEnd"/>
      <w:r w:rsidRPr="003778BF">
        <w:rPr>
          <w:rFonts w:cs="Times New Roman"/>
        </w:rPr>
        <w:t>, 1999). This is where the boomerang effect applies, and explains why the international society can be of major importance for initiating domestic political change.</w:t>
      </w:r>
      <w:r w:rsidRPr="003778BF">
        <w:rPr>
          <w:rFonts w:cs="Times New Roman"/>
        </w:rPr>
        <w:tab/>
      </w:r>
      <w:r w:rsidR="000F5676">
        <w:rPr>
          <w:rFonts w:cs="Times New Roman"/>
        </w:rPr>
        <w:tab/>
      </w:r>
      <w:r w:rsidR="000F5676">
        <w:rPr>
          <w:rFonts w:cs="Times New Roman"/>
        </w:rPr>
        <w:tab/>
      </w:r>
      <w:r w:rsidR="000F5676">
        <w:rPr>
          <w:rFonts w:cs="Times New Roman"/>
        </w:rPr>
        <w:tab/>
      </w:r>
      <w:r w:rsidRPr="003778BF">
        <w:rPr>
          <w:rFonts w:cs="Times New Roman"/>
        </w:rPr>
        <w:t>Hence the boomerang theory may be very much applicable and effective in explaining a secession process, it is evident that secession is much more complex and consists of many more confounding variables that may or may not influence these domestic changes. The purpose of this study is to set out whether or not the international advocacy network is effective in successfully achieving secession. Therefore, the aim of the research is not to test the theory, but apply the theory to one specific case. Moreover, this research does not desire to make assumption that exceed this single case. Thus, a case-centric rather than theory-centric approach is favorable here. This should be taken into account throughout the whole execution of the research.</w:t>
      </w:r>
    </w:p>
    <w:p w:rsidR="00F03CDD" w:rsidRPr="004243FF" w:rsidRDefault="00F03CDD" w:rsidP="00F03CDD">
      <w:pPr>
        <w:pStyle w:val="Kop3"/>
        <w:rPr>
          <w:rFonts w:asciiTheme="minorHAnsi" w:hAnsiTheme="minorHAnsi"/>
          <w:b w:val="0"/>
        </w:rPr>
      </w:pPr>
      <w:bookmarkStart w:id="19" w:name="_Toc489007234"/>
      <w:r w:rsidRPr="004243FF">
        <w:rPr>
          <w:rFonts w:asciiTheme="minorHAnsi" w:hAnsiTheme="minorHAnsi"/>
          <w:b w:val="0"/>
        </w:rPr>
        <w:lastRenderedPageBreak/>
        <w:t>2.2.3 The International Advocacy Network</w:t>
      </w:r>
      <w:bookmarkEnd w:id="19"/>
      <w:r w:rsidRPr="004243FF">
        <w:rPr>
          <w:rFonts w:asciiTheme="minorHAnsi" w:hAnsiTheme="minorHAnsi"/>
          <w:b w:val="0"/>
        </w:rPr>
        <w:t xml:space="preserve"> </w:t>
      </w:r>
    </w:p>
    <w:p w:rsidR="00D15816" w:rsidRPr="003778BF" w:rsidRDefault="00D15816" w:rsidP="003778BF">
      <w:pPr>
        <w:spacing w:line="360" w:lineRule="auto"/>
        <w:jc w:val="both"/>
        <w:rPr>
          <w:rFonts w:cs="Times New Roman"/>
        </w:rPr>
      </w:pPr>
      <w:r w:rsidRPr="003778BF">
        <w:rPr>
          <w:rFonts w:cs="Times New Roman"/>
        </w:rPr>
        <w:t xml:space="preserve">World politics, as one knows it today, involves all kind of actors. These can be state or non-state actors, private or public, domestically active or internationally active. There is a wide array of different actors and different interactions between these actors. These interactions are structured in so-called networks. As there is diversity in types of actors, there co-exist different networks as well. These networks are based upon shared norms and values, constructed into a network. The transnational advocacy network, a network of activists, is such an example (Keck and </w:t>
      </w:r>
      <w:proofErr w:type="spellStart"/>
      <w:r w:rsidRPr="003778BF">
        <w:rPr>
          <w:rFonts w:cs="Times New Roman"/>
        </w:rPr>
        <w:t>Sikkink</w:t>
      </w:r>
      <w:proofErr w:type="spellEnd"/>
      <w:r w:rsidRPr="003778BF">
        <w:rPr>
          <w:rFonts w:cs="Times New Roman"/>
        </w:rPr>
        <w:t xml:space="preserve">, 1999). There is even distinguishable transnational advocacy networks, depending on the issue area this network merely focusses on. The human rights issue area is one of those, and the environmental issue area is another one. It is the people who construct such a network, through the construction of an interaction with other actors. It is due to these interactions that a boomerang pattern comes to exist. Building new links or interactions with other actors in civil society enlarges the network, which provides extended opportunities for dialogue and exchange. Reaching out to one another, in order to strengthen your case in any kind of issue area, is the fundamental core principle of the boomerang theory. Due to the current globalizing and liberalizing processes in world politics, issue areas and its networks grow beyond national and regional borders. The environmental issue area is a striking illustration of the pace a network can grow in. Consequently, boundaries between actors and their relations blur (ibid, 1999, p. 89). </w:t>
      </w:r>
      <w:r w:rsidR="00BB453F">
        <w:rPr>
          <w:rFonts w:cs="Times New Roman"/>
        </w:rPr>
        <w:t>International</w:t>
      </w:r>
      <w:r w:rsidRPr="003778BF">
        <w:rPr>
          <w:rFonts w:cs="Times New Roman"/>
        </w:rPr>
        <w:t xml:space="preserve"> advocacy networks thrive in issue areas of high uncertainty in which no consensus has been reached yet. Human rights are still violated, and global warming has become a major issue that has not been tackled yet. Ethnic conflicts, and the escalation of these conflicts fit this precondition as well. As these networks are introduced by Keck and </w:t>
      </w:r>
      <w:proofErr w:type="spellStart"/>
      <w:r w:rsidRPr="003778BF">
        <w:rPr>
          <w:rFonts w:cs="Times New Roman"/>
        </w:rPr>
        <w:t>Sikkink</w:t>
      </w:r>
      <w:proofErr w:type="spellEnd"/>
      <w:r w:rsidRPr="003778BF">
        <w:rPr>
          <w:rFonts w:cs="Times New Roman"/>
        </w:rPr>
        <w:t>, the relationship is merely based upon informational exchange. However, these interactions are flexible and can also be of material nature. The aim is to persuade and convince another (non)member of the network to follow the norms and rules that apply to the specific issue area. In the environmental issue area, a basic regulation one is supposed to adhere to is the polluter pays principle. If one actor does not adhere to this principle, the other members of this network may target this actor. International advocacy network actors not only bring new ideas and norms in policy debates, but also promote collective action and group legitimacy (ibid, 1999, p. 90). This theoretical apparatus draws upon the processes of empowering and action formation. Collective norms and regulations, but also the legitimacy of institutions and international actors embody core features in these processes. It is the dots in the networks, the international actors and their interests, that motivate collective action formation, while it is the collectively shared norms an rules established in institutions, that justify these actions.</w:t>
      </w:r>
    </w:p>
    <w:p w:rsidR="00D15816" w:rsidRPr="004243FF" w:rsidRDefault="002D128F" w:rsidP="002D128F">
      <w:pPr>
        <w:pStyle w:val="Kop3"/>
        <w:rPr>
          <w:rFonts w:asciiTheme="minorHAnsi" w:hAnsiTheme="minorHAnsi"/>
          <w:b w:val="0"/>
        </w:rPr>
      </w:pPr>
      <w:bookmarkStart w:id="20" w:name="_Toc489007235"/>
      <w:r w:rsidRPr="004243FF">
        <w:rPr>
          <w:rFonts w:asciiTheme="minorHAnsi" w:hAnsiTheme="minorHAnsi"/>
          <w:b w:val="0"/>
        </w:rPr>
        <w:lastRenderedPageBreak/>
        <w:t xml:space="preserve">2.2.4 </w:t>
      </w:r>
      <w:r w:rsidR="00D15816" w:rsidRPr="004243FF">
        <w:rPr>
          <w:rFonts w:asciiTheme="minorHAnsi" w:hAnsiTheme="minorHAnsi"/>
          <w:b w:val="0"/>
        </w:rPr>
        <w:t>Actors and target state</w:t>
      </w:r>
      <w:bookmarkEnd w:id="20"/>
    </w:p>
    <w:p w:rsidR="00D15816" w:rsidRDefault="00D15816" w:rsidP="003778BF">
      <w:pPr>
        <w:spacing w:line="360" w:lineRule="auto"/>
        <w:jc w:val="both"/>
        <w:rPr>
          <w:rFonts w:cs="Times New Roman"/>
        </w:rPr>
      </w:pPr>
      <w:r w:rsidRPr="003778BF">
        <w:rPr>
          <w:rFonts w:cs="Times New Roman"/>
        </w:rPr>
        <w:t>The international advocacy network is the independent variable in this study, and is a rather broad and vague concept that may imply different things. Important to note here is that this variable consists of two complementing elements: the actors, and institutional principles. Despite its complexity and ambiguity, this variable is a center piece in this study and its theoretical debate, and must be defined adequately. Without a shared common understanding of key terms, one cannot advance in any field of research (</w:t>
      </w:r>
      <w:proofErr w:type="spellStart"/>
      <w:r w:rsidRPr="003778BF">
        <w:rPr>
          <w:rFonts w:cs="Times New Roman"/>
        </w:rPr>
        <w:t>Ostrom</w:t>
      </w:r>
      <w:proofErr w:type="spellEnd"/>
      <w:r w:rsidRPr="003778BF">
        <w:rPr>
          <w:rFonts w:cs="Times New Roman"/>
        </w:rPr>
        <w:t xml:space="preserve">, 1986, p. 4). The international advocacy network consists of both dots and ties. The dots in this network are the international actors involved. Keck and </w:t>
      </w:r>
      <w:proofErr w:type="spellStart"/>
      <w:r w:rsidRPr="003778BF">
        <w:rPr>
          <w:rFonts w:cs="Times New Roman"/>
        </w:rPr>
        <w:t>Sikkink</w:t>
      </w:r>
      <w:proofErr w:type="spellEnd"/>
      <w:r w:rsidRPr="003778BF">
        <w:rPr>
          <w:rFonts w:cs="Times New Roman"/>
        </w:rPr>
        <w:t xml:space="preserve"> (2013) distinguish the following international actors in an advocacy network: INGOs, international research and advocacy organizations, social movements, the media, and international intergovernmental organizations (pp. 91 – 92). States are considered to be actors in this network as well, but are neglected as actors in international involvement, in this specific study. This does not mean, however, that other states which are not directly involved in the conflict itself cannot mobilize and engage in the conflict. However, their role in advocacy networks is connected to (I)NGOs, social movements, and other international organizations, via various institutional principles. (Keck and </w:t>
      </w:r>
      <w:proofErr w:type="spellStart"/>
      <w:r w:rsidRPr="003778BF">
        <w:rPr>
          <w:rFonts w:cs="Times New Roman"/>
        </w:rPr>
        <w:t>Sikkink</w:t>
      </w:r>
      <w:proofErr w:type="spellEnd"/>
      <w:r w:rsidRPr="003778BF">
        <w:rPr>
          <w:rFonts w:cs="Times New Roman"/>
        </w:rPr>
        <w:t xml:space="preserve">, 1999). Certain actors in any network are more prominent than others, dependent on the issue area, the geographical location of the dispute, and its history and context. For the specific case of the Kosovar secession, the UN, NATO and the EU can be </w:t>
      </w:r>
      <w:r w:rsidR="00947D29">
        <w:rPr>
          <w:rFonts w:cs="Times New Roman"/>
        </w:rPr>
        <w:t xml:space="preserve">considered to be the main platforms for participation within </w:t>
      </w:r>
      <w:r w:rsidRPr="003778BF">
        <w:rPr>
          <w:rFonts w:cs="Times New Roman"/>
        </w:rPr>
        <w:t xml:space="preserve">the network. Besides a whole lot of ‘smaller’ actors involved. The target state in this dispute is Serbia, the state of which Kosovo wanted to secede. This is important to set straight, since this study will often refer to the term target state. </w:t>
      </w:r>
    </w:p>
    <w:p w:rsidR="00665B96" w:rsidRDefault="00665B96" w:rsidP="003778BF">
      <w:pPr>
        <w:spacing w:line="360" w:lineRule="auto"/>
        <w:jc w:val="both"/>
        <w:rPr>
          <w:rFonts w:cs="Times New Roman"/>
        </w:rPr>
      </w:pPr>
      <w:r>
        <w:rPr>
          <w:rFonts w:cs="Times New Roman"/>
        </w:rPr>
        <w:t xml:space="preserve">The composition of the network is of importance for the effective power of the network, and its capacity to initiate domestic change. In the Kosovar secession case, there is many international actors involved in the network, who represent influential international platforms such as the UN, NATO, and the EU. This is beneficial, since it increases the perspectives of the Kosovar Albanian people. The more influential and powerful the network in terms of capabilities, the more likely it is that a change may occur. The exact composition of the advocacy network will be further defined in the empirical chapter. </w:t>
      </w:r>
    </w:p>
    <w:p w:rsidR="00CF6445" w:rsidRPr="004243FF" w:rsidRDefault="00A22AB2" w:rsidP="00CF6445">
      <w:pPr>
        <w:pStyle w:val="Kop3"/>
        <w:rPr>
          <w:rFonts w:asciiTheme="minorHAnsi" w:hAnsiTheme="minorHAnsi"/>
          <w:b w:val="0"/>
        </w:rPr>
      </w:pPr>
      <w:bookmarkStart w:id="21" w:name="_Toc489007236"/>
      <w:r>
        <w:rPr>
          <w:rFonts w:asciiTheme="minorHAnsi" w:hAnsiTheme="minorHAnsi"/>
          <w:b w:val="0"/>
        </w:rPr>
        <w:t>2.2.5</w:t>
      </w:r>
      <w:r w:rsidR="00CF6445" w:rsidRPr="004243FF">
        <w:rPr>
          <w:rFonts w:asciiTheme="minorHAnsi" w:hAnsiTheme="minorHAnsi"/>
          <w:b w:val="0"/>
        </w:rPr>
        <w:t xml:space="preserve"> Strategies</w:t>
      </w:r>
      <w:bookmarkEnd w:id="21"/>
    </w:p>
    <w:p w:rsidR="00CF6445" w:rsidRPr="003778BF" w:rsidRDefault="00CF6445" w:rsidP="003778BF">
      <w:pPr>
        <w:spacing w:line="360" w:lineRule="auto"/>
        <w:jc w:val="both"/>
        <w:rPr>
          <w:rFonts w:cs="Times New Roman"/>
        </w:rPr>
      </w:pPr>
      <w:r w:rsidRPr="003778BF">
        <w:rPr>
          <w:rFonts w:cs="Times New Roman"/>
        </w:rPr>
        <w:t>Although it has become evident in the previous section</w:t>
      </w:r>
      <w:r w:rsidR="00610AF9">
        <w:rPr>
          <w:rFonts w:cs="Times New Roman"/>
        </w:rPr>
        <w:t>s</w:t>
      </w:r>
      <w:r w:rsidRPr="003778BF">
        <w:rPr>
          <w:rFonts w:cs="Times New Roman"/>
        </w:rPr>
        <w:t xml:space="preserve"> that the structure of an institutional framework such as the international advoc</w:t>
      </w:r>
      <w:r w:rsidR="00C46EC7">
        <w:rPr>
          <w:rFonts w:cs="Times New Roman"/>
        </w:rPr>
        <w:t>acy network is to a large extent</w:t>
      </w:r>
      <w:r w:rsidRPr="003778BF">
        <w:rPr>
          <w:rFonts w:cs="Times New Roman"/>
        </w:rPr>
        <w:t xml:space="preserve"> constructed through a stable set of norms and rules, the role of actors’ strategies should not be underestimated. In order to make the boomerang model effective, the actors involved should embrace a certain strategy that fits the circumstances. Keck and </w:t>
      </w:r>
      <w:proofErr w:type="spellStart"/>
      <w:r w:rsidRPr="003778BF">
        <w:rPr>
          <w:rFonts w:cs="Times New Roman"/>
        </w:rPr>
        <w:t>Sikkink</w:t>
      </w:r>
      <w:proofErr w:type="spellEnd"/>
      <w:r w:rsidRPr="003778BF">
        <w:rPr>
          <w:rFonts w:cs="Times New Roman"/>
        </w:rPr>
        <w:t xml:space="preserve"> (1999) distinguished four types of tactics, or strategies, that can </w:t>
      </w:r>
      <w:r w:rsidRPr="003778BF">
        <w:rPr>
          <w:rFonts w:cs="Times New Roman"/>
        </w:rPr>
        <w:lastRenderedPageBreak/>
        <w:t xml:space="preserve">be employed by the actors in the network. These include: </w:t>
      </w:r>
      <w:r w:rsidRPr="003778BF">
        <w:rPr>
          <w:rFonts w:cs="Times New Roman"/>
          <w:i/>
        </w:rPr>
        <w:t>informational politics, symbolic politics, leverage politics, and accountability politics</w:t>
      </w:r>
      <w:r w:rsidRPr="003778BF">
        <w:rPr>
          <w:rFonts w:cs="Times New Roman"/>
        </w:rPr>
        <w:t xml:space="preserve"> (p. 95). Although one is perhaps more straightforward as another, and may be of bigger importance to this research, all four are of significant use at specific times and in specific phas</w:t>
      </w:r>
      <w:r>
        <w:rPr>
          <w:rFonts w:cs="Times New Roman"/>
        </w:rPr>
        <w:t xml:space="preserve">es of the spiral model. </w:t>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sidRPr="003778BF">
        <w:rPr>
          <w:rFonts w:cs="Times New Roman"/>
          <w:i/>
        </w:rPr>
        <w:t xml:space="preserve">Information politics </w:t>
      </w:r>
      <w:r w:rsidRPr="003778BF">
        <w:rPr>
          <w:rFonts w:cs="Times New Roman"/>
        </w:rPr>
        <w:t xml:space="preserve">is a favorable tactic to use if the network wants to transfer usable information to where it has the most impact (ibid, 1999, pp. 95 - 96), the group it supports in the dispute for instance. Information is of key importance for the effective functioning of the network, since it connects the members of the group (ibid, 1999, pp. 95 - 96). All informal communication as well as the media are important tools in information politics.  </w:t>
      </w:r>
      <w:r w:rsidRPr="003778BF">
        <w:rPr>
          <w:rFonts w:cs="Times New Roman"/>
        </w:rPr>
        <w:tab/>
      </w:r>
      <w:r w:rsidRPr="003778BF">
        <w:rPr>
          <w:rFonts w:cs="Times New Roman"/>
        </w:rPr>
        <w:tab/>
      </w:r>
      <w:r w:rsidRPr="003778BF">
        <w:rPr>
          <w:rFonts w:cs="Times New Roman"/>
        </w:rPr>
        <w:tab/>
      </w:r>
      <w:r>
        <w:rPr>
          <w:rFonts w:cs="Times New Roman"/>
        </w:rPr>
        <w:tab/>
      </w:r>
      <w:r>
        <w:rPr>
          <w:rFonts w:cs="Times New Roman"/>
        </w:rPr>
        <w:tab/>
      </w:r>
      <w:r>
        <w:rPr>
          <w:rFonts w:cs="Times New Roman"/>
        </w:rPr>
        <w:tab/>
      </w:r>
      <w:r w:rsidRPr="003778BF">
        <w:rPr>
          <w:rFonts w:cs="Times New Roman"/>
          <w:i/>
        </w:rPr>
        <w:t xml:space="preserve">Symbolic politics </w:t>
      </w:r>
      <w:r w:rsidRPr="003778BF">
        <w:rPr>
          <w:rFonts w:cs="Times New Roman"/>
        </w:rPr>
        <w:t xml:space="preserve">is a tactic used to connect with like-minded people, and persuade people in joining the ‘movement’ and raise awareness among these people (ibid, 1999, pp. 96 - 97). Public shaming of the target state or public support for a minority group can be categorized as such. Moreover symbols are seductive (Denzel Smith, 2016), and can be considered an effective means towards an end. Symbolic politics is often used to propagate a certain issue one supports. Hence, raising awareness by doing this. Symbolic events such as benefit concerts, gatherings, speeches by iconic individuals, or even sports can be considered to be such events. </w:t>
      </w:r>
      <w:r>
        <w:rPr>
          <w:rFonts w:cs="Times New Roman"/>
        </w:rPr>
        <w:tab/>
      </w:r>
      <w:r>
        <w:rPr>
          <w:rFonts w:cs="Times New Roman"/>
        </w:rPr>
        <w:tab/>
      </w:r>
      <w:r>
        <w:rPr>
          <w:rFonts w:cs="Times New Roman"/>
        </w:rPr>
        <w:tab/>
      </w:r>
      <w:r>
        <w:rPr>
          <w:rFonts w:cs="Times New Roman"/>
        </w:rPr>
        <w:tab/>
      </w:r>
      <w:r w:rsidRPr="003778BF">
        <w:rPr>
          <w:rFonts w:cs="Times New Roman"/>
          <w:i/>
        </w:rPr>
        <w:t xml:space="preserve">Leverage politics </w:t>
      </w:r>
      <w:r w:rsidRPr="003778BF">
        <w:rPr>
          <w:rFonts w:cs="Times New Roman"/>
        </w:rPr>
        <w:t xml:space="preserve">is another tactic that can be employed by the network to provoke change. In order to effectively pressurize and persuade powerful target states, having leverage may </w:t>
      </w:r>
      <w:r>
        <w:rPr>
          <w:rFonts w:cs="Times New Roman"/>
        </w:rPr>
        <w:t xml:space="preserve">be rather useful (Keck and </w:t>
      </w:r>
      <w:proofErr w:type="spellStart"/>
      <w:r>
        <w:rPr>
          <w:rFonts w:cs="Times New Roman"/>
        </w:rPr>
        <w:t>Sikkink</w:t>
      </w:r>
      <w:proofErr w:type="spellEnd"/>
      <w:r w:rsidRPr="003778BF">
        <w:rPr>
          <w:rFonts w:cs="Times New Roman"/>
        </w:rPr>
        <w:t xml:space="preserve">, </w:t>
      </w:r>
      <w:r>
        <w:rPr>
          <w:rFonts w:cs="Times New Roman"/>
        </w:rPr>
        <w:t>1999, p. 97). This can be both</w:t>
      </w:r>
      <w:r w:rsidRPr="003778BF">
        <w:rPr>
          <w:rFonts w:cs="Times New Roman"/>
        </w:rPr>
        <w:t xml:space="preserve"> material or non-material. All kinds of incentives may be useful as potential leverage: money, offices in roundtables, or a bigger voice in certain assemblies. Moreover, support from allies can be used as leverage in </w:t>
      </w:r>
      <w:r>
        <w:rPr>
          <w:rFonts w:cs="Times New Roman"/>
        </w:rPr>
        <w:t>negotiations as well.</w:t>
      </w:r>
      <w:r>
        <w:rPr>
          <w:rFonts w:cs="Times New Roman"/>
        </w:rPr>
        <w:tab/>
      </w:r>
      <w:r w:rsidRPr="003778BF">
        <w:rPr>
          <w:rFonts w:cs="Times New Roman"/>
        </w:rPr>
        <w:t xml:space="preserve">The final tactic Keck and </w:t>
      </w:r>
      <w:proofErr w:type="spellStart"/>
      <w:r w:rsidRPr="003778BF">
        <w:rPr>
          <w:rFonts w:cs="Times New Roman"/>
        </w:rPr>
        <w:t>Sikkink</w:t>
      </w:r>
      <w:proofErr w:type="spellEnd"/>
      <w:r w:rsidRPr="003778BF">
        <w:rPr>
          <w:rFonts w:cs="Times New Roman"/>
        </w:rPr>
        <w:t xml:space="preserve"> set out concerns </w:t>
      </w:r>
      <w:r w:rsidRPr="003778BF">
        <w:rPr>
          <w:rFonts w:cs="Times New Roman"/>
          <w:i/>
        </w:rPr>
        <w:t>accountability politics</w:t>
      </w:r>
      <w:r w:rsidRPr="003778BF">
        <w:rPr>
          <w:rFonts w:cs="Times New Roman"/>
        </w:rPr>
        <w:t xml:space="preserve">. This tactic becomes of importance in the final phases of the model, and function as a tool for holding the target state accountable of their politics. Once the target group publicly committed itself to a principle, the network is able to hold the group accountable by referring to those commitments (ibid, 1999, p. 97). This is a rather useful tool, since governments and organizations often care about their self-image and reputation. Yet, for the purposes of this research it is of lesser importance since the target state does not have to commit in order to provoke change. Change towards successful can occur without the commitment of the target state, as long as other states recognize </w:t>
      </w:r>
      <w:r>
        <w:rPr>
          <w:rFonts w:cs="Times New Roman"/>
        </w:rPr>
        <w:t>the change as such.</w:t>
      </w:r>
      <w:r>
        <w:rPr>
          <w:rFonts w:cs="Times New Roman"/>
        </w:rPr>
        <w:tab/>
      </w:r>
      <w:r>
        <w:rPr>
          <w:rFonts w:cs="Times New Roman"/>
        </w:rPr>
        <w:tab/>
      </w:r>
      <w:r w:rsidRPr="003778BF">
        <w:rPr>
          <w:rFonts w:cs="Times New Roman"/>
        </w:rPr>
        <w:t xml:space="preserve">These strategies can be applied to the different phases in the model, and may overlap or complement each other. The provision of information for instance, may provide a group with an advantage in leverage politics. In addition, access to important information may allow the network to hold a target group accountable more easily. Furthermore it is important to note that the above mentioned strategies may be used as a tool to pressurize the target state, but can also be employed </w:t>
      </w:r>
      <w:r w:rsidRPr="003778BF">
        <w:rPr>
          <w:rFonts w:cs="Times New Roman"/>
        </w:rPr>
        <w:lastRenderedPageBreak/>
        <w:t xml:space="preserve">by the target state in order to defend itself. As will become evident in the empirical analysis, both ‘camps’ will employ these strategies for their own purposes. </w:t>
      </w:r>
    </w:p>
    <w:p w:rsidR="00D15816" w:rsidRPr="004243FF" w:rsidRDefault="00A22AB2" w:rsidP="002D128F">
      <w:pPr>
        <w:pStyle w:val="Kop3"/>
        <w:rPr>
          <w:rFonts w:asciiTheme="minorHAnsi" w:hAnsiTheme="minorHAnsi"/>
          <w:b w:val="0"/>
        </w:rPr>
      </w:pPr>
      <w:bookmarkStart w:id="22" w:name="_Toc489007237"/>
      <w:r>
        <w:rPr>
          <w:rFonts w:asciiTheme="minorHAnsi" w:hAnsiTheme="minorHAnsi"/>
          <w:b w:val="0"/>
        </w:rPr>
        <w:t>2.2.6</w:t>
      </w:r>
      <w:r w:rsidR="002D128F" w:rsidRPr="004243FF">
        <w:rPr>
          <w:rFonts w:asciiTheme="minorHAnsi" w:hAnsiTheme="minorHAnsi"/>
          <w:b w:val="0"/>
        </w:rPr>
        <w:t xml:space="preserve"> </w:t>
      </w:r>
      <w:r w:rsidR="00D15816" w:rsidRPr="004243FF">
        <w:rPr>
          <w:rFonts w:asciiTheme="minorHAnsi" w:hAnsiTheme="minorHAnsi"/>
          <w:b w:val="0"/>
        </w:rPr>
        <w:t>Institutionalized norms and principles</w:t>
      </w:r>
      <w:bookmarkEnd w:id="22"/>
    </w:p>
    <w:p w:rsidR="00D15816" w:rsidRDefault="00D15816" w:rsidP="003778BF">
      <w:pPr>
        <w:spacing w:line="360" w:lineRule="auto"/>
        <w:jc w:val="both"/>
        <w:rPr>
          <w:rFonts w:cs="Times New Roman"/>
        </w:rPr>
      </w:pPr>
      <w:r w:rsidRPr="003778BF">
        <w:rPr>
          <w:rFonts w:cs="Times New Roman"/>
        </w:rPr>
        <w:t xml:space="preserve">International institutions of various kinds – treaties, organizations, regimes, conventions, etc. – have increased greatly in the past decades (Duffield, 2007, p. 1). However, there is a lack of a sufficient definition that encompasses all these types of institutions. </w:t>
      </w:r>
      <w:proofErr w:type="spellStart"/>
      <w:r w:rsidRPr="003778BF">
        <w:rPr>
          <w:rFonts w:cs="Times New Roman"/>
        </w:rPr>
        <w:t>Risse</w:t>
      </w:r>
      <w:proofErr w:type="spellEnd"/>
      <w:r w:rsidRPr="003778BF">
        <w:rPr>
          <w:rFonts w:cs="Times New Roman"/>
        </w:rPr>
        <w:t xml:space="preserve"> (2002) touches upon this inconvenience arguing that there are at least as many definitions of international institutions as there are theoretical perspectives (p. 605), which nicely shows the ambiguity of the concept. To start off with, an international advocacy network in this study always entails the inclusion of international institutions. Meaning that there has to be an actor involved that at least tries to enforce a certain institutional structure. This paper dismisses the old fashioned conception of international institutions, referring to formal, tangible organizations such as a EU, NATO, or the World Bank (Duffield, 2007, p. 3). Although these types of institutions are still part of the broader definition, there is much more to it in this contemporary globalizing world.</w:t>
      </w:r>
      <w:r w:rsidRPr="003778BF">
        <w:rPr>
          <w:rFonts w:cs="Times New Roman"/>
        </w:rPr>
        <w:tab/>
      </w:r>
      <w:r w:rsidR="000F5676">
        <w:rPr>
          <w:rFonts w:cs="Times New Roman"/>
        </w:rPr>
        <w:tab/>
      </w:r>
      <w:r w:rsidR="000F5676">
        <w:rPr>
          <w:rFonts w:cs="Times New Roman"/>
        </w:rPr>
        <w:tab/>
      </w:r>
      <w:r w:rsidR="000F5676">
        <w:rPr>
          <w:rFonts w:cs="Times New Roman"/>
        </w:rPr>
        <w:tab/>
      </w:r>
      <w:r w:rsidR="000F5676">
        <w:rPr>
          <w:rFonts w:cs="Times New Roman"/>
        </w:rPr>
        <w:tab/>
      </w:r>
      <w:r w:rsidRPr="003778BF">
        <w:rPr>
          <w:rFonts w:cs="Times New Roman"/>
        </w:rPr>
        <w:t xml:space="preserve">The extended notion of international institutions over the past decades complicates the formulation of a comprehensive, all-encompassing definition of the concept, since it should include the increased range of possible institutional forms and functions. It is the institutional mechanisms which make a network (Keck and </w:t>
      </w:r>
      <w:proofErr w:type="spellStart"/>
      <w:r w:rsidRPr="003778BF">
        <w:rPr>
          <w:rFonts w:cs="Times New Roman"/>
        </w:rPr>
        <w:t>Sikkink</w:t>
      </w:r>
      <w:proofErr w:type="spellEnd"/>
      <w:r w:rsidRPr="003778BF">
        <w:rPr>
          <w:rFonts w:cs="Times New Roman"/>
        </w:rPr>
        <w:t xml:space="preserve">, 1999). Duffield (2007) made a valuable contribution proposing a definition of international institutions as </w:t>
      </w:r>
      <w:r w:rsidRPr="003778BF">
        <w:rPr>
          <w:rFonts w:cs="Times New Roman"/>
          <w:i/>
        </w:rPr>
        <w:t xml:space="preserve">‘’… a relatively stable set of related constitutive, regulative, and procedural norms and rules that pertain to the international system, the actors in the system, and their activities.’’ </w:t>
      </w:r>
      <w:r w:rsidR="00CF31A8">
        <w:rPr>
          <w:rFonts w:cs="Times New Roman"/>
        </w:rPr>
        <w:t>(</w:t>
      </w:r>
      <w:r w:rsidRPr="003778BF">
        <w:rPr>
          <w:rFonts w:cs="Times New Roman"/>
        </w:rPr>
        <w:t>p. 7-8). Even though this appears like a valid definition, capturing the different kinds of norms and rules in a rather stable international structure, there is still a lot of room for misinterpretation and confusion. Both the concepts ‘’norms’’ and ‘’rules’’ have been assigned different meanings in different contexts over the years, even within the international relations literature (Duffield, 2007). Therefore, it is of importance to define both thoroughly and clearly differentiat</w:t>
      </w:r>
      <w:r w:rsidR="000F5676">
        <w:rPr>
          <w:rFonts w:cs="Times New Roman"/>
        </w:rPr>
        <w:t xml:space="preserve">e between the two. </w:t>
      </w:r>
      <w:r w:rsidR="000F5676">
        <w:rPr>
          <w:rFonts w:cs="Times New Roman"/>
        </w:rPr>
        <w:tab/>
      </w:r>
      <w:r w:rsidR="000F5676">
        <w:rPr>
          <w:rFonts w:cs="Times New Roman"/>
        </w:rPr>
        <w:tab/>
      </w:r>
      <w:r w:rsidR="000F5676">
        <w:rPr>
          <w:rFonts w:cs="Times New Roman"/>
        </w:rPr>
        <w:tab/>
      </w:r>
      <w:r w:rsidR="000F5676">
        <w:rPr>
          <w:rFonts w:cs="Times New Roman"/>
        </w:rPr>
        <w:tab/>
      </w:r>
      <w:r w:rsidR="000F5676">
        <w:rPr>
          <w:rFonts w:cs="Times New Roman"/>
        </w:rPr>
        <w:tab/>
      </w:r>
      <w:r w:rsidR="000F5676">
        <w:rPr>
          <w:rFonts w:cs="Times New Roman"/>
        </w:rPr>
        <w:tab/>
      </w:r>
      <w:r w:rsidR="000F5676">
        <w:rPr>
          <w:rFonts w:cs="Times New Roman"/>
        </w:rPr>
        <w:tab/>
      </w:r>
      <w:r w:rsidR="000F5676">
        <w:rPr>
          <w:rFonts w:cs="Times New Roman"/>
        </w:rPr>
        <w:tab/>
      </w:r>
      <w:r w:rsidR="000F5676">
        <w:rPr>
          <w:rFonts w:cs="Times New Roman"/>
        </w:rPr>
        <w:tab/>
      </w:r>
      <w:r w:rsidRPr="003778BF">
        <w:rPr>
          <w:rFonts w:cs="Times New Roman"/>
        </w:rPr>
        <w:t>Norms is a term often used in the constructivist literature, and labelled as partly intersubjective (Duffield, 2007, p. 6). This implies that these institutional norms may exist in people’s minds, and do not always exist on paper. This makes sense, considering that norms are often perceived as rules of ‘appropriate behavior’. People are often aware of certain norms, but they cannot be imposed on one another. This makes it rather difficult to assess, measure and categorize norms, since they are often not tangible. Consequently, they have been put aside for methodological purposes quite often. This also appeared in the earlier works on normative issues and international organizations. The link had been recognized, but many failed to theorize these processes (</w:t>
      </w:r>
      <w:proofErr w:type="spellStart"/>
      <w:r w:rsidRPr="003778BF">
        <w:rPr>
          <w:rFonts w:cs="Times New Roman"/>
        </w:rPr>
        <w:t>Finnemore</w:t>
      </w:r>
      <w:proofErr w:type="spellEnd"/>
      <w:r w:rsidRPr="003778BF">
        <w:rPr>
          <w:rFonts w:cs="Times New Roman"/>
        </w:rPr>
        <w:t xml:space="preserve"> </w:t>
      </w:r>
      <w:r w:rsidRPr="003778BF">
        <w:rPr>
          <w:rFonts w:cs="Times New Roman"/>
        </w:rPr>
        <w:lastRenderedPageBreak/>
        <w:t xml:space="preserve">and </w:t>
      </w:r>
      <w:proofErr w:type="spellStart"/>
      <w:r w:rsidRPr="003778BF">
        <w:rPr>
          <w:rFonts w:cs="Times New Roman"/>
        </w:rPr>
        <w:t>Sikkink</w:t>
      </w:r>
      <w:proofErr w:type="spellEnd"/>
      <w:r w:rsidRPr="003778BF">
        <w:rPr>
          <w:rFonts w:cs="Times New Roman"/>
        </w:rPr>
        <w:t xml:space="preserve">, 1998). For the purposes of this study, a definition coined by </w:t>
      </w:r>
      <w:proofErr w:type="spellStart"/>
      <w:r w:rsidRPr="003778BF">
        <w:rPr>
          <w:rFonts w:cs="Times New Roman"/>
        </w:rPr>
        <w:t>Finnemore</w:t>
      </w:r>
      <w:proofErr w:type="spellEnd"/>
      <w:r w:rsidRPr="003778BF">
        <w:rPr>
          <w:rFonts w:cs="Times New Roman"/>
        </w:rPr>
        <w:t xml:space="preserve"> and </w:t>
      </w:r>
      <w:proofErr w:type="spellStart"/>
      <w:r w:rsidRPr="003778BF">
        <w:rPr>
          <w:rFonts w:cs="Times New Roman"/>
        </w:rPr>
        <w:t>Sikkink</w:t>
      </w:r>
      <w:proofErr w:type="spellEnd"/>
      <w:r w:rsidRPr="003778BF">
        <w:rPr>
          <w:rFonts w:cs="Times New Roman"/>
        </w:rPr>
        <w:t xml:space="preserve"> is applicable. They not only clearly define the concept, distinguish between the meaning of norms compared to rules, but also encapsulate another important aspect that should not be neglected: the variety in strength of norms. Yet, this definition does not make the concept itself any easier to measure, but at least provides a precise conceptual framework applicable in the upcoming sections of this research. Norms can be defined, and this is generally agreed upon, </w:t>
      </w:r>
      <w:r w:rsidRPr="003778BF">
        <w:rPr>
          <w:rFonts w:cs="Times New Roman"/>
          <w:i/>
        </w:rPr>
        <w:t>‘’…as a standard of appropriate behavior for actors with a given identity.’’</w:t>
      </w:r>
      <w:r w:rsidRPr="003778BF">
        <w:rPr>
          <w:rFonts w:cs="Times New Roman"/>
        </w:rPr>
        <w:t xml:space="preserve"> (</w:t>
      </w:r>
      <w:proofErr w:type="spellStart"/>
      <w:r w:rsidRPr="003778BF">
        <w:rPr>
          <w:rFonts w:cs="Times New Roman"/>
        </w:rPr>
        <w:t>Finnemore</w:t>
      </w:r>
      <w:proofErr w:type="spellEnd"/>
      <w:r w:rsidRPr="003778BF">
        <w:rPr>
          <w:rFonts w:cs="Times New Roman"/>
        </w:rPr>
        <w:t xml:space="preserve"> and </w:t>
      </w:r>
      <w:proofErr w:type="spellStart"/>
      <w:r w:rsidRPr="003778BF">
        <w:rPr>
          <w:rFonts w:cs="Times New Roman"/>
        </w:rPr>
        <w:t>Sikkink</w:t>
      </w:r>
      <w:proofErr w:type="spellEnd"/>
      <w:r w:rsidRPr="003778BF">
        <w:rPr>
          <w:rFonts w:cs="Times New Roman"/>
        </w:rPr>
        <w:t>, 1998, p. 891) Hence, this embodies a quality of ‘</w:t>
      </w:r>
      <w:proofErr w:type="spellStart"/>
      <w:r w:rsidRPr="003778BF">
        <w:rPr>
          <w:rFonts w:cs="Times New Roman"/>
        </w:rPr>
        <w:t>oughtness</w:t>
      </w:r>
      <w:proofErr w:type="spellEnd"/>
      <w:r w:rsidRPr="003778BF">
        <w:rPr>
          <w:rFonts w:cs="Times New Roman"/>
        </w:rPr>
        <w:t xml:space="preserve">’ and shared moral assessment. Furthermore, norms prompt justification for action (ibid, 1998, p. 892), and are therefore a core feature in the international arena. It is the type of norms which evokes a ‘type’ of action behavior. </w:t>
      </w:r>
      <w:proofErr w:type="spellStart"/>
      <w:r w:rsidRPr="003778BF">
        <w:rPr>
          <w:rFonts w:cs="Times New Roman"/>
        </w:rPr>
        <w:t>Finnemore</w:t>
      </w:r>
      <w:proofErr w:type="spellEnd"/>
      <w:r w:rsidRPr="003778BF">
        <w:rPr>
          <w:rFonts w:cs="Times New Roman"/>
        </w:rPr>
        <w:t xml:space="preserve"> and </w:t>
      </w:r>
      <w:proofErr w:type="spellStart"/>
      <w:r w:rsidRPr="003778BF">
        <w:rPr>
          <w:rFonts w:cs="Times New Roman"/>
        </w:rPr>
        <w:t>Sikkink</w:t>
      </w:r>
      <w:proofErr w:type="spellEnd"/>
      <w:r w:rsidRPr="003778BF">
        <w:rPr>
          <w:rFonts w:cs="Times New Roman"/>
        </w:rPr>
        <w:t xml:space="preserve"> distinguish between regulative norms and constitutive norms. The former orders and constrains behavior, while the latter creates new interests and action formations. A third, and often overlooked, type of norms is the prescriptive type which involves standards for proper behavior. It is especially this third category that sets apart norms from rules, because of its standard of appropriateness (ibid, 1998, p. 891). This is also of key importance in any analysis which assess the role of norms, since the third types allows a community to recognize norm-breaking behavior through the generation of disapproval or stigma (ibid, 1998, p. 892). This is often the first step in action formation, and the point of departure in the spiral model. Repression must be recognized first, as a first step towards change.</w:t>
      </w:r>
      <w:r w:rsidRPr="003778BF">
        <w:rPr>
          <w:rFonts w:cs="Times New Roman"/>
        </w:rPr>
        <w:tab/>
      </w:r>
      <w:r w:rsidR="000F5676">
        <w:rPr>
          <w:rFonts w:cs="Times New Roman"/>
        </w:rPr>
        <w:t xml:space="preserve"> </w:t>
      </w:r>
      <w:r w:rsidR="000F5676">
        <w:rPr>
          <w:rFonts w:cs="Times New Roman"/>
        </w:rPr>
        <w:tab/>
      </w:r>
      <w:r w:rsidR="000F5676">
        <w:rPr>
          <w:rFonts w:cs="Times New Roman"/>
        </w:rPr>
        <w:tab/>
      </w:r>
      <w:r w:rsidR="000F5676">
        <w:rPr>
          <w:rFonts w:cs="Times New Roman"/>
        </w:rPr>
        <w:tab/>
      </w:r>
      <w:r w:rsidR="000F5676">
        <w:rPr>
          <w:rFonts w:cs="Times New Roman"/>
        </w:rPr>
        <w:tab/>
      </w:r>
      <w:r w:rsidR="000F5676">
        <w:rPr>
          <w:rFonts w:cs="Times New Roman"/>
        </w:rPr>
        <w:tab/>
      </w:r>
      <w:r w:rsidR="000F5676">
        <w:rPr>
          <w:rFonts w:cs="Times New Roman"/>
        </w:rPr>
        <w:tab/>
      </w:r>
      <w:r w:rsidR="000F5676">
        <w:rPr>
          <w:rFonts w:cs="Times New Roman"/>
        </w:rPr>
        <w:tab/>
      </w:r>
      <w:r w:rsidR="000F5676">
        <w:rPr>
          <w:rFonts w:cs="Times New Roman"/>
        </w:rPr>
        <w:tab/>
      </w:r>
      <w:r w:rsidR="000F5676">
        <w:rPr>
          <w:rFonts w:cs="Times New Roman"/>
        </w:rPr>
        <w:tab/>
      </w:r>
      <w:r w:rsidR="000F5676">
        <w:rPr>
          <w:rFonts w:cs="Times New Roman"/>
        </w:rPr>
        <w:tab/>
      </w:r>
      <w:r w:rsidR="000F5676">
        <w:rPr>
          <w:rFonts w:cs="Times New Roman"/>
        </w:rPr>
        <w:tab/>
      </w:r>
      <w:r w:rsidR="000F5676">
        <w:rPr>
          <w:rFonts w:cs="Times New Roman"/>
        </w:rPr>
        <w:tab/>
      </w:r>
      <w:r w:rsidRPr="003778BF">
        <w:rPr>
          <w:rFonts w:cs="Times New Roman"/>
        </w:rPr>
        <w:t xml:space="preserve">Rules, on the other hand, are the more formal elements of international institutions. Treaties, protocols, and certain agreements can be considered the rules, and exist entirely separate from the agents who devised them. Whereas norms require the consciousness of the agent (Duffield, 2007, p. 10). As there is different degrees of norms, there is different degrees of rules as well; differing between formal and informal. There is binding rules, that one has to legally abide by, since it is officially signed for. There is also voluntary resolutions, or other forms of soft law, which can be categorized as rules. These, however, are obviously way more informal and can hardly be compared to the more formal rules. Yet, both are part of the concept of ‘rules’ as an element of international institutions (ibid, 2007).  </w:t>
      </w:r>
      <w:r w:rsidRPr="003778BF">
        <w:rPr>
          <w:rFonts w:cs="Times New Roman"/>
        </w:rPr>
        <w:tab/>
      </w:r>
      <w:r w:rsidRPr="003778BF">
        <w:rPr>
          <w:rFonts w:cs="Times New Roman"/>
        </w:rPr>
        <w:tab/>
      </w:r>
      <w:r w:rsidRPr="003778BF">
        <w:rPr>
          <w:rFonts w:cs="Times New Roman"/>
        </w:rPr>
        <w:tab/>
      </w:r>
      <w:r w:rsidRPr="003778BF">
        <w:rPr>
          <w:rFonts w:cs="Times New Roman"/>
        </w:rPr>
        <w:tab/>
      </w:r>
      <w:r w:rsidRPr="003778BF">
        <w:rPr>
          <w:rFonts w:cs="Times New Roman"/>
        </w:rPr>
        <w:tab/>
      </w:r>
      <w:r w:rsidR="000F5676">
        <w:rPr>
          <w:rFonts w:cs="Times New Roman"/>
        </w:rPr>
        <w:tab/>
      </w:r>
      <w:r w:rsidR="000F5676">
        <w:rPr>
          <w:rFonts w:cs="Times New Roman"/>
        </w:rPr>
        <w:tab/>
      </w:r>
      <w:r w:rsidR="000F5676">
        <w:rPr>
          <w:rFonts w:cs="Times New Roman"/>
        </w:rPr>
        <w:tab/>
      </w:r>
      <w:r w:rsidR="000F5676">
        <w:rPr>
          <w:rFonts w:cs="Times New Roman"/>
        </w:rPr>
        <w:tab/>
      </w:r>
      <w:r w:rsidR="000F5676">
        <w:rPr>
          <w:rFonts w:cs="Times New Roman"/>
        </w:rPr>
        <w:tab/>
      </w:r>
      <w:r w:rsidRPr="003778BF">
        <w:rPr>
          <w:rFonts w:cs="Times New Roman"/>
        </w:rPr>
        <w:t xml:space="preserve">Behavior of international organizations is strongly influenced by the rules and norms that create the institutional structure. These dynamics change over time, since there is a wide range of forms and combinations that can be adopted in the patterns of institutional behavior. Both norms and rules may influence each other as well, which further blurs the lines between the two. Nevertheless, it is clear that norms cannot be imposed while rules can. Furthermore, this paper argues that formalized rules are often the consequences of normative </w:t>
      </w:r>
      <w:r w:rsidR="001F2D9B">
        <w:rPr>
          <w:rFonts w:cs="Times New Roman"/>
        </w:rPr>
        <w:t xml:space="preserve">behavior. Within </w:t>
      </w:r>
      <w:r w:rsidRPr="003778BF">
        <w:rPr>
          <w:rFonts w:cs="Times New Roman"/>
        </w:rPr>
        <w:t xml:space="preserve">the international advocacy network, political change highly depends on the dynamics and stability of </w:t>
      </w:r>
      <w:r w:rsidRPr="003778BF">
        <w:rPr>
          <w:rFonts w:cs="Times New Roman"/>
        </w:rPr>
        <w:lastRenderedPageBreak/>
        <w:t>these sets of international norms and rules. Over the course of the past decades, norms have gained a more prominent role in these networks. Not only produces it social order and stability, it may also limit the range of choice and constrain action (</w:t>
      </w:r>
      <w:proofErr w:type="spellStart"/>
      <w:r w:rsidRPr="003778BF">
        <w:rPr>
          <w:rFonts w:cs="Times New Roman"/>
        </w:rPr>
        <w:t>Finnemore</w:t>
      </w:r>
      <w:proofErr w:type="spellEnd"/>
      <w:r w:rsidRPr="003778BF">
        <w:rPr>
          <w:rFonts w:cs="Times New Roman"/>
        </w:rPr>
        <w:t xml:space="preserve"> and </w:t>
      </w:r>
      <w:proofErr w:type="spellStart"/>
      <w:r w:rsidRPr="003778BF">
        <w:rPr>
          <w:rFonts w:cs="Times New Roman"/>
        </w:rPr>
        <w:t>Sikkink</w:t>
      </w:r>
      <w:proofErr w:type="spellEnd"/>
      <w:r w:rsidRPr="003778BF">
        <w:rPr>
          <w:rFonts w:cs="Times New Roman"/>
        </w:rPr>
        <w:t>, 1998, p. 894).</w:t>
      </w:r>
      <w:r w:rsidR="001F2D9B">
        <w:rPr>
          <w:rFonts w:cs="Times New Roman"/>
        </w:rPr>
        <w:t xml:space="preserve"> Therefore norms and principles can be considered a way through which actors in the network connect and relate to each other, as well as a means for the network to enforce change upon the target state. </w:t>
      </w:r>
    </w:p>
    <w:p w:rsidR="001E666E" w:rsidRPr="004243FF" w:rsidRDefault="00A22AB2" w:rsidP="001E666E">
      <w:pPr>
        <w:pStyle w:val="Kop3"/>
        <w:rPr>
          <w:rFonts w:asciiTheme="minorHAnsi" w:hAnsiTheme="minorHAnsi"/>
          <w:b w:val="0"/>
        </w:rPr>
      </w:pPr>
      <w:bookmarkStart w:id="23" w:name="_Toc489007238"/>
      <w:r>
        <w:rPr>
          <w:rFonts w:asciiTheme="minorHAnsi" w:hAnsiTheme="minorHAnsi"/>
          <w:b w:val="0"/>
        </w:rPr>
        <w:t>2.2.7</w:t>
      </w:r>
      <w:r w:rsidR="001E666E" w:rsidRPr="004243FF">
        <w:rPr>
          <w:rFonts w:asciiTheme="minorHAnsi" w:hAnsiTheme="minorHAnsi"/>
          <w:b w:val="0"/>
        </w:rPr>
        <w:t xml:space="preserve"> Spiral Model</w:t>
      </w:r>
      <w:bookmarkEnd w:id="23"/>
    </w:p>
    <w:p w:rsidR="001E666E" w:rsidRPr="003778BF" w:rsidRDefault="001E666E" w:rsidP="003778BF">
      <w:pPr>
        <w:spacing w:line="360" w:lineRule="auto"/>
        <w:jc w:val="both"/>
        <w:rPr>
          <w:rFonts w:cs="Times New Roman"/>
        </w:rPr>
      </w:pPr>
      <w:r>
        <w:rPr>
          <w:rFonts w:cs="Times New Roman"/>
        </w:rPr>
        <w:t xml:space="preserve">Whereas the boomerang model can be characterized as the overarching model in which the oppressed group links-up with the international community, the spiral model can be best characterized as the ongoing process within the boomerang model that seeks to enforce domestic change. </w:t>
      </w:r>
      <w:r w:rsidRPr="003778BF">
        <w:rPr>
          <w:rFonts w:cs="Times New Roman"/>
        </w:rPr>
        <w:t>The boomerang mechanism occurs in a five stage model that specifies the conditions for change at the domestic level (</w:t>
      </w:r>
      <w:proofErr w:type="spellStart"/>
      <w:r w:rsidRPr="003778BF">
        <w:rPr>
          <w:rFonts w:cs="Times New Roman"/>
        </w:rPr>
        <w:t>Risse</w:t>
      </w:r>
      <w:proofErr w:type="spellEnd"/>
      <w:r w:rsidRPr="003778BF">
        <w:rPr>
          <w:rFonts w:cs="Times New Roman"/>
        </w:rPr>
        <w:t>, 1999, p. 538). The model presupposes that it is the pressure from the international advocacy network that results in change in domestic practices. According to the model, it is five phases towards norm incorporation that have to be followed. This five phase model is called the ‘’spiral model’’ and is specified to international human rights norms implementation (</w:t>
      </w:r>
      <w:proofErr w:type="spellStart"/>
      <w:r w:rsidRPr="003778BF">
        <w:rPr>
          <w:rFonts w:cs="Times New Roman"/>
        </w:rPr>
        <w:t>Risse</w:t>
      </w:r>
      <w:proofErr w:type="spellEnd"/>
      <w:r w:rsidRPr="003778BF">
        <w:rPr>
          <w:rFonts w:cs="Times New Roman"/>
        </w:rPr>
        <w:t xml:space="preserve">, 1999; Keck and </w:t>
      </w:r>
      <w:proofErr w:type="spellStart"/>
      <w:r w:rsidRPr="003778BF">
        <w:rPr>
          <w:rFonts w:cs="Times New Roman"/>
        </w:rPr>
        <w:t>Sikkink</w:t>
      </w:r>
      <w:proofErr w:type="spellEnd"/>
      <w:r w:rsidRPr="003778BF">
        <w:rPr>
          <w:rFonts w:cs="Times New Roman"/>
        </w:rPr>
        <w:t>, 1999). Nevertheless these insights in the human rights issue area are extraordinarily suggestive for an understanding of the ethnic conflict issue area. Norms and rules are at the core of all international institutional arrangements (Duffield, 2007). Therefore, the point of departure is in essence the same. In addition, the aim of the process is similar as well. Both in the human rights issue area and the ethnic conflict issue area the same goal is pursued, a change in domestic practices. It is argued that only by completing all five stages of the model, a successful change in domestic practices will occur (</w:t>
      </w:r>
      <w:proofErr w:type="spellStart"/>
      <w:r w:rsidRPr="003778BF">
        <w:rPr>
          <w:rFonts w:cs="Times New Roman"/>
        </w:rPr>
        <w:t>Ropp</w:t>
      </w:r>
      <w:proofErr w:type="spellEnd"/>
      <w:r w:rsidRPr="003778BF">
        <w:rPr>
          <w:rFonts w:cs="Times New Roman"/>
        </w:rPr>
        <w:t xml:space="preserve"> et al., 1999; Keck and </w:t>
      </w:r>
      <w:proofErr w:type="spellStart"/>
      <w:r w:rsidRPr="003778BF">
        <w:rPr>
          <w:rFonts w:cs="Times New Roman"/>
        </w:rPr>
        <w:t>Sikkink</w:t>
      </w:r>
      <w:proofErr w:type="spellEnd"/>
      <w:r w:rsidRPr="003778BF">
        <w:rPr>
          <w:rFonts w:cs="Times New Roman"/>
        </w:rPr>
        <w:t xml:space="preserve">, 1999; </w:t>
      </w:r>
      <w:proofErr w:type="spellStart"/>
      <w:r w:rsidRPr="003778BF">
        <w:rPr>
          <w:rFonts w:cs="Times New Roman"/>
        </w:rPr>
        <w:t>Risse</w:t>
      </w:r>
      <w:proofErr w:type="spellEnd"/>
      <w:r w:rsidRPr="003778BF">
        <w:rPr>
          <w:rFonts w:cs="Times New Roman"/>
        </w:rPr>
        <w:t xml:space="preserve">, 1999). </w:t>
      </w:r>
      <w:r w:rsidRPr="003778BF">
        <w:rPr>
          <w:rFonts w:cs="Times New Roman"/>
        </w:rPr>
        <w:tab/>
      </w:r>
      <w:r w:rsidRPr="003778BF">
        <w:rPr>
          <w:rFonts w:cs="Times New Roman"/>
        </w:rPr>
        <w:tab/>
      </w:r>
      <w:r w:rsidRPr="003778BF">
        <w:rPr>
          <w:rFonts w:cs="Times New Roman"/>
        </w:rPr>
        <w:tab/>
      </w:r>
      <w:r w:rsidRPr="003778BF">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sidRPr="003778BF">
        <w:rPr>
          <w:rFonts w:cs="Times New Roman"/>
        </w:rPr>
        <w:t xml:space="preserve">The first phase, which is the starting point of the model, is the stage of </w:t>
      </w:r>
      <w:r w:rsidRPr="003778BF">
        <w:rPr>
          <w:rFonts w:cs="Times New Roman"/>
          <w:i/>
        </w:rPr>
        <w:t>repression</w:t>
      </w:r>
      <w:r w:rsidRPr="003778BF">
        <w:rPr>
          <w:rFonts w:cs="Times New Roman"/>
        </w:rPr>
        <w:t>. In this specific situation a domestic societal opposition feels oppressed and is too weak to challenge the government (</w:t>
      </w:r>
      <w:proofErr w:type="spellStart"/>
      <w:r w:rsidRPr="003778BF">
        <w:rPr>
          <w:rFonts w:cs="Times New Roman"/>
        </w:rPr>
        <w:t>Risse</w:t>
      </w:r>
      <w:proofErr w:type="spellEnd"/>
      <w:r w:rsidRPr="003778BF">
        <w:rPr>
          <w:rFonts w:cs="Times New Roman"/>
        </w:rPr>
        <w:t>, 1999, p. 538). A domestic societal opposition group can be considered any kind of group that feels oppressed. This could be a religious group, or a group which is part of a certain economic class. But this can also be a part of civil society which has experienced the same event. What the international advocacy network seeks to do in this phase, is to inventory the specific situation. This mostly consists of gathering sufficient information about the oppression in the target state (ibid,</w:t>
      </w:r>
      <w:r>
        <w:rPr>
          <w:rFonts w:cs="Times New Roman"/>
        </w:rPr>
        <w:t xml:space="preserve"> 1999,</w:t>
      </w:r>
      <w:r w:rsidRPr="003778BF">
        <w:rPr>
          <w:rFonts w:cs="Times New Roman"/>
        </w:rPr>
        <w:t xml:space="preserve"> p. 538). Consequently, the international network puts the violating state on the international agenda, if the collected information provides evidenc</w:t>
      </w:r>
      <w:r>
        <w:rPr>
          <w:rFonts w:cs="Times New Roman"/>
        </w:rPr>
        <w:t xml:space="preserve">e to support the claims. </w:t>
      </w:r>
      <w:r>
        <w:rPr>
          <w:rFonts w:cs="Times New Roman"/>
        </w:rPr>
        <w:tab/>
      </w:r>
      <w:r>
        <w:rPr>
          <w:rFonts w:cs="Times New Roman"/>
        </w:rPr>
        <w:tab/>
      </w:r>
      <w:r w:rsidRPr="003778BF">
        <w:rPr>
          <w:rFonts w:cs="Times New Roman"/>
        </w:rPr>
        <w:t xml:space="preserve">In the second phase the accused government reacts to the claims. This is the stage of </w:t>
      </w:r>
      <w:r w:rsidRPr="003778BF">
        <w:rPr>
          <w:rFonts w:cs="Times New Roman"/>
          <w:i/>
        </w:rPr>
        <w:t xml:space="preserve">denial </w:t>
      </w:r>
      <w:r w:rsidRPr="003778BF">
        <w:rPr>
          <w:rFonts w:cs="Times New Roman"/>
        </w:rPr>
        <w:t xml:space="preserve">in which the violating state refuses to accept the accusations. Even though every violating actor responds differently to accusations, the response is often one of denial. Furthermore, the violator </w:t>
      </w:r>
      <w:r w:rsidRPr="003778BF">
        <w:rPr>
          <w:rFonts w:cs="Times New Roman"/>
        </w:rPr>
        <w:lastRenderedPageBreak/>
        <w:t xml:space="preserve">often tries to defend itself and accuses the network  of illegitimate intervention in its internal affairs (ibid, </w:t>
      </w:r>
      <w:r>
        <w:rPr>
          <w:rFonts w:cs="Times New Roman"/>
        </w:rPr>
        <w:t xml:space="preserve">1999, </w:t>
      </w:r>
      <w:r w:rsidRPr="003778BF">
        <w:rPr>
          <w:rFonts w:cs="Times New Roman"/>
        </w:rPr>
        <w:t>p. 538). A critical point in the model has been reached, since the model can only proceed to the next phase if the violator is vulnerable to international pressure. If so, the next phase will be reached. If not, a backlash will be the result. Continuation seems not only to be dependent on a violator’s vulnerability to international pressure, but also on the strength of</w:t>
      </w:r>
      <w:r>
        <w:rPr>
          <w:rFonts w:cs="Times New Roman"/>
        </w:rPr>
        <w:t xml:space="preserve"> the network (ibid, 1999, p. 538). </w:t>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Pr>
          <w:rFonts w:cs="Times New Roman"/>
        </w:rPr>
        <w:tab/>
      </w:r>
      <w:r w:rsidRPr="003778BF">
        <w:rPr>
          <w:rFonts w:cs="Times New Roman"/>
        </w:rPr>
        <w:t xml:space="preserve">If continuation to the new phase occurs, phase three will be reached. The third phase is concerned with the international network forcing the norm-violating state to make </w:t>
      </w:r>
      <w:r w:rsidRPr="003778BF">
        <w:rPr>
          <w:rFonts w:cs="Times New Roman"/>
          <w:i/>
        </w:rPr>
        <w:t>tactical concessions</w:t>
      </w:r>
      <w:r w:rsidRPr="003778BF">
        <w:rPr>
          <w:rFonts w:cs="Times New Roman"/>
        </w:rPr>
        <w:t>. By doing this, the focus of action shifts from the transnational towards the domestic level. The domestic opposition group is now strengthened by international support, which empowers and legitimizes their actions of protest (</w:t>
      </w:r>
      <w:proofErr w:type="spellStart"/>
      <w:r w:rsidRPr="003778BF">
        <w:rPr>
          <w:rFonts w:cs="Times New Roman"/>
        </w:rPr>
        <w:t>Ropp</w:t>
      </w:r>
      <w:proofErr w:type="spellEnd"/>
      <w:r w:rsidRPr="003778BF">
        <w:rPr>
          <w:rFonts w:cs="Times New Roman"/>
        </w:rPr>
        <w:t xml:space="preserve"> et al., 1999, p. 5). The most important consequence of tactical concessions is the opening of space to domestic opposition, for mobilization of action and protest (</w:t>
      </w:r>
      <w:proofErr w:type="spellStart"/>
      <w:r w:rsidRPr="003778BF">
        <w:rPr>
          <w:rFonts w:cs="Times New Roman"/>
        </w:rPr>
        <w:t>Risse</w:t>
      </w:r>
      <w:proofErr w:type="spellEnd"/>
      <w:r w:rsidRPr="003778BF">
        <w:rPr>
          <w:rFonts w:cs="Times New Roman"/>
        </w:rPr>
        <w:t xml:space="preserve">, 1999, p. 538). If this group can be mobilized with the help of the international network, the violating actor comes under pressure from both ‘’above and below’’ (ibid, </w:t>
      </w:r>
      <w:r>
        <w:rPr>
          <w:rFonts w:cs="Times New Roman"/>
        </w:rPr>
        <w:t xml:space="preserve">1999, </w:t>
      </w:r>
      <w:r w:rsidRPr="003778BF">
        <w:rPr>
          <w:rFonts w:cs="Times New Roman"/>
        </w:rPr>
        <w:t xml:space="preserve">p. 538). Pressure from both sides cramps the options of the violating </w:t>
      </w:r>
      <w:r>
        <w:rPr>
          <w:rFonts w:cs="Times New Roman"/>
        </w:rPr>
        <w:t xml:space="preserve">actor even further. </w:t>
      </w:r>
      <w:r>
        <w:rPr>
          <w:rFonts w:cs="Times New Roman"/>
        </w:rPr>
        <w:tab/>
      </w:r>
      <w:r>
        <w:rPr>
          <w:rFonts w:cs="Times New Roman"/>
        </w:rPr>
        <w:tab/>
      </w:r>
      <w:r>
        <w:rPr>
          <w:rFonts w:cs="Times New Roman"/>
        </w:rPr>
        <w:tab/>
      </w:r>
      <w:r w:rsidRPr="003778BF">
        <w:rPr>
          <w:rFonts w:cs="Times New Roman"/>
        </w:rPr>
        <w:t xml:space="preserve">Phase four is the stage of </w:t>
      </w:r>
      <w:r w:rsidRPr="003778BF">
        <w:rPr>
          <w:rFonts w:cs="Times New Roman"/>
          <w:i/>
        </w:rPr>
        <w:t>prescriptive status</w:t>
      </w:r>
      <w:r w:rsidRPr="003778BF">
        <w:rPr>
          <w:rFonts w:cs="Times New Roman"/>
        </w:rPr>
        <w:t>, in which processes of domestic change are likely to occur and to be implemented. This status is achieved when the violator agrees upon the terms for change. This would in the case of the human rights issue area mean that respective conventions, norms and protocols regarding this issue are agreed upon by the violating state (ibid,</w:t>
      </w:r>
      <w:r>
        <w:rPr>
          <w:rFonts w:cs="Times New Roman"/>
        </w:rPr>
        <w:t xml:space="preserve"> 1999,</w:t>
      </w:r>
      <w:r w:rsidRPr="003778BF">
        <w:rPr>
          <w:rFonts w:cs="Times New Roman"/>
        </w:rPr>
        <w:t xml:space="preserve"> p. 538). However argumentative behavior is of major importance, as well as its consistency, in terms of their words and deeds (</w:t>
      </w:r>
      <w:proofErr w:type="spellStart"/>
      <w:r w:rsidRPr="003778BF">
        <w:rPr>
          <w:rFonts w:cs="Times New Roman"/>
        </w:rPr>
        <w:t>Ropp</w:t>
      </w:r>
      <w:proofErr w:type="spellEnd"/>
      <w:r w:rsidRPr="003778BF">
        <w:rPr>
          <w:rFonts w:cs="Times New Roman"/>
        </w:rPr>
        <w:t xml:space="preserve"> et al., 1999, pp. 29 - 30). Argumentative behavior is a discursive process of argum</w:t>
      </w:r>
      <w:r>
        <w:rPr>
          <w:rFonts w:cs="Times New Roman"/>
        </w:rPr>
        <w:t xml:space="preserve">entation and persuasion (ibid, 1999, </w:t>
      </w:r>
      <w:r w:rsidRPr="003778BF">
        <w:rPr>
          <w:rFonts w:cs="Times New Roman"/>
        </w:rPr>
        <w:t>p. 29), which aims to make the opposing actor to agree with the change. The environmental issue area provides once again for an illustrative example. The Kyoto protocol is a policy agreement on climate protection which is established in order to collectively reduce greenhouse gas emissions. In this protocol the EU and 37 other industrialized states have agreed to cap greenhouse gas emission at roughly 95 percent of the 1990 level, by 2012 (</w:t>
      </w:r>
      <w:proofErr w:type="spellStart"/>
      <w:r w:rsidRPr="003778BF">
        <w:rPr>
          <w:rFonts w:cs="Times New Roman"/>
        </w:rPr>
        <w:t>Aichele</w:t>
      </w:r>
      <w:proofErr w:type="spellEnd"/>
      <w:r w:rsidRPr="003778BF">
        <w:rPr>
          <w:rFonts w:cs="Times New Roman"/>
        </w:rPr>
        <w:t xml:space="preserve"> and </w:t>
      </w:r>
      <w:proofErr w:type="spellStart"/>
      <w:r w:rsidRPr="003778BF">
        <w:rPr>
          <w:rFonts w:cs="Times New Roman"/>
        </w:rPr>
        <w:t>Felbermayer</w:t>
      </w:r>
      <w:proofErr w:type="spellEnd"/>
      <w:r w:rsidRPr="003778BF">
        <w:rPr>
          <w:rFonts w:cs="Times New Roman"/>
        </w:rPr>
        <w:t>, 2013, p. 1). This is an example of a protocol agreed upon, and is in line with stage four. The new protocol is implemented, but not yet internalized. Hence, one can agree with a norm or protocol change, but this does not always result in compliance. This occurs in the final phase.</w:t>
      </w:r>
      <w:r w:rsidRPr="003778BF">
        <w:rPr>
          <w:rFonts w:cs="Times New Roman"/>
        </w:rPr>
        <w:tab/>
      </w:r>
      <w:r w:rsidRPr="003778BF">
        <w:rPr>
          <w:rFonts w:cs="Times New Roman"/>
        </w:rPr>
        <w:tab/>
      </w:r>
      <w:r w:rsidRPr="003778BF">
        <w:rPr>
          <w:rFonts w:cs="Times New Roman"/>
        </w:rPr>
        <w:tab/>
      </w:r>
      <w:r w:rsidRPr="003778BF">
        <w:rPr>
          <w:rFonts w:cs="Times New Roman"/>
        </w:rPr>
        <w:tab/>
        <w:t xml:space="preserve"> </w:t>
      </w:r>
      <w:r w:rsidRPr="003778BF">
        <w:rPr>
          <w:rFonts w:cs="Times New Roman"/>
        </w:rPr>
        <w:tab/>
      </w:r>
      <w:r w:rsidRPr="003778BF">
        <w:rPr>
          <w:rFonts w:cs="Times New Roman"/>
        </w:rPr>
        <w:tab/>
      </w:r>
      <w:r w:rsidRPr="003778BF">
        <w:rPr>
          <w:rFonts w:cs="Times New Roman"/>
        </w:rPr>
        <w:tab/>
      </w:r>
      <w:r w:rsidRPr="003778BF">
        <w:rPr>
          <w:rFonts w:cs="Times New Roman"/>
        </w:rPr>
        <w:tab/>
      </w:r>
      <w:r w:rsidRPr="003778BF">
        <w:rPr>
          <w:rFonts w:cs="Times New Roman"/>
        </w:rPr>
        <w:tab/>
      </w:r>
      <w:r w:rsidRPr="003778BF">
        <w:rPr>
          <w:rFonts w:cs="Times New Roman"/>
        </w:rPr>
        <w:tab/>
      </w:r>
      <w:r>
        <w:rPr>
          <w:rFonts w:cs="Times New Roman"/>
        </w:rPr>
        <w:tab/>
      </w:r>
      <w:r>
        <w:rPr>
          <w:rFonts w:cs="Times New Roman"/>
        </w:rPr>
        <w:tab/>
      </w:r>
      <w:r>
        <w:rPr>
          <w:rFonts w:cs="Times New Roman"/>
        </w:rPr>
        <w:tab/>
      </w:r>
      <w:r w:rsidRPr="003778BF">
        <w:rPr>
          <w:rFonts w:cs="Times New Roman"/>
        </w:rPr>
        <w:t xml:space="preserve">In phase five the actual internalization of change occurs. This is the stage of </w:t>
      </w:r>
      <w:r w:rsidRPr="003778BF">
        <w:rPr>
          <w:rFonts w:cs="Times New Roman"/>
          <w:i/>
        </w:rPr>
        <w:t>rule-consistent behavior</w:t>
      </w:r>
      <w:r w:rsidRPr="003778BF">
        <w:rPr>
          <w:rFonts w:cs="Times New Roman"/>
        </w:rPr>
        <w:t>. Domestic change is fully institutionalized, recognized, and has become part of the rule of law. At this point the violator not only accepts the validity of the domestic changes, but also acts according to these changes (</w:t>
      </w:r>
      <w:proofErr w:type="spellStart"/>
      <w:r w:rsidRPr="003778BF">
        <w:rPr>
          <w:rFonts w:cs="Times New Roman"/>
        </w:rPr>
        <w:t>Ropp</w:t>
      </w:r>
      <w:proofErr w:type="spellEnd"/>
      <w:r w:rsidRPr="003778BF">
        <w:rPr>
          <w:rFonts w:cs="Times New Roman"/>
        </w:rPr>
        <w:t xml:space="preserve"> et al., 1999; </w:t>
      </w:r>
      <w:proofErr w:type="spellStart"/>
      <w:r w:rsidRPr="003778BF">
        <w:rPr>
          <w:rFonts w:cs="Times New Roman"/>
        </w:rPr>
        <w:t>Risse</w:t>
      </w:r>
      <w:proofErr w:type="spellEnd"/>
      <w:r w:rsidRPr="003778BF">
        <w:rPr>
          <w:rFonts w:cs="Times New Roman"/>
        </w:rPr>
        <w:t xml:space="preserve">, 1999, pp. 538 - 539). </w:t>
      </w:r>
    </w:p>
    <w:p w:rsidR="00AD6812" w:rsidRPr="004243FF" w:rsidRDefault="00A22AB2" w:rsidP="00AD6812">
      <w:pPr>
        <w:pStyle w:val="Kop3"/>
        <w:rPr>
          <w:rFonts w:asciiTheme="minorHAnsi" w:hAnsiTheme="minorHAnsi"/>
          <w:b w:val="0"/>
        </w:rPr>
      </w:pPr>
      <w:bookmarkStart w:id="24" w:name="_Toc489007239"/>
      <w:r>
        <w:rPr>
          <w:rFonts w:asciiTheme="minorHAnsi" w:hAnsiTheme="minorHAnsi"/>
          <w:b w:val="0"/>
        </w:rPr>
        <w:lastRenderedPageBreak/>
        <w:t>2.2.8</w:t>
      </w:r>
      <w:r w:rsidR="00AD6812" w:rsidRPr="004243FF">
        <w:rPr>
          <w:rFonts w:asciiTheme="minorHAnsi" w:hAnsiTheme="minorHAnsi"/>
          <w:b w:val="0"/>
        </w:rPr>
        <w:t xml:space="preserve"> Limitations</w:t>
      </w:r>
      <w:bookmarkEnd w:id="24"/>
    </w:p>
    <w:p w:rsidR="00D15816" w:rsidRPr="003778BF" w:rsidRDefault="00D15816" w:rsidP="003778BF">
      <w:pPr>
        <w:spacing w:line="360" w:lineRule="auto"/>
        <w:jc w:val="both"/>
        <w:rPr>
          <w:rFonts w:cs="Times New Roman"/>
        </w:rPr>
      </w:pPr>
      <w:r w:rsidRPr="003778BF">
        <w:rPr>
          <w:rFonts w:cs="Times New Roman"/>
        </w:rPr>
        <w:t>Whereas the boomerang model is based on the assumption that international advocacy networks aim to change domestic political process, Baskin and Pickering argue that domestic functions are taken over by international officials, rather than changed. Instead of supporting the oppressed group, international officials take over daily practices. This is problematic for a couple of reasons. First of all, these international officials often do not speak the native tongue. Secondly, they often know little about the region, and its practices. Lastly, these individuals often have little experience in conflict zones. Therefore, international involvement often makes change more difficult (Baskin and Pickering, 2014, p. 24). In addition, it is argued that domestic institutions are overshadowed by the international ones, which in practice results in international protectorates (ibid, 2014, p. 25), rather than sovereign and autonomous states. The boomerang mechanism’s aim is to empower minority groups, rather than overtake them. Yet, Baskin and Pickering do make a valid point arguing that in practice a model such as the boomerang model can be over exhausted, which makes it counter-effective. Too much international pressure from above may limit the potential mobilization of the oppressed group itself. Too much involvement may even lead to tension between the oppressed group and the international community in the end, of the i</w:t>
      </w:r>
      <w:r w:rsidR="00D32727">
        <w:rPr>
          <w:rFonts w:cs="Times New Roman"/>
        </w:rPr>
        <w:t>nvolvement is over exhausted.</w:t>
      </w:r>
      <w:r w:rsidR="00D32727">
        <w:rPr>
          <w:rFonts w:cs="Times New Roman"/>
        </w:rPr>
        <w:tab/>
      </w:r>
      <w:r w:rsidRPr="003778BF">
        <w:rPr>
          <w:rFonts w:cs="Times New Roman"/>
        </w:rPr>
        <w:t xml:space="preserve">Another limitation to the theory concerns the five phase spiral model. For the purposes of this research, the final phases are of lesser importance for our conclusions. The complexity of secession implicates that establishment of a new, independent, sovereign state will often </w:t>
      </w:r>
      <w:r w:rsidR="006C5EDA">
        <w:rPr>
          <w:rFonts w:cs="Times New Roman"/>
        </w:rPr>
        <w:t>be contested to a certain extent</w:t>
      </w:r>
      <w:r w:rsidRPr="003778BF">
        <w:rPr>
          <w:rFonts w:cs="Times New Roman"/>
        </w:rPr>
        <w:t xml:space="preserve">. Furthermore, the full internalization process which is defined in the fifth phase takes a considerable amount of time, since internalization does not take place over night. The two final phases, furthermore, demonstrate that domestic change only occurs if its new terms are recognized and accepted by the target state. In the case of secession, this does not always have to be the case for achieving the desired result. Recognition by the international community may be sufficient. In short, the first three phases of the model are of bigger importance since they allow for testing whether or not international involvement is beneficial for achieving secession in this specific case, while the latter two are not necessary nor sufficient for this assessment. </w:t>
      </w:r>
    </w:p>
    <w:p w:rsidR="00CF6445" w:rsidRDefault="00CF6445">
      <w:pPr>
        <w:rPr>
          <w:rFonts w:eastAsiaTheme="majorEastAsia" w:cs="Times New Roman"/>
          <w:bCs/>
          <w:color w:val="365F91" w:themeColor="accent1" w:themeShade="BF"/>
          <w:sz w:val="28"/>
          <w:szCs w:val="28"/>
        </w:rPr>
      </w:pPr>
      <w:r>
        <w:rPr>
          <w:rFonts w:cs="Times New Roman"/>
          <w:b/>
        </w:rPr>
        <w:br w:type="page"/>
      </w:r>
    </w:p>
    <w:p w:rsidR="00D15816" w:rsidRPr="003742EE" w:rsidRDefault="00D15816" w:rsidP="003778BF">
      <w:pPr>
        <w:pStyle w:val="Kop1"/>
        <w:spacing w:line="360" w:lineRule="auto"/>
        <w:jc w:val="both"/>
        <w:rPr>
          <w:rFonts w:asciiTheme="minorHAnsi" w:hAnsiTheme="minorHAnsi" w:cs="Times New Roman"/>
          <w:b w:val="0"/>
        </w:rPr>
      </w:pPr>
      <w:bookmarkStart w:id="25" w:name="_Toc489007240"/>
      <w:r w:rsidRPr="003742EE">
        <w:rPr>
          <w:rFonts w:asciiTheme="minorHAnsi" w:hAnsiTheme="minorHAnsi" w:cs="Times New Roman"/>
          <w:b w:val="0"/>
        </w:rPr>
        <w:lastRenderedPageBreak/>
        <w:t>Chapter 3: Methodology</w:t>
      </w:r>
      <w:bookmarkEnd w:id="25"/>
    </w:p>
    <w:p w:rsidR="00D15816" w:rsidRPr="003778BF" w:rsidRDefault="00D15816" w:rsidP="003778BF">
      <w:pPr>
        <w:spacing w:line="360" w:lineRule="auto"/>
        <w:jc w:val="both"/>
        <w:rPr>
          <w:rFonts w:cs="Times New Roman"/>
        </w:rPr>
      </w:pPr>
      <w:r w:rsidRPr="003778BF">
        <w:rPr>
          <w:rFonts w:cs="Times New Roman"/>
        </w:rPr>
        <w:t xml:space="preserve">The aim of this chapter is to properly set out a specific methodological approach that allows for applying the theoretical assumptions of the boomerang theory to the Kosovar secession case. This third chapter is rather important since it provides the tools for testing if the theory applied to the Kosovar case is consistent with the observations. The proper selection of a methodological research design not only allows for accurate testing of political processes, it also helps to understand the relation between X and Y. Because of its importance, this chapter starts with a short definition of a causal mechanism, and its function in a qualitative research design. Secondly, the different causal mechanisms which are in line with the theoretical expectations will be set out. Consequently, five ‘micro’ hypotheses and one main hypothesis will be derived from these mechanisms. Thirdly, the selected case will be justified. There is multiple underlying conditions a case is supposed to meet before it can be considered a good fit with the scope of the research. Therefore, this third section is crucial as well. The fourth section elaborates on the actual method that will be equipped for the case analysis. Within this section the choice of method, as well as its strengths and weaknesses will be set out. The final section elaborates on data selection strategies. Since this research particularly collects its evidence through secondary sources, it is important to set out some potential misconceptions and limitations to this approach. In addition it is important to mention its strengths and its growing value as well. This final section will elaborate on these issues. </w:t>
      </w:r>
    </w:p>
    <w:p w:rsidR="00D15816" w:rsidRPr="003742EE" w:rsidRDefault="004243FF" w:rsidP="003778BF">
      <w:pPr>
        <w:pStyle w:val="Kop2"/>
        <w:spacing w:line="360" w:lineRule="auto"/>
        <w:jc w:val="both"/>
        <w:rPr>
          <w:rFonts w:asciiTheme="minorHAnsi" w:hAnsiTheme="minorHAnsi" w:cs="Times New Roman"/>
          <w:b w:val="0"/>
        </w:rPr>
      </w:pPr>
      <w:bookmarkStart w:id="26" w:name="_Toc489007241"/>
      <w:r>
        <w:rPr>
          <w:rFonts w:asciiTheme="minorHAnsi" w:hAnsiTheme="minorHAnsi" w:cs="Times New Roman"/>
          <w:b w:val="0"/>
        </w:rPr>
        <w:t xml:space="preserve">3.1 </w:t>
      </w:r>
      <w:r w:rsidR="00D15816" w:rsidRPr="003742EE">
        <w:rPr>
          <w:rFonts w:asciiTheme="minorHAnsi" w:hAnsiTheme="minorHAnsi" w:cs="Times New Roman"/>
          <w:b w:val="0"/>
        </w:rPr>
        <w:t>The causal mechanism</w:t>
      </w:r>
      <w:bookmarkEnd w:id="26"/>
    </w:p>
    <w:p w:rsidR="00D15816" w:rsidRPr="003778BF" w:rsidRDefault="00D15816" w:rsidP="003778BF">
      <w:pPr>
        <w:spacing w:line="360" w:lineRule="auto"/>
        <w:jc w:val="both"/>
        <w:rPr>
          <w:rFonts w:cs="Times New Roman"/>
        </w:rPr>
      </w:pPr>
      <w:r w:rsidRPr="003778BF">
        <w:rPr>
          <w:rFonts w:cs="Times New Roman"/>
        </w:rPr>
        <w:t>Previous research has shown a statistical correlations between international involvement (X) and a successful secession outcome (Y) (</w:t>
      </w:r>
      <w:proofErr w:type="spellStart"/>
      <w:r w:rsidRPr="003778BF">
        <w:rPr>
          <w:rFonts w:cs="Times New Roman"/>
        </w:rPr>
        <w:t>Woodwell</w:t>
      </w:r>
      <w:proofErr w:type="spellEnd"/>
      <w:r w:rsidRPr="003778BF">
        <w:rPr>
          <w:rFonts w:cs="Times New Roman"/>
        </w:rPr>
        <w:t xml:space="preserve">, 2004; </w:t>
      </w:r>
      <w:proofErr w:type="spellStart"/>
      <w:r w:rsidRPr="003778BF">
        <w:rPr>
          <w:rFonts w:cs="Times New Roman"/>
        </w:rPr>
        <w:t>Jenne</w:t>
      </w:r>
      <w:proofErr w:type="spellEnd"/>
      <w:r w:rsidRPr="003778BF">
        <w:rPr>
          <w:rFonts w:cs="Times New Roman"/>
        </w:rPr>
        <w:t>, 2004). Nevertheless, correlation does not necessarily mean causation. In order to test if one can speak of a causal relationship between the two, one needs to open the box of causation and assess the pathway through which X might affect Y (</w:t>
      </w:r>
      <w:proofErr w:type="spellStart"/>
      <w:r w:rsidRPr="003778BF">
        <w:rPr>
          <w:rFonts w:cs="Times New Roman"/>
        </w:rPr>
        <w:t>Gerring</w:t>
      </w:r>
      <w:proofErr w:type="spellEnd"/>
      <w:r w:rsidRPr="003778BF">
        <w:rPr>
          <w:rFonts w:cs="Times New Roman"/>
        </w:rPr>
        <w:t xml:space="preserve">, 2010, p. 1500). A causal mechanism, in this, can according to Beach and Pedersen (2013) be defined as </w:t>
      </w:r>
      <w:r w:rsidRPr="003778BF">
        <w:rPr>
          <w:rFonts w:cs="Times New Roman"/>
          <w:i/>
        </w:rPr>
        <w:t xml:space="preserve">‘’a complex system, which produces an outcome by the interaction of a number of parts.’’ </w:t>
      </w:r>
      <w:r w:rsidRPr="003778BF">
        <w:rPr>
          <w:rFonts w:cs="Times New Roman"/>
        </w:rPr>
        <w:t xml:space="preserve">(p. 1). </w:t>
      </w:r>
      <w:proofErr w:type="spellStart"/>
      <w:r w:rsidRPr="003778BF">
        <w:rPr>
          <w:rFonts w:cs="Times New Roman"/>
        </w:rPr>
        <w:t>Glennan</w:t>
      </w:r>
      <w:proofErr w:type="spellEnd"/>
      <w:r w:rsidRPr="003778BF">
        <w:rPr>
          <w:rFonts w:cs="Times New Roman"/>
        </w:rPr>
        <w:t xml:space="preserve"> (2002) concurs with this, but extends it a little by defining mechanisms as </w:t>
      </w:r>
      <w:r w:rsidRPr="003778BF">
        <w:rPr>
          <w:rFonts w:cs="Times New Roman"/>
          <w:i/>
        </w:rPr>
        <w:t xml:space="preserve">‘’… a complex system that produces behavior  by the interaction of a number of parts, where the interactions between parts can be characterized by direct, invariant, change-relating generalizations.’’ </w:t>
      </w:r>
      <w:r w:rsidRPr="003778BF">
        <w:rPr>
          <w:rFonts w:cs="Times New Roman"/>
        </w:rPr>
        <w:t>(p. 344). This extension is important for the purposes of this study because interactions in the network vary heavily, and are context- and case-specific. Hence this study is no example of theory-testing nor theory-building. It can be characterized as an approach for expla</w:t>
      </w:r>
      <w:r w:rsidR="00870A38">
        <w:rPr>
          <w:rFonts w:cs="Times New Roman"/>
        </w:rPr>
        <w:t xml:space="preserve">ining a case-specific outcome. </w:t>
      </w:r>
      <w:r w:rsidRPr="003778BF">
        <w:rPr>
          <w:rFonts w:cs="Times New Roman"/>
        </w:rPr>
        <w:t xml:space="preserve">International involvement, in this study, is channeled through a specific international advocacy network which consists of multiple international actors that adhere to shared principles. It is the boomerang mechanism that occurs in a five phase model, the ‘’spiral model’’ </w:t>
      </w:r>
      <w:r w:rsidRPr="003778BF">
        <w:rPr>
          <w:rFonts w:cs="Times New Roman"/>
        </w:rPr>
        <w:lastRenderedPageBreak/>
        <w:t>(</w:t>
      </w:r>
      <w:proofErr w:type="spellStart"/>
      <w:r w:rsidRPr="003778BF">
        <w:rPr>
          <w:rFonts w:cs="Times New Roman"/>
        </w:rPr>
        <w:t>Risse</w:t>
      </w:r>
      <w:proofErr w:type="spellEnd"/>
      <w:r w:rsidRPr="003778BF">
        <w:rPr>
          <w:rFonts w:cs="Times New Roman"/>
        </w:rPr>
        <w:t xml:space="preserve">, 1999; Keck and </w:t>
      </w:r>
      <w:proofErr w:type="spellStart"/>
      <w:r w:rsidRPr="003778BF">
        <w:rPr>
          <w:rFonts w:cs="Times New Roman"/>
        </w:rPr>
        <w:t>Sikkink</w:t>
      </w:r>
      <w:proofErr w:type="spellEnd"/>
      <w:r w:rsidRPr="003778BF">
        <w:rPr>
          <w:rFonts w:cs="Times New Roman"/>
        </w:rPr>
        <w:t>, 1999), that can be considered to be the causal mechanism, which is the international advocacy network. By completing all necessary steps in the model, international involvement (X) leads to change in domestic practices (</w:t>
      </w:r>
      <w:proofErr w:type="spellStart"/>
      <w:r w:rsidRPr="003778BF">
        <w:rPr>
          <w:rFonts w:cs="Times New Roman"/>
        </w:rPr>
        <w:t>Ropp</w:t>
      </w:r>
      <w:proofErr w:type="spellEnd"/>
      <w:r w:rsidRPr="003778BF">
        <w:rPr>
          <w:rFonts w:cs="Times New Roman"/>
        </w:rPr>
        <w:t xml:space="preserve"> et al., 1999; Keck and </w:t>
      </w:r>
      <w:proofErr w:type="spellStart"/>
      <w:r w:rsidRPr="003778BF">
        <w:rPr>
          <w:rFonts w:cs="Times New Roman"/>
        </w:rPr>
        <w:t>Sikkink</w:t>
      </w:r>
      <w:proofErr w:type="spellEnd"/>
      <w:r w:rsidRPr="003778BF">
        <w:rPr>
          <w:rFonts w:cs="Times New Roman"/>
        </w:rPr>
        <w:t xml:space="preserve">, 1999; </w:t>
      </w:r>
      <w:proofErr w:type="spellStart"/>
      <w:r w:rsidRPr="003778BF">
        <w:rPr>
          <w:rFonts w:cs="Times New Roman"/>
        </w:rPr>
        <w:t>Risse</w:t>
      </w:r>
      <w:proofErr w:type="spellEnd"/>
      <w:r w:rsidRPr="003778BF">
        <w:rPr>
          <w:rFonts w:cs="Times New Roman"/>
        </w:rPr>
        <w:t>, 1999), secession (Y). Mechanisms as processes are made of entities such as; agents, their properties, actions and relations (</w:t>
      </w:r>
      <w:proofErr w:type="spellStart"/>
      <w:r w:rsidRPr="003778BF">
        <w:rPr>
          <w:rFonts w:cs="Times New Roman"/>
        </w:rPr>
        <w:t>Hedström</w:t>
      </w:r>
      <w:proofErr w:type="spellEnd"/>
      <w:r w:rsidRPr="003778BF">
        <w:rPr>
          <w:rFonts w:cs="Times New Roman"/>
        </w:rPr>
        <w:t xml:space="preserve"> and </w:t>
      </w:r>
      <w:proofErr w:type="spellStart"/>
      <w:r w:rsidRPr="003778BF">
        <w:rPr>
          <w:rFonts w:cs="Times New Roman"/>
        </w:rPr>
        <w:t>Ylikoski</w:t>
      </w:r>
      <w:proofErr w:type="spellEnd"/>
      <w:r w:rsidRPr="003778BF">
        <w:rPr>
          <w:rFonts w:cs="Times New Roman"/>
        </w:rPr>
        <w:t xml:space="preserve">, 2010, p. 36). Every phase in the model embodies these entities within the advocacy network. One subsequently can argue that every phase is a micro-mechanism within the main causal mechanism. This would imply that there is five interrelated micro-mechanisms at play, which ultimately generate one causal mechanism. </w:t>
      </w:r>
      <w:proofErr w:type="spellStart"/>
      <w:r w:rsidRPr="003778BF">
        <w:rPr>
          <w:rFonts w:cs="Times New Roman"/>
        </w:rPr>
        <w:t>Hedström</w:t>
      </w:r>
      <w:proofErr w:type="spellEnd"/>
      <w:r w:rsidRPr="003778BF">
        <w:rPr>
          <w:rFonts w:cs="Times New Roman"/>
        </w:rPr>
        <w:t xml:space="preserve"> and </w:t>
      </w:r>
      <w:proofErr w:type="spellStart"/>
      <w:r w:rsidRPr="003778BF">
        <w:rPr>
          <w:rFonts w:cs="Times New Roman"/>
        </w:rPr>
        <w:t>Ylikoski</w:t>
      </w:r>
      <w:proofErr w:type="spellEnd"/>
      <w:r w:rsidRPr="003778BF">
        <w:rPr>
          <w:rFonts w:cs="Times New Roman"/>
        </w:rPr>
        <w:t xml:space="preserve"> (2010) describe it as a web of integrated mechanisms in which lower level mechanisms explain the higher level mechanism (p. 28). This will become more prominent in the next section. </w:t>
      </w:r>
    </w:p>
    <w:p w:rsidR="00D15816" w:rsidRPr="003742EE" w:rsidRDefault="004243FF" w:rsidP="003778BF">
      <w:pPr>
        <w:pStyle w:val="Kop2"/>
        <w:spacing w:line="360" w:lineRule="auto"/>
        <w:jc w:val="both"/>
        <w:rPr>
          <w:rFonts w:asciiTheme="minorHAnsi" w:hAnsiTheme="minorHAnsi" w:cs="Times New Roman"/>
          <w:b w:val="0"/>
        </w:rPr>
      </w:pPr>
      <w:bookmarkStart w:id="27" w:name="_Toc489007242"/>
      <w:r>
        <w:rPr>
          <w:rFonts w:asciiTheme="minorHAnsi" w:hAnsiTheme="minorHAnsi" w:cs="Times New Roman"/>
          <w:b w:val="0"/>
        </w:rPr>
        <w:t xml:space="preserve">3.2 </w:t>
      </w:r>
      <w:r w:rsidR="00D15816" w:rsidRPr="003742EE">
        <w:rPr>
          <w:rFonts w:asciiTheme="minorHAnsi" w:hAnsiTheme="minorHAnsi" w:cs="Times New Roman"/>
          <w:b w:val="0"/>
        </w:rPr>
        <w:t>Operationalization of causal mechanism(s)</w:t>
      </w:r>
      <w:bookmarkEnd w:id="27"/>
      <w:r w:rsidR="00D15816" w:rsidRPr="003742EE">
        <w:rPr>
          <w:rFonts w:asciiTheme="minorHAnsi" w:hAnsiTheme="minorHAnsi" w:cs="Times New Roman"/>
          <w:b w:val="0"/>
        </w:rPr>
        <w:t xml:space="preserve"> </w:t>
      </w:r>
    </w:p>
    <w:p w:rsidR="00D15816" w:rsidRPr="003778BF" w:rsidRDefault="00D15816" w:rsidP="003778BF">
      <w:pPr>
        <w:spacing w:line="360" w:lineRule="auto"/>
        <w:jc w:val="both"/>
        <w:rPr>
          <w:rFonts w:cs="Times New Roman"/>
        </w:rPr>
      </w:pPr>
      <w:r w:rsidRPr="003778BF">
        <w:rPr>
          <w:rFonts w:cs="Times New Roman"/>
        </w:rPr>
        <w:t>Causal mechanisms are specified through theory. The boomerang theory allows for five specific mechanisms in the spiral model, which are in line with the theoretical expectations. From these expected causal mechanisms, a set of hypotheses can be derived. If the expected causal mechanism will be found, the hypotheses will be confirmed. If the expected causal mechanism is absent or different, the hypotheses will be rejected. The expected macro-mechanism at play in this study is:</w:t>
      </w:r>
      <w:r w:rsidRPr="003778BF">
        <w:rPr>
          <w:rFonts w:cs="Times New Roman"/>
          <w:i/>
        </w:rPr>
        <w:t xml:space="preserve"> international advocacy network </w:t>
      </w:r>
      <w:r w:rsidRPr="003778BF">
        <w:rPr>
          <w:rFonts w:cs="Times New Roman"/>
          <w:i/>
        </w:rPr>
        <w:sym w:font="Wingdings" w:char="F0E0"/>
      </w:r>
      <w:r w:rsidRPr="003778BF">
        <w:rPr>
          <w:rFonts w:cs="Times New Roman"/>
          <w:i/>
        </w:rPr>
        <w:t xml:space="preserve"> successful secession. </w:t>
      </w:r>
      <w:r w:rsidRPr="003778BF">
        <w:rPr>
          <w:rFonts w:cs="Times New Roman"/>
        </w:rPr>
        <w:t xml:space="preserve">The arrow can be considered as the causal mechanism and is built upon five micro-mechanisms, which are formulated below: </w:t>
      </w:r>
    </w:p>
    <w:p w:rsidR="00D15816" w:rsidRPr="003778BF" w:rsidRDefault="00D15816" w:rsidP="003778BF">
      <w:pPr>
        <w:pStyle w:val="Lijstalinea"/>
        <w:spacing w:line="360" w:lineRule="auto"/>
        <w:ind w:left="1080"/>
        <w:jc w:val="both"/>
        <w:rPr>
          <w:rFonts w:cs="Times New Roman"/>
          <w:i/>
        </w:rPr>
      </w:pPr>
      <w:r w:rsidRPr="003778BF">
        <w:rPr>
          <w:rFonts w:cs="Times New Roman"/>
          <w:i/>
        </w:rPr>
        <w:t xml:space="preserve">(1) Degree of oppression in target state </w:t>
      </w:r>
      <w:r w:rsidRPr="003778BF">
        <w:rPr>
          <w:rFonts w:cs="Times New Roman"/>
          <w:i/>
        </w:rPr>
        <w:sym w:font="Wingdings" w:char="F0E0"/>
      </w:r>
      <w:r w:rsidRPr="003778BF">
        <w:rPr>
          <w:rFonts w:cs="Times New Roman"/>
          <w:i/>
        </w:rPr>
        <w:t xml:space="preserve"> gathering of information on dispute </w:t>
      </w:r>
      <w:r w:rsidRPr="003778BF">
        <w:rPr>
          <w:rFonts w:cs="Times New Roman"/>
          <w:i/>
        </w:rPr>
        <w:sym w:font="Wingdings" w:char="F0E0"/>
      </w:r>
      <w:r w:rsidRPr="003778BF">
        <w:rPr>
          <w:rFonts w:cs="Times New Roman"/>
          <w:i/>
        </w:rPr>
        <w:t xml:space="preserve"> position it on the international agenda.</w:t>
      </w:r>
    </w:p>
    <w:p w:rsidR="00D15816" w:rsidRPr="003778BF" w:rsidRDefault="00D15816" w:rsidP="003778BF">
      <w:pPr>
        <w:pStyle w:val="Lijstalinea"/>
        <w:spacing w:line="360" w:lineRule="auto"/>
        <w:ind w:left="1080"/>
        <w:jc w:val="both"/>
        <w:rPr>
          <w:rFonts w:cs="Times New Roman"/>
          <w:i/>
        </w:rPr>
      </w:pPr>
      <w:r w:rsidRPr="003778BF">
        <w:rPr>
          <w:rFonts w:cs="Times New Roman"/>
          <w:i/>
        </w:rPr>
        <w:t xml:space="preserve">(2) Recognition of the dispute </w:t>
      </w:r>
      <w:r w:rsidRPr="003778BF">
        <w:rPr>
          <w:rFonts w:cs="Times New Roman"/>
          <w:i/>
        </w:rPr>
        <w:sym w:font="Wingdings" w:char="F0E0"/>
      </w:r>
      <w:r w:rsidRPr="003778BF">
        <w:rPr>
          <w:rFonts w:cs="Times New Roman"/>
          <w:i/>
        </w:rPr>
        <w:t xml:space="preserve"> bargaining advances from international network </w:t>
      </w:r>
      <w:r w:rsidRPr="003778BF">
        <w:rPr>
          <w:rFonts w:cs="Times New Roman"/>
          <w:i/>
        </w:rPr>
        <w:sym w:font="Wingdings" w:char="F0E0"/>
      </w:r>
      <w:r w:rsidRPr="003778BF">
        <w:rPr>
          <w:rFonts w:cs="Times New Roman"/>
          <w:i/>
        </w:rPr>
        <w:t xml:space="preserve"> denial of the target state.</w:t>
      </w:r>
    </w:p>
    <w:p w:rsidR="00D15816" w:rsidRPr="003778BF" w:rsidRDefault="00D15816" w:rsidP="003778BF">
      <w:pPr>
        <w:pStyle w:val="Lijstalinea"/>
        <w:spacing w:line="360" w:lineRule="auto"/>
        <w:ind w:left="1080"/>
        <w:jc w:val="both"/>
        <w:rPr>
          <w:rFonts w:cs="Times New Roman"/>
          <w:i/>
        </w:rPr>
      </w:pPr>
      <w:r w:rsidRPr="003778BF">
        <w:rPr>
          <w:rFonts w:cs="Times New Roman"/>
          <w:i/>
        </w:rPr>
        <w:t xml:space="preserve">(3) The international network strengthens the oppressed group </w:t>
      </w:r>
      <w:r w:rsidRPr="003778BF">
        <w:rPr>
          <w:rFonts w:cs="Times New Roman"/>
          <w:i/>
        </w:rPr>
        <w:sym w:font="Wingdings" w:char="F0E0"/>
      </w:r>
      <w:r w:rsidRPr="003778BF">
        <w:rPr>
          <w:rFonts w:cs="Times New Roman"/>
          <w:i/>
        </w:rPr>
        <w:t xml:space="preserve"> pressure on target state from ‘below’ and ‘above’ </w:t>
      </w:r>
      <w:r w:rsidRPr="003778BF">
        <w:rPr>
          <w:rFonts w:cs="Times New Roman"/>
          <w:i/>
        </w:rPr>
        <w:sym w:font="Wingdings" w:char="F0E0"/>
      </w:r>
      <w:r w:rsidRPr="003778BF">
        <w:rPr>
          <w:rFonts w:cs="Times New Roman"/>
          <w:i/>
        </w:rPr>
        <w:t xml:space="preserve">  target state forced to make tactical concessions. </w:t>
      </w:r>
    </w:p>
    <w:p w:rsidR="00D15816" w:rsidRPr="003778BF" w:rsidRDefault="00D15816" w:rsidP="003778BF">
      <w:pPr>
        <w:pStyle w:val="Lijstalinea"/>
        <w:spacing w:line="360" w:lineRule="auto"/>
        <w:ind w:left="1080"/>
        <w:jc w:val="both"/>
        <w:rPr>
          <w:rFonts w:cs="Times New Roman"/>
          <w:i/>
        </w:rPr>
      </w:pPr>
      <w:r w:rsidRPr="003778BF">
        <w:rPr>
          <w:rFonts w:cs="Times New Roman"/>
          <w:i/>
        </w:rPr>
        <w:t xml:space="preserve">(4) target state agrees upon terms for change </w:t>
      </w:r>
      <w:r w:rsidRPr="003778BF">
        <w:rPr>
          <w:rFonts w:cs="Times New Roman"/>
          <w:i/>
        </w:rPr>
        <w:sym w:font="Wingdings" w:char="F0E0"/>
      </w:r>
      <w:r w:rsidRPr="003778BF">
        <w:rPr>
          <w:rFonts w:cs="Times New Roman"/>
          <w:i/>
        </w:rPr>
        <w:t xml:space="preserve"> argumentative behavior </w:t>
      </w:r>
      <w:r w:rsidRPr="003778BF">
        <w:rPr>
          <w:rFonts w:cs="Times New Roman"/>
          <w:i/>
        </w:rPr>
        <w:sym w:font="Wingdings" w:char="F0E0"/>
      </w:r>
      <w:r w:rsidRPr="003778BF">
        <w:rPr>
          <w:rFonts w:cs="Times New Roman"/>
          <w:i/>
        </w:rPr>
        <w:t xml:space="preserve"> domestic change implemented.</w:t>
      </w:r>
    </w:p>
    <w:p w:rsidR="00D15816" w:rsidRPr="003778BF" w:rsidRDefault="00D15816" w:rsidP="003778BF">
      <w:pPr>
        <w:pStyle w:val="Lijstalinea"/>
        <w:spacing w:line="360" w:lineRule="auto"/>
        <w:ind w:left="1080"/>
        <w:jc w:val="both"/>
        <w:rPr>
          <w:rFonts w:cs="Times New Roman"/>
          <w:i/>
        </w:rPr>
      </w:pPr>
      <w:r w:rsidRPr="003778BF">
        <w:rPr>
          <w:rFonts w:cs="Times New Roman"/>
          <w:i/>
        </w:rPr>
        <w:t xml:space="preserve">(5) domestic change implemented </w:t>
      </w:r>
      <w:r w:rsidRPr="003778BF">
        <w:rPr>
          <w:rFonts w:cs="Times New Roman"/>
          <w:i/>
        </w:rPr>
        <w:sym w:font="Wingdings" w:char="F0E0"/>
      </w:r>
      <w:r w:rsidRPr="003778BF">
        <w:rPr>
          <w:rFonts w:cs="Times New Roman"/>
          <w:i/>
        </w:rPr>
        <w:t xml:space="preserve"> full internalization </w:t>
      </w:r>
      <w:r w:rsidRPr="003778BF">
        <w:rPr>
          <w:rFonts w:cs="Times New Roman"/>
          <w:i/>
        </w:rPr>
        <w:sym w:font="Wingdings" w:char="F0E0"/>
      </w:r>
      <w:r w:rsidRPr="003778BF">
        <w:rPr>
          <w:rFonts w:cs="Times New Roman"/>
          <w:i/>
        </w:rPr>
        <w:t xml:space="preserve"> rule-consistent behavior. </w:t>
      </w:r>
    </w:p>
    <w:p w:rsidR="00D15816" w:rsidRPr="003778BF" w:rsidRDefault="00D15816" w:rsidP="003778BF">
      <w:pPr>
        <w:spacing w:line="360" w:lineRule="auto"/>
        <w:jc w:val="both"/>
        <w:rPr>
          <w:rFonts w:cs="Times New Roman"/>
        </w:rPr>
      </w:pPr>
      <w:r w:rsidRPr="003778BF">
        <w:rPr>
          <w:rFonts w:cs="Times New Roman"/>
        </w:rPr>
        <w:t>In order to ‘test’ whether or not a specific micro mechanism is present, it is important to formulate some indicators for each mechanism and assess if these are present in the Kosovan case. As for the first, indicators are helpful in measuring the degree of oppression and advances from the oppressed group towards the international network. A list of potential i</w:t>
      </w:r>
      <w:r w:rsidR="003E3D6A">
        <w:rPr>
          <w:rFonts w:cs="Times New Roman"/>
        </w:rPr>
        <w:t>ndicators will be set out below:</w:t>
      </w:r>
    </w:p>
    <w:p w:rsidR="00D15816" w:rsidRPr="003778BF" w:rsidRDefault="00D15816" w:rsidP="003778BF">
      <w:pPr>
        <w:spacing w:line="360" w:lineRule="auto"/>
        <w:jc w:val="both"/>
        <w:rPr>
          <w:rFonts w:cs="Times New Roman"/>
          <w:i/>
        </w:rPr>
      </w:pPr>
      <w:r w:rsidRPr="003778BF">
        <w:rPr>
          <w:rFonts w:cs="Times New Roman"/>
          <w:i/>
        </w:rPr>
        <w:t>(1)</w:t>
      </w:r>
    </w:p>
    <w:p w:rsidR="00D15816" w:rsidRPr="003778BF" w:rsidRDefault="00D15816" w:rsidP="003778BF">
      <w:pPr>
        <w:pStyle w:val="Lijstalinea"/>
        <w:numPr>
          <w:ilvl w:val="0"/>
          <w:numId w:val="1"/>
        </w:numPr>
        <w:spacing w:line="360" w:lineRule="auto"/>
        <w:jc w:val="both"/>
        <w:rPr>
          <w:rFonts w:cs="Times New Roman"/>
          <w:i/>
        </w:rPr>
      </w:pPr>
      <w:r w:rsidRPr="003778BF">
        <w:rPr>
          <w:rFonts w:cs="Times New Roman"/>
          <w:i/>
        </w:rPr>
        <w:lastRenderedPageBreak/>
        <w:t xml:space="preserve"> Violation of freedom of religion</w:t>
      </w:r>
    </w:p>
    <w:p w:rsidR="00D15816" w:rsidRPr="003778BF" w:rsidRDefault="00D15816" w:rsidP="003778BF">
      <w:pPr>
        <w:pStyle w:val="Lijstalinea"/>
        <w:numPr>
          <w:ilvl w:val="0"/>
          <w:numId w:val="1"/>
        </w:numPr>
        <w:spacing w:line="360" w:lineRule="auto"/>
        <w:jc w:val="both"/>
        <w:rPr>
          <w:rFonts w:cs="Times New Roman"/>
          <w:i/>
        </w:rPr>
      </w:pPr>
      <w:r w:rsidRPr="003778BF">
        <w:rPr>
          <w:rFonts w:cs="Times New Roman"/>
          <w:i/>
        </w:rPr>
        <w:t>Violation of freedom of speech</w:t>
      </w:r>
    </w:p>
    <w:p w:rsidR="00D15816" w:rsidRPr="003778BF" w:rsidRDefault="00D15816" w:rsidP="003778BF">
      <w:pPr>
        <w:pStyle w:val="Lijstalinea"/>
        <w:numPr>
          <w:ilvl w:val="0"/>
          <w:numId w:val="1"/>
        </w:numPr>
        <w:spacing w:line="360" w:lineRule="auto"/>
        <w:jc w:val="both"/>
        <w:rPr>
          <w:rFonts w:cs="Times New Roman"/>
          <w:i/>
        </w:rPr>
      </w:pPr>
      <w:r w:rsidRPr="003778BF">
        <w:rPr>
          <w:rFonts w:cs="Times New Roman"/>
          <w:i/>
        </w:rPr>
        <w:t>Violation of freedom of peaceful assembly</w:t>
      </w:r>
    </w:p>
    <w:p w:rsidR="00D15816" w:rsidRPr="003778BF" w:rsidRDefault="00D15816" w:rsidP="003778BF">
      <w:pPr>
        <w:pStyle w:val="Lijstalinea"/>
        <w:numPr>
          <w:ilvl w:val="0"/>
          <w:numId w:val="1"/>
        </w:numPr>
        <w:spacing w:line="360" w:lineRule="auto"/>
        <w:jc w:val="both"/>
        <w:rPr>
          <w:rFonts w:cs="Times New Roman"/>
          <w:i/>
        </w:rPr>
      </w:pPr>
      <w:r w:rsidRPr="003778BF">
        <w:rPr>
          <w:rFonts w:cs="Times New Roman"/>
          <w:i/>
        </w:rPr>
        <w:t>Violation of security</w:t>
      </w:r>
    </w:p>
    <w:p w:rsidR="00D15816" w:rsidRPr="003778BF" w:rsidRDefault="00D15816" w:rsidP="003778BF">
      <w:pPr>
        <w:pStyle w:val="Lijstalinea"/>
        <w:numPr>
          <w:ilvl w:val="0"/>
          <w:numId w:val="1"/>
        </w:numPr>
        <w:spacing w:line="360" w:lineRule="auto"/>
        <w:jc w:val="both"/>
        <w:rPr>
          <w:rFonts w:cs="Times New Roman"/>
          <w:i/>
        </w:rPr>
      </w:pPr>
      <w:r w:rsidRPr="003778BF">
        <w:rPr>
          <w:rFonts w:cs="Times New Roman"/>
          <w:i/>
        </w:rPr>
        <w:t>Violation of the right to autonomy</w:t>
      </w:r>
    </w:p>
    <w:p w:rsidR="00D15816" w:rsidRPr="003778BF" w:rsidRDefault="00D15816" w:rsidP="003778BF">
      <w:pPr>
        <w:pStyle w:val="Lijstalinea"/>
        <w:numPr>
          <w:ilvl w:val="0"/>
          <w:numId w:val="1"/>
        </w:numPr>
        <w:spacing w:line="360" w:lineRule="auto"/>
        <w:jc w:val="both"/>
        <w:rPr>
          <w:rFonts w:cs="Times New Roman"/>
          <w:i/>
        </w:rPr>
      </w:pPr>
      <w:r w:rsidRPr="003778BF">
        <w:rPr>
          <w:rFonts w:cs="Times New Roman"/>
          <w:i/>
        </w:rPr>
        <w:t>Violation of right to self-determination</w:t>
      </w:r>
    </w:p>
    <w:p w:rsidR="00D15816" w:rsidRPr="003778BF" w:rsidRDefault="00D15816" w:rsidP="003778BF">
      <w:pPr>
        <w:pStyle w:val="Lijstalinea"/>
        <w:numPr>
          <w:ilvl w:val="0"/>
          <w:numId w:val="1"/>
        </w:numPr>
        <w:spacing w:line="360" w:lineRule="auto"/>
        <w:jc w:val="both"/>
        <w:rPr>
          <w:rFonts w:cs="Times New Roman"/>
          <w:i/>
        </w:rPr>
      </w:pPr>
      <w:r w:rsidRPr="003778BF">
        <w:rPr>
          <w:rFonts w:cs="Times New Roman"/>
          <w:i/>
        </w:rPr>
        <w:t xml:space="preserve">Opposition in terms of protests and rebellion </w:t>
      </w:r>
    </w:p>
    <w:p w:rsidR="00D15816" w:rsidRPr="003778BF" w:rsidRDefault="00D15816" w:rsidP="003778BF">
      <w:pPr>
        <w:spacing w:line="360" w:lineRule="auto"/>
        <w:jc w:val="both"/>
        <w:rPr>
          <w:rFonts w:cs="Times New Roman"/>
        </w:rPr>
      </w:pPr>
      <w:r w:rsidRPr="003778BF">
        <w:rPr>
          <w:rFonts w:cs="Times New Roman"/>
        </w:rPr>
        <w:t xml:space="preserve">This list of violations has been derived from the Universal Declaration of Human Rights. From this declaration, the major violations applicable to the Kosovo case are derived and presented as indicators in the research design. </w:t>
      </w:r>
    </w:p>
    <w:p w:rsidR="00D15816" w:rsidRPr="003778BF" w:rsidRDefault="00D15816" w:rsidP="003778BF">
      <w:pPr>
        <w:spacing w:line="360" w:lineRule="auto"/>
        <w:jc w:val="both"/>
        <w:rPr>
          <w:rFonts w:cs="Times New Roman"/>
        </w:rPr>
      </w:pPr>
      <w:r w:rsidRPr="003778BF">
        <w:rPr>
          <w:rFonts w:cs="Times New Roman"/>
        </w:rPr>
        <w:t xml:space="preserve">All these violations imply a certain degree of oppression within Kosovo, and requires a response from the international community in order to set the boomerang mechanism in motion. This response is a consequence of advances from the oppressed group. The second micro mechanism is at play once Serbia denies the accusations of the international community. This can be indicated accordingly: </w:t>
      </w:r>
    </w:p>
    <w:p w:rsidR="00D15816" w:rsidRPr="003778BF" w:rsidRDefault="00D15816" w:rsidP="003778BF">
      <w:pPr>
        <w:spacing w:line="360" w:lineRule="auto"/>
        <w:jc w:val="both"/>
        <w:rPr>
          <w:rFonts w:cs="Times New Roman"/>
          <w:i/>
        </w:rPr>
      </w:pPr>
      <w:r w:rsidRPr="003778BF">
        <w:rPr>
          <w:rFonts w:cs="Times New Roman"/>
          <w:i/>
        </w:rPr>
        <w:t>(2)</w:t>
      </w:r>
    </w:p>
    <w:p w:rsidR="00D15816" w:rsidRPr="003778BF" w:rsidRDefault="00D15816" w:rsidP="003778BF">
      <w:pPr>
        <w:pStyle w:val="Lijstalinea"/>
        <w:numPr>
          <w:ilvl w:val="0"/>
          <w:numId w:val="2"/>
        </w:numPr>
        <w:spacing w:line="360" w:lineRule="auto"/>
        <w:jc w:val="both"/>
        <w:rPr>
          <w:rFonts w:cs="Times New Roman"/>
          <w:i/>
        </w:rPr>
      </w:pPr>
      <w:r w:rsidRPr="003778BF">
        <w:rPr>
          <w:rFonts w:cs="Times New Roman"/>
          <w:i/>
        </w:rPr>
        <w:t>Right of state sovereignty</w:t>
      </w:r>
    </w:p>
    <w:p w:rsidR="00D15816" w:rsidRPr="003778BF" w:rsidRDefault="00D15816" w:rsidP="003778BF">
      <w:pPr>
        <w:pStyle w:val="Lijstalinea"/>
        <w:numPr>
          <w:ilvl w:val="0"/>
          <w:numId w:val="2"/>
        </w:numPr>
        <w:spacing w:line="360" w:lineRule="auto"/>
        <w:jc w:val="both"/>
        <w:rPr>
          <w:rFonts w:cs="Times New Roman"/>
          <w:i/>
        </w:rPr>
      </w:pPr>
      <w:r w:rsidRPr="003778BF">
        <w:rPr>
          <w:rFonts w:cs="Times New Roman"/>
          <w:i/>
        </w:rPr>
        <w:t>Non-interference in state’s domestic affairs</w:t>
      </w:r>
    </w:p>
    <w:p w:rsidR="00D15816" w:rsidRPr="003778BF" w:rsidRDefault="00D15816" w:rsidP="003778BF">
      <w:pPr>
        <w:pStyle w:val="Lijstalinea"/>
        <w:numPr>
          <w:ilvl w:val="0"/>
          <w:numId w:val="2"/>
        </w:numPr>
        <w:spacing w:line="360" w:lineRule="auto"/>
        <w:jc w:val="both"/>
        <w:rPr>
          <w:rFonts w:cs="Times New Roman"/>
          <w:i/>
        </w:rPr>
      </w:pPr>
      <w:r w:rsidRPr="003778BF">
        <w:rPr>
          <w:rFonts w:cs="Times New Roman"/>
          <w:i/>
        </w:rPr>
        <w:t>Counter-accusations by Serbian authorities</w:t>
      </w:r>
    </w:p>
    <w:p w:rsidR="00AF2C33" w:rsidRDefault="00AF2C33" w:rsidP="003778BF">
      <w:pPr>
        <w:spacing w:line="360" w:lineRule="auto"/>
        <w:jc w:val="both"/>
        <w:rPr>
          <w:rFonts w:cs="Times New Roman"/>
        </w:rPr>
      </w:pPr>
      <w:r>
        <w:rPr>
          <w:rFonts w:cs="Times New Roman"/>
        </w:rPr>
        <w:t xml:space="preserve">Those indicators are performed by the target state’s behavior, since they engage in a state of denial. </w:t>
      </w:r>
      <w:r w:rsidR="00A61E4C">
        <w:rPr>
          <w:rFonts w:cs="Times New Roman"/>
        </w:rPr>
        <w:t xml:space="preserve">It is Serbia which is expected to recall its right of state sovereignty, its right that disallows the international network to interfere in a state’s domestic affairs. Moreover, important indicators will be the claims of denial regarding the accusations of the network. </w:t>
      </w:r>
    </w:p>
    <w:p w:rsidR="00D15816" w:rsidRPr="003778BF" w:rsidRDefault="00D15816" w:rsidP="003778BF">
      <w:pPr>
        <w:spacing w:line="360" w:lineRule="auto"/>
        <w:jc w:val="both"/>
        <w:rPr>
          <w:rFonts w:cs="Times New Roman"/>
        </w:rPr>
      </w:pPr>
      <w:r w:rsidRPr="003778BF">
        <w:rPr>
          <w:rFonts w:cs="Times New Roman"/>
        </w:rPr>
        <w:t xml:space="preserve">The third mechanism is all about tactical concessions made by the Serbian government, as a strategy for dealing with the oppression. In this mechanism it is important to look for two types of indicators; the indicators </w:t>
      </w:r>
      <w:r w:rsidR="004C2DDB">
        <w:rPr>
          <w:rFonts w:cs="Times New Roman"/>
        </w:rPr>
        <w:t>for accusations and support by the international advocacy network</w:t>
      </w:r>
      <w:r w:rsidRPr="003778BF">
        <w:rPr>
          <w:rFonts w:cs="Times New Roman"/>
        </w:rPr>
        <w:t xml:space="preserve"> </w:t>
      </w:r>
      <w:r w:rsidRPr="003778BF">
        <w:rPr>
          <w:rFonts w:cs="Times New Roman"/>
          <w:i/>
        </w:rPr>
        <w:t>(1)</w:t>
      </w:r>
      <w:r w:rsidRPr="003778BF">
        <w:rPr>
          <w:rFonts w:cs="Times New Roman"/>
        </w:rPr>
        <w:t>, and indicators for tactical concessions</w:t>
      </w:r>
      <w:r w:rsidR="004C2DDB">
        <w:rPr>
          <w:rFonts w:cs="Times New Roman"/>
        </w:rPr>
        <w:t>, made by Serbia</w:t>
      </w:r>
      <w:r w:rsidRPr="003778BF">
        <w:rPr>
          <w:rFonts w:cs="Times New Roman"/>
        </w:rPr>
        <w:t xml:space="preserve"> </w:t>
      </w:r>
      <w:r w:rsidRPr="003778BF">
        <w:rPr>
          <w:rFonts w:cs="Times New Roman"/>
          <w:i/>
        </w:rPr>
        <w:t>(2)</w:t>
      </w:r>
      <w:r w:rsidRPr="003778BF">
        <w:rPr>
          <w:rFonts w:cs="Times New Roman"/>
        </w:rPr>
        <w:t>. These are both set out below:</w:t>
      </w:r>
    </w:p>
    <w:p w:rsidR="00D15816" w:rsidRPr="003778BF" w:rsidRDefault="00D15816" w:rsidP="003778BF">
      <w:pPr>
        <w:spacing w:line="360" w:lineRule="auto"/>
        <w:jc w:val="both"/>
        <w:rPr>
          <w:rFonts w:cs="Times New Roman"/>
          <w:i/>
        </w:rPr>
      </w:pPr>
      <w:r w:rsidRPr="003778BF">
        <w:rPr>
          <w:rFonts w:cs="Times New Roman"/>
          <w:i/>
        </w:rPr>
        <w:t>(3.1)</w:t>
      </w:r>
      <w:r w:rsidR="004C2DDB">
        <w:rPr>
          <w:rFonts w:cs="Times New Roman"/>
          <w:i/>
        </w:rPr>
        <w:t xml:space="preserve"> </w:t>
      </w:r>
    </w:p>
    <w:p w:rsidR="00D15816" w:rsidRPr="003778BF" w:rsidRDefault="00D15816" w:rsidP="003778BF">
      <w:pPr>
        <w:pStyle w:val="Lijstalinea"/>
        <w:numPr>
          <w:ilvl w:val="0"/>
          <w:numId w:val="3"/>
        </w:numPr>
        <w:spacing w:line="360" w:lineRule="auto"/>
        <w:jc w:val="both"/>
        <w:rPr>
          <w:rFonts w:cs="Times New Roman"/>
          <w:i/>
        </w:rPr>
      </w:pPr>
      <w:r w:rsidRPr="003778BF">
        <w:rPr>
          <w:rFonts w:cs="Times New Roman"/>
          <w:i/>
        </w:rPr>
        <w:t>Public shaming</w:t>
      </w:r>
    </w:p>
    <w:p w:rsidR="00D15816" w:rsidRPr="003778BF" w:rsidRDefault="00D15816" w:rsidP="003778BF">
      <w:pPr>
        <w:pStyle w:val="Lijstalinea"/>
        <w:numPr>
          <w:ilvl w:val="0"/>
          <w:numId w:val="3"/>
        </w:numPr>
        <w:spacing w:line="360" w:lineRule="auto"/>
        <w:jc w:val="both"/>
        <w:rPr>
          <w:rFonts w:cs="Times New Roman"/>
          <w:i/>
        </w:rPr>
      </w:pPr>
      <w:r w:rsidRPr="003778BF">
        <w:rPr>
          <w:rFonts w:cs="Times New Roman"/>
          <w:i/>
        </w:rPr>
        <w:t>Broad media attention</w:t>
      </w:r>
    </w:p>
    <w:p w:rsidR="00D15816" w:rsidRPr="003778BF" w:rsidRDefault="00D15816" w:rsidP="003778BF">
      <w:pPr>
        <w:pStyle w:val="Lijstalinea"/>
        <w:numPr>
          <w:ilvl w:val="0"/>
          <w:numId w:val="3"/>
        </w:numPr>
        <w:spacing w:line="360" w:lineRule="auto"/>
        <w:jc w:val="both"/>
        <w:rPr>
          <w:rFonts w:cs="Times New Roman"/>
          <w:i/>
        </w:rPr>
      </w:pPr>
      <w:r w:rsidRPr="003778BF">
        <w:rPr>
          <w:rFonts w:cs="Times New Roman"/>
          <w:i/>
        </w:rPr>
        <w:t>Material support (provision of goods, and men)</w:t>
      </w:r>
    </w:p>
    <w:p w:rsidR="00D15816" w:rsidRPr="003778BF" w:rsidRDefault="00D15816" w:rsidP="003778BF">
      <w:pPr>
        <w:pStyle w:val="Lijstalinea"/>
        <w:numPr>
          <w:ilvl w:val="0"/>
          <w:numId w:val="3"/>
        </w:numPr>
        <w:spacing w:line="360" w:lineRule="auto"/>
        <w:jc w:val="both"/>
        <w:rPr>
          <w:rFonts w:cs="Times New Roman"/>
          <w:i/>
        </w:rPr>
      </w:pPr>
      <w:r w:rsidRPr="003778BF">
        <w:rPr>
          <w:rFonts w:cs="Times New Roman"/>
          <w:i/>
        </w:rPr>
        <w:lastRenderedPageBreak/>
        <w:t>Non material support (provision of information, tactics, ideological input)</w:t>
      </w:r>
    </w:p>
    <w:p w:rsidR="00D15816" w:rsidRPr="003778BF" w:rsidRDefault="00D15816" w:rsidP="003778BF">
      <w:pPr>
        <w:pStyle w:val="Lijstalinea"/>
        <w:numPr>
          <w:ilvl w:val="0"/>
          <w:numId w:val="3"/>
        </w:numPr>
        <w:spacing w:line="360" w:lineRule="auto"/>
        <w:jc w:val="both"/>
        <w:rPr>
          <w:rFonts w:cs="Times New Roman"/>
          <w:i/>
        </w:rPr>
      </w:pPr>
      <w:r w:rsidRPr="003778BF">
        <w:rPr>
          <w:rFonts w:cs="Times New Roman"/>
          <w:i/>
        </w:rPr>
        <w:t xml:space="preserve">Active lobbying </w:t>
      </w:r>
    </w:p>
    <w:p w:rsidR="004C2DDB" w:rsidRPr="004C2DDB" w:rsidRDefault="004C2DDB" w:rsidP="003778BF">
      <w:pPr>
        <w:spacing w:line="360" w:lineRule="auto"/>
        <w:jc w:val="both"/>
        <w:rPr>
          <w:rFonts w:cs="Times New Roman"/>
        </w:rPr>
      </w:pPr>
      <w:r>
        <w:rPr>
          <w:rFonts w:cs="Times New Roman"/>
        </w:rPr>
        <w:t>These indicators are mainly performed by t</w:t>
      </w:r>
      <w:r w:rsidR="00362664">
        <w:rPr>
          <w:rFonts w:cs="Times New Roman"/>
        </w:rPr>
        <w:t>he international advocacy network, which means that its presence depends on the behavior of the network. The indicators for tactical concessions (3.2) are mainly performed by the target state Serbia, which means that the presence of those indicators is dependent on Serbia’s behavior in this phase.</w:t>
      </w:r>
    </w:p>
    <w:p w:rsidR="00D15816" w:rsidRPr="003778BF" w:rsidRDefault="00D15816" w:rsidP="003778BF">
      <w:pPr>
        <w:spacing w:line="360" w:lineRule="auto"/>
        <w:jc w:val="both"/>
        <w:rPr>
          <w:rFonts w:cs="Times New Roman"/>
          <w:i/>
        </w:rPr>
      </w:pPr>
      <w:r w:rsidRPr="003778BF">
        <w:rPr>
          <w:rFonts w:cs="Times New Roman"/>
          <w:i/>
        </w:rPr>
        <w:t>(3.2)</w:t>
      </w:r>
    </w:p>
    <w:p w:rsidR="00D15816" w:rsidRPr="003778BF" w:rsidRDefault="00D15816" w:rsidP="003778BF">
      <w:pPr>
        <w:pStyle w:val="Lijstalinea"/>
        <w:numPr>
          <w:ilvl w:val="0"/>
          <w:numId w:val="4"/>
        </w:numPr>
        <w:spacing w:line="360" w:lineRule="auto"/>
        <w:jc w:val="both"/>
        <w:rPr>
          <w:rFonts w:cs="Times New Roman"/>
          <w:i/>
        </w:rPr>
      </w:pPr>
      <w:r w:rsidRPr="003778BF">
        <w:rPr>
          <w:rFonts w:cs="Times New Roman"/>
          <w:i/>
        </w:rPr>
        <w:t>Processes of bargaining</w:t>
      </w:r>
    </w:p>
    <w:p w:rsidR="00D15816" w:rsidRPr="003778BF" w:rsidRDefault="00D15816" w:rsidP="003778BF">
      <w:pPr>
        <w:pStyle w:val="Lijstalinea"/>
        <w:numPr>
          <w:ilvl w:val="0"/>
          <w:numId w:val="4"/>
        </w:numPr>
        <w:spacing w:line="360" w:lineRule="auto"/>
        <w:jc w:val="both"/>
        <w:rPr>
          <w:rFonts w:cs="Times New Roman"/>
          <w:i/>
        </w:rPr>
      </w:pPr>
      <w:r w:rsidRPr="003778BF">
        <w:rPr>
          <w:rFonts w:cs="Times New Roman"/>
          <w:i/>
        </w:rPr>
        <w:t>Signs of goodwill (signing of an international agreement)</w:t>
      </w:r>
    </w:p>
    <w:p w:rsidR="00D15816" w:rsidRPr="003778BF" w:rsidRDefault="00D15816" w:rsidP="003778BF">
      <w:pPr>
        <w:spacing w:line="360" w:lineRule="auto"/>
        <w:jc w:val="both"/>
        <w:rPr>
          <w:rFonts w:cs="Times New Roman"/>
        </w:rPr>
      </w:pPr>
      <w:r w:rsidRPr="003778BF">
        <w:rPr>
          <w:rFonts w:cs="Times New Roman"/>
        </w:rPr>
        <w:t>The fourth mechanism is rather straightforward since Serbia decides to agree or not with the terms presented by the international network. If th</w:t>
      </w:r>
      <w:r w:rsidR="00670D6C">
        <w:rPr>
          <w:rFonts w:cs="Times New Roman"/>
        </w:rPr>
        <w:t>is causal mechanism is present</w:t>
      </w:r>
      <w:r w:rsidRPr="003778BF">
        <w:rPr>
          <w:rFonts w:cs="Times New Roman"/>
        </w:rPr>
        <w:t>, the following indicators will substantiate this:</w:t>
      </w:r>
    </w:p>
    <w:p w:rsidR="00D15816" w:rsidRPr="003778BF" w:rsidRDefault="00D15816" w:rsidP="003778BF">
      <w:pPr>
        <w:spacing w:line="360" w:lineRule="auto"/>
        <w:jc w:val="both"/>
        <w:rPr>
          <w:rFonts w:cs="Times New Roman"/>
          <w:i/>
        </w:rPr>
      </w:pPr>
      <w:r w:rsidRPr="003778BF">
        <w:rPr>
          <w:rFonts w:cs="Times New Roman"/>
          <w:i/>
        </w:rPr>
        <w:t>(4)</w:t>
      </w:r>
    </w:p>
    <w:p w:rsidR="00D15816" w:rsidRPr="003778BF" w:rsidRDefault="00D15816" w:rsidP="003778BF">
      <w:pPr>
        <w:pStyle w:val="Lijstalinea"/>
        <w:numPr>
          <w:ilvl w:val="0"/>
          <w:numId w:val="5"/>
        </w:numPr>
        <w:spacing w:line="360" w:lineRule="auto"/>
        <w:jc w:val="both"/>
        <w:rPr>
          <w:rFonts w:cs="Times New Roman"/>
          <w:i/>
        </w:rPr>
      </w:pPr>
      <w:r w:rsidRPr="003778BF">
        <w:rPr>
          <w:rFonts w:cs="Times New Roman"/>
          <w:i/>
        </w:rPr>
        <w:t>Agreement on issue</w:t>
      </w:r>
    </w:p>
    <w:p w:rsidR="00D15816" w:rsidRPr="003778BF" w:rsidRDefault="00D15816" w:rsidP="003778BF">
      <w:pPr>
        <w:pStyle w:val="Lijstalinea"/>
        <w:numPr>
          <w:ilvl w:val="0"/>
          <w:numId w:val="5"/>
        </w:numPr>
        <w:spacing w:line="360" w:lineRule="auto"/>
        <w:jc w:val="both"/>
        <w:rPr>
          <w:rFonts w:cs="Times New Roman"/>
          <w:i/>
        </w:rPr>
      </w:pPr>
      <w:r w:rsidRPr="003778BF">
        <w:rPr>
          <w:rFonts w:cs="Times New Roman"/>
          <w:i/>
        </w:rPr>
        <w:t>Acceptance on paper (recognition)</w:t>
      </w:r>
    </w:p>
    <w:p w:rsidR="00D15816" w:rsidRPr="003778BF" w:rsidRDefault="00D15816" w:rsidP="003778BF">
      <w:pPr>
        <w:pStyle w:val="Lijstalinea"/>
        <w:numPr>
          <w:ilvl w:val="0"/>
          <w:numId w:val="5"/>
        </w:numPr>
        <w:spacing w:line="360" w:lineRule="auto"/>
        <w:jc w:val="both"/>
        <w:rPr>
          <w:rFonts w:cs="Times New Roman"/>
          <w:i/>
        </w:rPr>
      </w:pPr>
      <w:r w:rsidRPr="003778BF">
        <w:rPr>
          <w:rFonts w:cs="Times New Roman"/>
          <w:i/>
        </w:rPr>
        <w:t>Legit process of change implemented</w:t>
      </w:r>
    </w:p>
    <w:p w:rsidR="00DC1D80" w:rsidRDefault="00DC1D80" w:rsidP="003778BF">
      <w:pPr>
        <w:spacing w:line="360" w:lineRule="auto"/>
        <w:jc w:val="both"/>
        <w:rPr>
          <w:rFonts w:cs="Times New Roman"/>
        </w:rPr>
      </w:pPr>
      <w:r>
        <w:rPr>
          <w:rFonts w:cs="Times New Roman"/>
        </w:rPr>
        <w:t xml:space="preserve">The above mentioned indicators of phase four are performed by both the international network and Serbia, since an agreement has to accepted by both parties. Compliance and implementation of the accepted changes though, will only be performed by Serbia. Therefore, the last indicator only applies to Serbia. </w:t>
      </w:r>
    </w:p>
    <w:p w:rsidR="00D15816" w:rsidRPr="003778BF" w:rsidRDefault="00D15816" w:rsidP="003778BF">
      <w:pPr>
        <w:spacing w:line="360" w:lineRule="auto"/>
        <w:jc w:val="both"/>
        <w:rPr>
          <w:rFonts w:cs="Times New Roman"/>
        </w:rPr>
      </w:pPr>
      <w:r w:rsidRPr="003778BF">
        <w:rPr>
          <w:rFonts w:cs="Times New Roman"/>
        </w:rPr>
        <w:t xml:space="preserve">The fifth and last mechanism requires the full internalization of Kosovo of an independent state. There is no explicit indicators that prove the presence of such a mechanism. Its rather the absence of indicators that question the validity of the secession that shows that this fifth phase has been reached. </w:t>
      </w:r>
    </w:p>
    <w:p w:rsidR="00D15816" w:rsidRPr="003742EE" w:rsidRDefault="004243FF" w:rsidP="003778BF">
      <w:pPr>
        <w:pStyle w:val="Kop2"/>
        <w:spacing w:line="360" w:lineRule="auto"/>
        <w:jc w:val="both"/>
        <w:rPr>
          <w:rFonts w:asciiTheme="minorHAnsi" w:hAnsiTheme="minorHAnsi" w:cs="Times New Roman"/>
          <w:b w:val="0"/>
        </w:rPr>
      </w:pPr>
      <w:bookmarkStart w:id="28" w:name="_Toc489007243"/>
      <w:r>
        <w:rPr>
          <w:rFonts w:asciiTheme="minorHAnsi" w:hAnsiTheme="minorHAnsi" w:cs="Times New Roman"/>
          <w:b w:val="0"/>
        </w:rPr>
        <w:t xml:space="preserve">3.3 </w:t>
      </w:r>
      <w:r w:rsidR="00D15816" w:rsidRPr="003742EE">
        <w:rPr>
          <w:rFonts w:asciiTheme="minorHAnsi" w:hAnsiTheme="minorHAnsi" w:cs="Times New Roman"/>
          <w:b w:val="0"/>
        </w:rPr>
        <w:t>From causal mechanism(s) to hypotheses</w:t>
      </w:r>
      <w:bookmarkEnd w:id="28"/>
    </w:p>
    <w:p w:rsidR="00D15816" w:rsidRPr="003778BF" w:rsidRDefault="00D15816" w:rsidP="003778BF">
      <w:pPr>
        <w:spacing w:line="360" w:lineRule="auto"/>
        <w:jc w:val="both"/>
        <w:rPr>
          <w:rFonts w:cs="Times New Roman"/>
        </w:rPr>
      </w:pPr>
      <w:r w:rsidRPr="003778BF">
        <w:rPr>
          <w:rFonts w:cs="Times New Roman"/>
        </w:rPr>
        <w:t xml:space="preserve">From these theoretical mechanisms, a set of hypotheses applicable to secession tendencies can be derived. This study expects that domestic political change occurs through an international advocacy network, which is in line with the expectations of the adopted theory. Whether or not these hypotheses will be confirmed depends on the presence of the indicators presented above. For every hypothesis formulated below, the processes and possible indicators will shortly be discussed. These </w:t>
      </w:r>
      <w:r w:rsidRPr="003778BF">
        <w:rPr>
          <w:rFonts w:cs="Times New Roman"/>
        </w:rPr>
        <w:lastRenderedPageBreak/>
        <w:t xml:space="preserve">hypotheses consequently contribute to the main hypothesis which is set out below, and is referred to as </w:t>
      </w:r>
      <w:r w:rsidRPr="003778BF">
        <w:rPr>
          <w:rFonts w:cs="Times New Roman"/>
          <w:i/>
        </w:rPr>
        <w:t>H-main</w:t>
      </w:r>
      <w:r w:rsidRPr="003778BF">
        <w:rPr>
          <w:rFonts w:cs="Times New Roman"/>
        </w:rPr>
        <w:t xml:space="preserve">. </w:t>
      </w:r>
    </w:p>
    <w:p w:rsidR="00D15816" w:rsidRPr="003778BF" w:rsidRDefault="00D15816" w:rsidP="003778BF">
      <w:pPr>
        <w:spacing w:line="360" w:lineRule="auto"/>
        <w:jc w:val="both"/>
        <w:rPr>
          <w:rFonts w:cs="Times New Roman"/>
          <w:i/>
        </w:rPr>
      </w:pPr>
      <w:r w:rsidRPr="003778BF">
        <w:rPr>
          <w:rFonts w:cs="Times New Roman"/>
          <w:i/>
        </w:rPr>
        <w:t xml:space="preserve">H-main: Involvement of an international advocacy network in an ethnic conflict in the target state leads to successful domestic changes within this target state, which is secession. </w:t>
      </w:r>
    </w:p>
    <w:p w:rsidR="00D15816" w:rsidRPr="003778BF" w:rsidRDefault="00D15816" w:rsidP="003778BF">
      <w:pPr>
        <w:spacing w:line="360" w:lineRule="auto"/>
        <w:jc w:val="both"/>
        <w:rPr>
          <w:rFonts w:cs="Times New Roman"/>
        </w:rPr>
      </w:pPr>
      <w:r w:rsidRPr="003778BF">
        <w:rPr>
          <w:rFonts w:cs="Times New Roman"/>
          <w:i/>
        </w:rPr>
        <w:t xml:space="preserve">H-main </w:t>
      </w:r>
      <w:r w:rsidRPr="003778BF">
        <w:rPr>
          <w:rFonts w:cs="Times New Roman"/>
        </w:rPr>
        <w:t xml:space="preserve">is considered to be the overarching umbrella hypothesis which can be operationalized and measured via the hypotheses derived from the micro-mechanisms set out above. The first step thus is to define and operationalize the ‘micro-hypotheses’, before the main hypothesis can operationalized. From causal mechanism (1) the following hypothesis can be derived: </w:t>
      </w:r>
    </w:p>
    <w:p w:rsidR="00D15816" w:rsidRPr="003778BF" w:rsidRDefault="00D15816" w:rsidP="003778BF">
      <w:pPr>
        <w:spacing w:line="360" w:lineRule="auto"/>
        <w:jc w:val="both"/>
        <w:rPr>
          <w:rFonts w:cs="Times New Roman"/>
          <w:i/>
        </w:rPr>
      </w:pPr>
      <w:r w:rsidRPr="003778BF">
        <w:rPr>
          <w:rFonts w:cs="Times New Roman"/>
          <w:i/>
        </w:rPr>
        <w:t xml:space="preserve">H1: The higher the degree of oppression, the more likely the network is to put the dispute on the international agenda. </w:t>
      </w:r>
    </w:p>
    <w:p w:rsidR="00D15816" w:rsidRPr="003778BF" w:rsidRDefault="00D15816" w:rsidP="003778BF">
      <w:pPr>
        <w:spacing w:line="360" w:lineRule="auto"/>
        <w:jc w:val="both"/>
        <w:rPr>
          <w:rFonts w:cs="Times New Roman"/>
        </w:rPr>
      </w:pPr>
      <w:r w:rsidRPr="003778BF">
        <w:rPr>
          <w:rFonts w:cs="Times New Roman"/>
        </w:rPr>
        <w:t xml:space="preserve"> This study assumes that the degree of oppression determines whether the international network puts a dispute on the international agenda or not</w:t>
      </w:r>
      <w:r w:rsidR="000A3A87">
        <w:rPr>
          <w:rFonts w:cs="Times New Roman"/>
        </w:rPr>
        <w:t>. It is expected that it is</w:t>
      </w:r>
      <w:r w:rsidRPr="003778BF">
        <w:rPr>
          <w:rFonts w:cs="Times New Roman"/>
        </w:rPr>
        <w:t xml:space="preserve"> more likely that the international network prioritizes the dispute on their agenda</w:t>
      </w:r>
      <w:r w:rsidR="000A3A87">
        <w:rPr>
          <w:rFonts w:cs="Times New Roman"/>
        </w:rPr>
        <w:t>, if there is significant evidence which demonstrates that a group is discriminated, or its rights violated or abused</w:t>
      </w:r>
      <w:r w:rsidRPr="003778BF">
        <w:rPr>
          <w:rFonts w:cs="Times New Roman"/>
        </w:rPr>
        <w:t>. Degree of oppression here, can be measured according to the previously formulated indicators. These indicators mostly consist of the violations of basic human rights, and the right of self-determination and autonomy. Information politics is a useful strategy for determining the degree of oppression. As a result of these violations, the oppressed group reaches out to the international community, who consequently mak</w:t>
      </w:r>
      <w:r w:rsidR="00C03D50">
        <w:rPr>
          <w:rFonts w:cs="Times New Roman"/>
        </w:rPr>
        <w:t xml:space="preserve">es their assessment. </w:t>
      </w:r>
      <w:r w:rsidR="00C03D50">
        <w:rPr>
          <w:rFonts w:cs="Times New Roman"/>
        </w:rPr>
        <w:tab/>
      </w:r>
      <w:r w:rsidR="00C03D50">
        <w:rPr>
          <w:rFonts w:cs="Times New Roman"/>
        </w:rPr>
        <w:tab/>
      </w:r>
      <w:r w:rsidR="00C03D50">
        <w:rPr>
          <w:rFonts w:cs="Times New Roman"/>
        </w:rPr>
        <w:tab/>
      </w:r>
      <w:r w:rsidR="00C03D50">
        <w:rPr>
          <w:rFonts w:cs="Times New Roman"/>
        </w:rPr>
        <w:tab/>
      </w:r>
      <w:r w:rsidR="00C03D50">
        <w:rPr>
          <w:rFonts w:cs="Times New Roman"/>
        </w:rPr>
        <w:tab/>
      </w:r>
      <w:r w:rsidR="00C03D50">
        <w:rPr>
          <w:rFonts w:cs="Times New Roman"/>
        </w:rPr>
        <w:tab/>
      </w:r>
      <w:r w:rsidR="00C03D50">
        <w:rPr>
          <w:rFonts w:cs="Times New Roman"/>
        </w:rPr>
        <w:tab/>
      </w:r>
      <w:r w:rsidR="00C03D50">
        <w:rPr>
          <w:rFonts w:cs="Times New Roman"/>
        </w:rPr>
        <w:tab/>
      </w:r>
      <w:r w:rsidR="00C03D50">
        <w:rPr>
          <w:rFonts w:cs="Times New Roman"/>
        </w:rPr>
        <w:tab/>
      </w:r>
      <w:r w:rsidR="00C03D50">
        <w:rPr>
          <w:rFonts w:cs="Times New Roman"/>
        </w:rPr>
        <w:tab/>
      </w:r>
      <w:r w:rsidRPr="003778BF">
        <w:rPr>
          <w:rFonts w:cs="Times New Roman"/>
        </w:rPr>
        <w:t>Furthermore, opposition as an indicator of dispute can be measured in a variety of ways. Even though the circumstances for protest differ per case, it is attached to a feeling of disintegration and discontent with the political authority in charge (</w:t>
      </w:r>
      <w:proofErr w:type="spellStart"/>
      <w:r w:rsidRPr="003778BF">
        <w:rPr>
          <w:rFonts w:cs="Times New Roman"/>
        </w:rPr>
        <w:t>Ropp</w:t>
      </w:r>
      <w:proofErr w:type="spellEnd"/>
      <w:r w:rsidRPr="003778BF">
        <w:rPr>
          <w:rFonts w:cs="Times New Roman"/>
        </w:rPr>
        <w:t xml:space="preserve"> et al., 1999). Although measuring these feelings is rather problematic, it can be very well mirrored to the level of disturbances in society. As </w:t>
      </w:r>
      <w:proofErr w:type="spellStart"/>
      <w:r w:rsidRPr="003778BF">
        <w:rPr>
          <w:rFonts w:cs="Times New Roman"/>
        </w:rPr>
        <w:t>Jetschke</w:t>
      </w:r>
      <w:proofErr w:type="spellEnd"/>
      <w:r w:rsidRPr="003778BF">
        <w:rPr>
          <w:rFonts w:cs="Times New Roman"/>
        </w:rPr>
        <w:t xml:space="preserve"> (1999) sets out in her case study regarding nationalism in the Philippines; the existence of political rebellion, mass protests and an underground armed movement is a strong indication for tension in society (p. 139). It is indicators as mentioned in the Philippine case that decide whether a dispute will be put on the interna</w:t>
      </w:r>
      <w:r w:rsidR="00C03D50">
        <w:rPr>
          <w:rFonts w:cs="Times New Roman"/>
        </w:rPr>
        <w:t>tional agenda, or not.</w:t>
      </w:r>
      <w:r w:rsidR="00C03D50">
        <w:rPr>
          <w:rFonts w:cs="Times New Roman"/>
        </w:rPr>
        <w:tab/>
      </w:r>
      <w:r w:rsidR="00C03D50">
        <w:rPr>
          <w:rFonts w:cs="Times New Roman"/>
        </w:rPr>
        <w:tab/>
      </w:r>
      <w:r w:rsidR="00C03D50">
        <w:rPr>
          <w:rFonts w:cs="Times New Roman"/>
        </w:rPr>
        <w:tab/>
      </w:r>
      <w:r w:rsidR="00C03D50">
        <w:rPr>
          <w:rFonts w:cs="Times New Roman"/>
        </w:rPr>
        <w:tab/>
      </w:r>
      <w:r w:rsidR="00C03D50">
        <w:rPr>
          <w:rFonts w:cs="Times New Roman"/>
        </w:rPr>
        <w:tab/>
      </w:r>
      <w:r w:rsidR="00C03D50">
        <w:rPr>
          <w:rFonts w:cs="Times New Roman"/>
        </w:rPr>
        <w:tab/>
      </w:r>
      <w:r w:rsidR="00C03D50">
        <w:rPr>
          <w:rFonts w:cs="Times New Roman"/>
        </w:rPr>
        <w:tab/>
      </w:r>
      <w:r w:rsidRPr="003778BF">
        <w:rPr>
          <w:rFonts w:cs="Times New Roman"/>
        </w:rPr>
        <w:t>The second hypothesis is related to causal mechanism (2), or phase two, and is formulated accordingly:</w:t>
      </w:r>
    </w:p>
    <w:p w:rsidR="00D15816" w:rsidRPr="003778BF" w:rsidRDefault="00D15816" w:rsidP="003778BF">
      <w:pPr>
        <w:spacing w:line="360" w:lineRule="auto"/>
        <w:jc w:val="both"/>
        <w:rPr>
          <w:rFonts w:cs="Times New Roman"/>
          <w:i/>
        </w:rPr>
      </w:pPr>
      <w:r w:rsidRPr="003778BF">
        <w:rPr>
          <w:rFonts w:cs="Times New Roman"/>
          <w:i/>
        </w:rPr>
        <w:t xml:space="preserve">H2: When the advocacy network confronts the target state, it refuses to accept the accusations. </w:t>
      </w:r>
    </w:p>
    <w:p w:rsidR="00D15816" w:rsidRPr="003778BF" w:rsidRDefault="00D15816" w:rsidP="003778BF">
      <w:pPr>
        <w:spacing w:line="360" w:lineRule="auto"/>
        <w:jc w:val="both"/>
        <w:rPr>
          <w:rFonts w:cs="Times New Roman"/>
        </w:rPr>
      </w:pPr>
      <w:r w:rsidRPr="003778BF">
        <w:rPr>
          <w:rFonts w:cs="Times New Roman"/>
        </w:rPr>
        <w:t xml:space="preserve">A political discourse is opened in front of international and domestic audiences. The reason for doing this is to exhibit the dispute in the open and generate international attention for the issue. </w:t>
      </w:r>
      <w:r w:rsidRPr="003778BF">
        <w:rPr>
          <w:rFonts w:cs="Times New Roman"/>
        </w:rPr>
        <w:lastRenderedPageBreak/>
        <w:t>Furthermore, the target state is confronted through framing arguments in strategic constructions in order to convince the target state that they should recognize the claims of the minority group. Yet, it often turns out to be rather hard to reason with the target state, since they often do not empathize and recognize the other as equal. Since the target state is initially not interested in engaging in serious dialogue with the critical international advocacy network it denies the accusations (</w:t>
      </w:r>
      <w:proofErr w:type="spellStart"/>
      <w:r w:rsidRPr="003778BF">
        <w:rPr>
          <w:rFonts w:cs="Times New Roman"/>
        </w:rPr>
        <w:t>Risse</w:t>
      </w:r>
      <w:proofErr w:type="spellEnd"/>
      <w:r w:rsidRPr="003778BF">
        <w:rPr>
          <w:rFonts w:cs="Times New Roman"/>
        </w:rPr>
        <w:t xml:space="preserve">, 1999, p. 251). This may become evident via a variety of statements which deny the validity of the accuser’s claims and ascribe to its own sovereignty. The accuser consequently treats the target state as an international pariah, while the target state treats the accuser(s) as an intruder (ibid, 1999, p. 251). One way of measuring this is through news items at the local, national and international level. In the media, the Other is represented in a certain manner by the Self. This can be considered to be symbolic politics as defined by Keck and </w:t>
      </w:r>
      <w:proofErr w:type="spellStart"/>
      <w:r w:rsidRPr="003778BF">
        <w:rPr>
          <w:rFonts w:cs="Times New Roman"/>
        </w:rPr>
        <w:t>Sikkink</w:t>
      </w:r>
      <w:proofErr w:type="spellEnd"/>
      <w:r w:rsidRPr="003778BF">
        <w:rPr>
          <w:rFonts w:cs="Times New Roman"/>
        </w:rPr>
        <w:t xml:space="preserve"> (1999, pp. 96 – 97). Furthermore, One may use the media as a strategy to portray itself in a certain way, its distinctive status and identity for instance. People want their group to have a positive identity (Larson et al., 2010, p. 68), and the media can be considered a valuable tool for achieving this. Schmitz (1999) demonstrates the role of the media in his research on political change in Uganda. The Ugandan government was accused of violating human rights by the international media. Consequently, the Ugandan government threatened to take action and oppose</w:t>
      </w:r>
      <w:r w:rsidR="006746F8">
        <w:rPr>
          <w:rFonts w:cs="Times New Roman"/>
        </w:rPr>
        <w:t>d</w:t>
      </w:r>
      <w:r w:rsidRPr="003778BF">
        <w:rPr>
          <w:rFonts w:cs="Times New Roman"/>
        </w:rPr>
        <w:t xml:space="preserve">, unless the international media stopped to report on the issue (p. 44). Thus, the role of the media will be the main source for testing the hypothesis. Public statements and speeches will be categorized as such as well, since these are mainly circulated via the media. At this stage, this is also expected to be the main source through which a discourse regarding the ethnic conflict will occur, instead of more personal interactions. If hypothesis two is confirmed, this implies that the target state is not willing to adhere to the critique of the international advocacy network. Consequently, this study expects that the network will take action towards mobilization on different levels. This results in hypothesis three: </w:t>
      </w:r>
    </w:p>
    <w:p w:rsidR="00D15816" w:rsidRPr="003778BF" w:rsidRDefault="00D15816" w:rsidP="003778BF">
      <w:pPr>
        <w:spacing w:line="360" w:lineRule="auto"/>
        <w:jc w:val="both"/>
        <w:rPr>
          <w:rFonts w:cs="Times New Roman"/>
          <w:i/>
        </w:rPr>
      </w:pPr>
      <w:r w:rsidRPr="003778BF">
        <w:rPr>
          <w:rFonts w:cs="Times New Roman"/>
          <w:i/>
        </w:rPr>
        <w:t xml:space="preserve">H3: Mobilizing the distinct community in order to put pressure on the target state from above and below, forces the state  to make tactical concessions. </w:t>
      </w:r>
    </w:p>
    <w:p w:rsidR="00D15816" w:rsidRPr="003778BF" w:rsidRDefault="00D15816" w:rsidP="003778BF">
      <w:pPr>
        <w:spacing w:line="360" w:lineRule="auto"/>
        <w:jc w:val="both"/>
        <w:rPr>
          <w:rFonts w:cs="Times New Roman"/>
        </w:rPr>
      </w:pPr>
      <w:r w:rsidRPr="003778BF">
        <w:rPr>
          <w:rFonts w:cs="Times New Roman"/>
        </w:rPr>
        <w:t xml:space="preserve">The distinct community that the international network tries to mobilize is the oppressed group. In this study the Kosovan community represents this group, since this group seeks to secede and become an independent sovereign state. The mobilization of this group may entail many things. The main goal of mobilization of the oppressed group is to further pressurize the government in charge. This can be done through revolts, strikes and other disobediences. There are many forms of disobeying behavior, but at this stage the emphasis is here mostly the more direct ways of opposing the government. One should not forget that the group was ignored in the first place, so another, more direct approach should be more fruitful. Mobilization by the network can be achieved through </w:t>
      </w:r>
      <w:r w:rsidRPr="003778BF">
        <w:rPr>
          <w:rFonts w:cs="Times New Roman"/>
        </w:rPr>
        <w:lastRenderedPageBreak/>
        <w:t>multiple tactics. Information politics, as well as leverage politics is rather useful here for achieving the desired result. This mobilization generates pressure from both above, the international level, and below, the local level. Mobilization can be generated through both material and non-material means. The network can for instance provide support in military capabilities or other supplies, but also provide the Kosovan community</w:t>
      </w:r>
      <w:bookmarkStart w:id="29" w:name="_GoBack"/>
      <w:bookmarkEnd w:id="29"/>
      <w:r w:rsidRPr="003778BF">
        <w:rPr>
          <w:rFonts w:cs="Times New Roman"/>
        </w:rPr>
        <w:t xml:space="preserve"> with information, and ideological support. By doing this, the advocacy network tries to further pressurize and enforce the target state to make tactical concessions. This implies that the target state needs to make some concessions in order to enlarge their margins of maneuver, in order to increase their international legitimacy. These concessions can be considered a sign of goodwill towards the international accepted principles. Signs of goodwill as described here are strategies one embraces to ease the tension, and shows a sign of collaboration.  Therefore, these signs are important indicators for progress in this third phase. An example of a concession made by the Soviet Union and Eastern Europe is the signing of the human rights provisions in the Helsinki Final Act (Thomas, 1999, pp. 205 - 233). These concessions can be considered the first step towards dialogue, rather than accusations and denial. </w:t>
      </w:r>
      <w:proofErr w:type="spellStart"/>
      <w:r w:rsidRPr="003778BF">
        <w:rPr>
          <w:rFonts w:cs="Times New Roman"/>
        </w:rPr>
        <w:t>Gränzer</w:t>
      </w:r>
      <w:proofErr w:type="spellEnd"/>
      <w:r w:rsidRPr="003778BF">
        <w:rPr>
          <w:rFonts w:cs="Times New Roman"/>
        </w:rPr>
        <w:t xml:space="preserve"> (1999) noticed such a change in her research on Moroccan human rights violations as well, where the king created a whole new institution to deal with the issue of oppression (p. 124). The occurrence of tactical concessions is the biggest observable change compared to the previous mechanism, and is expected to become visible through the mobilization of the oppressed community and the international community.</w:t>
      </w:r>
      <w:r w:rsidRPr="003778BF">
        <w:rPr>
          <w:rFonts w:cs="Times New Roman"/>
        </w:rPr>
        <w:tab/>
      </w:r>
      <w:r w:rsidRPr="003778BF">
        <w:rPr>
          <w:rFonts w:cs="Times New Roman"/>
        </w:rPr>
        <w:tab/>
      </w:r>
      <w:r w:rsidRPr="003778BF">
        <w:rPr>
          <w:rFonts w:cs="Times New Roman"/>
        </w:rPr>
        <w:tab/>
      </w:r>
      <w:r w:rsidRPr="003778BF">
        <w:rPr>
          <w:rFonts w:cs="Times New Roman"/>
        </w:rPr>
        <w:tab/>
      </w:r>
      <w:r w:rsidRPr="003778BF">
        <w:rPr>
          <w:rFonts w:cs="Times New Roman"/>
        </w:rPr>
        <w:tab/>
      </w:r>
      <w:r w:rsidRPr="003778BF">
        <w:rPr>
          <w:rFonts w:cs="Times New Roman"/>
        </w:rPr>
        <w:tab/>
      </w:r>
      <w:r w:rsidRPr="003778BF">
        <w:rPr>
          <w:rFonts w:cs="Times New Roman"/>
        </w:rPr>
        <w:tab/>
      </w:r>
      <w:r w:rsidRPr="003778BF">
        <w:rPr>
          <w:rFonts w:cs="Times New Roman"/>
        </w:rPr>
        <w:tab/>
      </w:r>
      <w:r w:rsidRPr="003778BF">
        <w:rPr>
          <w:rFonts w:cs="Times New Roman"/>
        </w:rPr>
        <w:tab/>
      </w:r>
      <w:r w:rsidRPr="003778BF">
        <w:rPr>
          <w:rFonts w:cs="Times New Roman"/>
        </w:rPr>
        <w:tab/>
        <w:t>It is through this change towards argumentative behavior that the target state accepts the terms for secession. A significant change in domestic politics occurs at this stage, and the following hypothesis can be derived from this shift:</w:t>
      </w:r>
    </w:p>
    <w:p w:rsidR="00D15816" w:rsidRPr="003778BF" w:rsidRDefault="00D15816" w:rsidP="003778BF">
      <w:pPr>
        <w:spacing w:line="360" w:lineRule="auto"/>
        <w:jc w:val="both"/>
        <w:rPr>
          <w:rFonts w:cs="Times New Roman"/>
          <w:i/>
        </w:rPr>
      </w:pPr>
      <w:r w:rsidRPr="003778BF">
        <w:rPr>
          <w:rFonts w:cs="Times New Roman"/>
          <w:i/>
        </w:rPr>
        <w:t>H4: Through argumentative behavior the target state accepts  the terms of secession.</w:t>
      </w:r>
    </w:p>
    <w:p w:rsidR="00D15816" w:rsidRPr="003778BF" w:rsidRDefault="00D15816" w:rsidP="003778BF">
      <w:pPr>
        <w:spacing w:line="360" w:lineRule="auto"/>
        <w:jc w:val="both"/>
        <w:rPr>
          <w:rFonts w:cs="Times New Roman"/>
        </w:rPr>
      </w:pPr>
      <w:r w:rsidRPr="003778BF">
        <w:rPr>
          <w:rFonts w:cs="Times New Roman"/>
        </w:rPr>
        <w:t>At this point the conditions of an argumentative dialogue have been fulfilled and both parties accept each other’s presence, and treat each other as equal participants in the discourse (</w:t>
      </w:r>
      <w:proofErr w:type="spellStart"/>
      <w:r w:rsidRPr="003778BF">
        <w:rPr>
          <w:rFonts w:cs="Times New Roman"/>
        </w:rPr>
        <w:t>Risse</w:t>
      </w:r>
      <w:proofErr w:type="spellEnd"/>
      <w:r w:rsidRPr="003778BF">
        <w:rPr>
          <w:rFonts w:cs="Times New Roman"/>
        </w:rPr>
        <w:t xml:space="preserve">, 1999). This can be made observable in number of assemblies and other interactions. Bargaining and negotiating has become the standard, rather than accusations and denial. A shift has taken place in the tactic of politics, in which leverage politics has become the dominant strategy. This, according to the hypothesis, will ultimately lead to the acceptance of the terms for secession by the target state. The terms of acceptance in this research entail recognition of all elements that constitute de jure partition as defined by Chapman and Roeder (2007). This entails the separation into a new, independent, sovereign and autonomous state which is recognized as such by the international community. Argumentative behavior can be operationalized as both strategic and norm-regulated behavior. The international network seeks to enforce a set of universal accepted norms and </w:t>
      </w:r>
      <w:r w:rsidRPr="003778BF">
        <w:rPr>
          <w:rFonts w:cs="Times New Roman"/>
        </w:rPr>
        <w:lastRenderedPageBreak/>
        <w:t>regulations upon the target state, think in the case of Kosovo of legitimacy and rights of autonomy for instance. Yet, there are strategic interests as well. These interests occur in bargaining processes and strategic interactions (</w:t>
      </w:r>
      <w:proofErr w:type="spellStart"/>
      <w:r w:rsidRPr="003778BF">
        <w:rPr>
          <w:rFonts w:cs="Times New Roman"/>
        </w:rPr>
        <w:t>Risse</w:t>
      </w:r>
      <w:proofErr w:type="spellEnd"/>
      <w:r w:rsidRPr="003778BF">
        <w:rPr>
          <w:rFonts w:cs="Times New Roman"/>
        </w:rPr>
        <w:t xml:space="preserve">, 1999). A trade-off will eventually lead to the acceptance of terms, since incentives can be more effective than outside pressure. The use of tactical concessions becomes evident here as well. This can be measured in terms of communication processes, such as round tables and other type of meetings for instance. In the past communicative interactions were merely based around cost-benefit analyses, engagement occurred if it was beneficial for an actor’s own interest. At this point though the focus lies not in coordination via egocentric calculations of success, as is the type of behavior in previous phases, its focus lies in reaching mutual understanding. This is defined by </w:t>
      </w:r>
      <w:proofErr w:type="spellStart"/>
      <w:r w:rsidRPr="003778BF">
        <w:rPr>
          <w:rFonts w:cs="Times New Roman"/>
        </w:rPr>
        <w:t>Habermas</w:t>
      </w:r>
      <w:proofErr w:type="spellEnd"/>
      <w:r w:rsidRPr="003778BF">
        <w:rPr>
          <w:rFonts w:cs="Times New Roman"/>
        </w:rPr>
        <w:t xml:space="preserve"> as </w:t>
      </w:r>
      <w:r w:rsidRPr="003778BF">
        <w:rPr>
          <w:rFonts w:cs="Times New Roman"/>
          <w:i/>
        </w:rPr>
        <w:t xml:space="preserve">‘’… the pursuit of individual goals under the condition that they can co-ordinate their action plans on the basis of shared definitions of the situation.’’ </w:t>
      </w:r>
      <w:r w:rsidRPr="003778BF">
        <w:rPr>
          <w:rFonts w:cs="Times New Roman"/>
        </w:rPr>
        <w:t>(</w:t>
      </w:r>
      <w:proofErr w:type="spellStart"/>
      <w:r w:rsidRPr="003778BF">
        <w:rPr>
          <w:rFonts w:cs="Times New Roman"/>
        </w:rPr>
        <w:t>Habermas</w:t>
      </w:r>
      <w:proofErr w:type="spellEnd"/>
      <w:r w:rsidRPr="003778BF">
        <w:rPr>
          <w:rFonts w:cs="Times New Roman"/>
        </w:rPr>
        <w:t xml:space="preserve"> in </w:t>
      </w:r>
      <w:proofErr w:type="spellStart"/>
      <w:r w:rsidRPr="003778BF">
        <w:rPr>
          <w:rFonts w:cs="Times New Roman"/>
        </w:rPr>
        <w:t>Risse</w:t>
      </w:r>
      <w:proofErr w:type="spellEnd"/>
      <w:r w:rsidRPr="003778BF">
        <w:rPr>
          <w:rFonts w:cs="Times New Roman"/>
        </w:rPr>
        <w:t xml:space="preserve">, 1999, p. 533). </w:t>
      </w:r>
      <w:r w:rsidR="002A291E">
        <w:rPr>
          <w:rFonts w:cs="Times New Roman"/>
        </w:rPr>
        <w:t xml:space="preserve">The presence of both logics should at least be taken into consideration during the process. </w:t>
      </w:r>
      <w:r w:rsidRPr="003778BF">
        <w:rPr>
          <w:rFonts w:cs="Times New Roman"/>
        </w:rPr>
        <w:t>The aim of communicative behavior is to reach a consensus (</w:t>
      </w:r>
      <w:proofErr w:type="spellStart"/>
      <w:r w:rsidRPr="003778BF">
        <w:rPr>
          <w:rFonts w:cs="Times New Roman"/>
        </w:rPr>
        <w:t>Risse</w:t>
      </w:r>
      <w:proofErr w:type="spellEnd"/>
      <w:r w:rsidRPr="003778BF">
        <w:rPr>
          <w:rFonts w:cs="Times New Roman"/>
        </w:rPr>
        <w:t xml:space="preserve">, 1999, p. 533). This consensus is often reached through the signing of an agreement or other  hard ‘physical evidence’.  Without this physical evidence, the acceptance of terms loses </w:t>
      </w:r>
      <w:r w:rsidR="002348E8">
        <w:rPr>
          <w:rFonts w:cs="Times New Roman"/>
        </w:rPr>
        <w:t xml:space="preserve">its validity. </w:t>
      </w:r>
      <w:r w:rsidR="002348E8">
        <w:rPr>
          <w:rFonts w:cs="Times New Roman"/>
        </w:rPr>
        <w:tab/>
      </w:r>
      <w:r w:rsidR="002348E8">
        <w:rPr>
          <w:rFonts w:cs="Times New Roman"/>
        </w:rPr>
        <w:tab/>
      </w:r>
      <w:r w:rsidR="002348E8">
        <w:rPr>
          <w:rFonts w:cs="Times New Roman"/>
        </w:rPr>
        <w:tab/>
      </w:r>
      <w:r w:rsidRPr="003778BF">
        <w:rPr>
          <w:rFonts w:cs="Times New Roman"/>
        </w:rPr>
        <w:t>Although this hypothesis regarding the fourth phase in the spiral model is of major importance for the applicability of the boomerang theory, it is of little use to this specific research design. This research seeks to set out whether or not international involvement does bring about successful secession. It however does n</w:t>
      </w:r>
      <w:r w:rsidR="00DC33D6">
        <w:rPr>
          <w:rFonts w:cs="Times New Roman"/>
        </w:rPr>
        <w:t>ot explore the extent</w:t>
      </w:r>
      <w:r w:rsidRPr="003778BF">
        <w:rPr>
          <w:rFonts w:cs="Times New Roman"/>
        </w:rPr>
        <w:t xml:space="preserve"> of which the opposing parties understand each other and reach consensus. Secession is a rather complex phenomenon, which often is contested, even after full recognition. One main condition for successful secession is the recognition of it by the international community. This fourth phase, though, merely focusses upon recognition of the change by the target state. This is no necessary condition for secession though, and becomes therefore of lesser importance for the purposes of this study. In this case, Serbia is the target state. But it is the international community, instead of Serbia itself, which recognizes Kosovo as an independent and sovereign state. The process of involvement, the first three phases, are of bigger importance to this study than the actual acceptance and internalization. Nonetheless, those latter stages of change are not fully ignored here since they may still provide useful information regarding the role of the international community, in terms of significance of the conclusions drawn, and because of its incorporation in the theory embraced in this research. </w:t>
      </w:r>
    </w:p>
    <w:p w:rsidR="00D15816" w:rsidRPr="003778BF" w:rsidRDefault="00D15816" w:rsidP="003778BF">
      <w:pPr>
        <w:spacing w:line="360" w:lineRule="auto"/>
        <w:jc w:val="both"/>
        <w:rPr>
          <w:rFonts w:cs="Times New Roman"/>
          <w:i/>
        </w:rPr>
      </w:pPr>
      <w:r w:rsidRPr="003778BF">
        <w:rPr>
          <w:rFonts w:cs="Times New Roman"/>
          <w:i/>
        </w:rPr>
        <w:t>H5: acceptance of the validity of secession leads to the internalization of change</w:t>
      </w:r>
    </w:p>
    <w:p w:rsidR="00D15816" w:rsidRPr="003778BF" w:rsidRDefault="00D15816" w:rsidP="003778BF">
      <w:pPr>
        <w:spacing w:line="360" w:lineRule="auto"/>
        <w:jc w:val="both"/>
        <w:rPr>
          <w:rFonts w:cs="Times New Roman"/>
        </w:rPr>
      </w:pPr>
      <w:r w:rsidRPr="003778BF">
        <w:rPr>
          <w:rFonts w:cs="Times New Roman"/>
        </w:rPr>
        <w:t xml:space="preserve">The fifth and final hypothesis can be measured and validated over time, since internalization of a change does not occur over night. In terms of the secession process, internalization can be operationalized as a loss in shared identity or feeling of belonging. Accountability politics will be </w:t>
      </w:r>
      <w:r w:rsidRPr="003778BF">
        <w:rPr>
          <w:rFonts w:cs="Times New Roman"/>
        </w:rPr>
        <w:lastRenderedPageBreak/>
        <w:t>employed by the network in order to check if the target state acts according t</w:t>
      </w:r>
      <w:r w:rsidR="00A053FA">
        <w:rPr>
          <w:rFonts w:cs="Times New Roman"/>
        </w:rPr>
        <w:t>o the accepted terms.</w:t>
      </w:r>
      <w:r w:rsidR="00A053FA">
        <w:rPr>
          <w:rFonts w:cs="Times New Roman"/>
        </w:rPr>
        <w:tab/>
      </w:r>
      <w:r w:rsidRPr="003778BF">
        <w:rPr>
          <w:rFonts w:cs="Times New Roman"/>
        </w:rPr>
        <w:t>One should take into account that these hypotheses are dependent on each other. Failure of one of the hypotheses will have implications for the following hypotheses as well. Therefore, all five hypotheses can be considered to be a set which represents the main hypothesis which is derived from the main causal mechanism. If all these expected hypotheses are assessed, one is able to test the main hypothesis of this research. However, the process in practice does not always evolve as smooth as it is presented in theory. Tunisia, that skipped phase two and got stuck in phase three, is a good example of this (</w:t>
      </w:r>
      <w:proofErr w:type="spellStart"/>
      <w:r w:rsidRPr="003778BF">
        <w:rPr>
          <w:rFonts w:cs="Times New Roman"/>
        </w:rPr>
        <w:t>Rop</w:t>
      </w:r>
      <w:proofErr w:type="spellEnd"/>
      <w:r w:rsidRPr="003778BF">
        <w:rPr>
          <w:rFonts w:cs="Times New Roman"/>
        </w:rPr>
        <w:t xml:space="preserve"> et al., 1999, p. 243). Since secession is a rather turbulent process itself, it is expected that a ‘Tunisia-scenario’ is likely to occur in many secession cases. This however, does not have to be problematic for the aims of this research, since these disturbances also provide important knowledge about the role of the netwo</w:t>
      </w:r>
      <w:r w:rsidR="00133460">
        <w:rPr>
          <w:rFonts w:cs="Times New Roman"/>
        </w:rPr>
        <w:t xml:space="preserve">rk in those setbacks.   </w:t>
      </w:r>
      <w:r w:rsidR="00133460">
        <w:rPr>
          <w:rFonts w:cs="Times New Roman"/>
        </w:rPr>
        <w:tab/>
      </w:r>
      <w:r w:rsidR="00133460">
        <w:rPr>
          <w:rFonts w:cs="Times New Roman"/>
        </w:rPr>
        <w:tab/>
      </w:r>
      <w:r w:rsidR="00133460">
        <w:rPr>
          <w:rFonts w:cs="Times New Roman"/>
        </w:rPr>
        <w:tab/>
      </w:r>
      <w:r w:rsidR="00133460">
        <w:rPr>
          <w:rFonts w:cs="Times New Roman"/>
        </w:rPr>
        <w:tab/>
      </w:r>
      <w:r w:rsidR="00133460">
        <w:rPr>
          <w:rFonts w:cs="Times New Roman"/>
        </w:rPr>
        <w:tab/>
      </w:r>
      <w:r w:rsidR="00133460">
        <w:rPr>
          <w:rFonts w:cs="Times New Roman"/>
        </w:rPr>
        <w:tab/>
      </w:r>
      <w:r w:rsidRPr="003778BF">
        <w:rPr>
          <w:rFonts w:cs="Times New Roman"/>
        </w:rPr>
        <w:t xml:space="preserve">The international advocacy network applies a variety of strategies during the course of intervention in order to administrate domestic change, and ultimately successful secession. According to the theory, it is through this network that successful secession becomes more likely. The Kosovan secession process will provide herein as an influential case study, as will be set out in the next section. </w:t>
      </w:r>
    </w:p>
    <w:p w:rsidR="00D15816" w:rsidRPr="003742EE" w:rsidRDefault="004243FF" w:rsidP="003778BF">
      <w:pPr>
        <w:pStyle w:val="Kop2"/>
        <w:spacing w:line="360" w:lineRule="auto"/>
        <w:jc w:val="both"/>
        <w:rPr>
          <w:rFonts w:asciiTheme="minorHAnsi" w:hAnsiTheme="minorHAnsi" w:cs="Times New Roman"/>
          <w:b w:val="0"/>
        </w:rPr>
      </w:pPr>
      <w:bookmarkStart w:id="30" w:name="_Toc489007244"/>
      <w:r>
        <w:rPr>
          <w:rFonts w:asciiTheme="minorHAnsi" w:hAnsiTheme="minorHAnsi" w:cs="Times New Roman"/>
          <w:b w:val="0"/>
        </w:rPr>
        <w:t xml:space="preserve">3.4 </w:t>
      </w:r>
      <w:r w:rsidR="00D15816" w:rsidRPr="003742EE">
        <w:rPr>
          <w:rFonts w:asciiTheme="minorHAnsi" w:hAnsiTheme="minorHAnsi" w:cs="Times New Roman"/>
          <w:b w:val="0"/>
        </w:rPr>
        <w:t>Case study</w:t>
      </w:r>
      <w:bookmarkEnd w:id="30"/>
    </w:p>
    <w:p w:rsidR="00D15816" w:rsidRPr="003778BF" w:rsidRDefault="00D15816" w:rsidP="003778BF">
      <w:pPr>
        <w:spacing w:line="360" w:lineRule="auto"/>
        <w:jc w:val="both"/>
        <w:rPr>
          <w:rFonts w:cs="Times New Roman"/>
        </w:rPr>
      </w:pPr>
      <w:r w:rsidRPr="003778BF">
        <w:rPr>
          <w:rFonts w:cs="Times New Roman"/>
        </w:rPr>
        <w:t>The dynamics of the entities in the advocacy network differ per case, which results in varying micro-mechanisms. Consequently, one cannot simply compare multiple secession cases and draw conclusions from those. Results are case specific due to its complexity.  Therefore, a single case study is the most viable solution to test a secession mechanism.  The most important features for proper case selection are representation and causal leverage (</w:t>
      </w:r>
      <w:proofErr w:type="spellStart"/>
      <w:r w:rsidRPr="003778BF">
        <w:rPr>
          <w:rFonts w:cs="Times New Roman"/>
        </w:rPr>
        <w:t>Gerring</w:t>
      </w:r>
      <w:proofErr w:type="spellEnd"/>
      <w:r w:rsidRPr="003778BF">
        <w:rPr>
          <w:rFonts w:cs="Times New Roman"/>
        </w:rPr>
        <w:t xml:space="preserve">, 2008, pp. 1 - 2). This means that the selected case must be representative, which it can be in various ways, must be of theoretical interest, and fit the theory. In terms of representation, this study formulates an argument regarding successful secession cases. As is described above, this study defines a successful secession process as one which results in a new independent state, which is sovereign and recognized by the international community. In order to properly demarcate between successful cases and non- and partial successful cases, it is the de jure partition cases which are considered to be successful, hence representative. In terms of theoretical interest, it is of importance to select a case in which secession has been a challenge. Cases of secession in which a consensus has been reached without repression and foreign intervention are not of theoretical interest since they disallow for testing the causal mechanism. In terms of ‘fitting the theory’ it is of importance that the secession process is in line with the theoretical assumptions. The boomerang mechanism assumes that an oppressed group reaches out towards the international advocacy network for support, rather than international intervention </w:t>
      </w:r>
      <w:r w:rsidRPr="003778BF">
        <w:rPr>
          <w:rFonts w:cs="Times New Roman"/>
        </w:rPr>
        <w:lastRenderedPageBreak/>
        <w:t>encouraged by the international community themselves. The nature of case study research rests upon making certain assumptions about the broader population (</w:t>
      </w:r>
      <w:proofErr w:type="spellStart"/>
      <w:r w:rsidRPr="003778BF">
        <w:rPr>
          <w:rFonts w:cs="Times New Roman"/>
        </w:rPr>
        <w:t>Gerring</w:t>
      </w:r>
      <w:proofErr w:type="spellEnd"/>
      <w:r w:rsidRPr="003778BF">
        <w:rPr>
          <w:rFonts w:cs="Times New Roman"/>
        </w:rPr>
        <w:t>, 2008, p. 2). However, one has to take into account the uniqueness of every secession case, due to its different circumstances and context. Therefore it is hard to speak of typical, deviant, and least and most likely cases, or select a suitable case at all. In addition, it becomes hard to generalize the result to the broader population. For these reasons, every secession case tends to be an outlier.</w:t>
      </w:r>
      <w:r w:rsidRPr="003778BF">
        <w:rPr>
          <w:rFonts w:cs="Times New Roman"/>
        </w:rPr>
        <w:tab/>
        <w:t xml:space="preserve">This theory draws upon the Kosovan secession as an influential case, mainly because of its historical reasons, its comparability to other former Yugoslavian secession cases, and its contemporary relevance. This however, does not necessarily mean that these results will become more generalizable. Still, it does mean that these results may become of future value for other single case studies on secession in which post-Soviet parties are involved. An influential case is according to </w:t>
      </w:r>
      <w:proofErr w:type="spellStart"/>
      <w:r w:rsidRPr="003778BF">
        <w:rPr>
          <w:rFonts w:cs="Times New Roman"/>
        </w:rPr>
        <w:t>Gerring</w:t>
      </w:r>
      <w:proofErr w:type="spellEnd"/>
      <w:r w:rsidRPr="003778BF">
        <w:rPr>
          <w:rFonts w:cs="Times New Roman"/>
        </w:rPr>
        <w:t xml:space="preserve"> (2008) a case that casts doubt upon a theory (pp. 15 – 18). Previous qualitative and quantitative research has pointed towards different dominant causes that have led to secession, and thus casted doubt upon many theories presented by others. The purpose of this study is not the cast doubt upon this specific theory, but to explain a process with the help of this theory. This approach thus is not in line with </w:t>
      </w:r>
      <w:proofErr w:type="spellStart"/>
      <w:r w:rsidRPr="003778BF">
        <w:rPr>
          <w:rFonts w:cs="Times New Roman"/>
        </w:rPr>
        <w:t>Gerring’s</w:t>
      </w:r>
      <w:proofErr w:type="spellEnd"/>
      <w:r w:rsidRPr="003778BF">
        <w:rPr>
          <w:rFonts w:cs="Times New Roman"/>
        </w:rPr>
        <w:t xml:space="preserve"> standard of an influential case (pp. 15 – 18), but this research still labels it as such because of the reasons mentioned at </w:t>
      </w:r>
      <w:r w:rsidR="00654EF4">
        <w:rPr>
          <w:rFonts w:cs="Times New Roman"/>
        </w:rPr>
        <w:t>the start of this paragraph.</w:t>
      </w:r>
      <w:r w:rsidR="00654EF4">
        <w:rPr>
          <w:rFonts w:cs="Times New Roman"/>
        </w:rPr>
        <w:tab/>
      </w:r>
      <w:r w:rsidR="00654EF4">
        <w:rPr>
          <w:rFonts w:cs="Times New Roman"/>
        </w:rPr>
        <w:tab/>
      </w:r>
      <w:r w:rsidR="00654EF4">
        <w:rPr>
          <w:rFonts w:cs="Times New Roman"/>
        </w:rPr>
        <w:tab/>
      </w:r>
      <w:r w:rsidR="001651E6">
        <w:rPr>
          <w:rFonts w:cs="Times New Roman"/>
        </w:rPr>
        <w:tab/>
      </w:r>
      <w:r w:rsidR="001651E6">
        <w:rPr>
          <w:rFonts w:cs="Times New Roman"/>
        </w:rPr>
        <w:tab/>
      </w:r>
      <w:r w:rsidR="001651E6">
        <w:rPr>
          <w:rFonts w:cs="Times New Roman"/>
        </w:rPr>
        <w:tab/>
      </w:r>
      <w:r w:rsidR="001651E6">
        <w:rPr>
          <w:rFonts w:cs="Times New Roman"/>
        </w:rPr>
        <w:tab/>
      </w:r>
      <w:r w:rsidRPr="003778BF">
        <w:rPr>
          <w:rFonts w:cs="Times New Roman"/>
        </w:rPr>
        <w:t>Kosovo is in the past always considered to be a ‘part of’, rather than a territory on its own. By the second half of the fifteenth century, Kosovo had become part of the Ottoman Empire. Kosovo was part of this empire until it became a Serbian province in the early twentieth century before it became part of Communist Yugoslavia. No matter which ‘state’ or ‘regime’ the Kosovar region was part of, it was among its poorest regions (</w:t>
      </w:r>
      <w:proofErr w:type="spellStart"/>
      <w:r w:rsidRPr="003778BF">
        <w:rPr>
          <w:rFonts w:cs="Times New Roman"/>
        </w:rPr>
        <w:t>Latawski</w:t>
      </w:r>
      <w:proofErr w:type="spellEnd"/>
      <w:r w:rsidRPr="003778BF">
        <w:rPr>
          <w:rFonts w:cs="Times New Roman"/>
        </w:rPr>
        <w:t xml:space="preserve"> and Smith, 2003, p. 4). Kosovo can be regarded as a distinct unit in terms of its physical geography, since it is bordered by mountain ranges on all sides, and interiorly divided by a range of hills from the east to the west (ibid, 2003, p. 4). Yet, the history of Kosovo is mostly shaped by its competing ethnic composition, since the territory has always been associated with important historical events for both the Serbs and the Albanians (ibid, 2003, pp. 4 - 5). The Serbs even perceive Kosovo as the cradle of their Kingdom (p. 4), while the Albanians recognized the area as an important place for Albanian nationalism (p. 5). A conflict of ethnic nature, therefore, is a result that could have been expected. Over the course of the past century, the Serb community has diminished in its overall numbers, providing the Albanian population with a significant majority (ibid, 2003). Kosovo, in the 1990’s, was governed by Serbian authorities while it were less than fifteen percent Serbs living in the region (ibid, 2003, p. 6). Consequently, opposition arose and the international community got involved. All these circumstances and developments do fit the theoretical requirements as presented; both ethnic groups harbor feelings of identification towards the region, conflict is present, as well as involvement of international actors. Although </w:t>
      </w:r>
      <w:r w:rsidRPr="003778BF">
        <w:rPr>
          <w:rFonts w:cs="Times New Roman"/>
        </w:rPr>
        <w:lastRenderedPageBreak/>
        <w:t xml:space="preserve">Kosovo does fit the theory perfectly, one though cannot speak of a typical case as defined by </w:t>
      </w:r>
      <w:proofErr w:type="spellStart"/>
      <w:r w:rsidRPr="003778BF">
        <w:rPr>
          <w:rFonts w:cs="Times New Roman"/>
        </w:rPr>
        <w:t>Gerring</w:t>
      </w:r>
      <w:proofErr w:type="spellEnd"/>
      <w:r w:rsidRPr="003778BF">
        <w:rPr>
          <w:rFonts w:cs="Times New Roman"/>
        </w:rPr>
        <w:t xml:space="preserve"> (2008) since secession never evolves in a typical fashion and there is no general understanding nor a typical set of values regarding </w:t>
      </w:r>
      <w:r w:rsidR="00534E6B">
        <w:rPr>
          <w:rFonts w:cs="Times New Roman"/>
        </w:rPr>
        <w:t>the phenomenon (p. 7).</w:t>
      </w:r>
      <w:r w:rsidR="00534E6B">
        <w:rPr>
          <w:rFonts w:cs="Times New Roman"/>
        </w:rPr>
        <w:tab/>
      </w:r>
      <w:r w:rsidR="00534E6B">
        <w:rPr>
          <w:rFonts w:cs="Times New Roman"/>
        </w:rPr>
        <w:tab/>
      </w:r>
      <w:r w:rsidR="00534E6B">
        <w:rPr>
          <w:rFonts w:cs="Times New Roman"/>
        </w:rPr>
        <w:tab/>
      </w:r>
      <w:r w:rsidR="00534E6B">
        <w:rPr>
          <w:rFonts w:cs="Times New Roman"/>
        </w:rPr>
        <w:tab/>
      </w:r>
      <w:r w:rsidR="00534E6B">
        <w:rPr>
          <w:rFonts w:cs="Times New Roman"/>
        </w:rPr>
        <w:tab/>
      </w:r>
      <w:r w:rsidR="00534E6B">
        <w:rPr>
          <w:rFonts w:cs="Times New Roman"/>
        </w:rPr>
        <w:tab/>
      </w:r>
      <w:r w:rsidR="00534E6B">
        <w:rPr>
          <w:rFonts w:cs="Times New Roman"/>
        </w:rPr>
        <w:tab/>
      </w:r>
      <w:r w:rsidRPr="003778BF">
        <w:rPr>
          <w:rFonts w:cs="Times New Roman"/>
        </w:rPr>
        <w:t>A major limitation of Kosovo as a case study is the controversy regarding its ‘type’ of partition. Although Kosovo is recognized by many, 109 countries (Be In Kosovo, 2017), as an independent state, this status is still contested by some. Therefore, one can contest if Kosovo is a case of de jure partition, which is defined in this study as a requirement for successful secession. This study, however, does not perceive this as problematic since Kosovo can be considered to be a secession case in progress. This, at first, does not make sense since Kosovo declared itself independent nearly a decade ago. Yet, there is some logic to it. The Republic of Kosovo declared itself independent on the seventeenth of February 2008, and was recognized as such in the following days by numerous countries (ibid, 2017). Nonetheless, over one hundred countries recognized Kosovo over the course of the past nine years, and the list is still growing.</w:t>
      </w:r>
      <w:r w:rsidR="008F68B5">
        <w:rPr>
          <w:rFonts w:cs="Times New Roman"/>
        </w:rPr>
        <w:t xml:space="preserve"> This may imply that the Kosovar</w:t>
      </w:r>
      <w:r w:rsidRPr="003778BF">
        <w:rPr>
          <w:rFonts w:cs="Times New Roman"/>
        </w:rPr>
        <w:t xml:space="preserve"> secession is yet to be fully internalized.</w:t>
      </w:r>
      <w:r w:rsidRPr="003778BF">
        <w:rPr>
          <w:rFonts w:cs="Times New Roman"/>
        </w:rPr>
        <w:tab/>
      </w:r>
      <w:r w:rsidRPr="003778BF">
        <w:rPr>
          <w:rFonts w:cs="Times New Roman"/>
        </w:rPr>
        <w:tab/>
      </w:r>
      <w:r w:rsidR="00661E51">
        <w:rPr>
          <w:rFonts w:cs="Times New Roman"/>
        </w:rPr>
        <w:tab/>
      </w:r>
      <w:r w:rsidR="00661E51">
        <w:rPr>
          <w:rFonts w:cs="Times New Roman"/>
        </w:rPr>
        <w:tab/>
      </w:r>
      <w:r w:rsidR="00661E51">
        <w:rPr>
          <w:rFonts w:cs="Times New Roman"/>
        </w:rPr>
        <w:tab/>
      </w:r>
      <w:r w:rsidR="00661E51">
        <w:rPr>
          <w:rFonts w:cs="Times New Roman"/>
        </w:rPr>
        <w:tab/>
      </w:r>
      <w:r w:rsidR="00661E51">
        <w:rPr>
          <w:rFonts w:cs="Times New Roman"/>
        </w:rPr>
        <w:tab/>
      </w:r>
      <w:r w:rsidR="00661E51">
        <w:rPr>
          <w:rFonts w:cs="Times New Roman"/>
        </w:rPr>
        <w:tab/>
      </w:r>
      <w:r w:rsidR="00661E51">
        <w:rPr>
          <w:rFonts w:cs="Times New Roman"/>
        </w:rPr>
        <w:tab/>
      </w:r>
      <w:r w:rsidRPr="003778BF">
        <w:rPr>
          <w:rFonts w:cs="Times New Roman"/>
        </w:rPr>
        <w:t>In order to test the theoretical expectations of the boomerang mechanism on the Kosovo case, a time frame of roughly twenty years will be analyzed. This starts from the late 1980’s, when Milosevic ro</w:t>
      </w:r>
      <w:r w:rsidR="00D55FB5">
        <w:rPr>
          <w:rFonts w:cs="Times New Roman"/>
        </w:rPr>
        <w:t>se to power, until 2008 when</w:t>
      </w:r>
      <w:r w:rsidRPr="003778BF">
        <w:rPr>
          <w:rFonts w:cs="Times New Roman"/>
        </w:rPr>
        <w:t xml:space="preserve"> Kosovo declared itself independent. </w:t>
      </w:r>
    </w:p>
    <w:p w:rsidR="00D15816" w:rsidRPr="003742EE" w:rsidRDefault="004243FF" w:rsidP="003778BF">
      <w:pPr>
        <w:pStyle w:val="Kop2"/>
        <w:spacing w:line="360" w:lineRule="auto"/>
        <w:jc w:val="both"/>
        <w:rPr>
          <w:rFonts w:asciiTheme="minorHAnsi" w:hAnsiTheme="minorHAnsi" w:cs="Times New Roman"/>
          <w:b w:val="0"/>
        </w:rPr>
      </w:pPr>
      <w:bookmarkStart w:id="31" w:name="_Toc489007245"/>
      <w:r>
        <w:rPr>
          <w:rFonts w:asciiTheme="minorHAnsi" w:hAnsiTheme="minorHAnsi" w:cs="Times New Roman"/>
          <w:b w:val="0"/>
        </w:rPr>
        <w:t xml:space="preserve">3.5 </w:t>
      </w:r>
      <w:r w:rsidR="00D15816" w:rsidRPr="003742EE">
        <w:rPr>
          <w:rFonts w:asciiTheme="minorHAnsi" w:hAnsiTheme="minorHAnsi" w:cs="Times New Roman"/>
          <w:b w:val="0"/>
        </w:rPr>
        <w:t>Process-Tracing</w:t>
      </w:r>
      <w:bookmarkEnd w:id="31"/>
    </w:p>
    <w:p w:rsidR="00D15816" w:rsidRPr="003778BF" w:rsidRDefault="00D15816" w:rsidP="003778BF">
      <w:pPr>
        <w:spacing w:line="360" w:lineRule="auto"/>
        <w:jc w:val="both"/>
        <w:rPr>
          <w:rFonts w:cs="Times New Roman"/>
        </w:rPr>
      </w:pPr>
      <w:r w:rsidRPr="003778BF">
        <w:rPr>
          <w:rFonts w:cs="Times New Roman"/>
        </w:rPr>
        <w:t xml:space="preserve">One of the aims of this research is to assess whether or not there is a causal relationship between international involvement and the outcome of secession in Kosovo, rather than a correlation between the two variables. As Beach and Pedersen (2013) argue, the only method that allows for studying causal mechanisms is process tracing (pp. 1-2). Furthermore, Bennett (2008) points out that any attempt to analyze historical cases and phenomena involves the process tracing method (p. 4). In order to infer a possible causal relationship, it is of importance to study the causal mechanisms set out previously, hence process tracing is suitable for this study. According to Beach and Pedersen (2013), it is process tracing that enables one to make strong causal within-case inferences about the causal process (p. 2). Consequently, this helps to indicate the degree of confidence one has in the validity of the theoretical assumptions and to explore whether or not X is a valuable contribution for the occurrence of Y (Beach and Pedersen, 2013; </w:t>
      </w:r>
      <w:proofErr w:type="spellStart"/>
      <w:r w:rsidRPr="003778BF">
        <w:rPr>
          <w:rFonts w:cs="Times New Roman"/>
        </w:rPr>
        <w:t>Goertz</w:t>
      </w:r>
      <w:proofErr w:type="spellEnd"/>
      <w:r w:rsidRPr="003778BF">
        <w:rPr>
          <w:rFonts w:cs="Times New Roman"/>
        </w:rPr>
        <w:t xml:space="preserve"> and Mahoney, 2012, p. 110). This is important since the aim is not to find ‘doubly decisive’ evidence (Bennett, 2008, p. 6) which proves that X is a necessary condition for Y, but to prove that a causal relation is present between the two. As previous research has proven, there is multiple conditions that contribute in one way or another to secession processes. </w:t>
      </w:r>
      <w:r w:rsidRPr="003778BF">
        <w:rPr>
          <w:rFonts w:cs="Times New Roman"/>
        </w:rPr>
        <w:tab/>
      </w:r>
      <w:r w:rsidRPr="003778BF">
        <w:rPr>
          <w:rFonts w:cs="Times New Roman"/>
        </w:rPr>
        <w:tab/>
      </w:r>
      <w:r w:rsidRPr="003778BF">
        <w:rPr>
          <w:rFonts w:cs="Times New Roman"/>
        </w:rPr>
        <w:tab/>
      </w:r>
      <w:r w:rsidRPr="003778BF">
        <w:rPr>
          <w:rFonts w:cs="Times New Roman"/>
        </w:rPr>
        <w:tab/>
      </w:r>
      <w:r w:rsidRPr="003778BF">
        <w:rPr>
          <w:rFonts w:cs="Times New Roman"/>
        </w:rPr>
        <w:tab/>
      </w:r>
      <w:r w:rsidRPr="003778BF">
        <w:rPr>
          <w:rFonts w:cs="Times New Roman"/>
        </w:rPr>
        <w:tab/>
      </w:r>
      <w:r w:rsidRPr="003778BF">
        <w:rPr>
          <w:rFonts w:cs="Times New Roman"/>
        </w:rPr>
        <w:tab/>
      </w:r>
      <w:r w:rsidRPr="003778BF">
        <w:rPr>
          <w:rFonts w:cs="Times New Roman"/>
        </w:rPr>
        <w:tab/>
      </w:r>
      <w:r w:rsidRPr="003778BF">
        <w:rPr>
          <w:rFonts w:cs="Times New Roman"/>
        </w:rPr>
        <w:tab/>
      </w:r>
      <w:r w:rsidR="003C09D5">
        <w:rPr>
          <w:rFonts w:cs="Times New Roman"/>
        </w:rPr>
        <w:tab/>
      </w:r>
      <w:r w:rsidRPr="003778BF">
        <w:rPr>
          <w:rFonts w:cs="Times New Roman"/>
        </w:rPr>
        <w:t xml:space="preserve">This secession trajectory consists of certain mechanisms and processes, which fit the five </w:t>
      </w:r>
      <w:r w:rsidRPr="003778BF">
        <w:rPr>
          <w:rFonts w:cs="Times New Roman"/>
        </w:rPr>
        <w:lastRenderedPageBreak/>
        <w:t>phases and the derived hypotheses. In order to test the theoretical assumptions of a study, it is of importance to empirically test the causal mechanisms which are set out. As any well-developed theory, the boomerang theory identifies the mechanisms behind an observed effect (</w:t>
      </w:r>
      <w:proofErr w:type="spellStart"/>
      <w:r w:rsidRPr="003778BF">
        <w:rPr>
          <w:rFonts w:cs="Times New Roman"/>
        </w:rPr>
        <w:t>Goertz</w:t>
      </w:r>
      <w:proofErr w:type="spellEnd"/>
      <w:r w:rsidRPr="003778BF">
        <w:rPr>
          <w:rFonts w:cs="Times New Roman"/>
        </w:rPr>
        <w:t xml:space="preserve"> and Mahoney, 2012, p. 100), consequently the causal relationship can be inferred through process tracing. Process tracing is both suitable for theory testing and theory building. Whereas the latter focusses on building a theoretical explanation from empirical evidence, this study focusses on the former. Theory testing allows for testing whether or not the hypothesized causal mechanisms are present in a case. These mechanisms are deduced from a theory before applied to the case (Beach and Pedersen, 2013, pp. 14 - 16). Dependent on the probative value of the evidence in the case study, these results may be generalized to other secession cases. If the predicted evidence is found in the case study, and the causal mechanisms are present, the confidence in the applicability of the boomerang theory on secession cases will be increased. However, this will offer no guarantees for other case studies. Therefore this research is not rigor theory testing either, since it only seeks to explain a specific case with the use of the theory.</w:t>
      </w:r>
    </w:p>
    <w:p w:rsidR="00D15816" w:rsidRPr="007D30CC" w:rsidRDefault="007D30CC" w:rsidP="007D30CC">
      <w:pPr>
        <w:pStyle w:val="Kop2"/>
        <w:rPr>
          <w:rFonts w:asciiTheme="minorHAnsi" w:hAnsiTheme="minorHAnsi"/>
          <w:b w:val="0"/>
        </w:rPr>
      </w:pPr>
      <w:bookmarkStart w:id="32" w:name="_Toc489007246"/>
      <w:r>
        <w:rPr>
          <w:rFonts w:asciiTheme="minorHAnsi" w:hAnsiTheme="minorHAnsi"/>
          <w:b w:val="0"/>
        </w:rPr>
        <w:t xml:space="preserve">3.6 </w:t>
      </w:r>
      <w:r w:rsidR="00D15816" w:rsidRPr="007D30CC">
        <w:rPr>
          <w:rFonts w:asciiTheme="minorHAnsi" w:hAnsiTheme="minorHAnsi"/>
          <w:b w:val="0"/>
        </w:rPr>
        <w:t>Weakness</w:t>
      </w:r>
      <w:bookmarkEnd w:id="32"/>
    </w:p>
    <w:p w:rsidR="00D15816" w:rsidRPr="003778BF" w:rsidRDefault="00D15816" w:rsidP="003778BF">
      <w:pPr>
        <w:spacing w:line="360" w:lineRule="auto"/>
        <w:jc w:val="both"/>
        <w:rPr>
          <w:rFonts w:cs="Times New Roman"/>
        </w:rPr>
      </w:pPr>
      <w:r w:rsidRPr="003778BF">
        <w:rPr>
          <w:rFonts w:cs="Times New Roman"/>
        </w:rPr>
        <w:t xml:space="preserve">A potential weakness of process tracing and its applicability to single case studies lies merely in the probative value of the evidence. The stronger the evidence in favor or against a hypothesis, the more confident and significant one’s conclusions will be. Bennett (2008) distinguishes herein between four types of tests with different degrees in probative value, depending on certitude and uniqueness (pp. 5 – 6). While probative evidence of uniqueness is expected to be found in the Kosovo case, the problem lays in finding proof of the certainty of the evidence found. Secession cases involve many different contexts and conditions that one should take into account, which makes these processes rather complex. Consequently, it is rather hard to prove that a certain causal mechanism is the reason for a specific outcome to occur, since it may very well be the consequence of another mechanism. Therefore, the evidence is rather speculative instead of certain. </w:t>
      </w:r>
    </w:p>
    <w:p w:rsidR="00D15816" w:rsidRPr="003742EE" w:rsidRDefault="007D30CC" w:rsidP="003778BF">
      <w:pPr>
        <w:pStyle w:val="Kop2"/>
        <w:spacing w:line="360" w:lineRule="auto"/>
        <w:jc w:val="both"/>
        <w:rPr>
          <w:rFonts w:asciiTheme="minorHAnsi" w:hAnsiTheme="minorHAnsi" w:cs="Times New Roman"/>
          <w:b w:val="0"/>
        </w:rPr>
      </w:pPr>
      <w:bookmarkStart w:id="33" w:name="_Toc489007247"/>
      <w:r>
        <w:rPr>
          <w:rFonts w:asciiTheme="minorHAnsi" w:hAnsiTheme="minorHAnsi" w:cs="Times New Roman"/>
          <w:b w:val="0"/>
        </w:rPr>
        <w:t xml:space="preserve">3.7 </w:t>
      </w:r>
      <w:r w:rsidR="00D15816" w:rsidRPr="003742EE">
        <w:rPr>
          <w:rFonts w:asciiTheme="minorHAnsi" w:hAnsiTheme="minorHAnsi" w:cs="Times New Roman"/>
          <w:b w:val="0"/>
        </w:rPr>
        <w:t>Data selection</w:t>
      </w:r>
      <w:bookmarkEnd w:id="33"/>
    </w:p>
    <w:p w:rsidR="00D15816" w:rsidRPr="003778BF" w:rsidRDefault="00D15816" w:rsidP="003778BF">
      <w:pPr>
        <w:spacing w:line="360" w:lineRule="auto"/>
        <w:jc w:val="both"/>
        <w:rPr>
          <w:rFonts w:cs="Times New Roman"/>
        </w:rPr>
      </w:pPr>
      <w:r w:rsidRPr="003778BF">
        <w:rPr>
          <w:rFonts w:cs="Times New Roman"/>
        </w:rPr>
        <w:t>As has become evident, the Kosovar secession case is highly complex, and requires an in-depth analysis. Through process-tracing this study seeks to demonstrate the processes and interactions that influence specific secession tendencies. Due to restrictions in time and financial capabilities, field research in the Republic of Kosovo and Serbia is no option. Therefore, this study is limited to a content analysis of various secondary sources. Content analysis is a data gathering method useful for the efficient analysis of the latent content of a body of material (</w:t>
      </w:r>
      <w:proofErr w:type="spellStart"/>
      <w:r w:rsidRPr="003778BF">
        <w:rPr>
          <w:rFonts w:cs="Times New Roman"/>
        </w:rPr>
        <w:t>Krippendorff</w:t>
      </w:r>
      <w:proofErr w:type="spellEnd"/>
      <w:r w:rsidRPr="003778BF">
        <w:rPr>
          <w:rFonts w:cs="Times New Roman"/>
        </w:rPr>
        <w:t xml:space="preserve">, 2004, p. 17), as is prominent in this research. </w:t>
      </w:r>
      <w:proofErr w:type="spellStart"/>
      <w:r w:rsidRPr="003778BF">
        <w:rPr>
          <w:rFonts w:cs="Times New Roman"/>
        </w:rPr>
        <w:t>Krippendorff</w:t>
      </w:r>
      <w:proofErr w:type="spellEnd"/>
      <w:r w:rsidR="00731DBA">
        <w:rPr>
          <w:rFonts w:cs="Times New Roman"/>
        </w:rPr>
        <w:t xml:space="preserve"> (2004) </w:t>
      </w:r>
      <w:r w:rsidRPr="003778BF">
        <w:rPr>
          <w:rFonts w:cs="Times New Roman"/>
        </w:rPr>
        <w:t>endorses that the political phenomena of life are concerned with the functions and effects of symbols, meaning, and messages (ibid,</w:t>
      </w:r>
      <w:r w:rsidR="008E3E43">
        <w:rPr>
          <w:rFonts w:cs="Times New Roman"/>
        </w:rPr>
        <w:t xml:space="preserve"> 2004,</w:t>
      </w:r>
      <w:r w:rsidRPr="003778BF">
        <w:rPr>
          <w:rFonts w:cs="Times New Roman"/>
        </w:rPr>
        <w:t xml:space="preserve"> p. 17). </w:t>
      </w:r>
      <w:r w:rsidRPr="003778BF">
        <w:rPr>
          <w:rFonts w:cs="Times New Roman"/>
        </w:rPr>
        <w:lastRenderedPageBreak/>
        <w:t>Content analysis allows for assessing these functions and effects. Hence, this empirically grounded method is an effective tool for the exploration of the secession process in Kosovo. Today, content analysis has become a more prominent tool for analysis. The radically changing world allows researchers to analyze and consume bodies of communicated material from numerous positions. This, however, does not dismiss the importance of field research. Yet, it does allow for an in-depth case analysis behind a desk on the other side of the world. Whereas content analysis in the past consisted of the analysis of the more traditional bodies of literature, such as books and other written literature, its dynamics have changed today. The developments in electronic media allows for access to an increasing amount of additional data sources. The internet provides access to newspaper accounts, files in government agencies, textual data archives, public opinion fora, but also contact information details of fellow researchers in the field. The target of this specific research is to reveal the process of secession in Kosovo in detail, which means that large amounts of content has to be evaluated and assessed. Since this secession process involves many actors, it is of importance that content of different perspectives is included in the analysis. Western scholars and media items may perceive the process differently compared to the more national</w:t>
      </w:r>
      <w:r w:rsidR="00462E6F">
        <w:rPr>
          <w:rFonts w:cs="Times New Roman"/>
        </w:rPr>
        <w:t xml:space="preserve"> and local oriented sources. </w:t>
      </w:r>
      <w:r w:rsidR="00462E6F">
        <w:rPr>
          <w:rFonts w:cs="Times New Roman"/>
        </w:rPr>
        <w:tab/>
      </w:r>
      <w:r w:rsidR="00462E6F">
        <w:rPr>
          <w:rFonts w:cs="Times New Roman"/>
        </w:rPr>
        <w:tab/>
      </w:r>
      <w:r w:rsidRPr="003778BF">
        <w:rPr>
          <w:rFonts w:cs="Times New Roman"/>
        </w:rPr>
        <w:t xml:space="preserve">This study relies on a broad body of literature ranging from, policy reports, agency files, scientific articles, and written books. Yet, another important source of information is the media. Although there is a language barrier present, the media provides a lot of detailed information regarding certain important events and puts it in a specific time frame. This helps in reconstructing the overall timeline. Furthermore this study relies on the expertise of think tanks specialized in the Balkans. </w:t>
      </w:r>
      <w:r w:rsidRPr="003778BF">
        <w:rPr>
          <w:rFonts w:cs="Times New Roman"/>
        </w:rPr>
        <w:tab/>
      </w:r>
      <w:r w:rsidRPr="003778BF">
        <w:rPr>
          <w:rFonts w:cs="Times New Roman"/>
        </w:rPr>
        <w:tab/>
      </w:r>
      <w:r w:rsidRPr="003778BF">
        <w:rPr>
          <w:rFonts w:cs="Times New Roman"/>
        </w:rPr>
        <w:tab/>
      </w:r>
      <w:r w:rsidRPr="003778BF">
        <w:rPr>
          <w:rFonts w:cs="Times New Roman"/>
        </w:rPr>
        <w:tab/>
      </w:r>
      <w:r w:rsidRPr="003778BF">
        <w:rPr>
          <w:rFonts w:cs="Times New Roman"/>
        </w:rPr>
        <w:tab/>
      </w:r>
      <w:r w:rsidRPr="003778BF">
        <w:rPr>
          <w:rFonts w:cs="Times New Roman"/>
        </w:rPr>
        <w:tab/>
      </w:r>
      <w:r w:rsidRPr="003778BF">
        <w:rPr>
          <w:rFonts w:cs="Times New Roman"/>
        </w:rPr>
        <w:tab/>
      </w:r>
      <w:r w:rsidRPr="003778BF">
        <w:rPr>
          <w:rFonts w:cs="Times New Roman"/>
        </w:rPr>
        <w:tab/>
      </w:r>
      <w:r w:rsidRPr="003778BF">
        <w:rPr>
          <w:rFonts w:cs="Times New Roman"/>
        </w:rPr>
        <w:tab/>
      </w:r>
      <w:r w:rsidR="00D31E3F">
        <w:rPr>
          <w:rFonts w:cs="Times New Roman"/>
        </w:rPr>
        <w:tab/>
      </w:r>
      <w:r w:rsidR="00D31E3F">
        <w:rPr>
          <w:rFonts w:cs="Times New Roman"/>
        </w:rPr>
        <w:tab/>
      </w:r>
      <w:r w:rsidR="00D31E3F">
        <w:rPr>
          <w:rFonts w:cs="Times New Roman"/>
        </w:rPr>
        <w:tab/>
      </w:r>
      <w:r w:rsidRPr="003778BF">
        <w:rPr>
          <w:rFonts w:cs="Times New Roman"/>
        </w:rPr>
        <w:t>The most efficient way of analyzing a significant amount of content, is through coding. Applying categories to the sources of information and order them accordingly allows for efficient collection of data. First of all it is of importance to categorize the data according to the five phases distinguished in the boomerang spiral model. By collecting data in this fashion, it becomes evident what occurrences did and did not correspond with changes in domestic politics. Secondly, it would be beneficial to distinguish between two types of involvement of the international network, material and non-material. Both may provoke different responses from the target state. Hence, the type of involvement may have different consequences and should therefor</w:t>
      </w:r>
      <w:r w:rsidR="004C06E1">
        <w:rPr>
          <w:rFonts w:cs="Times New Roman"/>
        </w:rPr>
        <w:t xml:space="preserve">e be distinguished. </w:t>
      </w:r>
      <w:r w:rsidR="004C06E1">
        <w:rPr>
          <w:rFonts w:cs="Times New Roman"/>
        </w:rPr>
        <w:tab/>
      </w:r>
      <w:r w:rsidR="004C06E1">
        <w:rPr>
          <w:rFonts w:cs="Times New Roman"/>
        </w:rPr>
        <w:tab/>
      </w:r>
      <w:r w:rsidR="004C06E1">
        <w:rPr>
          <w:rFonts w:cs="Times New Roman"/>
        </w:rPr>
        <w:tab/>
      </w:r>
      <w:r w:rsidRPr="003778BF">
        <w:rPr>
          <w:rFonts w:cs="Times New Roman"/>
        </w:rPr>
        <w:t xml:space="preserve">As has become evident by now, content analysis is a suitable data collection method for this research. Due to the growing opportunities of content analysis, a research is able to retrieve historical patterns and transformations. Unfortunately, there are some limitations to this approach, which should not be neglected in any research. First, the content will be interpreted by the researcher. This may diminish the validity of the claims and conclusions derived from the research, since the researcher is perhaps influenced by its background or previous experiences. Secondly, </w:t>
      </w:r>
      <w:r w:rsidRPr="003778BF">
        <w:rPr>
          <w:rFonts w:cs="Times New Roman"/>
        </w:rPr>
        <w:lastRenderedPageBreak/>
        <w:t xml:space="preserve">there is a language barrier that this research has to deal with. Many of the news items of interest to this research will be available in the native languages of the Serbs, Kosovars and Albanians. This problematizes the analysis of many of the available evidence. Moreover, this may influence the results in another way. The Kosovar secession is a result of conflict, which means that there is opposing actors involved. In order to set out the full picture of the actual process, evidence needs to be collected from all perspectives involved. Due to the language barrier, as well as the lack of access to national and local bodies of contents compared to more international and ‘western’ literature, there is a risk of being biased. Lastly, content analysis takes a lot of time and effort, since the literature needs to be analyzed carefully in order to prevent the previous drawbacks from occurring. Since this research is conducted by only one researcher, the work cannot be divided among peers. Therefore it is of importance to set out the most important events and changes within the whole process, in order to make some valid concluding remarks. The Kosovar secession is rather complex in its nature, and should not be overanalyzed. This is also a major drawback to process tracing, since it allows the researcher to analyze detail over detail. This is not the goal and also not beneficial to this study. Important is to set out the most influential changes and breakthroughs in the case, and start from there. This will eventually prevent the conclusions from being rather indistinct and confusing as well. </w:t>
      </w:r>
    </w:p>
    <w:p w:rsidR="00D15816" w:rsidRPr="003742EE" w:rsidRDefault="00D15816" w:rsidP="003778BF">
      <w:pPr>
        <w:spacing w:line="360" w:lineRule="auto"/>
        <w:jc w:val="both"/>
      </w:pPr>
      <w:r w:rsidRPr="003742EE">
        <w:br w:type="page"/>
      </w:r>
    </w:p>
    <w:p w:rsidR="00D15816" w:rsidRPr="003742EE" w:rsidRDefault="00D15816" w:rsidP="003778BF">
      <w:pPr>
        <w:pStyle w:val="Kop1"/>
        <w:spacing w:line="360" w:lineRule="auto"/>
        <w:jc w:val="both"/>
        <w:rPr>
          <w:rFonts w:asciiTheme="minorHAnsi" w:hAnsiTheme="minorHAnsi"/>
          <w:b w:val="0"/>
        </w:rPr>
      </w:pPr>
      <w:bookmarkStart w:id="34" w:name="_Toc489007248"/>
      <w:r w:rsidRPr="003742EE">
        <w:rPr>
          <w:rFonts w:asciiTheme="minorHAnsi" w:hAnsiTheme="minorHAnsi"/>
          <w:b w:val="0"/>
        </w:rPr>
        <w:lastRenderedPageBreak/>
        <w:t>Chapter 4: Empirical analysis</w:t>
      </w:r>
      <w:bookmarkEnd w:id="34"/>
      <w:r w:rsidRPr="003742EE">
        <w:rPr>
          <w:rFonts w:asciiTheme="minorHAnsi" w:hAnsiTheme="minorHAnsi"/>
          <w:b w:val="0"/>
        </w:rPr>
        <w:t xml:space="preserve"> </w:t>
      </w:r>
    </w:p>
    <w:p w:rsidR="00D15816" w:rsidRDefault="00D15816" w:rsidP="003778BF">
      <w:pPr>
        <w:spacing w:line="360" w:lineRule="auto"/>
        <w:jc w:val="both"/>
      </w:pPr>
      <w:r w:rsidRPr="003742EE">
        <w:t xml:space="preserve">In the second chapter a theoretical framework has been presented through which the process of secession will be analyzed. The theoretical assumptions and mechanisms presented in this theory have been translated and operationalized into a set of hypotheses in chapter three. In the following chapter, chapter four, these hypotheses and theoretical expectations will be used to analyze the Kosovo case. This chapter is divided into two major sections. First, the whole process will be set out in a historical overview. This section provides an in-depth description and sets out the main events which define the dispute. The second section focusses upon the analysis of the process in which specific phases and strategies are distinguished and related to the theoretical expectation. Consequently, the hypotheses are either confirmed or rejected and its implications for the research will be discussed.  </w:t>
      </w:r>
      <w:r w:rsidR="006501BB">
        <w:t>Nevertheless, it first of all is of importance to clearly set out the actors in the advocacy network, and what they seek to accomplish. Therefore, this chapter will start with an introduction to the networ</w:t>
      </w:r>
      <w:r w:rsidR="009E2668">
        <w:t>k, and the actors it consists o</w:t>
      </w:r>
      <w:r w:rsidR="006501BB">
        <w:t xml:space="preserve">f. </w:t>
      </w:r>
    </w:p>
    <w:p w:rsidR="00D9013C" w:rsidRPr="003742EE" w:rsidRDefault="00D9013C" w:rsidP="00D9013C">
      <w:pPr>
        <w:pStyle w:val="Kop2"/>
        <w:spacing w:line="360" w:lineRule="auto"/>
        <w:jc w:val="both"/>
        <w:rPr>
          <w:rFonts w:asciiTheme="minorHAnsi" w:hAnsiTheme="minorHAnsi"/>
          <w:b w:val="0"/>
        </w:rPr>
      </w:pPr>
      <w:bookmarkStart w:id="35" w:name="_Toc489007249"/>
      <w:r>
        <w:rPr>
          <w:rFonts w:asciiTheme="minorHAnsi" w:hAnsiTheme="minorHAnsi"/>
          <w:b w:val="0"/>
        </w:rPr>
        <w:t>4.</w:t>
      </w:r>
      <w:r w:rsidR="00D02AF5">
        <w:rPr>
          <w:rFonts w:asciiTheme="minorHAnsi" w:hAnsiTheme="minorHAnsi"/>
          <w:b w:val="0"/>
        </w:rPr>
        <w:t>1</w:t>
      </w:r>
      <w:r>
        <w:rPr>
          <w:rFonts w:asciiTheme="minorHAnsi" w:hAnsiTheme="minorHAnsi"/>
          <w:b w:val="0"/>
        </w:rPr>
        <w:t xml:space="preserve"> </w:t>
      </w:r>
      <w:r w:rsidRPr="003742EE">
        <w:rPr>
          <w:rFonts w:asciiTheme="minorHAnsi" w:hAnsiTheme="minorHAnsi"/>
          <w:b w:val="0"/>
        </w:rPr>
        <w:t>The network</w:t>
      </w:r>
      <w:bookmarkEnd w:id="35"/>
    </w:p>
    <w:p w:rsidR="008D07C8" w:rsidRDefault="008D07C8" w:rsidP="008D07C8">
      <w:pPr>
        <w:spacing w:line="360" w:lineRule="auto"/>
        <w:jc w:val="both"/>
      </w:pPr>
      <w:r>
        <w:t>The complexity of the Kosovo dispute is to an extent related to the diversity of the actors involved. These have been actors at different levels, with different interests. What is clear is that Kosovo and Serbia have been the main parties in conflict. What is less evident though, is the role of the different international actors and how they are positioned within the international advocacy network and oppositional bloc. An international advocacy network, as presented previously, shares a set of norms and principles all members adhere to. Nevertheless, within such a network actors pursue their own interests as well, as long as one adheres to the shared norms and principles. The Kosovo dispute consists of three umbrella institutional bodies which provide a platform on which individual actors can participate; these are the EU, NATO, and the UN. This platform provides the guiding norms and principles on which the advocacy network is built. T</w:t>
      </w:r>
      <w:r w:rsidRPr="003742EE">
        <w:t>he UN focusses on the maintenance of international peace and security, the protection of human rights, provision of humanitarian aid, while it seeks to uphold international law (UN, 2017).</w:t>
      </w:r>
      <w:r>
        <w:t xml:space="preserve"> The network thus acts according to these guiding principles. The platform does allow for contradictions and opposition between actors, even though there is a strong common aim regarding the maintenance of international peace and security. Russia, a permanent member of UNSC, does support international peace and security, but has a different stance on the Kosovo dispute for instance. Therefore, it can be considered a participant on the platform, but cannot be considered part of the advocacy network. Yet, the overarching institutional bodies do provide actors for the international advocacy network. </w:t>
      </w:r>
    </w:p>
    <w:p w:rsidR="008D07C8" w:rsidRDefault="008D07C8" w:rsidP="008D07C8">
      <w:pPr>
        <w:spacing w:line="360" w:lineRule="auto"/>
        <w:jc w:val="both"/>
      </w:pPr>
      <w:r>
        <w:lastRenderedPageBreak/>
        <w:t xml:space="preserve">The UN set up UNMIK, which was a peacekeeping mission that focused on the dispute in Kosovo and supported the Kosovar authorities in dealing with their internal affairs. This mission was of significant importance and was steered and monitored by the Secretary-General. This Secretary-General also appointed a Contact Group, which main focus laid in brokering an agreement between the opposing parties involved. This Contact Group involved France, Germany, Italy, Russia, the UK and the US and steered the negotiations together with the UN Special Envoy </w:t>
      </w:r>
      <w:proofErr w:type="spellStart"/>
      <w:r>
        <w:t>Martti</w:t>
      </w:r>
      <w:proofErr w:type="spellEnd"/>
      <w:r>
        <w:t xml:space="preserve"> </w:t>
      </w:r>
      <w:proofErr w:type="spellStart"/>
      <w:r>
        <w:t>Ahtisaari</w:t>
      </w:r>
      <w:proofErr w:type="spellEnd"/>
      <w:r>
        <w:t>. Within the Security Council it were Russia and the USA which can be considered prominent actors involved in the Kosovo dispute. The US was included in the Contact Group as well as the Troika group, both appointed to mediate and negotiate a deal between Serbia and Kosovo. Russia has been an important ally of Serbia during the whole dispute, and backed Serbia as a member of the Contact Group, member of the Troika, and a permanent member of the UNSC.</w:t>
      </w:r>
      <w:r>
        <w:tab/>
      </w:r>
      <w:r>
        <w:tab/>
      </w:r>
      <w:r>
        <w:tab/>
      </w:r>
      <w:r>
        <w:tab/>
      </w:r>
      <w:r>
        <w:tab/>
      </w:r>
      <w:r>
        <w:tab/>
      </w:r>
      <w:r>
        <w:tab/>
        <w:t xml:space="preserve">NATO initiated a peace-support operation, The Kosovo Force (KFOR), after the air campaign. Its main objectives were to deter renewed hostilities and create a secure environment in the region of Kosovo (NATO, 2017).  Furthermore there were NATO representatives appointed who supported and advised the process towards a consensus. An influential representative during this process of negotiation has been Kai </w:t>
      </w:r>
      <w:proofErr w:type="spellStart"/>
      <w:r>
        <w:t>Eide</w:t>
      </w:r>
      <w:proofErr w:type="spellEnd"/>
      <w:r>
        <w:t xml:space="preserve">, a NATO representative from Norway. In addition, another commission was established that consisted of solely representatives from NATO countries. This is the Independent International Commission on Kosovo who analyzed the ethnic conflict and NATO bombings in Kosovo. Their role mostly consisted of the gathering of information and monitoring of the current situation in the region. </w:t>
      </w:r>
      <w:r>
        <w:tab/>
      </w:r>
      <w:r>
        <w:tab/>
      </w:r>
      <w:r>
        <w:tab/>
      </w:r>
      <w:r>
        <w:tab/>
      </w:r>
      <w:r>
        <w:tab/>
      </w:r>
      <w:r>
        <w:tab/>
      </w:r>
      <w:r>
        <w:tab/>
      </w:r>
      <w:r>
        <w:tab/>
      </w:r>
      <w:r>
        <w:tab/>
        <w:t xml:space="preserve">In addition, there was an important role for NGO’s such as Amnesty International and Human Rights Watch. Those Human Rights advocates are of major importance for </w:t>
      </w:r>
      <w:r w:rsidR="0075463F">
        <w:t xml:space="preserve">the </w:t>
      </w:r>
      <w:r>
        <w:t xml:space="preserve">monitoring </w:t>
      </w:r>
      <w:r w:rsidR="0075463F">
        <w:t xml:space="preserve">of </w:t>
      </w:r>
      <w:r>
        <w:t xml:space="preserve">oppression, violations and abuse of human rights. Another NGO part of the network is the International Crisis Group, an organization that engages directly with </w:t>
      </w:r>
      <w:r w:rsidR="0075463F">
        <w:t>multiple</w:t>
      </w:r>
      <w:r>
        <w:t xml:space="preserve"> conflict actors, to seek and share information. Furthermore the group encourages intelligent action for shaping peace and preventing war (ICG, 2017). The organization for Security and Co-operation in Europe can be considered a participant in the international advocacy network as well. This organization consists of numerous Asian, European, and North-American States and seeks to establish and maintain stability, peace and democracy through political dialogue, shared norms and values, and practical work. OSCE is an important actor in the network because of its dynamic. The organization is home to experts that provide information and useful analyses of conflict regions, but also has a team that engages in field operations. Therefore, thi</w:t>
      </w:r>
      <w:r w:rsidR="00812AAA">
        <w:t>s actor can provide support in</w:t>
      </w:r>
      <w:r>
        <w:t xml:space="preserve"> material and non-material manners. These non-governmental and non-profit organizations strengthen the network in terms of their expertise, trust and capabilities. Many of such organizations are surrounded by a strong network as well. Those contacts can be employed by the network in order to increase its capabilities. </w:t>
      </w:r>
    </w:p>
    <w:p w:rsidR="00926E40" w:rsidRDefault="008D07C8" w:rsidP="008D07C8">
      <w:pPr>
        <w:spacing w:line="360" w:lineRule="auto"/>
        <w:jc w:val="both"/>
      </w:pPr>
      <w:r>
        <w:lastRenderedPageBreak/>
        <w:t>The network itself though, is built upon UN principles. As will be set out, actors such as the Contact Group employ those principles and use them as their point of departure in the network. In addition, after lots of critique regarding the NATO air strikes in 1999, NATO justified their actions by arguing that the actions pursued were in line with the UN principles.</w:t>
      </w:r>
      <w:r w:rsidR="002F34FF">
        <w:t xml:space="preserve"> It is these principles that embody the shared norms and values that bring the actors of the network together.</w:t>
      </w:r>
      <w:r>
        <w:t xml:space="preserve"> Hence, one could argue that the advocacy network can create a competitive advantage over the opposition by bringing the dispute to the UN or EU platform for instance. </w:t>
      </w:r>
    </w:p>
    <w:p w:rsidR="008D07C8" w:rsidRPr="008D07C8" w:rsidRDefault="008D07C8" w:rsidP="008D07C8">
      <w:pPr>
        <w:spacing w:line="360" w:lineRule="auto"/>
        <w:jc w:val="both"/>
      </w:pPr>
      <w:r>
        <w:t>As the differen</w:t>
      </w:r>
      <w:r w:rsidR="00206926">
        <w:t>t actors the network consists o</w:t>
      </w:r>
      <w:r>
        <w:t xml:space="preserve">f have been briefly introduced in this section, their roles within the secession process of Kosovo will become more visible in the historical overview of the dispute and the theoretical analysis of this process. </w:t>
      </w:r>
    </w:p>
    <w:p w:rsidR="003B61A9" w:rsidRDefault="00D02AF5" w:rsidP="003B61A9">
      <w:pPr>
        <w:pStyle w:val="Kop2"/>
      </w:pPr>
      <w:bookmarkStart w:id="36" w:name="_Toc489007250"/>
      <w:r>
        <w:rPr>
          <w:rFonts w:asciiTheme="minorHAnsi" w:hAnsiTheme="minorHAnsi"/>
          <w:b w:val="0"/>
        </w:rPr>
        <w:t>4.2</w:t>
      </w:r>
      <w:r w:rsidR="00B91377">
        <w:rPr>
          <w:rFonts w:asciiTheme="minorHAnsi" w:hAnsiTheme="minorHAnsi"/>
          <w:b w:val="0"/>
        </w:rPr>
        <w:t xml:space="preserve"> Historical overview</w:t>
      </w:r>
      <w:bookmarkEnd w:id="36"/>
    </w:p>
    <w:p w:rsidR="003B61A9" w:rsidRPr="003B61A9" w:rsidRDefault="00D02AF5" w:rsidP="003B61A9">
      <w:pPr>
        <w:pStyle w:val="Kop3"/>
        <w:rPr>
          <w:rFonts w:asciiTheme="minorHAnsi" w:hAnsiTheme="minorHAnsi"/>
          <w:b w:val="0"/>
        </w:rPr>
      </w:pPr>
      <w:bookmarkStart w:id="37" w:name="_Toc489007251"/>
      <w:r>
        <w:rPr>
          <w:rFonts w:asciiTheme="minorHAnsi" w:hAnsiTheme="minorHAnsi"/>
          <w:b w:val="0"/>
        </w:rPr>
        <w:t>4.2</w:t>
      </w:r>
      <w:r w:rsidR="003B61A9">
        <w:rPr>
          <w:rFonts w:asciiTheme="minorHAnsi" w:hAnsiTheme="minorHAnsi"/>
          <w:b w:val="0"/>
        </w:rPr>
        <w:t>.1 Background</w:t>
      </w:r>
      <w:bookmarkEnd w:id="37"/>
    </w:p>
    <w:p w:rsidR="00D15816" w:rsidRPr="003742EE" w:rsidRDefault="00D15816" w:rsidP="003778BF">
      <w:pPr>
        <w:spacing w:line="360" w:lineRule="auto"/>
        <w:jc w:val="both"/>
      </w:pPr>
      <w:r w:rsidRPr="003742EE">
        <w:t>The Kosovar region can be very well described as a unbroken conflict zone in which ethnic groups regularly clash. In Tito’s communist Yugoslavia, it were the Albanians who were mostly in control over the territ</w:t>
      </w:r>
      <w:r w:rsidR="00E3350D">
        <w:t>ory (</w:t>
      </w:r>
      <w:proofErr w:type="spellStart"/>
      <w:r w:rsidR="00E3350D">
        <w:t>Latawski</w:t>
      </w:r>
      <w:proofErr w:type="spellEnd"/>
      <w:r w:rsidR="00E3350D">
        <w:t xml:space="preserve"> and Smith, 2003, </w:t>
      </w:r>
      <w:r w:rsidRPr="003742EE">
        <w:t xml:space="preserve">p. 6). </w:t>
      </w:r>
      <w:r w:rsidR="00EC40D1">
        <w:t>Of</w:t>
      </w:r>
      <w:r w:rsidRPr="003742EE">
        <w:t xml:space="preserve"> the 790 thousand people living in Kosovo, 68 percent was Albanian and 24 percent Serb (</w:t>
      </w:r>
      <w:proofErr w:type="spellStart"/>
      <w:r w:rsidRPr="003742EE">
        <w:t>Rütsche</w:t>
      </w:r>
      <w:proofErr w:type="spellEnd"/>
      <w:r w:rsidRPr="003742EE">
        <w:t>, 2007). Under the guiding protection of President Tito the population of Kosovar Albanians grew, both in absolute and r</w:t>
      </w:r>
      <w:r w:rsidR="00E3350D">
        <w:t>elative terms (</w:t>
      </w:r>
      <w:proofErr w:type="spellStart"/>
      <w:r w:rsidR="00E3350D">
        <w:t>Brunborg</w:t>
      </w:r>
      <w:proofErr w:type="spellEnd"/>
      <w:r w:rsidR="00E3350D">
        <w:t xml:space="preserve">, 2002, </w:t>
      </w:r>
      <w:r w:rsidRPr="003742EE">
        <w:t xml:space="preserve">p. 10; </w:t>
      </w:r>
      <w:proofErr w:type="spellStart"/>
      <w:r w:rsidRPr="003742EE">
        <w:t>Rütsche</w:t>
      </w:r>
      <w:proofErr w:type="spellEnd"/>
      <w:r w:rsidRPr="003742EE">
        <w:t>, 2007). In 1981 over 77 percent of the Kosovar population consisted of ethnic Albanians, while the percentage of ethnic Serbs had diminished to a little ov</w:t>
      </w:r>
      <w:r w:rsidR="00E3350D">
        <w:t>er 13 percent (</w:t>
      </w:r>
      <w:proofErr w:type="spellStart"/>
      <w:r w:rsidR="00E3350D">
        <w:t>Brunborg</w:t>
      </w:r>
      <w:proofErr w:type="spellEnd"/>
      <w:r w:rsidR="00E3350D">
        <w:t xml:space="preserve">, 2002, </w:t>
      </w:r>
      <w:r w:rsidRPr="003742EE">
        <w:t>p. 10), and this polarization was still increasing. The situation changed however from the late 1980’s, in the face of resurgent Serb nationalism led by President Milosevic. President Tito had died on the 4</w:t>
      </w:r>
      <w:r w:rsidRPr="003742EE">
        <w:rPr>
          <w:vertAlign w:val="superscript"/>
        </w:rPr>
        <w:t>th</w:t>
      </w:r>
      <w:r w:rsidRPr="003742EE">
        <w:t xml:space="preserve"> of May 1980 and the situation became more tense, due to the growing political instability and the catastrophic state of the economy (</w:t>
      </w:r>
      <w:proofErr w:type="spellStart"/>
      <w:r w:rsidRPr="003742EE">
        <w:t>Rütsche</w:t>
      </w:r>
      <w:proofErr w:type="spellEnd"/>
      <w:r w:rsidRPr="003742EE">
        <w:t>, 2007). Kosovo was the most underdeveloped and one of the poorest provinces of the former Yugoslavia (</w:t>
      </w:r>
      <w:proofErr w:type="spellStart"/>
      <w:r w:rsidRPr="003742EE">
        <w:t>Ahmetaj</w:t>
      </w:r>
      <w:proofErr w:type="spellEnd"/>
      <w:r w:rsidRPr="003742EE">
        <w:t>, 2017). Even though the ethnic Albanian population was still growing towards the end of the 1980’s, the Milosevic regime led to a shift in power. In the early 1980’s  the Kosovar Serbs felt threatened by the growing amount of Kosovar Albanians in the territory, resulting in cons</w:t>
      </w:r>
      <w:r w:rsidR="009F3AAB">
        <w:t>tant outbreaks of violence (</w:t>
      </w:r>
      <w:proofErr w:type="spellStart"/>
      <w:r w:rsidR="009F3AAB">
        <w:t>Rütsche</w:t>
      </w:r>
      <w:proofErr w:type="spellEnd"/>
      <w:r w:rsidRPr="003742EE">
        <w:t>, 2007). After the election of Milosevic, the Kosovar Serbs reached out to their new leader who consequently provided them with support. The Kosovar Albanians felt threatened but initially responded in a non-violent manner. In a referendum in 1991, the K</w:t>
      </w:r>
      <w:r w:rsidR="009F3AAB">
        <w:t>osovar Albanians declared themselves</w:t>
      </w:r>
      <w:r w:rsidRPr="003742EE">
        <w:t xml:space="preserve"> an independent country, which was only recognized as such by Albania (</w:t>
      </w:r>
      <w:proofErr w:type="spellStart"/>
      <w:r w:rsidRPr="003742EE">
        <w:t>Rütsche</w:t>
      </w:r>
      <w:proofErr w:type="spellEnd"/>
      <w:r w:rsidRPr="003742EE">
        <w:t>, 2007). Yet, in the mid-1990’s this non-violent resistance started to shift towards more armed resistance, because the non-violent approach did not pay off. The Kos</w:t>
      </w:r>
      <w:r w:rsidR="00557F72">
        <w:t>ovar Albanians responded with</w:t>
      </w:r>
      <w:r w:rsidRPr="003742EE">
        <w:t xml:space="preserve"> the establishment of the </w:t>
      </w:r>
      <w:r w:rsidRPr="003742EE">
        <w:lastRenderedPageBreak/>
        <w:t>Kosovo Liberation Army, the KLA.  Despite this growing resistance, the Serb</w:t>
      </w:r>
      <w:r w:rsidR="00557F72">
        <w:t xml:space="preserve"> oppression rose. At this point</w:t>
      </w:r>
      <w:r w:rsidRPr="003742EE">
        <w:t xml:space="preserve"> the dispute caught outside attention and concerns grew in the international society.</w:t>
      </w:r>
      <w:r w:rsidR="00557F72">
        <w:t xml:space="preserve"> NGO’s concerned with human rights violations witnessed with growing concern how human rights were violated in the area, and the situation became more tense.</w:t>
      </w:r>
      <w:r w:rsidRPr="003742EE">
        <w:t xml:space="preserve"> Although at first the Milosevic-led oppression was tolerated by the US (Fulton, 2010), despite Milosevic’ fierce strategies. The main reason for this reluctant stance had to do with characteristics and behavior of the KLA, whi</w:t>
      </w:r>
      <w:r w:rsidR="00E3350D">
        <w:t>ch was perceived as terrorism (</w:t>
      </w:r>
      <w:r w:rsidRPr="003742EE">
        <w:t>p. 131). However, the KLA ultimately succeeded in drawing in outside help by exaggeration the level of conflict, which made the situation look worse tha</w:t>
      </w:r>
      <w:r w:rsidR="00E3350D">
        <w:t xml:space="preserve">n it actually was (ibid, 2010, </w:t>
      </w:r>
      <w:r w:rsidRPr="003742EE">
        <w:t>p. 131). The ethnic Albanians managed to attract international involvement, and the Kosovo dispute significantly moved</w:t>
      </w:r>
      <w:r w:rsidR="003E5279">
        <w:t xml:space="preserve"> up the political agenda of international actors</w:t>
      </w:r>
      <w:r w:rsidRPr="003742EE">
        <w:t>, since escalation as experienced in Bosnia and to a</w:t>
      </w:r>
      <w:r w:rsidR="00D33124">
        <w:t xml:space="preserve"> lesser extent</w:t>
      </w:r>
      <w:r w:rsidRPr="003742EE">
        <w:t xml:space="preserve"> Croatia was fea</w:t>
      </w:r>
      <w:r w:rsidR="00E3350D">
        <w:t>red (</w:t>
      </w:r>
      <w:proofErr w:type="spellStart"/>
      <w:r w:rsidR="00E3350D">
        <w:t>Latawski</w:t>
      </w:r>
      <w:proofErr w:type="spellEnd"/>
      <w:r w:rsidR="00E3350D">
        <w:t xml:space="preserve"> and Smith, 2003, </w:t>
      </w:r>
      <w:r w:rsidRPr="003742EE">
        <w:t xml:space="preserve">p. 6; </w:t>
      </w:r>
      <w:proofErr w:type="spellStart"/>
      <w:r w:rsidRPr="003742EE">
        <w:t>Ahmetaj</w:t>
      </w:r>
      <w:proofErr w:type="spellEnd"/>
      <w:r w:rsidRPr="003742EE">
        <w:t xml:space="preserve">, 2017). </w:t>
      </w:r>
      <w:r w:rsidR="003E5279">
        <w:t>As a consequence of the intensified fighting, the issue became a point of discussion in the UNSC. The establishment of the KVM, a Kosovo Verification Mission, by the OSCE showed that the dispute was taken seriously. This became evident when the French-led NATO military ‘Extraction Force’ was established as well (</w:t>
      </w:r>
      <w:proofErr w:type="spellStart"/>
      <w:r w:rsidR="003E5279">
        <w:t>Latawski</w:t>
      </w:r>
      <w:proofErr w:type="spellEnd"/>
      <w:r w:rsidR="003E5279">
        <w:t xml:space="preserve"> and Smith, p. 7).</w:t>
      </w:r>
      <w:r w:rsidR="003E5279" w:rsidRPr="003742EE">
        <w:t xml:space="preserve"> </w:t>
      </w:r>
      <w:r w:rsidR="003E5279">
        <w:tab/>
      </w:r>
      <w:r w:rsidR="003E5279">
        <w:tab/>
      </w:r>
      <w:r w:rsidR="003E5279">
        <w:tab/>
      </w:r>
      <w:r w:rsidR="003E5279">
        <w:tab/>
      </w:r>
      <w:r w:rsidR="003E5279">
        <w:tab/>
      </w:r>
      <w:r w:rsidR="003E5279">
        <w:tab/>
      </w:r>
      <w:r w:rsidRPr="003742EE">
        <w:t xml:space="preserve">Even though the claims by the Kosovar Albanians might be exaggerated for their own purposes, life in the 1990’s was miserable for the Kosovar Albanian people. As Nora </w:t>
      </w:r>
      <w:proofErr w:type="spellStart"/>
      <w:r w:rsidRPr="003742EE">
        <w:t>Ahmetaj</w:t>
      </w:r>
      <w:proofErr w:type="spellEnd"/>
      <w:r w:rsidRPr="003742EE">
        <w:t>, an expert consultant on transitional justice at the Centre for Research, Documentation and Publication (CRDP) argues; with Milosevic in power, the autonomy of Kosovo was revoked and Kosovar Albanians were collectively discriminated. In addition, their rights were abused. In result these people lost their jobs in large amounts, but also got expelled from universities for instance, as Nora experienced</w:t>
      </w:r>
      <w:r w:rsidR="00E3350D">
        <w:t xml:space="preserve"> herself (</w:t>
      </w:r>
      <w:proofErr w:type="spellStart"/>
      <w:r w:rsidR="00E3350D">
        <w:t>Ahmetaj</w:t>
      </w:r>
      <w:proofErr w:type="spellEnd"/>
      <w:r w:rsidR="00E3350D">
        <w:t xml:space="preserve">, 2017; IICK, </w:t>
      </w:r>
      <w:r w:rsidR="00C96235">
        <w:t>2006</w:t>
      </w:r>
      <w:r w:rsidR="00E3350D">
        <w:t xml:space="preserve">, </w:t>
      </w:r>
      <w:r w:rsidRPr="003742EE">
        <w:t xml:space="preserve">p. 14). </w:t>
      </w:r>
    </w:p>
    <w:p w:rsidR="00D15816" w:rsidRPr="003742EE" w:rsidRDefault="00D02AF5" w:rsidP="003778BF">
      <w:pPr>
        <w:pStyle w:val="Kop3"/>
        <w:spacing w:line="360" w:lineRule="auto"/>
        <w:jc w:val="both"/>
        <w:rPr>
          <w:rFonts w:asciiTheme="minorHAnsi" w:hAnsiTheme="minorHAnsi"/>
          <w:b w:val="0"/>
        </w:rPr>
      </w:pPr>
      <w:bookmarkStart w:id="38" w:name="_Toc489007252"/>
      <w:r>
        <w:rPr>
          <w:rFonts w:asciiTheme="minorHAnsi" w:hAnsiTheme="minorHAnsi"/>
          <w:b w:val="0"/>
        </w:rPr>
        <w:t>4.2</w:t>
      </w:r>
      <w:r w:rsidR="00704515">
        <w:rPr>
          <w:rFonts w:asciiTheme="minorHAnsi" w:hAnsiTheme="minorHAnsi"/>
          <w:b w:val="0"/>
        </w:rPr>
        <w:t xml:space="preserve">.2 </w:t>
      </w:r>
      <w:r w:rsidR="00D15816" w:rsidRPr="003742EE">
        <w:rPr>
          <w:rFonts w:asciiTheme="minorHAnsi" w:hAnsiTheme="minorHAnsi"/>
          <w:b w:val="0"/>
        </w:rPr>
        <w:t>1998 – 2000: Crisis point</w:t>
      </w:r>
      <w:bookmarkEnd w:id="38"/>
    </w:p>
    <w:p w:rsidR="00D15816" w:rsidRPr="003742EE" w:rsidRDefault="00D15816" w:rsidP="003778BF">
      <w:pPr>
        <w:spacing w:line="360" w:lineRule="auto"/>
        <w:jc w:val="both"/>
      </w:pPr>
      <w:r w:rsidRPr="003742EE">
        <w:t>By the start of 1998 the fighting between the FRY and KLA had intensified, resulting in the ousted of approximately 250,000 Kosovar Albanians from their homes by the end of the y</w:t>
      </w:r>
      <w:r w:rsidR="00AF00EF">
        <w:t>ear (</w:t>
      </w:r>
      <w:proofErr w:type="spellStart"/>
      <w:r w:rsidR="00AF00EF">
        <w:t>Latawski</w:t>
      </w:r>
      <w:proofErr w:type="spellEnd"/>
      <w:r w:rsidR="00AF00EF">
        <w:t xml:space="preserve"> and Smith, 2003, </w:t>
      </w:r>
      <w:r w:rsidRPr="003742EE">
        <w:t xml:space="preserve">p. 7). Since the </w:t>
      </w:r>
      <w:r w:rsidR="00946416">
        <w:t>NATO-members and the UNSC</w:t>
      </w:r>
      <w:r w:rsidRPr="003742EE">
        <w:t xml:space="preserve"> wanted to prevent escalation as occurred in Bosnia, the UN mediated talks between the parties involved. These talks were framed in a resolution constructed by the United Nations Security Council as Resolution 1199. This resolution failed, as became evident later in the construction of a new and more influential </w:t>
      </w:r>
      <w:r w:rsidR="00AF00EF">
        <w:t xml:space="preserve">Resolution (1244) (UNSC, 1999, </w:t>
      </w:r>
      <w:r w:rsidRPr="003742EE">
        <w:t xml:space="preserve">p. 1). Furthermore, the </w:t>
      </w:r>
      <w:proofErr w:type="spellStart"/>
      <w:r w:rsidRPr="003742EE">
        <w:t>Rambouillet</w:t>
      </w:r>
      <w:proofErr w:type="spellEnd"/>
      <w:r w:rsidRPr="003742EE">
        <w:t xml:space="preserve"> peace agreement proposed by the International Contact Group was rejected by the Serbs. However, NATO used the agreements as a piece for the justification of</w:t>
      </w:r>
      <w:r w:rsidR="00AF00EF">
        <w:t xml:space="preserve"> their bombings (Hosmer, 2001, </w:t>
      </w:r>
      <w:r w:rsidRPr="003742EE">
        <w:t>p. 8). During these mediating approaches led by the UN and NATO, Milosevic continued to displace Kosovar Albanians, and deprived them of iden</w:t>
      </w:r>
      <w:r w:rsidR="00AF00EF">
        <w:t xml:space="preserve">tity documents (Weller, 2008a, </w:t>
      </w:r>
      <w:r w:rsidRPr="003742EE">
        <w:t xml:space="preserve">p. 16). NATO responded through their mission Air Force, that was </w:t>
      </w:r>
      <w:r w:rsidRPr="003742EE">
        <w:lastRenderedPageBreak/>
        <w:t>launched on 24 March 1</w:t>
      </w:r>
      <w:r w:rsidR="00AF00EF">
        <w:t>999 (</w:t>
      </w:r>
      <w:proofErr w:type="spellStart"/>
      <w:r w:rsidR="00AF00EF">
        <w:t>Latawski</w:t>
      </w:r>
      <w:proofErr w:type="spellEnd"/>
      <w:r w:rsidR="00AF00EF">
        <w:t xml:space="preserve"> and Smith, 2003, </w:t>
      </w:r>
      <w:r w:rsidRPr="003742EE">
        <w:t xml:space="preserve">p. 8). </w:t>
      </w:r>
      <w:r w:rsidR="00026460">
        <w:tab/>
      </w:r>
      <w:r w:rsidR="00026460">
        <w:tab/>
      </w:r>
      <w:r w:rsidR="00026460">
        <w:tab/>
      </w:r>
      <w:r w:rsidR="00026460">
        <w:tab/>
      </w:r>
      <w:r w:rsidR="00026460">
        <w:tab/>
      </w:r>
      <w:r w:rsidR="00026460">
        <w:tab/>
      </w:r>
      <w:r w:rsidRPr="003742EE">
        <w:t xml:space="preserve">Since the </w:t>
      </w:r>
      <w:proofErr w:type="spellStart"/>
      <w:r w:rsidRPr="003742EE">
        <w:t>Rambouillet</w:t>
      </w:r>
      <w:proofErr w:type="spellEnd"/>
      <w:r w:rsidRPr="003742EE">
        <w:t xml:space="preserve"> agreement failed, NATO decided to pursue another strategy in order to make Milosevic adhere to the demands of the international community. Milosevic refused to sign the </w:t>
      </w:r>
      <w:proofErr w:type="spellStart"/>
      <w:r w:rsidRPr="003742EE">
        <w:t>Rambouillet</w:t>
      </w:r>
      <w:proofErr w:type="spellEnd"/>
      <w:r w:rsidRPr="003742EE">
        <w:t xml:space="preserve"> Agreement since it would establish a self-g</w:t>
      </w:r>
      <w:r w:rsidR="00D00EBB">
        <w:t xml:space="preserve">overning Kosovo (Hosmer, 2001, </w:t>
      </w:r>
      <w:r w:rsidRPr="003742EE">
        <w:t>p. 7). The air operation initiated by NATO lasted 78 days, and while the operation dragged on NATO increased its firepower and scope (</w:t>
      </w:r>
      <w:proofErr w:type="spellStart"/>
      <w:r w:rsidRPr="003742EE">
        <w:t>Lataws</w:t>
      </w:r>
      <w:r w:rsidR="00D00EBB">
        <w:t>ki</w:t>
      </w:r>
      <w:proofErr w:type="spellEnd"/>
      <w:r w:rsidR="00D00EBB">
        <w:t xml:space="preserve"> and Smith, 2003, </w:t>
      </w:r>
      <w:r w:rsidRPr="003742EE">
        <w:t>p. 8). By June 1999 it became evident that NATO would not stop until it prevail</w:t>
      </w:r>
      <w:r w:rsidR="00E4739D">
        <w:t xml:space="preserve">ed over Milosevic (ibid, 2003, </w:t>
      </w:r>
      <w:r w:rsidR="003C7960">
        <w:t>p. 8). An ill-judgement</w:t>
      </w:r>
      <w:r w:rsidRPr="003742EE">
        <w:t xml:space="preserve"> from Milosevic’ side was the expectation that the NATO bombings w</w:t>
      </w:r>
      <w:r w:rsidR="00E4739D">
        <w:t xml:space="preserve">ould be limited (Hosmer, 2001, </w:t>
      </w:r>
      <w:r w:rsidRPr="003742EE">
        <w:t xml:space="preserve">p. 19). </w:t>
      </w:r>
      <w:r w:rsidR="003C7960">
        <w:t>In a cynical encounter with negotiator Holbrooke, Milosevic asked:</w:t>
      </w:r>
      <w:r w:rsidRPr="003742EE">
        <w:t xml:space="preserve"> </w:t>
      </w:r>
      <w:r w:rsidRPr="003742EE">
        <w:rPr>
          <w:i/>
        </w:rPr>
        <w:t>‘’Are you crazy enough to bomb us over these issues we’re talking about in that lousy little Kosovo?’’</w:t>
      </w:r>
      <w:r w:rsidR="00E4739D">
        <w:t xml:space="preserve"> (Hosmer, 2001, </w:t>
      </w:r>
      <w:r w:rsidRPr="003742EE">
        <w:t>p. 19). Even though Milosevic knew the bombing would take place, he believed it to</w:t>
      </w:r>
      <w:r w:rsidR="003C7960">
        <w:t xml:space="preserve"> be </w:t>
      </w:r>
      <w:r w:rsidRPr="003742EE">
        <w:t>marginal and expected to have sufficient countervailing pressure on the NATO allies to force them to agree with terms more fa</w:t>
      </w:r>
      <w:r w:rsidR="00E4739D">
        <w:t xml:space="preserve">vorable to Serbia (ibid, 2001, </w:t>
      </w:r>
      <w:r w:rsidRPr="003742EE">
        <w:t>p. 22). Moreover Milosevic hoped to gather sufficient leverage and get the upper hand through the defeat of the KLA</w:t>
      </w:r>
      <w:r w:rsidR="003C7960">
        <w:t xml:space="preserve"> and the creation of a rift</w:t>
      </w:r>
      <w:r w:rsidRPr="003742EE">
        <w:t xml:space="preserve"> between the NATO allies, mostly with the help of Russia. However it turned out that the KLA remained a viable organization, and the NATO allies stayed united (</w:t>
      </w:r>
      <w:r w:rsidR="00E4739D">
        <w:t>ibid</w:t>
      </w:r>
      <w:r w:rsidRPr="003742EE">
        <w:t>, 2001, pp. 37 - 47). Consequently, Milosevic decided to settle on the fourth of June. The FRY leadership agreed to withdraw and accepted the presence of NATO-led peacekeeping forces, together with a UN international administration mission in Kosovo. This agreement has been incorporated in the famous 1244 UN Resolution (</w:t>
      </w:r>
      <w:proofErr w:type="spellStart"/>
      <w:r w:rsidRPr="003742EE">
        <w:t>Latawski</w:t>
      </w:r>
      <w:proofErr w:type="spellEnd"/>
      <w:r w:rsidRPr="003742EE">
        <w:t xml:space="preserve"> and Smith, 2003, pp. 8 – 9). </w:t>
      </w:r>
      <w:r w:rsidR="00D423A4">
        <w:tab/>
      </w:r>
      <w:r w:rsidR="00D423A4">
        <w:tab/>
      </w:r>
      <w:r w:rsidR="00D423A4">
        <w:tab/>
      </w:r>
      <w:r w:rsidR="00D423A4">
        <w:tab/>
      </w:r>
      <w:r w:rsidR="00D423A4">
        <w:tab/>
      </w:r>
      <w:r w:rsidR="00D423A4">
        <w:tab/>
      </w:r>
      <w:r w:rsidR="00026460">
        <w:tab/>
      </w:r>
      <w:r w:rsidR="00026460">
        <w:tab/>
      </w:r>
      <w:r w:rsidR="00026460">
        <w:tab/>
      </w:r>
      <w:r w:rsidR="00026460">
        <w:tab/>
      </w:r>
      <w:r w:rsidR="00026460">
        <w:tab/>
      </w:r>
      <w:r w:rsidR="00026460">
        <w:tab/>
      </w:r>
      <w:r w:rsidR="00026460">
        <w:tab/>
      </w:r>
      <w:r w:rsidRPr="003742EE">
        <w:t>The 1244 UN Resolution provided as a basis for all international intervention in Kosovo, and justifies much of the foreign intervention at the same time</w:t>
      </w:r>
      <w:r w:rsidR="00B474CF">
        <w:t xml:space="preserve"> (See Appendix I)</w:t>
      </w:r>
      <w:r w:rsidRPr="003742EE">
        <w:t xml:space="preserve">. The Resolution is the beginning of a period of international administration over the territory from the period of 1999 onwards. Although it seems that Serbia was forced to cooperate and sign the agreement, the ‘deal’ brokered with the UN can be considered to be more favorable compared to the </w:t>
      </w:r>
      <w:proofErr w:type="spellStart"/>
      <w:r w:rsidRPr="003742EE">
        <w:t>Rambouillet</w:t>
      </w:r>
      <w:proofErr w:type="spellEnd"/>
      <w:r w:rsidRPr="003742EE">
        <w:t xml:space="preserve"> proposal. This because of the lack of a clear mentioning of a referendum on eventual Kosovar independence, as was previously stated in the </w:t>
      </w:r>
      <w:proofErr w:type="spellStart"/>
      <w:r w:rsidRPr="003742EE">
        <w:t>Rambouillet</w:t>
      </w:r>
      <w:proofErr w:type="spellEnd"/>
      <w:r w:rsidRPr="003742EE">
        <w:t xml:space="preserve"> dr</w:t>
      </w:r>
      <w:r w:rsidR="00CA1A35">
        <w:t>aft (</w:t>
      </w:r>
      <w:proofErr w:type="spellStart"/>
      <w:r w:rsidR="00CA1A35">
        <w:t>Latawski</w:t>
      </w:r>
      <w:proofErr w:type="spellEnd"/>
      <w:r w:rsidR="00CA1A35">
        <w:t xml:space="preserve"> and Smith, 2003, </w:t>
      </w:r>
      <w:r w:rsidRPr="003742EE">
        <w:t xml:space="preserve">p. 9). </w:t>
      </w:r>
    </w:p>
    <w:p w:rsidR="00D15816" w:rsidRPr="003742EE" w:rsidRDefault="00D02AF5" w:rsidP="003778BF">
      <w:pPr>
        <w:pStyle w:val="Kop3"/>
        <w:spacing w:line="360" w:lineRule="auto"/>
        <w:jc w:val="both"/>
        <w:rPr>
          <w:rFonts w:asciiTheme="minorHAnsi" w:hAnsiTheme="minorHAnsi"/>
          <w:b w:val="0"/>
        </w:rPr>
      </w:pPr>
      <w:bookmarkStart w:id="39" w:name="_Toc489007253"/>
      <w:r>
        <w:rPr>
          <w:rFonts w:asciiTheme="minorHAnsi" w:hAnsiTheme="minorHAnsi"/>
          <w:b w:val="0"/>
        </w:rPr>
        <w:t>4.2</w:t>
      </w:r>
      <w:r w:rsidR="00047A8E">
        <w:rPr>
          <w:rFonts w:asciiTheme="minorHAnsi" w:hAnsiTheme="minorHAnsi"/>
          <w:b w:val="0"/>
        </w:rPr>
        <w:t xml:space="preserve">.3 </w:t>
      </w:r>
      <w:r w:rsidR="00D15816" w:rsidRPr="003742EE">
        <w:rPr>
          <w:rFonts w:asciiTheme="minorHAnsi" w:hAnsiTheme="minorHAnsi"/>
          <w:b w:val="0"/>
        </w:rPr>
        <w:t>2001 – 2005: Interim period</w:t>
      </w:r>
      <w:bookmarkEnd w:id="39"/>
    </w:p>
    <w:p w:rsidR="00D15816" w:rsidRPr="003742EE" w:rsidRDefault="00D15816" w:rsidP="003778BF">
      <w:pPr>
        <w:spacing w:line="360" w:lineRule="auto"/>
        <w:jc w:val="both"/>
      </w:pPr>
      <w:r w:rsidRPr="003742EE">
        <w:t>Some main concerns of th</w:t>
      </w:r>
      <w:r w:rsidR="008C1257">
        <w:t>e international advocacy network</w:t>
      </w:r>
      <w:r w:rsidRPr="003742EE">
        <w:t xml:space="preserve"> that raised their attention in the first place were the violations of human rights, state of oppression, and the unjust treatment of the Kosovar Albanians during the Milosevic regime. Consequently, NATO interfered militarily and the UNSC brokered a peace agreement called Resolution 1244. The agreement on the Resolution can be considered a major breakthrough in terms of the prevention of further escalation and the stop of ethnic cleansing. However, the future prospects of Kosovo as a sovereign and independent state </w:t>
      </w:r>
      <w:r w:rsidRPr="003742EE">
        <w:lastRenderedPageBreak/>
        <w:t>remained uncert</w:t>
      </w:r>
      <w:r w:rsidR="00CA1A35">
        <w:t>ain (</w:t>
      </w:r>
      <w:proofErr w:type="spellStart"/>
      <w:r w:rsidR="00CA1A35">
        <w:t>Latawski</w:t>
      </w:r>
      <w:proofErr w:type="spellEnd"/>
      <w:r w:rsidR="00CA1A35">
        <w:t xml:space="preserve"> and Smith, 2003, </w:t>
      </w:r>
      <w:r w:rsidRPr="003742EE">
        <w:t>p.9). As a result of the violent tensions in the 1990’s, the interests of both ethnic groups regarding Kosovo’s final status had further polarized. Whereas Serbia was mainly concerned with the principles of classical international law that favors Serbia’s territorial integrity over demands of self</w:t>
      </w:r>
      <w:r w:rsidR="00CA1A35">
        <w:t xml:space="preserve">-determination (Weller, 2008a, </w:t>
      </w:r>
      <w:r w:rsidRPr="003742EE">
        <w:t>p. 30), Kosovo insisted upon the declaration of in</w:t>
      </w:r>
      <w:r w:rsidR="00CA1A35">
        <w:t xml:space="preserve">dependent status (ibid, 2008a, </w:t>
      </w:r>
      <w:r w:rsidRPr="003742EE">
        <w:t xml:space="preserve">p. 17). Although Resolution 1244 reaffirms </w:t>
      </w:r>
      <w:r w:rsidRPr="003742EE">
        <w:rPr>
          <w:i/>
        </w:rPr>
        <w:t>‘’…the commitment of all Member States to the sovereignty and territorial integrity of the Federal Republic of Yugoslavia and the other States of the region…’’</w:t>
      </w:r>
      <w:r w:rsidR="00CA1A35">
        <w:t xml:space="preserve"> (UNSC, 1999, </w:t>
      </w:r>
      <w:r w:rsidRPr="003742EE">
        <w:t>p. 2), this statement may be trumped if the situation constitutes a threat to the international peace</w:t>
      </w:r>
      <w:r w:rsidR="00CA1A35">
        <w:t xml:space="preserve"> and security  (Weller, 2008a, </w:t>
      </w:r>
      <w:r w:rsidRPr="003742EE">
        <w:t>p. 30). Yet, the complexity of the dispute becomes evident in the early years of the 21</w:t>
      </w:r>
      <w:r w:rsidRPr="003742EE">
        <w:rPr>
          <w:vertAlign w:val="superscript"/>
        </w:rPr>
        <w:t>st</w:t>
      </w:r>
      <w:r w:rsidRPr="003742EE">
        <w:t xml:space="preserve"> century. Mainly because of the risk all parties would get themselves involved in if they would engage in proper negotiations. Kosovo’s position was not free of risk because </w:t>
      </w:r>
      <w:r w:rsidR="00F462E0">
        <w:t>it demanded</w:t>
      </w:r>
      <w:r w:rsidRPr="003742EE">
        <w:t xml:space="preserve"> final status in the previous years. Since it was not clear at that time how negotiations would proceed and what outcome would occur, Kosovo could ruin their chances once and for all. However, there was no way back due to its own claims and deman</w:t>
      </w:r>
      <w:r w:rsidR="009B7028">
        <w:t xml:space="preserve">ds in the past (Weller, 2008a, </w:t>
      </w:r>
      <w:r w:rsidRPr="003742EE">
        <w:t>p. 33). Serbia, on the other hand knew that once it would engage in talks there would be no way back, putting at stake a significant piece of its territory. Though, the Serbian delegation enjoyed certain strategic advantages over Kosovo in terms of competency, capabilities, and for</w:t>
      </w:r>
      <w:r w:rsidR="009B7028">
        <w:t xml:space="preserve">eign relations (Weller, 2008a, </w:t>
      </w:r>
      <w:r w:rsidRPr="003742EE">
        <w:t>p. 33). Since Kosovo continued to rely heavily on inter</w:t>
      </w:r>
      <w:r w:rsidR="009B7028">
        <w:t xml:space="preserve">national support (Spiro, 2004, </w:t>
      </w:r>
      <w:r w:rsidRPr="003742EE">
        <w:t>p. 14), but international administration cannot last forever, Kosovo was eager to start final status negotiations as soon as possible. Yet, the international community proposed a moratorium on Kosov</w:t>
      </w:r>
      <w:r w:rsidR="009B7028">
        <w:t xml:space="preserve">o’s final status (Spiro, 2004, p. 16; Weller, 2008a, </w:t>
      </w:r>
      <w:r w:rsidRPr="003742EE">
        <w:t>p. 17). Although talks on the final status of Kosovo were postponed to 2005, the UN Secretary-General appointed his Special Representative to develop benchmarks which could measure the progress ma</w:t>
      </w:r>
      <w:r w:rsidR="00771F38">
        <w:t xml:space="preserve">de in Kosovo (Weller, 2008a, </w:t>
      </w:r>
      <w:r w:rsidRPr="003742EE">
        <w:t>p. 18). The Secretary-General consequently informed the earlier appointed United Nations Mission in Kosovo (UNMIK) to transfer more responsibilities to local authorities</w:t>
      </w:r>
      <w:r w:rsidR="00B66A90">
        <w:t xml:space="preserve"> and institutions (ibid, 2008, </w:t>
      </w:r>
      <w:r w:rsidRPr="003742EE">
        <w:t>p. 18), in order to ‘test’ its capabilities of handling their own internal affairs. These measures are known as the ‘standards before status’ policies, a so-called benchmark process.  While this ‘project’ of the UN took some time, and talks were planned in 2005, Serb and Kosovar politicians continued to make their cases in the international arena. In April 2002, Serb prime minister Zoran Djindjic visited G</w:t>
      </w:r>
      <w:r w:rsidR="00070B6D">
        <w:t>reat Britain and argued that an</w:t>
      </w:r>
      <w:r w:rsidRPr="003742EE">
        <w:t xml:space="preserve"> independent Kosovo would be a threat to the regional peace since it would create a fresh round of chaos in the neigh</w:t>
      </w:r>
      <w:r w:rsidR="00C96235">
        <w:t xml:space="preserve">boring countries (Spiro, 2004, </w:t>
      </w:r>
      <w:r w:rsidRPr="003742EE">
        <w:t xml:space="preserve">p. 16). In addition, Djindjic’ successor Zoran </w:t>
      </w:r>
      <w:proofErr w:type="spellStart"/>
      <w:r w:rsidRPr="003742EE">
        <w:t>Zivkovic</w:t>
      </w:r>
      <w:proofErr w:type="spellEnd"/>
      <w:r w:rsidRPr="003742EE">
        <w:t xml:space="preserve"> expected that secession of Kosovo would create a dangerous precedent, since all Balkan borders would be up for rearrangement in that case (ibid, 20</w:t>
      </w:r>
      <w:r w:rsidR="00C96235">
        <w:t xml:space="preserve">04, </w:t>
      </w:r>
      <w:r w:rsidRPr="003742EE">
        <w:t xml:space="preserve">p. 17). In 2003, Kosovo’s president </w:t>
      </w:r>
      <w:proofErr w:type="spellStart"/>
      <w:r w:rsidRPr="003742EE">
        <w:t>Rugova</w:t>
      </w:r>
      <w:proofErr w:type="spellEnd"/>
      <w:r w:rsidRPr="003742EE">
        <w:t xml:space="preserve"> stated that Kosovo should be granted independent status in order to prevent the occurrence of regional chaos. He warned that one could expect extremists to try and form an </w:t>
      </w:r>
      <w:r w:rsidR="00C96235">
        <w:lastRenderedPageBreak/>
        <w:t xml:space="preserve">independent state (ibid, 2004, </w:t>
      </w:r>
      <w:r w:rsidRPr="003742EE">
        <w:t xml:space="preserve">p. 16). It is obvious that Serbian leaders try as hard as they can to deter any unilateral international actions on Kosovo’s independence. Whereas </w:t>
      </w:r>
      <w:r w:rsidR="00C15806">
        <w:t>UNMIK</w:t>
      </w:r>
      <w:r w:rsidRPr="003742EE">
        <w:t xml:space="preserve"> was hoping that the postponement of sensitive negotiations on the final status of Kosovo would </w:t>
      </w:r>
      <w:r w:rsidR="00C15806">
        <w:t>calm things down, major riots in</w:t>
      </w:r>
      <w:r w:rsidRPr="003742EE">
        <w:t xml:space="preserve"> March 2004 proved how tense the situation still was and how vulnerable the area is to escalation.</w:t>
      </w:r>
    </w:p>
    <w:p w:rsidR="00D15816" w:rsidRPr="003742EE" w:rsidRDefault="00D15816" w:rsidP="003778BF">
      <w:pPr>
        <w:autoSpaceDE w:val="0"/>
        <w:autoSpaceDN w:val="0"/>
        <w:adjustRightInd w:val="0"/>
        <w:spacing w:after="0" w:line="360" w:lineRule="auto"/>
        <w:jc w:val="both"/>
        <w:rPr>
          <w:rFonts w:cs="TimesNewRoman"/>
          <w:i/>
        </w:rPr>
      </w:pPr>
      <w:r w:rsidRPr="003742EE">
        <w:rPr>
          <w:rFonts w:cs="TimesNewRoman"/>
          <w:i/>
        </w:rPr>
        <w:t>‘’On 17 March 2004, teachers led their students onto the bridge connecting north and south</w:t>
      </w:r>
    </w:p>
    <w:p w:rsidR="00D15816" w:rsidRPr="003742EE" w:rsidRDefault="00D15816" w:rsidP="003778BF">
      <w:pPr>
        <w:autoSpaceDE w:val="0"/>
        <w:autoSpaceDN w:val="0"/>
        <w:adjustRightInd w:val="0"/>
        <w:spacing w:after="0" w:line="360" w:lineRule="auto"/>
        <w:jc w:val="both"/>
        <w:rPr>
          <w:rFonts w:cs="TimesNewRoman"/>
          <w:i/>
        </w:rPr>
      </w:pPr>
      <w:proofErr w:type="spellStart"/>
      <w:r w:rsidRPr="003742EE">
        <w:rPr>
          <w:rFonts w:cs="TimesNewRoman"/>
          <w:i/>
        </w:rPr>
        <w:t>Mitrovicë</w:t>
      </w:r>
      <w:proofErr w:type="spellEnd"/>
      <w:r w:rsidRPr="003742EE">
        <w:rPr>
          <w:rFonts w:cs="TimesNewRoman"/>
          <w:i/>
        </w:rPr>
        <w:t>/</w:t>
      </w:r>
      <w:proofErr w:type="spellStart"/>
      <w:r w:rsidRPr="003742EE">
        <w:rPr>
          <w:rFonts w:cs="TimesNewRoman"/>
          <w:i/>
        </w:rPr>
        <w:t>Mitrovica</w:t>
      </w:r>
      <w:proofErr w:type="spellEnd"/>
      <w:r w:rsidRPr="003742EE">
        <w:rPr>
          <w:rFonts w:cs="TimesNewRoman"/>
          <w:i/>
        </w:rPr>
        <w:t xml:space="preserve"> in a protest against the deaths of three Kosovo Albanian children who</w:t>
      </w:r>
    </w:p>
    <w:p w:rsidR="00D15816" w:rsidRPr="003742EE" w:rsidRDefault="00D15816" w:rsidP="003778BF">
      <w:pPr>
        <w:autoSpaceDE w:val="0"/>
        <w:autoSpaceDN w:val="0"/>
        <w:adjustRightInd w:val="0"/>
        <w:spacing w:after="0" w:line="360" w:lineRule="auto"/>
        <w:jc w:val="both"/>
        <w:rPr>
          <w:rFonts w:cs="TimesNewRoman"/>
          <w:i/>
        </w:rPr>
      </w:pPr>
      <w:r w:rsidRPr="003742EE">
        <w:rPr>
          <w:rFonts w:cs="TimesNewRoman"/>
          <w:i/>
        </w:rPr>
        <w:t xml:space="preserve">were allegedly chased into the </w:t>
      </w:r>
      <w:proofErr w:type="spellStart"/>
      <w:r w:rsidRPr="003742EE">
        <w:rPr>
          <w:rFonts w:cs="TimesNewRoman"/>
          <w:i/>
        </w:rPr>
        <w:t>Ibar</w:t>
      </w:r>
      <w:proofErr w:type="spellEnd"/>
      <w:r w:rsidRPr="003742EE">
        <w:rPr>
          <w:rFonts w:cs="TimesNewRoman"/>
          <w:i/>
        </w:rPr>
        <w:t xml:space="preserve"> River by Kosovo Serbs with dogs. Three hours later, six</w:t>
      </w:r>
    </w:p>
    <w:p w:rsidR="00D15816" w:rsidRPr="003742EE" w:rsidRDefault="00D15816" w:rsidP="003778BF">
      <w:pPr>
        <w:autoSpaceDE w:val="0"/>
        <w:autoSpaceDN w:val="0"/>
        <w:adjustRightInd w:val="0"/>
        <w:spacing w:after="0" w:line="360" w:lineRule="auto"/>
        <w:jc w:val="both"/>
        <w:rPr>
          <w:rFonts w:cs="TimesNewRoman"/>
          <w:i/>
        </w:rPr>
      </w:pPr>
      <w:r w:rsidRPr="003742EE">
        <w:rPr>
          <w:rFonts w:cs="TimesNewRoman"/>
          <w:i/>
        </w:rPr>
        <w:t>persons had been killed and houses throughout Kosovo were in flames as angry protesters</w:t>
      </w:r>
    </w:p>
    <w:p w:rsidR="00D15816" w:rsidRPr="003742EE" w:rsidRDefault="00D15816" w:rsidP="003778BF">
      <w:pPr>
        <w:autoSpaceDE w:val="0"/>
        <w:autoSpaceDN w:val="0"/>
        <w:adjustRightInd w:val="0"/>
        <w:spacing w:after="0" w:line="360" w:lineRule="auto"/>
        <w:jc w:val="both"/>
        <w:rPr>
          <w:rFonts w:cs="TimesNewRoman"/>
          <w:i/>
        </w:rPr>
      </w:pPr>
      <w:r w:rsidRPr="003742EE">
        <w:rPr>
          <w:rFonts w:cs="TimesNewRoman"/>
          <w:i/>
        </w:rPr>
        <w:t>made their way. The campaign of ethnic violence lasted for three days and left 19 dead, 954</w:t>
      </w:r>
    </w:p>
    <w:p w:rsidR="00D15816" w:rsidRPr="003742EE" w:rsidRDefault="00D15816" w:rsidP="003778BF">
      <w:pPr>
        <w:autoSpaceDE w:val="0"/>
        <w:autoSpaceDN w:val="0"/>
        <w:adjustRightInd w:val="0"/>
        <w:spacing w:after="0" w:line="360" w:lineRule="auto"/>
        <w:jc w:val="both"/>
        <w:rPr>
          <w:rFonts w:cs="TimesNewRoman"/>
          <w:i/>
        </w:rPr>
      </w:pPr>
      <w:r w:rsidRPr="003742EE">
        <w:rPr>
          <w:rFonts w:cs="TimesNewRoman"/>
          <w:i/>
        </w:rPr>
        <w:t>injured, 4100 displaced, 550 houses and 27 Orthodox churches and monasteries burnt and an</w:t>
      </w:r>
    </w:p>
    <w:p w:rsidR="00D15816" w:rsidRPr="003742EE" w:rsidRDefault="00D15816" w:rsidP="003778BF">
      <w:pPr>
        <w:spacing w:line="360" w:lineRule="auto"/>
        <w:jc w:val="both"/>
        <w:rPr>
          <w:rFonts w:cs="TimesNewRoman"/>
        </w:rPr>
      </w:pPr>
      <w:r w:rsidRPr="003742EE">
        <w:rPr>
          <w:rFonts w:cs="TimesNewRoman"/>
          <w:i/>
        </w:rPr>
        <w:t xml:space="preserve">additional 182 houses and two churches/monasteries damaged.’’ </w:t>
      </w:r>
      <w:r w:rsidR="00BE4D31">
        <w:rPr>
          <w:rFonts w:cs="TimesNewRoman"/>
        </w:rPr>
        <w:t xml:space="preserve">(OSCE, </w:t>
      </w:r>
      <w:proofErr w:type="spellStart"/>
      <w:r w:rsidR="00BE4D31">
        <w:rPr>
          <w:rFonts w:cs="TimesNewRoman"/>
        </w:rPr>
        <w:t>n.d.</w:t>
      </w:r>
      <w:proofErr w:type="spellEnd"/>
      <w:r w:rsidR="00BE4D31">
        <w:rPr>
          <w:rFonts w:cs="TimesNewRoman"/>
        </w:rPr>
        <w:t xml:space="preserve">, </w:t>
      </w:r>
      <w:r w:rsidRPr="003742EE">
        <w:rPr>
          <w:rFonts w:cs="TimesNewRoman"/>
        </w:rPr>
        <w:t>p. 4)</w:t>
      </w:r>
    </w:p>
    <w:p w:rsidR="00D15816" w:rsidRPr="003742EE" w:rsidRDefault="00D15816" w:rsidP="003778BF">
      <w:pPr>
        <w:spacing w:line="360" w:lineRule="auto"/>
        <w:jc w:val="both"/>
        <w:rPr>
          <w:rFonts w:eastAsia="Times New Roman" w:cs="Times New Roman"/>
        </w:rPr>
      </w:pPr>
      <w:r w:rsidRPr="003742EE">
        <w:rPr>
          <w:rFonts w:cs="TimesNewRoman"/>
        </w:rPr>
        <w:t>The sudden escalation involved guided mobilization via mobile phones through which an estimated 50,000 people got involve</w:t>
      </w:r>
      <w:r w:rsidR="00BE4D31">
        <w:rPr>
          <w:rFonts w:cs="TimesNewRoman"/>
        </w:rPr>
        <w:t xml:space="preserve">d in the riots (Weller, 2008a, </w:t>
      </w:r>
      <w:r w:rsidRPr="003742EE">
        <w:rPr>
          <w:rFonts w:cs="TimesNewRoman"/>
        </w:rPr>
        <w:t xml:space="preserve">p. 19). Due to these circumstances </w:t>
      </w:r>
      <w:r w:rsidRPr="003742EE">
        <w:rPr>
          <w:rFonts w:eastAsia="Times New Roman" w:cs="Times New Roman"/>
        </w:rPr>
        <w:t>standard implementation processes were accelerated since the riots showed the impatience of the people. There is never an ideal time for moving on status, and the situations is likely to become worse rather than better. Therefore, is it inevitable that improved standards need to be implemented. These were at least the recommendations of the Norwegian representative to NATO, Ka</w:t>
      </w:r>
      <w:r w:rsidR="00BE4D31">
        <w:rPr>
          <w:rFonts w:eastAsia="Times New Roman" w:cs="Times New Roman"/>
        </w:rPr>
        <w:t xml:space="preserve">i </w:t>
      </w:r>
      <w:proofErr w:type="spellStart"/>
      <w:r w:rsidR="00BE4D31">
        <w:rPr>
          <w:rFonts w:eastAsia="Times New Roman" w:cs="Times New Roman"/>
        </w:rPr>
        <w:t>Eide</w:t>
      </w:r>
      <w:proofErr w:type="spellEnd"/>
      <w:r w:rsidR="00BE4D31">
        <w:rPr>
          <w:rFonts w:eastAsia="Times New Roman" w:cs="Times New Roman"/>
        </w:rPr>
        <w:t xml:space="preserve"> in 2004 (Weller, 2008a, </w:t>
      </w:r>
      <w:r w:rsidRPr="003742EE">
        <w:rPr>
          <w:rFonts w:eastAsia="Times New Roman" w:cs="Times New Roman"/>
        </w:rPr>
        <w:t xml:space="preserve">p. 20). Hence, </w:t>
      </w:r>
      <w:proofErr w:type="spellStart"/>
      <w:r w:rsidRPr="003742EE">
        <w:rPr>
          <w:rFonts w:eastAsia="Times New Roman" w:cs="Times New Roman"/>
        </w:rPr>
        <w:t>Eide</w:t>
      </w:r>
      <w:proofErr w:type="spellEnd"/>
      <w:r w:rsidRPr="003742EE">
        <w:rPr>
          <w:rFonts w:eastAsia="Times New Roman" w:cs="Times New Roman"/>
        </w:rPr>
        <w:t xml:space="preserve"> reported that the time has come to move up to final statu</w:t>
      </w:r>
      <w:r w:rsidR="00BE4D31">
        <w:rPr>
          <w:rFonts w:eastAsia="Times New Roman" w:cs="Times New Roman"/>
        </w:rPr>
        <w:t xml:space="preserve">s (UNSC, 2005a; Weller, 2008a, </w:t>
      </w:r>
      <w:r w:rsidRPr="003742EE">
        <w:rPr>
          <w:rFonts w:eastAsia="Times New Roman" w:cs="Times New Roman"/>
        </w:rPr>
        <w:t xml:space="preserve">p. 21). </w:t>
      </w:r>
    </w:p>
    <w:p w:rsidR="00D15816" w:rsidRPr="003742EE" w:rsidRDefault="00D02AF5" w:rsidP="003778BF">
      <w:pPr>
        <w:pStyle w:val="Kop3"/>
        <w:spacing w:line="360" w:lineRule="auto"/>
        <w:jc w:val="both"/>
        <w:rPr>
          <w:rFonts w:asciiTheme="minorHAnsi" w:hAnsiTheme="minorHAnsi"/>
          <w:b w:val="0"/>
        </w:rPr>
      </w:pPr>
      <w:bookmarkStart w:id="40" w:name="_Toc489007254"/>
      <w:r>
        <w:rPr>
          <w:rFonts w:asciiTheme="minorHAnsi" w:hAnsiTheme="minorHAnsi"/>
          <w:b w:val="0"/>
        </w:rPr>
        <w:t>4.2</w:t>
      </w:r>
      <w:r w:rsidR="00047A8E">
        <w:rPr>
          <w:rFonts w:asciiTheme="minorHAnsi" w:hAnsiTheme="minorHAnsi"/>
          <w:b w:val="0"/>
        </w:rPr>
        <w:t xml:space="preserve">.4 </w:t>
      </w:r>
      <w:r w:rsidR="00D15816" w:rsidRPr="003742EE">
        <w:rPr>
          <w:rFonts w:asciiTheme="minorHAnsi" w:hAnsiTheme="minorHAnsi"/>
          <w:b w:val="0"/>
        </w:rPr>
        <w:t>2005 – 2006: The Vienna negotiations.</w:t>
      </w:r>
      <w:bookmarkEnd w:id="40"/>
      <w:r w:rsidR="00D15816" w:rsidRPr="003742EE">
        <w:rPr>
          <w:rFonts w:asciiTheme="minorHAnsi" w:hAnsiTheme="minorHAnsi"/>
          <w:b w:val="0"/>
        </w:rPr>
        <w:t xml:space="preserve"> </w:t>
      </w:r>
    </w:p>
    <w:p w:rsidR="0011455D" w:rsidRDefault="00D15816" w:rsidP="003778BF">
      <w:pPr>
        <w:spacing w:line="360" w:lineRule="auto"/>
        <w:jc w:val="both"/>
      </w:pPr>
      <w:r w:rsidRPr="003742EE">
        <w:t>After the interim period of Kosovar self-governance administered by the UN had been exhausted for five years, the time had come to move up t</w:t>
      </w:r>
      <w:r w:rsidR="00467BF5">
        <w:t xml:space="preserve">o final status (Weller, 2008a, </w:t>
      </w:r>
      <w:r w:rsidRPr="003742EE">
        <w:t>p. 24). The negotiations regarding the ‘final package’ took place in Vienna. In a presidential statement on the 24</w:t>
      </w:r>
      <w:r w:rsidRPr="003742EE">
        <w:rPr>
          <w:vertAlign w:val="superscript"/>
        </w:rPr>
        <w:t>th</w:t>
      </w:r>
      <w:r w:rsidRPr="003742EE">
        <w:t xml:space="preserve"> of October, the Security Council of</w:t>
      </w:r>
      <w:r w:rsidR="0011455D">
        <w:t>fered</w:t>
      </w:r>
      <w:r w:rsidRPr="003742EE">
        <w:t xml:space="preserve"> full support for the start of the negotiations. In the statement the Council stressed that </w:t>
      </w:r>
      <w:r w:rsidRPr="003742EE">
        <w:rPr>
          <w:i/>
        </w:rPr>
        <w:t>‘’the implementation of standards in Kosovo must continue with undiminished energy and a stronger sense of commitment.’’</w:t>
      </w:r>
      <w:r w:rsidR="00467BF5">
        <w:t xml:space="preserve"> (UNSC, 2005b, </w:t>
      </w:r>
      <w:r w:rsidRPr="003742EE">
        <w:t xml:space="preserve">p. 1). Interesting, and perhaps a little surprising, was the statement of Vojislav Kostunica, the prime minister of Serbia. He emphasized that Serbia was fully prepared to take responsibility in the process (UNSC, 2005a). Before the negotiations started, ambassador </w:t>
      </w:r>
      <w:proofErr w:type="spellStart"/>
      <w:r w:rsidRPr="003742EE">
        <w:t>Eide</w:t>
      </w:r>
      <w:proofErr w:type="spellEnd"/>
      <w:r w:rsidRPr="003742EE">
        <w:t xml:space="preserve"> was aware of the risks of going into negotiations for both Kosovo as well as Serbia. Therefore, he proposed to agree the agenda, procedures and format up front, in order to avoid a deadlock. The framework for the negotiations were generally built upon Resolution 1244. As has previously been mentioned, this Resolution confirms the territorial unity of Serbia. However this </w:t>
      </w:r>
      <w:r w:rsidRPr="003742EE">
        <w:lastRenderedPageBreak/>
        <w:t>can be read in two ways, beneficial for either Se</w:t>
      </w:r>
      <w:r w:rsidR="00467BF5">
        <w:t xml:space="preserve">rbia or Kosovo (Weller, 2008a, </w:t>
      </w:r>
      <w:r w:rsidRPr="003742EE">
        <w:t xml:space="preserve">p. 23). If this confirmation is applied to the interim period of UN administration, this would be beneficial for future prospects of Kosovo since it would allow Kosovo to pursue independence after this period of administration. For Serbia though, it would be more beneficial if it is a final agreement. </w:t>
      </w:r>
    </w:p>
    <w:p w:rsidR="00E562E5" w:rsidRDefault="00D15816" w:rsidP="003778BF">
      <w:pPr>
        <w:spacing w:line="360" w:lineRule="auto"/>
        <w:jc w:val="both"/>
      </w:pPr>
      <w:r w:rsidRPr="003742EE">
        <w:t>The Contact Group</w:t>
      </w:r>
      <w:r w:rsidR="0011455D">
        <w:t>, established by the UN Secretary-General in the early 1990’s, dealt with disputes in the Balkans. This group</w:t>
      </w:r>
      <w:r w:rsidRPr="003742EE">
        <w:t xml:space="preserve"> composed of France, Germany, Italy, Russia, the UK and the US, issued ten guiding principles that should be followed for a settlement of the st</w:t>
      </w:r>
      <w:r w:rsidR="00DD540C">
        <w:t xml:space="preserve">atus of Kosovo (Weller, 2008b, </w:t>
      </w:r>
      <w:r w:rsidRPr="003742EE">
        <w:t xml:space="preserve">p. 663). These principles can be considered the norms and regulations of the international network. </w:t>
      </w:r>
      <w:r w:rsidRPr="003742EE">
        <w:rPr>
          <w:i/>
        </w:rPr>
        <w:t>‘’These concerned compliance with human rights, democratic values and principles of Euro-Atlantic integration; mechanisms to ensure political participation available to all ethnic groups, including minority groups; provision for the return of refugees and the displaced; protection of cultural and religious heritage; regional stability and economic development; and the acceptance of continued international supervision of the imple</w:t>
      </w:r>
      <w:r w:rsidR="0011455D">
        <w:rPr>
          <w:i/>
        </w:rPr>
        <w:t>mentation of the status package</w:t>
      </w:r>
      <w:r w:rsidRPr="003742EE">
        <w:rPr>
          <w:i/>
        </w:rPr>
        <w:t xml:space="preserve">’’ </w:t>
      </w:r>
      <w:r w:rsidR="00DD540C">
        <w:t xml:space="preserve">(Weller, 2008b, </w:t>
      </w:r>
      <w:r w:rsidRPr="003742EE">
        <w:t xml:space="preserve">p. 663). The Contact Group steered the negotiations together with a Special Envoy directed by the UN Secretary-General: </w:t>
      </w:r>
      <w:proofErr w:type="spellStart"/>
      <w:r w:rsidRPr="003742EE">
        <w:t>Martti</w:t>
      </w:r>
      <w:proofErr w:type="spellEnd"/>
      <w:r w:rsidRPr="003742EE">
        <w:t xml:space="preserve"> </w:t>
      </w:r>
      <w:proofErr w:type="spellStart"/>
      <w:r w:rsidRPr="003742EE">
        <w:t>Ahtisaari</w:t>
      </w:r>
      <w:proofErr w:type="spellEnd"/>
      <w:r w:rsidRPr="003742EE">
        <w:t>. These mediators would invite the delegations to Vienna and discuss one issue ar</w:t>
      </w:r>
      <w:r w:rsidR="00DD540C">
        <w:t xml:space="preserve">ea at the time (Weller, 2008b, </w:t>
      </w:r>
      <w:r w:rsidRPr="003742EE">
        <w:t xml:space="preserve">p. 664). </w:t>
      </w:r>
    </w:p>
    <w:p w:rsidR="00FD5F86" w:rsidRDefault="00D15816" w:rsidP="003778BF">
      <w:pPr>
        <w:spacing w:line="360" w:lineRule="auto"/>
        <w:jc w:val="both"/>
      </w:pPr>
      <w:r w:rsidRPr="003742EE">
        <w:t>While Kosovo presented itself as cooperative during the negotiations, the Serb delegations seemed to have adopted a str</w:t>
      </w:r>
      <w:r w:rsidR="00DD540C">
        <w:t xml:space="preserve">ategy of delay (Weller, 2008b, </w:t>
      </w:r>
      <w:r w:rsidRPr="003742EE">
        <w:t>p. 668). Serbia held multiple elections during the negotiations in 2006, which delayed the construction of an actual proposal. This consequently increased the chances of further instability in Kosovo, which in turn was rather benef</w:t>
      </w:r>
      <w:r w:rsidR="00DD540C">
        <w:t xml:space="preserve">icial for Serbia (ibid, 2008b, </w:t>
      </w:r>
      <w:r w:rsidRPr="003742EE">
        <w:t>p. 677). Moreover, Serbia further pressurized th</w:t>
      </w:r>
      <w:r w:rsidR="00BE04F5">
        <w:t>e negotiation process by the adopt</w:t>
      </w:r>
      <w:r w:rsidRPr="003742EE">
        <w:t>ion of a new constitution which was narrowly endorsed i</w:t>
      </w:r>
      <w:r w:rsidR="00DD540C">
        <w:t xml:space="preserve">n a referendum (Weller, 2008b, </w:t>
      </w:r>
      <w:r w:rsidRPr="003742EE">
        <w:t xml:space="preserve">p. 676). This constitution confirmed that Kosovo was an inseparable and integral part of Serb territory, and was therefore condemned by ethnic Albanians (Spiegel, 2006). </w:t>
      </w:r>
      <w:r w:rsidR="00CC1D56">
        <w:t>While making up 90 percent of the 2 million inhabitants of Kosovo, the ethnic Albanians were not eligible to vote</w:t>
      </w:r>
      <w:r w:rsidRPr="003742EE">
        <w:t xml:space="preserve"> (ibid, 2006). </w:t>
      </w:r>
    </w:p>
    <w:p w:rsidR="00EB260C" w:rsidRDefault="00D15816" w:rsidP="003778BF">
      <w:pPr>
        <w:spacing w:line="360" w:lineRule="auto"/>
        <w:jc w:val="both"/>
      </w:pPr>
      <w:r w:rsidRPr="003742EE">
        <w:t xml:space="preserve">Despite these discomforts, the Kosovar politicians managed to maintain a calm attitude towards the Serbian </w:t>
      </w:r>
      <w:r w:rsidR="00E369E0">
        <w:t xml:space="preserve">non-compliance (Weller, 2008b, </w:t>
      </w:r>
      <w:r w:rsidRPr="003742EE">
        <w:t>p. 677). Even though Kosovo prepared its case, and got the support of multiple actors in the international field, Serbia held a rather strong position in the negotiations, and found in Russia a strong ally that provided them with leverage. Russia, part of the Contact Group, stated that it would not give any consent to any decision that would not be acce</w:t>
      </w:r>
      <w:r w:rsidR="00E369E0">
        <w:t xml:space="preserve">pted by Serbia (Weller, 2008b, </w:t>
      </w:r>
      <w:r w:rsidRPr="003742EE">
        <w:t xml:space="preserve">p. 677). Since Russia could use its veto power within the Council, this put Serbia in a good spot. Throughout 2006, fifteen rounds of negotiations took place, though in different issue areas. Whereas Serbia kept elaborating on the general international legal rules and </w:t>
      </w:r>
      <w:r w:rsidRPr="003742EE">
        <w:lastRenderedPageBreak/>
        <w:t>proposed an extended twenty year period of autonomy (ibid, 2008</w:t>
      </w:r>
      <w:r w:rsidR="00E369E0">
        <w:t xml:space="preserve">b, </w:t>
      </w:r>
      <w:r w:rsidRPr="003742EE">
        <w:t>p.674), Kosovo made a case in which it argued that progress has been made in the past couple of years, but further progress may only be accomplished if Kosovo would be granted in</w:t>
      </w:r>
      <w:r w:rsidR="00E369E0">
        <w:t xml:space="preserve">dependent status (ibid, 2008b, </w:t>
      </w:r>
      <w:r w:rsidRPr="003742EE">
        <w:t xml:space="preserve">p. 674). </w:t>
      </w:r>
    </w:p>
    <w:p w:rsidR="00D15816" w:rsidRPr="00976096" w:rsidRDefault="00D15816" w:rsidP="003778BF">
      <w:pPr>
        <w:spacing w:line="360" w:lineRule="auto"/>
        <w:jc w:val="both"/>
        <w:rPr>
          <w:i/>
        </w:rPr>
      </w:pPr>
      <w:r w:rsidRPr="003742EE">
        <w:t xml:space="preserve">It became obvious that Kosovo was willing to engage in argumentative dialogue, while Serbia was still not willing to cooperate in that way. Another deadlock seemed </w:t>
      </w:r>
      <w:r w:rsidR="00B91AEA">
        <w:t>to occur, as became evident when the Contact Group ran</w:t>
      </w:r>
      <w:r w:rsidRPr="003742EE">
        <w:t xml:space="preserve"> out of options. Whereas Kosovo was willing to change its position on issues such as decentralization, showing flexibility by making concessions towards Serbia, Serbia was not willing to be more flexible and did not engage in a more substantive way th</w:t>
      </w:r>
      <w:r w:rsidR="00E369E0">
        <w:t xml:space="preserve">an it did before (ibid, 2008b, </w:t>
      </w:r>
      <w:r w:rsidRPr="003742EE">
        <w:t>p. 675). The result was a deadlock in which Kosovo was unhappy with Serbia for being so rigid, and unhappy with the Contact Group for rewarding Serbia for this. Kosovo felt that the Contact Group only demanded further concessions from them, ra</w:t>
      </w:r>
      <w:r w:rsidR="006C0C24">
        <w:t xml:space="preserve">ther than Serbia (ibid, 2008b, </w:t>
      </w:r>
      <w:r w:rsidRPr="003742EE">
        <w:t>p. 674). Serbia, at this point, was done with the negotiations as we</w:t>
      </w:r>
      <w:r w:rsidR="006C0C24">
        <w:t>ll and threatened to walk-out (</w:t>
      </w:r>
      <w:r w:rsidRPr="003742EE">
        <w:t>p. 675). At this point, the Contact Group tried to enforce its power on Serbia by stating that a settlement might be imposed on Serbia unless it showed genuine engagement (ibid,</w:t>
      </w:r>
      <w:r w:rsidR="006C0C24">
        <w:t xml:space="preserve"> 2008b, </w:t>
      </w:r>
      <w:r w:rsidRPr="003742EE">
        <w:t xml:space="preserve">p. 675). However, the credibility of this threat was rather low since Russia was present in the Group and promised Serbia its support. In result, Special Envoy </w:t>
      </w:r>
      <w:proofErr w:type="spellStart"/>
      <w:r w:rsidRPr="003742EE">
        <w:t>Martti</w:t>
      </w:r>
      <w:proofErr w:type="spellEnd"/>
      <w:r w:rsidRPr="003742EE">
        <w:t xml:space="preserve"> </w:t>
      </w:r>
      <w:proofErr w:type="spellStart"/>
      <w:r w:rsidRPr="003742EE">
        <w:t>Ahtisaari</w:t>
      </w:r>
      <w:proofErr w:type="spellEnd"/>
      <w:r w:rsidRPr="003742EE">
        <w:t xml:space="preserve"> started to put together a settlement based on the negotiations up to this point, the final package. </w:t>
      </w:r>
    </w:p>
    <w:p w:rsidR="00D15816" w:rsidRPr="003742EE" w:rsidRDefault="00D02AF5" w:rsidP="003778BF">
      <w:pPr>
        <w:pStyle w:val="Kop3"/>
        <w:spacing w:line="360" w:lineRule="auto"/>
        <w:jc w:val="both"/>
        <w:rPr>
          <w:rFonts w:asciiTheme="minorHAnsi" w:hAnsiTheme="minorHAnsi"/>
          <w:b w:val="0"/>
        </w:rPr>
      </w:pPr>
      <w:bookmarkStart w:id="41" w:name="_Toc489007255"/>
      <w:r>
        <w:rPr>
          <w:rFonts w:asciiTheme="minorHAnsi" w:hAnsiTheme="minorHAnsi"/>
          <w:b w:val="0"/>
        </w:rPr>
        <w:t>4.2</w:t>
      </w:r>
      <w:r w:rsidR="00047A8E">
        <w:rPr>
          <w:rFonts w:asciiTheme="minorHAnsi" w:hAnsiTheme="minorHAnsi"/>
          <w:b w:val="0"/>
        </w:rPr>
        <w:t xml:space="preserve">.5 </w:t>
      </w:r>
      <w:r w:rsidR="00D15816" w:rsidRPr="003742EE">
        <w:rPr>
          <w:rFonts w:asciiTheme="minorHAnsi" w:hAnsiTheme="minorHAnsi"/>
          <w:b w:val="0"/>
        </w:rPr>
        <w:t>2007 – 2008: The final package</w:t>
      </w:r>
      <w:bookmarkEnd w:id="41"/>
    </w:p>
    <w:p w:rsidR="00D15816" w:rsidRPr="003742EE" w:rsidRDefault="00D15816" w:rsidP="003778BF">
      <w:pPr>
        <w:spacing w:line="360" w:lineRule="auto"/>
        <w:jc w:val="both"/>
      </w:pPr>
      <w:r w:rsidRPr="003742EE">
        <w:t xml:space="preserve">UN Special Envoy </w:t>
      </w:r>
      <w:proofErr w:type="spellStart"/>
      <w:r w:rsidRPr="003742EE">
        <w:t>Ahtisaari</w:t>
      </w:r>
      <w:proofErr w:type="spellEnd"/>
      <w:r w:rsidRPr="003742EE">
        <w:t xml:space="preserve"> presented a package with propositions regarding the final status of Kosovo on the 26</w:t>
      </w:r>
      <w:r w:rsidRPr="003742EE">
        <w:rPr>
          <w:vertAlign w:val="superscript"/>
        </w:rPr>
        <w:t>th</w:t>
      </w:r>
      <w:r w:rsidRPr="003742EE">
        <w:t xml:space="preserve"> of March 2007. For the purposes of this research and analysis of the process, it is important to elaborate on some of the outcomes as presented by the Special Envoy. The process towards a settlement was initiated in November 2005, and over the course of this period of time intensive negotiations with the leadership of Serbia and Kosovo took place. </w:t>
      </w:r>
      <w:proofErr w:type="spellStart"/>
      <w:r w:rsidRPr="003742EE">
        <w:t>Ahtisaari</w:t>
      </w:r>
      <w:proofErr w:type="spellEnd"/>
      <w:r w:rsidRPr="003742EE">
        <w:t xml:space="preserve"> concluded: </w:t>
      </w:r>
      <w:r w:rsidRPr="003742EE">
        <w:rPr>
          <w:i/>
        </w:rPr>
        <w:t xml:space="preserve">‘’My team and I have made every effort to facilitate an outcome that would be acceptable to both sides. But after more than one year of direct talks, bilateral negotiations and expert consultation, it has become clear to me that the parties are not able to reach an agreement on Kosovo’s future status.’’ </w:t>
      </w:r>
      <w:r w:rsidR="00E90EBE">
        <w:t xml:space="preserve"> (UNSC, 2007</w:t>
      </w:r>
      <w:r w:rsidR="005D225F">
        <w:t>a</w:t>
      </w:r>
      <w:r w:rsidR="00E90EBE">
        <w:t xml:space="preserve">, p. 2). He </w:t>
      </w:r>
      <w:r w:rsidRPr="003742EE">
        <w:t>furthermore expects that no amount of additional talks will overcome this impasse. However, after all those years a solution is urgently needed. Not only because Kosovo cannot any longer depend on UN administration, but also because of the sensitivity and potential of re-escalation over the dispute</w:t>
      </w:r>
      <w:r w:rsidR="00E90EBE">
        <w:t xml:space="preserve"> (</w:t>
      </w:r>
      <w:r w:rsidR="00E90EBE" w:rsidRPr="003742EE">
        <w:t>p. 2)</w:t>
      </w:r>
      <w:r w:rsidRPr="003742EE">
        <w:t xml:space="preserve">. Therefore, </w:t>
      </w:r>
      <w:proofErr w:type="spellStart"/>
      <w:r w:rsidRPr="003742EE">
        <w:t>Ahtisaari</w:t>
      </w:r>
      <w:proofErr w:type="spellEnd"/>
      <w:r w:rsidRPr="003742EE">
        <w:t xml:space="preserve"> has concluded that independence with international supervision is the only viable option for a politically stable a</w:t>
      </w:r>
      <w:r w:rsidR="00B8398F">
        <w:t>nd economically viable Kosovo (</w:t>
      </w:r>
      <w:r w:rsidRPr="003742EE">
        <w:t xml:space="preserve">p. 4). The content of the </w:t>
      </w:r>
      <w:proofErr w:type="spellStart"/>
      <w:r w:rsidRPr="003742EE">
        <w:t>Ahtisaari</w:t>
      </w:r>
      <w:proofErr w:type="spellEnd"/>
      <w:r w:rsidRPr="003742EE">
        <w:t xml:space="preserve"> package provided everything needed that Kosovo would require for the establishment of a new state, and for others to recognize it as such. This perhaps needs some elaboration. The agreement not only offers elements for a future constitution of Kosovo, </w:t>
      </w:r>
      <w:r w:rsidRPr="003742EE">
        <w:lastRenderedPageBreak/>
        <w:t>it also provides guidance on minority rights, and community issues. Although nothing in the content  addressed any recommendations for a supervised independence, there was no longer any elaboration on the preservation of the territorial integrity of Yugoslavia , as was strongly the case in Resolution 1244 in 1999. The package was in line with the requirements for state formation defined by international law. State formation requires a populations that is attached to a clearly defined territory in which an effective government is present. In addition, this government must have the ability to enter internati</w:t>
      </w:r>
      <w:r w:rsidR="00B8398F">
        <w:t xml:space="preserve">onal relations (Weller, 2008a, </w:t>
      </w:r>
      <w:r w:rsidRPr="003742EE">
        <w:t>p. 47). The package repeatedly emphasizes the principle that Kosovo is fit to govern its own affairs, and has au</w:t>
      </w:r>
      <w:r w:rsidR="00B8398F">
        <w:t xml:space="preserve">thority to do so (ibid, 2008a, </w:t>
      </w:r>
      <w:r w:rsidRPr="003742EE">
        <w:t xml:space="preserve">p. 48). Moreover, the Kosovar Albanians are clearly attached to a defined territory. </w:t>
      </w:r>
    </w:p>
    <w:p w:rsidR="00740882" w:rsidRDefault="00D15816" w:rsidP="003778BF">
      <w:pPr>
        <w:spacing w:line="360" w:lineRule="auto"/>
        <w:jc w:val="both"/>
      </w:pPr>
      <w:r w:rsidRPr="003742EE">
        <w:t xml:space="preserve">Whereas Kosovo roughly agreed upon the terms presented by the package, Serbia dismissed the settlement that would lead to independence. The Serbs were furious, as became evident in multiple statements regarding the package. As Andrej </w:t>
      </w:r>
      <w:proofErr w:type="spellStart"/>
      <w:r w:rsidRPr="003742EE">
        <w:t>Ivanji</w:t>
      </w:r>
      <w:proofErr w:type="spellEnd"/>
      <w:r w:rsidRPr="003742EE">
        <w:t xml:space="preserve"> sets out in his article on March the 12</w:t>
      </w:r>
      <w:r w:rsidRPr="003742EE">
        <w:rPr>
          <w:vertAlign w:val="superscript"/>
        </w:rPr>
        <w:t>th</w:t>
      </w:r>
      <w:r w:rsidRPr="003742EE">
        <w:t>; the Serbian media found the proposal an unacceptable solution to the Kosovo problem, since it contravenes international law, the UN charter and the Serbian constitution (</w:t>
      </w:r>
      <w:proofErr w:type="spellStart"/>
      <w:r w:rsidRPr="003742EE">
        <w:t>Ivanji</w:t>
      </w:r>
      <w:proofErr w:type="spellEnd"/>
      <w:r w:rsidRPr="003742EE">
        <w:t xml:space="preserve">, 2007). He furthermore quotes Prime Minister Vojislav Kostunica as follows: </w:t>
      </w:r>
      <w:r w:rsidRPr="003742EE">
        <w:rPr>
          <w:i/>
        </w:rPr>
        <w:t>‘’</w:t>
      </w:r>
      <w:proofErr w:type="spellStart"/>
      <w:r w:rsidRPr="003742EE">
        <w:rPr>
          <w:i/>
        </w:rPr>
        <w:t>Ahtisaari</w:t>
      </w:r>
      <w:proofErr w:type="spellEnd"/>
      <w:r w:rsidRPr="003742EE">
        <w:rPr>
          <w:i/>
        </w:rPr>
        <w:t xml:space="preserve"> is proposing to rob Serbia of 15 percent of its territory and wants to change internationally recognized borders against the will of the Serbian State’’ </w:t>
      </w:r>
      <w:r w:rsidRPr="003742EE">
        <w:t xml:space="preserve">and </w:t>
      </w:r>
      <w:r w:rsidRPr="003742EE">
        <w:rPr>
          <w:i/>
        </w:rPr>
        <w:t xml:space="preserve">‘’a gross violation of the integrity of a democratic European state’’ </w:t>
      </w:r>
      <w:r w:rsidRPr="003742EE">
        <w:t>(</w:t>
      </w:r>
      <w:proofErr w:type="spellStart"/>
      <w:r w:rsidRPr="003742EE">
        <w:t>Ivanji</w:t>
      </w:r>
      <w:proofErr w:type="spellEnd"/>
      <w:r w:rsidRPr="003742EE">
        <w:t xml:space="preserve">, 2007). Serbia’s President Boris </w:t>
      </w:r>
      <w:proofErr w:type="spellStart"/>
      <w:r w:rsidRPr="003742EE">
        <w:t>Tadic</w:t>
      </w:r>
      <w:proofErr w:type="spellEnd"/>
      <w:r w:rsidRPr="003742EE">
        <w:t xml:space="preserve"> statement was in line with his colleague: </w:t>
      </w:r>
      <w:r w:rsidRPr="003742EE">
        <w:rPr>
          <w:i/>
        </w:rPr>
        <w:t xml:space="preserve">‘’the document is fundamentally not acceptable to us because it fails to reaffirm the sovereignty of the Republic of Serbia […] and therefore brings into question the territorial integrity of our country.’’ </w:t>
      </w:r>
      <w:r w:rsidR="005D6F5E">
        <w:t xml:space="preserve">(Weller, 2008a, </w:t>
      </w:r>
      <w:r w:rsidRPr="003742EE">
        <w:t>p. 43). These strong statements from Serbian officials demonstrate the dissatisfaction of the Serbian people. The Western European press, on the other hand, describes the plan as balanced and fair, with advantages for both parties (</w:t>
      </w:r>
      <w:proofErr w:type="spellStart"/>
      <w:r w:rsidRPr="003742EE">
        <w:t>Ivanji</w:t>
      </w:r>
      <w:proofErr w:type="spellEnd"/>
      <w:r w:rsidRPr="003742EE">
        <w:t xml:space="preserve">, 2007), although many acknowledged the failure of the outcome of the proposed settlement. Spiegel Online defined it as a </w:t>
      </w:r>
      <w:r w:rsidRPr="003742EE">
        <w:rPr>
          <w:i/>
        </w:rPr>
        <w:t>‘’Mission impossible in the Balkans’’</w:t>
      </w:r>
      <w:r w:rsidRPr="003742EE">
        <w:t xml:space="preserve"> (</w:t>
      </w:r>
      <w:proofErr w:type="spellStart"/>
      <w:r w:rsidRPr="003742EE">
        <w:t>Spörl</w:t>
      </w:r>
      <w:proofErr w:type="spellEnd"/>
      <w:r w:rsidRPr="003742EE">
        <w:t>, 2007). Despite these growing negative voices, EU foreign ministers intensified the attempts to bargain with Russia and started to lobby in the Security C</w:t>
      </w:r>
      <w:r w:rsidR="005D6F5E">
        <w:t xml:space="preserve">ouncil as well (Weller, 2008c, </w:t>
      </w:r>
      <w:r w:rsidRPr="003742EE">
        <w:t xml:space="preserve">p. 1224). In July, the Council reaffirmed its commitment to a multi-ethnic and democratic Kosovo once more (ibid, 2008c, p. 1225). These reaffirmations were backed by historian and Balkans expert Serge </w:t>
      </w:r>
      <w:proofErr w:type="spellStart"/>
      <w:r w:rsidRPr="003742EE">
        <w:t>Métais</w:t>
      </w:r>
      <w:proofErr w:type="spellEnd"/>
      <w:r w:rsidRPr="003742EE">
        <w:t>, who expressed that it was time for the EU to fully recognize the independence of Kosovo (</w:t>
      </w:r>
      <w:proofErr w:type="spellStart"/>
      <w:r w:rsidRPr="003742EE">
        <w:t>Ivanji</w:t>
      </w:r>
      <w:proofErr w:type="spellEnd"/>
      <w:r w:rsidRPr="003742EE">
        <w:t xml:space="preserve">, 2007). </w:t>
      </w:r>
      <w:r w:rsidR="00740882">
        <w:tab/>
      </w:r>
    </w:p>
    <w:p w:rsidR="00740882" w:rsidRDefault="00D15816" w:rsidP="003778BF">
      <w:pPr>
        <w:spacing w:line="360" w:lineRule="auto"/>
        <w:jc w:val="both"/>
      </w:pPr>
      <w:r w:rsidRPr="003742EE">
        <w:t xml:space="preserve">Serbia, in the meantime, returned to the negotiations with a new proposal of partnership. Serbian president Boris </w:t>
      </w:r>
      <w:proofErr w:type="spellStart"/>
      <w:r w:rsidRPr="003742EE">
        <w:t>Tadic</w:t>
      </w:r>
      <w:proofErr w:type="spellEnd"/>
      <w:r w:rsidRPr="003742EE">
        <w:t xml:space="preserve"> sought to be flexible with the proposal of a partnership in which he allowed Kosovar self-governance. As he stated in his address during a meeting in New York (</w:t>
      </w:r>
      <w:r w:rsidR="005D225F">
        <w:t>UNSC</w:t>
      </w:r>
      <w:r w:rsidRPr="003742EE">
        <w:t>, 2007</w:t>
      </w:r>
      <w:r w:rsidR="005D225F">
        <w:t>b</w:t>
      </w:r>
      <w:r w:rsidRPr="003742EE">
        <w:t xml:space="preserve">). At the same time, </w:t>
      </w:r>
      <w:proofErr w:type="spellStart"/>
      <w:r w:rsidRPr="003742EE">
        <w:t>Tadic</w:t>
      </w:r>
      <w:proofErr w:type="spellEnd"/>
      <w:r w:rsidRPr="003742EE">
        <w:t xml:space="preserve"> offered Kosovo competencies and symbols that were only reserved to </w:t>
      </w:r>
      <w:r w:rsidRPr="003742EE">
        <w:lastRenderedPageBreak/>
        <w:t>sovereign countries under normal</w:t>
      </w:r>
      <w:r w:rsidR="005D6F5E">
        <w:t xml:space="preserve"> circumstances (Weller, 2008c, </w:t>
      </w:r>
      <w:r w:rsidRPr="003742EE">
        <w:t>p. 1230). Even though this seemed to be a sign of goodwill, a fresh start in which Serbia presented itself as cooperative, Serbia kept referring to its own territorial integrity and autonomy (</w:t>
      </w:r>
      <w:r w:rsidR="005D225F">
        <w:t>UNSC</w:t>
      </w:r>
      <w:r w:rsidRPr="003742EE">
        <w:t>, 2007</w:t>
      </w:r>
      <w:r w:rsidR="005D225F">
        <w:t>b</w:t>
      </w:r>
      <w:r w:rsidRPr="003742EE">
        <w:t xml:space="preserve">). The main conclusion of another 120 days of negotiating was the same as previous attempt: no agreement was reached, since both sides were not willing to yield on the question of sovereignty. In the meantime former KLA leader </w:t>
      </w:r>
      <w:proofErr w:type="spellStart"/>
      <w:r w:rsidRPr="003742EE">
        <w:t>Hashim</w:t>
      </w:r>
      <w:proofErr w:type="spellEnd"/>
      <w:r w:rsidRPr="003742EE">
        <w:t xml:space="preserve"> </w:t>
      </w:r>
      <w:proofErr w:type="spellStart"/>
      <w:r w:rsidRPr="003742EE">
        <w:t>Thaci</w:t>
      </w:r>
      <w:proofErr w:type="spellEnd"/>
      <w:r w:rsidRPr="003742EE">
        <w:t xml:space="preserve"> got elected in 2007, through which the expectation rose that independenc</w:t>
      </w:r>
      <w:r w:rsidR="005D6F5E">
        <w:t xml:space="preserve">e was imminent (Weller, 2008c, </w:t>
      </w:r>
      <w:r w:rsidRPr="003742EE">
        <w:t xml:space="preserve">p. 1231). </w:t>
      </w:r>
    </w:p>
    <w:p w:rsidR="00D15816" w:rsidRPr="003742EE" w:rsidRDefault="00D15816" w:rsidP="003778BF">
      <w:pPr>
        <w:spacing w:line="360" w:lineRule="auto"/>
        <w:jc w:val="both"/>
      </w:pPr>
      <w:r w:rsidRPr="003742EE">
        <w:t>On the 17</w:t>
      </w:r>
      <w:r w:rsidRPr="003742EE">
        <w:rPr>
          <w:vertAlign w:val="superscript"/>
        </w:rPr>
        <w:t>th</w:t>
      </w:r>
      <w:r w:rsidRPr="003742EE">
        <w:t xml:space="preserve"> of February 2008 Kosovo, without the consent of Serbia, declared itself independent through the following statement:</w:t>
      </w:r>
    </w:p>
    <w:p w:rsidR="00D15816" w:rsidRPr="003742EE" w:rsidRDefault="00D15816" w:rsidP="003778BF">
      <w:pPr>
        <w:spacing w:line="360" w:lineRule="auto"/>
        <w:jc w:val="both"/>
        <w:rPr>
          <w:i/>
        </w:rPr>
      </w:pPr>
      <w:r w:rsidRPr="003742EE">
        <w:rPr>
          <w:i/>
        </w:rPr>
        <w:t xml:space="preserve">‘’ We, the democratically-elected leaders of our people, hereby declare Kosovo to be an independent and sovereign state. This declaration reflects the will of our people and it is in full accordance with the recommendations of UN Special Envoy </w:t>
      </w:r>
      <w:proofErr w:type="spellStart"/>
      <w:r w:rsidRPr="003742EE">
        <w:rPr>
          <w:i/>
        </w:rPr>
        <w:t>Martti</w:t>
      </w:r>
      <w:proofErr w:type="spellEnd"/>
      <w:r w:rsidRPr="003742EE">
        <w:rPr>
          <w:i/>
        </w:rPr>
        <w:t xml:space="preserve"> </w:t>
      </w:r>
      <w:proofErr w:type="spellStart"/>
      <w:r w:rsidRPr="003742EE">
        <w:rPr>
          <w:i/>
        </w:rPr>
        <w:t>Ahtisaari</w:t>
      </w:r>
      <w:proofErr w:type="spellEnd"/>
      <w:r w:rsidRPr="003742EE">
        <w:rPr>
          <w:i/>
        </w:rPr>
        <w:t xml:space="preserve"> and his Comprehensive Proposal for the Kosovo Status Settlement. </w:t>
      </w:r>
    </w:p>
    <w:p w:rsidR="00D15816" w:rsidRPr="003742EE" w:rsidRDefault="00D15816" w:rsidP="003778BF">
      <w:pPr>
        <w:spacing w:line="360" w:lineRule="auto"/>
        <w:jc w:val="both"/>
        <w:rPr>
          <w:i/>
        </w:rPr>
      </w:pPr>
      <w:r w:rsidRPr="003742EE">
        <w:rPr>
          <w:i/>
        </w:rPr>
        <w:t>We declare Kosovo to be a democratic, secular and multi-ethnic republic, guided by the principles of non-discrimination and equal protection under the law. We shall protect and promote the rights of all communities in Kosovo and create the conditions necessary for their effective participation in political and decision-making processes.</w:t>
      </w:r>
    </w:p>
    <w:p w:rsidR="00D15816" w:rsidRPr="003742EE" w:rsidRDefault="00D15816" w:rsidP="003778BF">
      <w:pPr>
        <w:spacing w:line="360" w:lineRule="auto"/>
        <w:jc w:val="both"/>
        <w:rPr>
          <w:i/>
        </w:rPr>
      </w:pPr>
      <w:r w:rsidRPr="003742EE">
        <w:rPr>
          <w:i/>
        </w:rPr>
        <w:t>…</w:t>
      </w:r>
    </w:p>
    <w:p w:rsidR="00D15816" w:rsidRPr="003742EE" w:rsidRDefault="00D15816" w:rsidP="003778BF">
      <w:pPr>
        <w:spacing w:line="360" w:lineRule="auto"/>
        <w:jc w:val="both"/>
      </w:pPr>
      <w:r w:rsidRPr="003742EE">
        <w:rPr>
          <w:i/>
        </w:rPr>
        <w:t xml:space="preserve">We hereby affirm, clearly, specifically, and irrevocably, that Kosovo shall be legally bound to comply with the provisions contained in this Declaration, including, especially, the obligations for it under the </w:t>
      </w:r>
      <w:proofErr w:type="spellStart"/>
      <w:r w:rsidRPr="003742EE">
        <w:rPr>
          <w:i/>
        </w:rPr>
        <w:t>Ahtisaari</w:t>
      </w:r>
      <w:proofErr w:type="spellEnd"/>
      <w:r w:rsidRPr="003742EE">
        <w:rPr>
          <w:i/>
        </w:rPr>
        <w:t xml:space="preserve"> Plan. In all of these matters, we shall act consistent with principles of international law and resolutions of the Security Council of the United Nations, including resolution 1244 (1999). We declare publicly that all states are entitled to rely upon this declaration, and appeal to them to extend to us their support and friendship.’’ </w:t>
      </w:r>
      <w:r w:rsidRPr="003742EE">
        <w:t>(Assembly-</w:t>
      </w:r>
      <w:proofErr w:type="spellStart"/>
      <w:r w:rsidRPr="003742EE">
        <w:t>Kosova</w:t>
      </w:r>
      <w:proofErr w:type="spellEnd"/>
      <w:r w:rsidRPr="003742EE">
        <w:t xml:space="preserve">, 2008, pp. 2 – 4). </w:t>
      </w:r>
    </w:p>
    <w:p w:rsidR="00D15816" w:rsidRPr="003742EE" w:rsidRDefault="00D15816" w:rsidP="003778BF">
      <w:pPr>
        <w:spacing w:line="360" w:lineRule="auto"/>
        <w:jc w:val="both"/>
      </w:pPr>
      <w:r w:rsidRPr="003742EE">
        <w:t>This declaration had been drafted in collaboration with key governments in order to make it l</w:t>
      </w:r>
      <w:r w:rsidR="001676BE">
        <w:t xml:space="preserve">egally binding (Weller, 2008c, </w:t>
      </w:r>
      <w:r w:rsidRPr="003742EE">
        <w:t>p. 1233). Whereas Serbia and Russia strongly opposed the declaration, as expected. There were more nations who raised their concern. Whereas Vietnam and South Africa declared the declaration invalid, China raised its serious concerns regarding its validity, taking into account the developments and the fundamental principles of int</w:t>
      </w:r>
      <w:r w:rsidR="001676BE">
        <w:t xml:space="preserve">ernational law (ibid, 2008c, </w:t>
      </w:r>
      <w:r w:rsidRPr="003742EE">
        <w:t>p. 1234). Belgium pointed to the historical narrative of the case, which cannot be ignored and p</w:t>
      </w:r>
      <w:r w:rsidR="001676BE">
        <w:t xml:space="preserve">leads for Kosovo (ibid, 2008c, </w:t>
      </w:r>
      <w:r w:rsidRPr="003742EE">
        <w:t xml:space="preserve">p. 1235). Now independence has been declared, the tense situation in the region has not eased. Kosovar Serbs engaged in protests, and violent riots in order to show their </w:t>
      </w:r>
      <w:r w:rsidRPr="003742EE">
        <w:lastRenderedPageBreak/>
        <w:t xml:space="preserve">dissatisfaction. On the international level Serbia once more displayed its stance through the use of media. The Guardian explicitly states that Kostunica is not willing to cooperate with the finalizing plans of the EU and that the declaration of Kosovo is illegal (Tran, 2008). On the contrary the prime minister of Kosovo, </w:t>
      </w:r>
      <w:proofErr w:type="spellStart"/>
      <w:r w:rsidRPr="003742EE">
        <w:t>Hashim</w:t>
      </w:r>
      <w:proofErr w:type="spellEnd"/>
      <w:r w:rsidRPr="003742EE">
        <w:t xml:space="preserve"> </w:t>
      </w:r>
      <w:proofErr w:type="spellStart"/>
      <w:r w:rsidRPr="003742EE">
        <w:t>Thaci</w:t>
      </w:r>
      <w:proofErr w:type="spellEnd"/>
      <w:r w:rsidRPr="003742EE">
        <w:t>, claimed that the Kosovo issue was solved and had left the Security Council building already (ibid, 2008). Today, almost ten years after independence has been declared, the issue is yet to be solved. On the 27</w:t>
      </w:r>
      <w:r w:rsidRPr="003742EE">
        <w:rPr>
          <w:vertAlign w:val="superscript"/>
        </w:rPr>
        <w:t>th</w:t>
      </w:r>
      <w:r w:rsidRPr="003742EE">
        <w:t xml:space="preserve"> of February this year Bangladesh became 114</w:t>
      </w:r>
      <w:r w:rsidRPr="003742EE">
        <w:rPr>
          <w:vertAlign w:val="superscript"/>
        </w:rPr>
        <w:t>th</w:t>
      </w:r>
      <w:r w:rsidRPr="003742EE">
        <w:t xml:space="preserve"> state that recognized Kosovo as an independent state (</w:t>
      </w:r>
      <w:proofErr w:type="spellStart"/>
      <w:r w:rsidRPr="003742EE">
        <w:t>Prishtina</w:t>
      </w:r>
      <w:proofErr w:type="spellEnd"/>
      <w:r w:rsidRPr="003742EE">
        <w:t xml:space="preserve"> Insight, 2017)</w:t>
      </w:r>
      <w:r w:rsidR="00391803">
        <w:t>. Although Kosovo is making progr</w:t>
      </w:r>
      <w:r w:rsidRPr="003742EE">
        <w:t xml:space="preserve">ess, one cannot demonstrate that the Kosovar secession process has been a success story. </w:t>
      </w:r>
    </w:p>
    <w:p w:rsidR="00D15816" w:rsidRPr="003742EE" w:rsidRDefault="00D15816" w:rsidP="003778BF">
      <w:pPr>
        <w:spacing w:line="360" w:lineRule="auto"/>
        <w:jc w:val="both"/>
      </w:pPr>
      <w:r w:rsidRPr="003742EE">
        <w:t>In short, the Kosovo crisis spans over twenty years and has still not been solved yet. Looking back on the abolition of Kosovo’s autonomy by Milosevic in 1988, the NATO intervention in 1999, nearly eight years of UN administration, and the declaration of independence after years of negotiation in 2008, one could very well argue that the crisis has been and still is a rollercoaster. Over the course of these years the parties involved drew on virtually the entire arsenal of international conflict ma</w:t>
      </w:r>
      <w:r w:rsidR="00634BD9">
        <w:t xml:space="preserve">nagement tools (Weller, 2008c, </w:t>
      </w:r>
      <w:r w:rsidRPr="003742EE">
        <w:t xml:space="preserve">p. 1239), including all strategies as set out in the boomerang model, but without significant results as it seems. The next section will elaborate on these strategies and set them out in the phases as introduced in the spiral model. Consequently, theses phases serve as tools for the in-depth analysis of the complex secession dispute. </w:t>
      </w:r>
    </w:p>
    <w:p w:rsidR="00D15816" w:rsidRPr="003742EE" w:rsidRDefault="00CD13C5" w:rsidP="003778BF">
      <w:pPr>
        <w:pStyle w:val="Kop2"/>
        <w:spacing w:line="360" w:lineRule="auto"/>
        <w:jc w:val="both"/>
        <w:rPr>
          <w:rFonts w:asciiTheme="minorHAnsi" w:hAnsiTheme="minorHAnsi"/>
          <w:b w:val="0"/>
        </w:rPr>
      </w:pPr>
      <w:bookmarkStart w:id="42" w:name="_Toc489007256"/>
      <w:r>
        <w:rPr>
          <w:rFonts w:asciiTheme="minorHAnsi" w:hAnsiTheme="minorHAnsi"/>
          <w:b w:val="0"/>
        </w:rPr>
        <w:t xml:space="preserve">4.3 </w:t>
      </w:r>
      <w:r w:rsidR="00D15816" w:rsidRPr="003742EE">
        <w:rPr>
          <w:rFonts w:asciiTheme="minorHAnsi" w:hAnsiTheme="minorHAnsi"/>
          <w:b w:val="0"/>
        </w:rPr>
        <w:t>Theoretical analysis</w:t>
      </w:r>
      <w:bookmarkEnd w:id="42"/>
    </w:p>
    <w:p w:rsidR="003F2C26" w:rsidRPr="003742EE" w:rsidRDefault="00D15816" w:rsidP="003778BF">
      <w:pPr>
        <w:spacing w:line="360" w:lineRule="auto"/>
        <w:jc w:val="both"/>
      </w:pPr>
      <w:r w:rsidRPr="003742EE">
        <w:t>The theory adopted assumes that domestic political change can be initiated through the involvement of the international community. This boomerang theory is set in motion through the implementation of the spiral model, which consists of five phases. These phases are assumed to proceed continuously towards an outcome of domestic change, successful secession in this case. In order to analyze whether or not these phases are present and develop as expected, the five phases will be set out in different sections below</w:t>
      </w:r>
      <w:r w:rsidR="00740882">
        <w:t>, as well as the strategies employed during these phases</w:t>
      </w:r>
      <w:r w:rsidRPr="003742EE">
        <w:t xml:space="preserve">. A concluding section will subsequently evaluate those phases and connect them if needed. </w:t>
      </w:r>
    </w:p>
    <w:p w:rsidR="00D15816" w:rsidRPr="003742EE" w:rsidRDefault="00CD13C5" w:rsidP="003778BF">
      <w:pPr>
        <w:pStyle w:val="Kop3"/>
        <w:spacing w:line="360" w:lineRule="auto"/>
        <w:jc w:val="both"/>
        <w:rPr>
          <w:rFonts w:asciiTheme="minorHAnsi" w:hAnsiTheme="minorHAnsi"/>
          <w:b w:val="0"/>
        </w:rPr>
      </w:pPr>
      <w:bookmarkStart w:id="43" w:name="_Toc489007257"/>
      <w:r>
        <w:rPr>
          <w:rFonts w:asciiTheme="minorHAnsi" w:hAnsiTheme="minorHAnsi"/>
          <w:b w:val="0"/>
        </w:rPr>
        <w:t xml:space="preserve">4.3.1 </w:t>
      </w:r>
      <w:r w:rsidR="00D15816" w:rsidRPr="003742EE">
        <w:rPr>
          <w:rFonts w:asciiTheme="minorHAnsi" w:hAnsiTheme="minorHAnsi"/>
          <w:b w:val="0"/>
        </w:rPr>
        <w:t>The phase of repression</w:t>
      </w:r>
      <w:bookmarkEnd w:id="43"/>
    </w:p>
    <w:p w:rsidR="00D15816" w:rsidRPr="003742EE" w:rsidRDefault="00D15816" w:rsidP="003778BF">
      <w:pPr>
        <w:spacing w:line="360" w:lineRule="auto"/>
        <w:jc w:val="both"/>
      </w:pPr>
      <w:r w:rsidRPr="003742EE">
        <w:t xml:space="preserve">The presence of repression is one of the few ongoing affairs in Kosovo that cannot be disputed. Nonetheless one has to take into account that different types of repression have been present and different groups have been repressed. The subject of this thesis is the Kosovar Albanians, so repression of this group will be the focus. The state of oppression subsequently determines whether or not the dispute is positioned on the international agenda. This is determined through the gathering of information and monitoring of the dispute. The expectation of this process is that the dispute is more likely to be internationally recognized once the state of oppression has reached a </w:t>
      </w:r>
      <w:r w:rsidRPr="003742EE">
        <w:lastRenderedPageBreak/>
        <w:t xml:space="preserve">certain degree. Possible indicators set out were violations of specific human rights, but also the expression of opposition. </w:t>
      </w:r>
      <w:r w:rsidR="00DE0CC1">
        <w:tab/>
      </w:r>
      <w:r w:rsidR="00DE0CC1">
        <w:tab/>
      </w:r>
      <w:r w:rsidR="00DE0CC1">
        <w:tab/>
      </w:r>
      <w:r w:rsidR="00DE0CC1">
        <w:tab/>
      </w:r>
      <w:r w:rsidR="00DE0CC1">
        <w:tab/>
      </w:r>
      <w:r w:rsidR="00DE0CC1">
        <w:tab/>
      </w:r>
      <w:r w:rsidR="00DE0CC1">
        <w:tab/>
      </w:r>
      <w:r w:rsidR="00DE0CC1">
        <w:tab/>
      </w:r>
      <w:r w:rsidR="00DE0CC1">
        <w:tab/>
      </w:r>
      <w:r w:rsidR="00DE0CC1">
        <w:tab/>
      </w:r>
      <w:r w:rsidRPr="003742EE">
        <w:t xml:space="preserve">As has been set out in the phase description, the phase of repression is present when a specific group within a territory is exploited or abused by a dominant group. Since the moment Milosevic came to power, the repression of the Kosovar Albanians became evident. As became evident in a written conversation with Nora </w:t>
      </w:r>
      <w:proofErr w:type="spellStart"/>
      <w:r w:rsidRPr="003742EE">
        <w:t>Ahmetaj</w:t>
      </w:r>
      <w:proofErr w:type="spellEnd"/>
      <w:r w:rsidRPr="003742EE">
        <w:t xml:space="preserve">, an expert consultant on transitional justice, Kosovo’s autonomy was revoked when Milosevic came to power. Furthermore, he discriminated the Kosovar Albanians and abused their rights. People lost their jobs, and </w:t>
      </w:r>
      <w:proofErr w:type="spellStart"/>
      <w:r w:rsidRPr="003742EE">
        <w:t>Ahmetaj</w:t>
      </w:r>
      <w:proofErr w:type="spellEnd"/>
      <w:r w:rsidRPr="003742EE">
        <w:t xml:space="preserve"> was one out of many who was denied access to university (</w:t>
      </w:r>
      <w:proofErr w:type="spellStart"/>
      <w:r w:rsidRPr="003742EE">
        <w:t>Ahmetaj</w:t>
      </w:r>
      <w:proofErr w:type="spellEnd"/>
      <w:r w:rsidRPr="003742EE">
        <w:t>, 2017). This state of repression is necessary for the boomerang mechanism to commence, since it attracts foreign attention. The abuse of the people and their rights basically sets the boomerang mechanism in motion. Especially when the KLA managed to successfully attract fo</w:t>
      </w:r>
      <w:r w:rsidR="004A6E4B">
        <w:t xml:space="preserve">reign attention (Fulton, 2010, </w:t>
      </w:r>
      <w:r w:rsidRPr="003742EE">
        <w:t>p. 131),  the dispute moved up the political agenda of NATO (</w:t>
      </w:r>
      <w:proofErr w:type="spellStart"/>
      <w:r w:rsidRPr="003742EE">
        <w:t>Latawski</w:t>
      </w:r>
      <w:proofErr w:type="spellEnd"/>
      <w:r w:rsidRPr="003742EE">
        <w:t xml:space="preserve"> </w:t>
      </w:r>
      <w:r w:rsidR="004A6E4B">
        <w:t xml:space="preserve">and Smith, 2003, </w:t>
      </w:r>
      <w:r w:rsidRPr="003742EE">
        <w:t xml:space="preserve">p. 6) </w:t>
      </w:r>
      <w:r w:rsidR="00C905D2">
        <w:tab/>
      </w:r>
      <w:r w:rsidR="00C905D2">
        <w:tab/>
      </w:r>
      <w:r w:rsidR="00C905D2">
        <w:tab/>
      </w:r>
      <w:r w:rsidR="00C905D2">
        <w:tab/>
      </w:r>
      <w:r w:rsidR="00C905D2">
        <w:tab/>
      </w:r>
      <w:r w:rsidRPr="003742EE">
        <w:t>Milosevic declared in November 1988 that every country has a love, and for Serbia this love is Kosovo (IICK,</w:t>
      </w:r>
      <w:r w:rsidR="004A6E4B">
        <w:t xml:space="preserve"> 2006,</w:t>
      </w:r>
      <w:r w:rsidR="004834F7">
        <w:t xml:space="preserve"> </w:t>
      </w:r>
      <w:r w:rsidRPr="003742EE">
        <w:t>p. 13). Through symbolic politics, Milosevic gave the start sign for retaking Kosovo and give it back to the Serbs. A series of steps followed which included restrictions on the sale of property to Kosovar Albanians, incentives to Serbs in order to make them return, family planning for Kosovar Albanians and incentives for them to seek work outside the region (IICK,</w:t>
      </w:r>
      <w:r w:rsidR="004A6E4B">
        <w:t xml:space="preserve"> 2006,</w:t>
      </w:r>
      <w:r w:rsidR="004834F7">
        <w:t xml:space="preserve"> </w:t>
      </w:r>
      <w:r w:rsidRPr="003742EE">
        <w:t xml:space="preserve">p. 14). Furthermore, the Kosovar Albanians’ rights were abused through the inclusion of discriminatory language policies such as: </w:t>
      </w:r>
      <w:r w:rsidRPr="003742EE">
        <w:rPr>
          <w:i/>
        </w:rPr>
        <w:t>‘’…the closure of Albanian language newspapers, radio, and television; the closure of the Albanian Institute; and the change of street n</w:t>
      </w:r>
      <w:r w:rsidR="00596A77">
        <w:rPr>
          <w:i/>
        </w:rPr>
        <w:t>ames from Albanian to Serbian.</w:t>
      </w:r>
      <w:r w:rsidRPr="003742EE">
        <w:rPr>
          <w:i/>
        </w:rPr>
        <w:t xml:space="preserve"> In particular, the introduction of a new Serbian curriculum for universities and schools’’</w:t>
      </w:r>
      <w:r w:rsidRPr="003742EE">
        <w:t xml:space="preserve"> (ibid,</w:t>
      </w:r>
      <w:r w:rsidR="004A6E4B">
        <w:t xml:space="preserve"> 2006,</w:t>
      </w:r>
      <w:r w:rsidR="004834F7">
        <w:t xml:space="preserve"> </w:t>
      </w:r>
      <w:r w:rsidRPr="003742EE">
        <w:t>p. 14). Besides these discriminatory practices, rights were abused on a large scale as well. Arbitrary arrest, torture, and detention without trial were common practices (ibid,</w:t>
      </w:r>
      <w:r w:rsidR="004A6E4B">
        <w:t xml:space="preserve"> 2006,</w:t>
      </w:r>
      <w:r w:rsidR="004834F7">
        <w:t xml:space="preserve"> </w:t>
      </w:r>
      <w:r w:rsidRPr="003742EE">
        <w:t>p. 14). It is believed that of every Kosovar Albanian family at that time, at least one member was summoned to a p</w:t>
      </w:r>
      <w:r w:rsidR="004834F7">
        <w:t>olice station for questioning (</w:t>
      </w:r>
      <w:r w:rsidRPr="003742EE">
        <w:t xml:space="preserve">p. 14). </w:t>
      </w:r>
      <w:r w:rsidR="00430679">
        <w:tab/>
      </w:r>
      <w:r w:rsidR="00430679">
        <w:tab/>
      </w:r>
      <w:r w:rsidR="00430679">
        <w:tab/>
      </w:r>
      <w:r w:rsidR="00430679">
        <w:tab/>
      </w:r>
      <w:r w:rsidR="00430679">
        <w:tab/>
      </w:r>
      <w:r w:rsidR="00430679">
        <w:tab/>
      </w:r>
      <w:r w:rsidR="00430679">
        <w:tab/>
      </w:r>
      <w:r w:rsidR="00430679">
        <w:tab/>
      </w:r>
      <w:r w:rsidR="00430679">
        <w:tab/>
      </w:r>
      <w:r w:rsidRPr="003742EE">
        <w:t xml:space="preserve">These are all clear signs that repression was present, and this was documented by international organizations such </w:t>
      </w:r>
      <w:r w:rsidR="00596A77">
        <w:t xml:space="preserve">as </w:t>
      </w:r>
      <w:r w:rsidRPr="003742EE">
        <w:t xml:space="preserve">Amnesty International, Human Rights Watch, and the Council for the Defense of Human Rights in Kosovo (ibid, </w:t>
      </w:r>
      <w:r w:rsidR="00ED29B2">
        <w:t xml:space="preserve">2006, </w:t>
      </w:r>
      <w:r w:rsidRPr="003742EE">
        <w:t xml:space="preserve">p. 14). Information politics has been the most </w:t>
      </w:r>
      <w:r w:rsidR="00596A77">
        <w:t>important strategy embraced by the international network</w:t>
      </w:r>
      <w:r w:rsidRPr="003742EE">
        <w:t xml:space="preserve"> to become aware of the ongoing situation in the region. </w:t>
      </w:r>
      <w:r w:rsidR="00596A77">
        <w:t xml:space="preserve">The network built upon the expertise of their actors, to acquire the knowledge needed in order draw an overview of the situation at that time. It were mostly NGO’s who monitored the situation in the Kosovo region, and communicated this within their network. Due to the employment of information politics by NGO’s such as Amnesty International and Human Rights Watch, the </w:t>
      </w:r>
      <w:r w:rsidR="00596A77">
        <w:lastRenderedPageBreak/>
        <w:t xml:space="preserve">network was able to gather sufficient information regarding the dispute and its hazards. </w:t>
      </w:r>
      <w:r w:rsidRPr="003742EE">
        <w:t>Consequently, the dispute has been put on the agenda</w:t>
      </w:r>
      <w:r w:rsidR="00596A77">
        <w:t xml:space="preserve"> of various NATO and UNSC member states</w:t>
      </w:r>
      <w:r w:rsidRPr="003742EE">
        <w:t xml:space="preserve">. </w:t>
      </w:r>
    </w:p>
    <w:p w:rsidR="00D15816" w:rsidRPr="003742EE" w:rsidRDefault="00CD13C5" w:rsidP="003778BF">
      <w:pPr>
        <w:pStyle w:val="Kop3"/>
        <w:spacing w:line="360" w:lineRule="auto"/>
        <w:jc w:val="both"/>
        <w:rPr>
          <w:rFonts w:asciiTheme="minorHAnsi" w:hAnsiTheme="minorHAnsi"/>
          <w:b w:val="0"/>
        </w:rPr>
      </w:pPr>
      <w:bookmarkStart w:id="44" w:name="_Toc489007258"/>
      <w:r>
        <w:rPr>
          <w:rFonts w:asciiTheme="minorHAnsi" w:hAnsiTheme="minorHAnsi"/>
          <w:b w:val="0"/>
        </w:rPr>
        <w:t xml:space="preserve">4.3.2 </w:t>
      </w:r>
      <w:r w:rsidR="00D15816" w:rsidRPr="003742EE">
        <w:rPr>
          <w:rFonts w:asciiTheme="minorHAnsi" w:hAnsiTheme="minorHAnsi"/>
          <w:b w:val="0"/>
        </w:rPr>
        <w:t>Phase of denial</w:t>
      </w:r>
      <w:bookmarkEnd w:id="44"/>
    </w:p>
    <w:p w:rsidR="00B44918" w:rsidRDefault="00D15816" w:rsidP="00B44918">
      <w:pPr>
        <w:spacing w:line="360" w:lineRule="auto"/>
        <w:jc w:val="both"/>
      </w:pPr>
      <w:r w:rsidRPr="003742EE">
        <w:t>The Kosovar Albanians resisted, in a non-violent manner. This strategy of non-violence was fed by the shared idea of Milosevic waiting for a legit reason to wipe out all the Kosovar Albanians (ibid,</w:t>
      </w:r>
      <w:r w:rsidR="00670B43">
        <w:t xml:space="preserve"> 2006, </w:t>
      </w:r>
      <w:r w:rsidRPr="003742EE">
        <w:t>p.15). Furthermore, this strategy set a good example which would show the international community that the Kosovar Albanians had good intentions. However, the dispute escalated quickly in the following years. It seemed that this was a necessary condition for the community to actually get involved. Whether or not escalation is a precondition does not matter for the purposes of this research. The fact is that a network of interna</w:t>
      </w:r>
      <w:r w:rsidR="00D42EED">
        <w:t xml:space="preserve">tional actors intervened. </w:t>
      </w:r>
      <w:r w:rsidR="00D42EED">
        <w:tab/>
      </w:r>
      <w:r w:rsidR="00D42EED">
        <w:tab/>
      </w:r>
      <w:r w:rsidR="00D42EED">
        <w:tab/>
      </w:r>
      <w:r w:rsidR="00D42EED">
        <w:tab/>
      </w:r>
      <w:r w:rsidR="00D42EED">
        <w:tab/>
      </w:r>
      <w:r w:rsidRPr="003742EE">
        <w:t xml:space="preserve">This involvement is a precondition for the start of phase two, in which the </w:t>
      </w:r>
      <w:r w:rsidR="004512B0">
        <w:t>target state Serbia is pressur</w:t>
      </w:r>
      <w:r w:rsidRPr="003742EE">
        <w:t>e</w:t>
      </w:r>
      <w:r w:rsidR="004512B0">
        <w:t>d by the international network</w:t>
      </w:r>
      <w:r w:rsidRPr="003742EE">
        <w:t>. As will become evident in this section, the phase of denial is a rather complicated one in application to this specific case. First of all it is important to set out the specific theoretical expectation</w:t>
      </w:r>
      <w:r w:rsidR="009A6474">
        <w:t>s</w:t>
      </w:r>
      <w:r w:rsidRPr="003742EE">
        <w:t xml:space="preserve"> in </w:t>
      </w:r>
      <w:r w:rsidR="00954F9F">
        <w:t>this phase. This study</w:t>
      </w:r>
      <w:r w:rsidRPr="003742EE">
        <w:t xml:space="preserve"> expects that the mobilized advocacy network confronts the target state. As has been set out, this is obviously the case. International actors assessed the situation and </w:t>
      </w:r>
      <w:r w:rsidR="00C55594">
        <w:t>as a result</w:t>
      </w:r>
      <w:r w:rsidRPr="003742EE">
        <w:t xml:space="preserve"> NATO inter</w:t>
      </w:r>
      <w:r w:rsidR="00C744C6">
        <w:t>vened. Consequently, this study</w:t>
      </w:r>
      <w:r w:rsidRPr="003742EE">
        <w:t xml:space="preserve"> expec</w:t>
      </w:r>
      <w:r w:rsidR="00C744C6">
        <w:t>ted</w:t>
      </w:r>
      <w:r w:rsidRPr="003742EE">
        <w:t xml:space="preserve"> Serbia to refuse the accusations and foreign pressure. As has become evident, this has been the case as well. In 1998 the UN started with mediating talks with the parties involved. Both the terms of the </w:t>
      </w:r>
      <w:proofErr w:type="spellStart"/>
      <w:r w:rsidRPr="003742EE">
        <w:t>Rambouillet</w:t>
      </w:r>
      <w:proofErr w:type="spellEnd"/>
      <w:r w:rsidRPr="003742EE">
        <w:t xml:space="preserve"> agreement as well as the proposed settlement framed in Resolution 1199 failed since Serbia did not accept its terms. What made a potential settlement so complex was the fact that Milosevic had major stakes in Kosovo. Kosovo was considered to be the cradle of Serbia’s identity and the mainspring</w:t>
      </w:r>
      <w:r w:rsidR="00F10BFB">
        <w:t xml:space="preserve"> of its culture (Hosmer, 2001, </w:t>
      </w:r>
      <w:r w:rsidRPr="003742EE">
        <w:t>p. 8). Furthermore, Milosevic</w:t>
      </w:r>
      <w:r w:rsidR="009A6474">
        <w:t>’</w:t>
      </w:r>
      <w:r w:rsidRPr="003742EE">
        <w:t xml:space="preserve"> political success started in Kosovo, and provided Milosevic with sufficient additiona</w:t>
      </w:r>
      <w:r w:rsidR="00F10BFB">
        <w:t>l seats for a majority ruling (</w:t>
      </w:r>
      <w:r w:rsidRPr="003742EE">
        <w:t>p. 9). And finally, the Kosovo crisis distracted the Serbian people from other serious intern</w:t>
      </w:r>
      <w:r w:rsidR="00F10BFB">
        <w:t>al problems Serbia was facing (</w:t>
      </w:r>
      <w:r w:rsidRPr="003742EE">
        <w:t>p. 10). Albeit Milosevic had personal interes</w:t>
      </w:r>
      <w:r w:rsidR="009A6474">
        <w:t xml:space="preserve">ts in the territory, it was the </w:t>
      </w:r>
      <w:r w:rsidRPr="003742EE">
        <w:t>significant amount of (expected) leverage Milosevic had to his disposal that made Serbia a hard bargain. Serbia was strongly backed by Russia, a permanent member of the Security Council. Milosevic expected that this would create disunity within the Council</w:t>
      </w:r>
      <w:r w:rsidR="00D92912">
        <w:t>, however the UN stayed united.</w:t>
      </w:r>
      <w:r w:rsidR="00D92912">
        <w:tab/>
      </w:r>
      <w:r w:rsidR="009A6474">
        <w:tab/>
      </w:r>
      <w:r w:rsidR="009A6474">
        <w:tab/>
      </w:r>
      <w:r w:rsidR="009A6474">
        <w:tab/>
      </w:r>
      <w:r w:rsidRPr="003742EE">
        <w:t xml:space="preserve">It is obvious that the phase of denial is prominent in this period of time. However, in practice this develops itself in a different manner as presented in the theoretical framework. Whereas the theory presents its phases as a continuous process, it seems that phase two and three have mingled to the extent that Serbia denies the accusations, but does engage in dialogue in order to make its statements. So where the theory assumes that one can only continue to phase three if the target state is vulnerable to the pressure and phase two is completed, this does not always occur as such in </w:t>
      </w:r>
      <w:r w:rsidRPr="003742EE">
        <w:lastRenderedPageBreak/>
        <w:t>practice. Serbia does not seem to be that vulnerable, even at the point in which phase three has been reached. The empirics as set out above show that the international community pursued different strategies for pressurizing the Serbian state. NATO engaged in a propaganda war via the media (IICK,</w:t>
      </w:r>
      <w:r w:rsidR="00F10BFB">
        <w:t xml:space="preserve"> 2006,</w:t>
      </w:r>
      <w:r w:rsidRPr="003742EE">
        <w:t xml:space="preserve"> p. 3), and engaged in leverage politics for the justification of their bombing intervention in 1999. The UN Charter allows for intervention if innocent people are deprived of peace and security. This advantage in terms of material capabilities led to a strong wave of pressure. The UN engaged in informative talks with the target state, and tried to mediate between the parties. Furthermore, they supported the Kosovar Albanians via mobilization processes during the UN international administration period, which is in accordance with phase three; the mobilization of pressure from above and below.</w:t>
      </w:r>
      <w:r w:rsidR="00B44918">
        <w:t xml:space="preserve"> UNMIK mobilization processes consisted of transferring the authority over internal affairs to the Kosovar Albanian government, in order to test whether or not Kosovo was fit for self-governance.  </w:t>
      </w:r>
    </w:p>
    <w:p w:rsidR="00D15816" w:rsidRPr="003742EE" w:rsidRDefault="00B44918" w:rsidP="003778BF">
      <w:pPr>
        <w:spacing w:line="360" w:lineRule="auto"/>
        <w:jc w:val="both"/>
      </w:pPr>
      <w:r>
        <w:t xml:space="preserve">As analyzed above, it has become evident that the network engaged in numerous strategies for effective politics in this phase. Besides the network, the opposition employs those strategies as well in order to fight off the network’s pressure. Whereas the network used the ‘universal’ principles of the UN as leverage for the justification of their military intervention in 1999, it sought to publicly shame the Serbia government as well, which is a strategy of symbolic politics. Yet, phase two is considered to be the phase of denial, meaning that this phase focuses on a response from Serbia. Thus, it is of importance to take into account the strategies employed by Serbia as well. By restating their right of sovereignty and territorial integrity, Serbia used international law as their leverage in the denial phase. Furthermore, Serbia used Russia as leverage because of its influential role within the UNSC. Serbia hoped to create a rift within the UNSC in order the diminish the pressure from the network. Besides this strategy of leverage politics, Milosevic engaged in symbolic politics as well during this phase by framing the Kosovo region as the cradle of the Serbia identity. This was an effective strategy for Milosevic, since it resulted in internal support. </w:t>
      </w:r>
    </w:p>
    <w:p w:rsidR="00D15816" w:rsidRPr="003742EE" w:rsidRDefault="00CD13C5" w:rsidP="003778BF">
      <w:pPr>
        <w:pStyle w:val="Kop3"/>
        <w:spacing w:line="360" w:lineRule="auto"/>
        <w:jc w:val="both"/>
        <w:rPr>
          <w:rFonts w:asciiTheme="minorHAnsi" w:hAnsiTheme="minorHAnsi"/>
          <w:b w:val="0"/>
        </w:rPr>
      </w:pPr>
      <w:bookmarkStart w:id="45" w:name="_Toc489007259"/>
      <w:r>
        <w:rPr>
          <w:rFonts w:asciiTheme="minorHAnsi" w:hAnsiTheme="minorHAnsi"/>
          <w:b w:val="0"/>
        </w:rPr>
        <w:t xml:space="preserve">4.3.3 </w:t>
      </w:r>
      <w:r w:rsidR="00D15816" w:rsidRPr="003742EE">
        <w:rPr>
          <w:rFonts w:asciiTheme="minorHAnsi" w:hAnsiTheme="minorHAnsi"/>
          <w:b w:val="0"/>
        </w:rPr>
        <w:t>Phase of tactical concessions</w:t>
      </w:r>
      <w:bookmarkEnd w:id="45"/>
    </w:p>
    <w:p w:rsidR="001E56B5" w:rsidRDefault="00D15816" w:rsidP="003778BF">
      <w:pPr>
        <w:spacing w:line="360" w:lineRule="auto"/>
        <w:jc w:val="both"/>
      </w:pPr>
      <w:r w:rsidRPr="003742EE">
        <w:t>Although it is hard to distinguish between phase two and three in practice, this thesis draws a line after the settlement on the 3</w:t>
      </w:r>
      <w:r w:rsidRPr="003742EE">
        <w:rPr>
          <w:vertAlign w:val="superscript"/>
        </w:rPr>
        <w:t>rd</w:t>
      </w:r>
      <w:r w:rsidRPr="003742EE">
        <w:t xml:space="preserve"> of June 1999. Even though this settlement was forced due to the impressive military power of NATO compared to the Serbian capabilities and Serbia was basically still in denial, one could argue that a state of dialogue had been reached at this point. Via the UN administration</w:t>
      </w:r>
      <w:r w:rsidR="00A87D7B">
        <w:t xml:space="preserve"> mission, UNMIK,</w:t>
      </w:r>
      <w:r w:rsidRPr="003742EE">
        <w:t xml:space="preserve"> the international network found a way of supporting and protecting the Koso</w:t>
      </w:r>
      <w:r w:rsidR="00A87D7B">
        <w:t>var Albanians while keeping Serbia</w:t>
      </w:r>
      <w:r w:rsidRPr="003742EE">
        <w:t xml:space="preserve"> under pressure from ‘above’ as well. What is expected to happen according t</w:t>
      </w:r>
      <w:r w:rsidR="00A87D7B">
        <w:t>o the theory is that</w:t>
      </w:r>
      <w:r w:rsidRPr="003742EE">
        <w:t xml:space="preserve"> pressure from above and below </w:t>
      </w:r>
      <w:r w:rsidR="00A87D7B">
        <w:t xml:space="preserve">forces </w:t>
      </w:r>
      <w:r w:rsidRPr="003742EE">
        <w:t xml:space="preserve">Serbia </w:t>
      </w:r>
      <w:r w:rsidR="00A87D7B">
        <w:t xml:space="preserve">to </w:t>
      </w:r>
      <w:r w:rsidRPr="003742EE">
        <w:t>compl</w:t>
      </w:r>
      <w:r w:rsidR="00A87D7B">
        <w:t xml:space="preserve">y through tactical concessions. </w:t>
      </w:r>
      <w:r w:rsidRPr="003742EE">
        <w:t xml:space="preserve">These theoretical assumptions and expectations may raise some </w:t>
      </w:r>
      <w:r w:rsidRPr="003742EE">
        <w:lastRenderedPageBreak/>
        <w:t>confusion, taking into account that from the rise of Milosevic up to this point in the early 21</w:t>
      </w:r>
      <w:r w:rsidRPr="003742EE">
        <w:rPr>
          <w:vertAlign w:val="superscript"/>
        </w:rPr>
        <w:t>st</w:t>
      </w:r>
      <w:r w:rsidRPr="003742EE">
        <w:t xml:space="preserve"> century</w:t>
      </w:r>
      <w:r w:rsidR="00A87D7B">
        <w:t>,</w:t>
      </w:r>
      <w:r w:rsidRPr="003742EE">
        <w:t xml:space="preserve"> the Kosovar Albanians have engaged in opposition and resistance already. Yet, the difference is that at this point </w:t>
      </w:r>
      <w:r w:rsidR="00A87D7B">
        <w:t>the Kosovar Albanians are</w:t>
      </w:r>
      <w:r w:rsidRPr="003742EE">
        <w:t xml:space="preserve"> strongly backed</w:t>
      </w:r>
      <w:r w:rsidR="00A87D7B">
        <w:t xml:space="preserve"> by the support of the network</w:t>
      </w:r>
      <w:r w:rsidRPr="003742EE">
        <w:t>, which strengthens their position and future perspectives. In this respect, the</w:t>
      </w:r>
      <w:r w:rsidR="00A87D7B">
        <w:t xml:space="preserve"> distinction of phases makes sense</w:t>
      </w:r>
      <w:r w:rsidRPr="003742EE">
        <w:t xml:space="preserve">. However, Serbia still denies Kosovo future status and engages more than before in strategic politics related to phase two, which includes information-, leverage-, and symbolic politics. Whereas information- and leverage politics was adopted as strategies in the negotiations prior to and during the Vienna negotiations, symbolic politics was mainly used to justify their actions to the Serbian people and gain their internal support. </w:t>
      </w:r>
      <w:r w:rsidRPr="003742EE">
        <w:rPr>
          <w:rFonts w:cs="Tahoma"/>
          <w:color w:val="000000"/>
        </w:rPr>
        <w:t xml:space="preserve">As </w:t>
      </w:r>
      <w:proofErr w:type="spellStart"/>
      <w:r w:rsidRPr="003742EE">
        <w:rPr>
          <w:rFonts w:cs="Tahoma"/>
          <w:color w:val="000000"/>
        </w:rPr>
        <w:t>Ahmetaj</w:t>
      </w:r>
      <w:proofErr w:type="spellEnd"/>
      <w:r w:rsidRPr="003742EE">
        <w:rPr>
          <w:rFonts w:cs="Tahoma"/>
          <w:color w:val="000000"/>
        </w:rPr>
        <w:t xml:space="preserve"> argues: </w:t>
      </w:r>
      <w:r w:rsidRPr="003742EE">
        <w:rPr>
          <w:rFonts w:cs="Tahoma"/>
          <w:i/>
          <w:color w:val="000000"/>
        </w:rPr>
        <w:t>‘’Serbs deny the fact what they did in Kosovo. They keep portraying themselves as the only</w:t>
      </w:r>
      <w:r w:rsidR="001E56B5">
        <w:rPr>
          <w:rFonts w:cs="Tahoma"/>
          <w:i/>
          <w:color w:val="000000"/>
        </w:rPr>
        <w:t xml:space="preserve"> victims in the Balkans, and</w:t>
      </w:r>
      <w:r w:rsidRPr="003742EE">
        <w:rPr>
          <w:rFonts w:cs="Tahoma"/>
          <w:i/>
          <w:color w:val="000000"/>
        </w:rPr>
        <w:t xml:space="preserve"> then Milosevic declared ‘victory’ in Kosovo</w:t>
      </w:r>
      <w:r w:rsidRPr="003742EE">
        <w:rPr>
          <w:i/>
        </w:rPr>
        <w:t>.’’</w:t>
      </w:r>
      <w:r w:rsidRPr="003742EE">
        <w:t xml:space="preserve"> (2017). </w:t>
      </w:r>
    </w:p>
    <w:p w:rsidR="001E56B5" w:rsidRDefault="001E56B5" w:rsidP="003778BF">
      <w:pPr>
        <w:spacing w:line="360" w:lineRule="auto"/>
        <w:jc w:val="both"/>
      </w:pPr>
      <w:r>
        <w:t>The international network</w:t>
      </w:r>
      <w:r w:rsidR="00D15816" w:rsidRPr="003742EE">
        <w:t>, at this point, engaged in all four the strategies</w:t>
      </w:r>
      <w:r>
        <w:t xml:space="preserve"> of politics</w:t>
      </w:r>
      <w:r w:rsidR="00D15816" w:rsidRPr="003742EE">
        <w:t xml:space="preserve">. In direct negotiation practices with Serbia and Kosovo the community engaged in </w:t>
      </w:r>
      <w:r w:rsidRPr="003742EE">
        <w:t>information- and leverage politics, which makes sense</w:t>
      </w:r>
      <w:r>
        <w:t xml:space="preserve"> since it can be useful in</w:t>
      </w:r>
      <w:r w:rsidRPr="003742EE">
        <w:t xml:space="preserve"> processes of bargaining.</w:t>
      </w:r>
      <w:r>
        <w:t xml:space="preserve"> Information politics was employed in terms of the provision of evidence for supporting future Kosovar secession. The UN Secretary General assigned UNMIK to put the Kosovar authorities in charge of their own governance issues and internal affairs. By assessing this pilot of self-governance, as well as the assessment of human rights violations in the area, the network gathered even more information which can be used for leverage politics. The information was used to lobby and bargain with Russia. In addition, EU foreign ministers used the information gathered by the network to persuade Russia. Furthermore, the </w:t>
      </w:r>
      <w:proofErr w:type="spellStart"/>
      <w:r>
        <w:t>Ahtisaari</w:t>
      </w:r>
      <w:proofErr w:type="spellEnd"/>
      <w:r>
        <w:t xml:space="preserve"> package proposed could be used as leverage by the Kosovar authorities themselves. It not only proved that the international community was in favor of final status for Kosovo, it also granted them self-governance and autonomy. This became also evident in a statement by </w:t>
      </w:r>
      <w:proofErr w:type="spellStart"/>
      <w:r>
        <w:t>Ahtisaari</w:t>
      </w:r>
      <w:proofErr w:type="spellEnd"/>
      <w:r>
        <w:t>, arguing</w:t>
      </w:r>
      <w:r w:rsidRPr="00CC3951">
        <w:t xml:space="preserve"> </w:t>
      </w:r>
      <w:r>
        <w:t xml:space="preserve">that independence with international supervision is the only viable option for a political stable and economically viable Kosovo. The public statements </w:t>
      </w:r>
      <w:r w:rsidRPr="003742EE">
        <w:t xml:space="preserve"> of support to the Kosovar Albanians and public shaming of the Serbs in the media, </w:t>
      </w:r>
      <w:r>
        <w:t xml:space="preserve">through which </w:t>
      </w:r>
      <w:r w:rsidRPr="003742EE">
        <w:t xml:space="preserve">the </w:t>
      </w:r>
      <w:r>
        <w:t>network</w:t>
      </w:r>
      <w:r w:rsidRPr="003742EE">
        <w:t xml:space="preserve"> exhibited its </w:t>
      </w:r>
      <w:r>
        <w:t xml:space="preserve">position, can be considered a strategy of symbolic politics as well. Public statements in favor of Kosovar independence from NATO representative </w:t>
      </w:r>
      <w:proofErr w:type="spellStart"/>
      <w:r>
        <w:t>Eide</w:t>
      </w:r>
      <w:proofErr w:type="spellEnd"/>
      <w:r>
        <w:t xml:space="preserve">, historian and Balkan expert Serge </w:t>
      </w:r>
      <w:proofErr w:type="spellStart"/>
      <w:r>
        <w:t>Métais</w:t>
      </w:r>
      <w:proofErr w:type="spellEnd"/>
      <w:r>
        <w:t xml:space="preserve">, foreign ministers of EU countries, UN Special Envoy </w:t>
      </w:r>
      <w:proofErr w:type="spellStart"/>
      <w:r>
        <w:t>Martti</w:t>
      </w:r>
      <w:proofErr w:type="spellEnd"/>
      <w:r>
        <w:t xml:space="preserve"> </w:t>
      </w:r>
      <w:proofErr w:type="spellStart"/>
      <w:r>
        <w:t>Ahtisaari</w:t>
      </w:r>
      <w:proofErr w:type="spellEnd"/>
      <w:r>
        <w:t xml:space="preserve">, and more, display this employed </w:t>
      </w:r>
      <w:r w:rsidR="00503109">
        <w:t xml:space="preserve">strategy throughout this phase. </w:t>
      </w:r>
      <w:r w:rsidRPr="003742EE">
        <w:t xml:space="preserve">An important, but often neglected strategy which is </w:t>
      </w:r>
      <w:r>
        <w:t xml:space="preserve">arguably </w:t>
      </w:r>
      <w:r w:rsidRPr="003742EE">
        <w:t xml:space="preserve">prominent in all phases, is accountability politics. As Christopher </w:t>
      </w:r>
      <w:proofErr w:type="spellStart"/>
      <w:r w:rsidRPr="003742EE">
        <w:t>Walsch</w:t>
      </w:r>
      <w:proofErr w:type="spellEnd"/>
      <w:r>
        <w:t xml:space="preserve"> – Senior lecturer at </w:t>
      </w:r>
      <w:proofErr w:type="spellStart"/>
      <w:r>
        <w:t>Corvinus</w:t>
      </w:r>
      <w:proofErr w:type="spellEnd"/>
      <w:r>
        <w:t xml:space="preserve"> University in Budapest - </w:t>
      </w:r>
      <w:r w:rsidRPr="003742EE">
        <w:t xml:space="preserve">argues, the international community held Serbia accountable for the problems in Kosovo. According to him, post-2000 Serbia had to pay the price for the misgivings of the aggressive Milosevic Serbia of before. In other words, during the Kosovo negotiations from 2000 – </w:t>
      </w:r>
      <w:r w:rsidRPr="003742EE">
        <w:lastRenderedPageBreak/>
        <w:t>2007 the international community did not give any choice to Serbia, since they were held accountable (</w:t>
      </w:r>
      <w:proofErr w:type="spellStart"/>
      <w:r w:rsidRPr="003742EE">
        <w:t>Walsch</w:t>
      </w:r>
      <w:proofErr w:type="spellEnd"/>
      <w:r w:rsidRPr="003742EE">
        <w:t xml:space="preserve">, 2017). </w:t>
      </w:r>
    </w:p>
    <w:p w:rsidR="00D15816" w:rsidRPr="003742EE" w:rsidRDefault="00CD13C5" w:rsidP="003778BF">
      <w:pPr>
        <w:pStyle w:val="Kop3"/>
        <w:spacing w:line="360" w:lineRule="auto"/>
        <w:jc w:val="both"/>
        <w:rPr>
          <w:rFonts w:asciiTheme="minorHAnsi" w:hAnsiTheme="minorHAnsi"/>
          <w:b w:val="0"/>
        </w:rPr>
      </w:pPr>
      <w:bookmarkStart w:id="46" w:name="_Toc489007260"/>
      <w:r>
        <w:rPr>
          <w:rFonts w:asciiTheme="minorHAnsi" w:hAnsiTheme="minorHAnsi"/>
          <w:b w:val="0"/>
        </w:rPr>
        <w:t xml:space="preserve">4.3.4 </w:t>
      </w:r>
      <w:r w:rsidR="00D15816" w:rsidRPr="003742EE">
        <w:rPr>
          <w:rFonts w:asciiTheme="minorHAnsi" w:hAnsiTheme="minorHAnsi"/>
          <w:b w:val="0"/>
        </w:rPr>
        <w:t>Argumentative behavior</w:t>
      </w:r>
      <w:bookmarkEnd w:id="46"/>
    </w:p>
    <w:p w:rsidR="00D15816" w:rsidRDefault="00D15816" w:rsidP="003778BF">
      <w:pPr>
        <w:spacing w:line="360" w:lineRule="auto"/>
        <w:jc w:val="both"/>
      </w:pPr>
      <w:r w:rsidRPr="003742EE">
        <w:t>It has become evident by now that the two blocs strongly oppose each other. Despite this opposition argumentative dialogue occurred at certain occasions. During the Vienna negotiations and the Troika meeting in New York in 2007, the parties engaged in argumentative dialogue and at least tried to treat each other as equal participants in the discourse. For Kosovo, this became evident through its cooperative behavior during the rounds o</w:t>
      </w:r>
      <w:r w:rsidR="007B7B03">
        <w:t xml:space="preserve">f negotiations (Weller, 2008b, </w:t>
      </w:r>
      <w:r w:rsidRPr="003742EE">
        <w:t>p. 663), eager to find a solution. Serbia displayed its engagement through propositions that would give Kosovo a system of self-governance with competencies and symbols only reserved to so</w:t>
      </w:r>
      <w:r w:rsidR="007B7B03">
        <w:t xml:space="preserve">vereign states (Weller, 2008c, </w:t>
      </w:r>
      <w:r w:rsidRPr="003742EE">
        <w:t xml:space="preserve">p. 1230). </w:t>
      </w:r>
      <w:r w:rsidRPr="003742EE">
        <w:tab/>
      </w:r>
      <w:r w:rsidRPr="003742EE">
        <w:tab/>
      </w:r>
      <w:r w:rsidRPr="003742EE">
        <w:tab/>
      </w:r>
      <w:r w:rsidRPr="003742EE">
        <w:tab/>
      </w:r>
      <w:r w:rsidRPr="003742EE">
        <w:tab/>
      </w:r>
      <w:r w:rsidRPr="003742EE">
        <w:tab/>
      </w:r>
      <w:r w:rsidRPr="003742EE">
        <w:tab/>
      </w:r>
      <w:r w:rsidRPr="003742EE">
        <w:tab/>
      </w:r>
      <w:r w:rsidRPr="003742EE">
        <w:tab/>
      </w:r>
      <w:r w:rsidRPr="003742EE">
        <w:tab/>
      </w:r>
      <w:r w:rsidRPr="003742EE">
        <w:tab/>
      </w:r>
      <w:r w:rsidRPr="003742EE">
        <w:tab/>
        <w:t>Despite the enormous pressure from above and below, Serbia’s position did not weaken. It kept referring to its territorial integrity, the rules of international law, and still got the support of Russia and its veto power. All this provided Serbia with the leverage it needed, although entering the Vienna negotiations was risky. Through 2006 alone fifteen rounds of negotiations took place, which strongly implies that mobilizing pressure does not gua</w:t>
      </w:r>
      <w:r w:rsidR="00DD5B02">
        <w:t xml:space="preserve">rantee the expected results. </w:t>
      </w:r>
      <w:r w:rsidRPr="003742EE">
        <w:t>Further tactical concessions were made by Serbia, which is in line with the theoretical expectations. However, these were minor concessions in order to delay the process and obtain some goodwill among the international community, rather than concession towards status recognition of Kosovo. Leverage politics performed by the Contact Group during the Vienna negotiations did not have the credibility and effect wished for, which resulted in another dea</w:t>
      </w:r>
      <w:r w:rsidR="00DD5B02">
        <w:t xml:space="preserve">dlock. </w:t>
      </w:r>
      <w:r w:rsidRPr="003742EE">
        <w:t xml:space="preserve">The conclusion of years of intensive pressure therefore was rather disappointing. Special Envoy </w:t>
      </w:r>
      <w:proofErr w:type="spellStart"/>
      <w:r w:rsidRPr="003742EE">
        <w:t>Ahtisaari</w:t>
      </w:r>
      <w:proofErr w:type="spellEnd"/>
      <w:r w:rsidRPr="003742EE">
        <w:t xml:space="preserve"> concluded that the parties were unable to reach an agreement on Kosov</w:t>
      </w:r>
      <w:r w:rsidR="00C74A7F">
        <w:t>o’s future status (UNSC, 2007</w:t>
      </w:r>
      <w:r w:rsidR="005D225F">
        <w:t>a</w:t>
      </w:r>
      <w:r w:rsidR="00C74A7F">
        <w:t xml:space="preserve">, </w:t>
      </w:r>
      <w:r w:rsidRPr="003742EE">
        <w:t xml:space="preserve">p. 2). Yet, the </w:t>
      </w:r>
      <w:proofErr w:type="spellStart"/>
      <w:r w:rsidRPr="003742EE">
        <w:t>Ahtisaari</w:t>
      </w:r>
      <w:proofErr w:type="spellEnd"/>
      <w:r w:rsidRPr="003742EE">
        <w:t xml:space="preserve"> package and its guiding principles and settlement proposals have been the guiding principles on which Kosovo officially declared its independence.</w:t>
      </w:r>
      <w:r w:rsidR="003C42A1">
        <w:tab/>
      </w:r>
      <w:r w:rsidR="00DD5B02">
        <w:tab/>
      </w:r>
      <w:r w:rsidR="00DD5B02">
        <w:tab/>
      </w:r>
      <w:r w:rsidR="00DD5B02">
        <w:tab/>
      </w:r>
      <w:r w:rsidR="00317D68">
        <w:tab/>
      </w:r>
      <w:r w:rsidR="00317D68">
        <w:tab/>
      </w:r>
      <w:r w:rsidR="00317D68">
        <w:tab/>
      </w:r>
      <w:r w:rsidRPr="003742EE">
        <w:t xml:space="preserve">Hence, according to the theoretical expectations of phase four as set out in the methods section, this state of argumentative behavior during the different negotiations would result in acceptance of the terms for secession by Serbia. This though, has not been the case. The declaration of independence led to a huge backlash and a furious response of Serbia. This declaration in February 2008 resulted in a setback to phase two, a state of denial and accusations. </w:t>
      </w:r>
    </w:p>
    <w:p w:rsidR="00317D68" w:rsidRPr="003742EE" w:rsidRDefault="00317D68" w:rsidP="003778BF">
      <w:pPr>
        <w:spacing w:line="360" w:lineRule="auto"/>
        <w:jc w:val="both"/>
      </w:pPr>
      <w:r>
        <w:t>This analysis of phase four has shown that the network has mostly engaged in leverage politics throughout these negotiations. The international network further pressurized Serbia by stating that many international actors did support Kosovo’s c</w:t>
      </w:r>
      <w:r w:rsidR="00D43D13">
        <w:t>ause, and provided a proposal via</w:t>
      </w:r>
      <w:r>
        <w:t xml:space="preserve"> Special Envoy </w:t>
      </w:r>
      <w:proofErr w:type="spellStart"/>
      <w:r>
        <w:t>Ahtisaari</w:t>
      </w:r>
      <w:proofErr w:type="spellEnd"/>
      <w:r>
        <w:t xml:space="preserve"> that would be fair to Serbia’s needs as well. Furthermore, The UN Contact Group steered </w:t>
      </w:r>
      <w:r>
        <w:lastRenderedPageBreak/>
        <w:t xml:space="preserve">the negotiations. This can be considered leverage politics as well since it means in practice that the participants involved got invited the delegations to the ‘home’ of </w:t>
      </w:r>
      <w:r w:rsidR="00E90ECB">
        <w:t>the UN, Vienna and New York. This</w:t>
      </w:r>
      <w:r>
        <w:t xml:space="preserve"> may be intimidating, hence </w:t>
      </w:r>
      <w:r w:rsidR="00E90ECB">
        <w:t xml:space="preserve">can be </w:t>
      </w:r>
      <w:r>
        <w:t>employed as a successful strategy. Serbia however, successfully engaged in leverage politics as well, since it still had the support of Russia. Moreover, Serbia kept referring to the international law that proved Serbia right according to their own perspective at least. During the Vienna negotiations Serbia adopted a new constitution, thus more leverage that strengthened their position. The result was another deadlock, which was in favor or the Serbia</w:t>
      </w:r>
      <w:r w:rsidR="00E90ECB">
        <w:t>n</w:t>
      </w:r>
      <w:r>
        <w:t xml:space="preserve"> government. </w:t>
      </w:r>
    </w:p>
    <w:p w:rsidR="00D15816" w:rsidRPr="003742EE" w:rsidRDefault="00CD13C5" w:rsidP="003778BF">
      <w:pPr>
        <w:pStyle w:val="Kop3"/>
        <w:spacing w:line="360" w:lineRule="auto"/>
        <w:jc w:val="both"/>
        <w:rPr>
          <w:rFonts w:asciiTheme="minorHAnsi" w:hAnsiTheme="minorHAnsi"/>
          <w:b w:val="0"/>
        </w:rPr>
      </w:pPr>
      <w:bookmarkStart w:id="47" w:name="_Toc489007261"/>
      <w:r>
        <w:rPr>
          <w:rFonts w:asciiTheme="minorHAnsi" w:hAnsiTheme="minorHAnsi"/>
          <w:b w:val="0"/>
        </w:rPr>
        <w:t xml:space="preserve">4.3.5 </w:t>
      </w:r>
      <w:r w:rsidR="00D15816" w:rsidRPr="003742EE">
        <w:rPr>
          <w:rFonts w:asciiTheme="minorHAnsi" w:hAnsiTheme="minorHAnsi"/>
          <w:b w:val="0"/>
        </w:rPr>
        <w:t>Phase of internalization</w:t>
      </w:r>
      <w:bookmarkEnd w:id="47"/>
    </w:p>
    <w:p w:rsidR="00D15816" w:rsidRDefault="00D15816" w:rsidP="003778BF">
      <w:pPr>
        <w:spacing w:line="360" w:lineRule="auto"/>
        <w:jc w:val="both"/>
      </w:pPr>
      <w:r w:rsidRPr="003742EE">
        <w:t>Although the final phase has never been reached, yet. It is still of importance since some of the post-declaration developments can be related to phase five processes and assumptions. In twenty years of conflict management, and engagement in different forms of</w:t>
      </w:r>
      <w:r w:rsidR="007A00CE">
        <w:t xml:space="preserve"> strategic politics, a consensus </w:t>
      </w:r>
      <w:r w:rsidRPr="003742EE">
        <w:t>has not been reached. The theoretical expectations were in line with a consensus on domestic change, which then would be fully accepted and internalized by Serbia. Although Serbia has not accepted the terms for Kosovo’s final status and the hypothesis cannot be confirmed, the whole process has led to some changes in the perspectives for the Kosovar people. An important requirement for secession to be successful is its recognition by other states. This amount is still growing, and one could argue that this growth increases the validity of Kosovo’s claim. However as long as there is states such as Russia and to a lesser extent China who express their deep concerns and support Serbia, full internalization is an utopia. Besides the concerns of these powers, there is still five EU member states who did not recognize Kosovo in 2015: Cyprus, Greece, Romania, Slovakia, and Spain (</w:t>
      </w:r>
      <w:proofErr w:type="spellStart"/>
      <w:r w:rsidRPr="003742EE">
        <w:t>Mitrovic</w:t>
      </w:r>
      <w:proofErr w:type="spellEnd"/>
      <w:r w:rsidRPr="003742EE">
        <w:t xml:space="preserve">, 2015; </w:t>
      </w:r>
      <w:proofErr w:type="spellStart"/>
      <w:r w:rsidRPr="003742EE">
        <w:t>Peci</w:t>
      </w:r>
      <w:proofErr w:type="spellEnd"/>
      <w:r w:rsidRPr="003742EE">
        <w:t>, 2014). This might be problematic as well. Still, there is future hope for Kosovo since the EU generally supports Kosovo’s desires. Moreover Serbia wants to join the EU, and is only allowed entrance if it recognizes Kosovo as an independent and sovereign state (</w:t>
      </w:r>
      <w:proofErr w:type="spellStart"/>
      <w:r w:rsidRPr="003742EE">
        <w:t>Peci</w:t>
      </w:r>
      <w:proofErr w:type="spellEnd"/>
      <w:r w:rsidRPr="003742EE">
        <w:t xml:space="preserve">, 2014). This provides the network with influential future leverage for possible acceptance and internalization. </w:t>
      </w:r>
    </w:p>
    <w:p w:rsidR="007A00CE" w:rsidRPr="003742EE" w:rsidRDefault="007A00CE" w:rsidP="003778BF">
      <w:pPr>
        <w:spacing w:line="360" w:lineRule="auto"/>
        <w:jc w:val="both"/>
      </w:pPr>
      <w:r>
        <w:t>EU membership as leverage for ongoing negotiations is an important and influential strategy the network can employ, especially when one takes into account that the EU has been indicated as one of the important platforms employed by the advocacy network but also the opposition. Yet, the final phase as it occurred in the Kosovo case comes with symbolic politics as well. Kosovo declared itself independent, and statements from actors within the international network openly supported Kosovo’s declaration, and even collaborated in the construction of the declaration, as is described in ‘The final package’ section. This implies that the international network is willing to ‘welcome’ Kosovo as an independent state in their community.</w:t>
      </w:r>
    </w:p>
    <w:p w:rsidR="00D15816" w:rsidRPr="003742EE" w:rsidRDefault="00CD13C5" w:rsidP="003778BF">
      <w:pPr>
        <w:pStyle w:val="Kop3"/>
        <w:spacing w:line="360" w:lineRule="auto"/>
        <w:jc w:val="both"/>
        <w:rPr>
          <w:rFonts w:asciiTheme="minorHAnsi" w:hAnsiTheme="minorHAnsi"/>
          <w:b w:val="0"/>
        </w:rPr>
      </w:pPr>
      <w:bookmarkStart w:id="48" w:name="_Toc489007262"/>
      <w:r>
        <w:rPr>
          <w:rFonts w:asciiTheme="minorHAnsi" w:hAnsiTheme="minorHAnsi"/>
          <w:b w:val="0"/>
        </w:rPr>
        <w:lastRenderedPageBreak/>
        <w:t xml:space="preserve">4.3.6 </w:t>
      </w:r>
      <w:r w:rsidR="007A00CE">
        <w:rPr>
          <w:rFonts w:asciiTheme="minorHAnsi" w:hAnsiTheme="minorHAnsi"/>
          <w:b w:val="0"/>
        </w:rPr>
        <w:t>Conclusion</w:t>
      </w:r>
      <w:bookmarkEnd w:id="48"/>
    </w:p>
    <w:p w:rsidR="00D15816" w:rsidRPr="003742EE" w:rsidRDefault="00D15816" w:rsidP="003778BF">
      <w:pPr>
        <w:spacing w:line="360" w:lineRule="auto"/>
        <w:jc w:val="both"/>
      </w:pPr>
      <w:r w:rsidRPr="003742EE">
        <w:t xml:space="preserve">Since the hypotheses formulated in phase four and five were rejected, or at least not confirmed at this point, the overarching hypothesis cannot be strongly confirmed either. </w:t>
      </w:r>
      <w:r w:rsidR="00967513">
        <w:t>Despite</w:t>
      </w:r>
      <w:r w:rsidRPr="003742EE">
        <w:t xml:space="preserve"> the changes that have taken place, including the recognition of Kosovo as an independent state by over a hundred nations, one cannot argue that the changes have been successful according to the phase description. In terms of the theoretical assumptions</w:t>
      </w:r>
      <w:r w:rsidR="00C22F21">
        <w:t xml:space="preserve"> as presented in this study</w:t>
      </w:r>
      <w:r w:rsidRPr="003742EE">
        <w:t xml:space="preserve"> however, the main hypothesis can be </w:t>
      </w:r>
      <w:r w:rsidR="00C22F21">
        <w:t xml:space="preserve">(partly) </w:t>
      </w:r>
      <w:r w:rsidRPr="003742EE">
        <w:t>confirmed. Successful secession, as presented in this research, depends on the recognition by the international community instead of the target state. With over one hundred recognitions, one could argue that Kosovo is a case of successful secession. Yet, it is unclear just how many states in the international community must recognize Kosovo before the secession can be considered legitimate. Though, the process is still ongoing and the future holds if the process can be completed. Complet</w:t>
      </w:r>
      <w:r w:rsidR="00846312">
        <w:t>ion would mean that Kosovo</w:t>
      </w:r>
      <w:r w:rsidRPr="003742EE">
        <w:t xml:space="preserve"> become</w:t>
      </w:r>
      <w:r w:rsidR="00846312">
        <w:t>s</w:t>
      </w:r>
      <w:r w:rsidRPr="003742EE">
        <w:t xml:space="preserve"> without a doubt a case of successful secession. </w:t>
      </w:r>
    </w:p>
    <w:p w:rsidR="00846312" w:rsidRDefault="00846312" w:rsidP="00846312">
      <w:pPr>
        <w:spacing w:line="360" w:lineRule="auto"/>
        <w:jc w:val="both"/>
      </w:pPr>
      <w:r>
        <w:t xml:space="preserve">The case analysis furthermore shows that the strategies presented in the theoretical framework are present in all phases during the process. As expected, information politics is a strategy employed in the earlier phases of the spiral model, and is important for the use of other strategies as well.  Leverage politics and accountability politics to a large extent build upon, and are intertwined with information politics. Furthermore, the role of symbolic politics throughout this process is significant as well. Yet, what can be concluded from this research is that the effectivity of the strategies employed by the network are highly dependent on the vulnerability of the target state. In this specific case, one can conclude that Serbia was not vulnerable at all. The presence of a strong ally and leverage provided by the international law makes that the strategies employed by the network were less effective than they potentially can be. Serbia’s engagement in multiple negotiation processes shows that the strategies employed by the network did have an effect on Serbia’s stance towards Kosovo. Yet, Serbia’s strong position made it hard to fully push through to final status. This difficult situation pleads for the importance of accountability politics, although this strategy has not been elaborated upon that extensively. As </w:t>
      </w:r>
      <w:proofErr w:type="spellStart"/>
      <w:r>
        <w:t>Walsch</w:t>
      </w:r>
      <w:proofErr w:type="spellEnd"/>
      <w:r>
        <w:t xml:space="preserve"> (2017) explains, Milosevic’ ethnic cleansing practices and regime of oppression and abuse can be considered an important reason for international actors to push through its support for the Kosovar Albanians. During the process, as has become evident, a lot of deadlocks and drawbacks occurred over the years during the negotiations. The  idea of holding Serbia accountable for its practices that resulted in the ‘cry’ for secession, may have been the reason that kept the process going, and still keeps it going. </w:t>
      </w:r>
    </w:p>
    <w:p w:rsidR="00846312" w:rsidRDefault="00846312" w:rsidP="00846312">
      <w:pPr>
        <w:spacing w:line="360" w:lineRule="auto"/>
        <w:jc w:val="both"/>
      </w:pPr>
      <w:r>
        <w:t xml:space="preserve">Some concluding remarks on the composition of the network are necessary as well. As presented in this study, the international advocacy network consists of influential international actors that participate on international platforms such as the UN and EU. This involvement of a rather influential </w:t>
      </w:r>
      <w:r>
        <w:lastRenderedPageBreak/>
        <w:t>group of international actors, representing influential international platforms, may have raised the expectation that change can be effectuated. Yet, the results show differently. On the one hand, it seems in this specific case that the level of change that occurred is dependent on the strength or weakness of the target state. On the other hand however, the progress is still ongoing and it is due to the power of the network that an increasing amount of states have recognized Kosovo’s final status. Moreover, it is the international network that forced Serbia into negotiations. However, since the process in still ongoing, it may be too soon for such a conclusion</w:t>
      </w:r>
      <w:r w:rsidR="004F09F0">
        <w:t xml:space="preserve"> </w:t>
      </w:r>
      <w:r w:rsidR="0095091D">
        <w:t xml:space="preserve">regarding </w:t>
      </w:r>
      <w:r w:rsidR="004F09F0">
        <w:t>the effectivity of the network</w:t>
      </w:r>
      <w:r>
        <w:t xml:space="preserve">. </w:t>
      </w:r>
    </w:p>
    <w:p w:rsidR="00D15816" w:rsidRPr="003742EE" w:rsidRDefault="00D15816" w:rsidP="003778BF">
      <w:pPr>
        <w:pStyle w:val="Kop1"/>
        <w:spacing w:line="360" w:lineRule="auto"/>
        <w:jc w:val="both"/>
        <w:rPr>
          <w:rFonts w:asciiTheme="minorHAnsi" w:hAnsiTheme="minorHAnsi"/>
          <w:b w:val="0"/>
          <w:sz w:val="22"/>
          <w:szCs w:val="22"/>
        </w:rPr>
      </w:pPr>
      <w:r w:rsidRPr="003742EE">
        <w:rPr>
          <w:rFonts w:asciiTheme="minorHAnsi" w:hAnsiTheme="minorHAnsi"/>
        </w:rPr>
        <w:br w:type="page"/>
      </w:r>
      <w:bookmarkStart w:id="49" w:name="_Toc489007263"/>
      <w:r w:rsidR="001C1C40">
        <w:rPr>
          <w:rFonts w:asciiTheme="minorHAnsi" w:hAnsiTheme="minorHAnsi"/>
          <w:b w:val="0"/>
        </w:rPr>
        <w:lastRenderedPageBreak/>
        <w:t xml:space="preserve">Chapter 5: </w:t>
      </w:r>
      <w:r w:rsidRPr="003742EE">
        <w:rPr>
          <w:rFonts w:asciiTheme="minorHAnsi" w:hAnsiTheme="minorHAnsi"/>
          <w:b w:val="0"/>
        </w:rPr>
        <w:t>Conclusion and Discussion</w:t>
      </w:r>
      <w:bookmarkEnd w:id="49"/>
    </w:p>
    <w:p w:rsidR="00D15816" w:rsidRPr="003742EE" w:rsidRDefault="00392300" w:rsidP="003778BF">
      <w:pPr>
        <w:pStyle w:val="Kop2"/>
        <w:spacing w:line="360" w:lineRule="auto"/>
        <w:jc w:val="both"/>
        <w:rPr>
          <w:rFonts w:asciiTheme="minorHAnsi" w:hAnsiTheme="minorHAnsi"/>
          <w:b w:val="0"/>
        </w:rPr>
      </w:pPr>
      <w:bookmarkStart w:id="50" w:name="_Toc489007264"/>
      <w:r>
        <w:rPr>
          <w:rFonts w:asciiTheme="minorHAnsi" w:hAnsiTheme="minorHAnsi"/>
          <w:b w:val="0"/>
        </w:rPr>
        <w:t xml:space="preserve">5.1 </w:t>
      </w:r>
      <w:r w:rsidR="00D15816" w:rsidRPr="003742EE">
        <w:rPr>
          <w:rFonts w:asciiTheme="minorHAnsi" w:hAnsiTheme="minorHAnsi"/>
          <w:b w:val="0"/>
        </w:rPr>
        <w:t>Summary</w:t>
      </w:r>
      <w:bookmarkEnd w:id="50"/>
    </w:p>
    <w:p w:rsidR="00D15816" w:rsidRPr="003742EE" w:rsidRDefault="00D15816" w:rsidP="003778BF">
      <w:pPr>
        <w:spacing w:line="360" w:lineRule="auto"/>
        <w:jc w:val="both"/>
        <w:rPr>
          <w:b/>
        </w:rPr>
      </w:pPr>
      <w:r w:rsidRPr="003742EE">
        <w:t xml:space="preserve">This study on secession processes aimed at demonstrating the influence of international advocacy networks  on a more positive outcome of secession tendencies, </w:t>
      </w:r>
      <w:r w:rsidR="00234DEB">
        <w:t xml:space="preserve">namely </w:t>
      </w:r>
      <w:r w:rsidRPr="003742EE">
        <w:t xml:space="preserve">successful secession.  This study was </w:t>
      </w:r>
      <w:r w:rsidR="00FD1EBE">
        <w:t>demonstrated through</w:t>
      </w:r>
      <w:r w:rsidRPr="003742EE">
        <w:t xml:space="preserve"> a single case study analysis, </w:t>
      </w:r>
      <w:r w:rsidR="00234DEB">
        <w:t>the Kosovar secession</w:t>
      </w:r>
      <w:r w:rsidRPr="003742EE">
        <w:t xml:space="preserve">. The findings of this study support the idea that involvement of an international advocacy network is beneficial for generating change in domestic political practices, and may </w:t>
      </w:r>
      <w:r w:rsidR="000979AB">
        <w:t>enhance the chances for finalizing</w:t>
      </w:r>
      <w:r w:rsidRPr="003742EE">
        <w:t xml:space="preserve"> secession. However, these findings do not support the idea that this involvement will lead to successful secession per se. It depends for instance on the adopted strategies by the network, the interests of parties involved, and the extent to which a target state is vulnerable to the pressure.  These results will be explained in greater detail in the </w:t>
      </w:r>
      <w:r w:rsidR="00244756">
        <w:t>following</w:t>
      </w:r>
      <w:r w:rsidRPr="003742EE">
        <w:t xml:space="preserve"> sections. </w:t>
      </w:r>
    </w:p>
    <w:p w:rsidR="00D15816" w:rsidRPr="003742EE" w:rsidRDefault="00392300" w:rsidP="003778BF">
      <w:pPr>
        <w:pStyle w:val="Kop2"/>
        <w:spacing w:line="360" w:lineRule="auto"/>
        <w:jc w:val="both"/>
        <w:rPr>
          <w:rFonts w:asciiTheme="minorHAnsi" w:hAnsiTheme="minorHAnsi"/>
          <w:b w:val="0"/>
        </w:rPr>
      </w:pPr>
      <w:bookmarkStart w:id="51" w:name="_Toc489007265"/>
      <w:r>
        <w:rPr>
          <w:rFonts w:asciiTheme="minorHAnsi" w:hAnsiTheme="minorHAnsi"/>
          <w:b w:val="0"/>
        </w:rPr>
        <w:t xml:space="preserve">5.2 </w:t>
      </w:r>
      <w:r w:rsidR="00D15816" w:rsidRPr="003742EE">
        <w:rPr>
          <w:rFonts w:asciiTheme="minorHAnsi" w:hAnsiTheme="minorHAnsi"/>
          <w:b w:val="0"/>
        </w:rPr>
        <w:t>Major findings</w:t>
      </w:r>
      <w:bookmarkEnd w:id="51"/>
    </w:p>
    <w:p w:rsidR="00D15816" w:rsidRPr="003742EE" w:rsidRDefault="00D15816" w:rsidP="003778BF">
      <w:pPr>
        <w:spacing w:line="360" w:lineRule="auto"/>
        <w:jc w:val="both"/>
        <w:rPr>
          <w:rFonts w:cs="Times New Roman"/>
          <w:i/>
        </w:rPr>
      </w:pPr>
      <w:r w:rsidRPr="003742EE">
        <w:rPr>
          <w:rFonts w:cs="Times New Roman"/>
          <w:i/>
        </w:rPr>
        <w:t xml:space="preserve">H1: The higher the degree of oppression, the more likely the network is to put the dispute on the international agenda. </w:t>
      </w:r>
    </w:p>
    <w:p w:rsidR="00D15816" w:rsidRPr="003742EE" w:rsidRDefault="00D15816" w:rsidP="003778BF">
      <w:pPr>
        <w:spacing w:line="360" w:lineRule="auto"/>
        <w:jc w:val="both"/>
        <w:rPr>
          <w:rFonts w:cs="Times New Roman"/>
        </w:rPr>
      </w:pPr>
      <w:r w:rsidRPr="003742EE">
        <w:rPr>
          <w:rFonts w:cs="Times New Roman"/>
        </w:rPr>
        <w:t>As has been set out in the repression phase, a dispute is indeed more likely to be put on the agenda. The results show t</w:t>
      </w:r>
      <w:r w:rsidR="00C45471">
        <w:rPr>
          <w:rFonts w:cs="Times New Roman"/>
        </w:rPr>
        <w:t xml:space="preserve">hat the international advocacy network </w:t>
      </w:r>
      <w:r w:rsidRPr="003742EE">
        <w:rPr>
          <w:rFonts w:cs="Times New Roman"/>
        </w:rPr>
        <w:t xml:space="preserve">decided to act upon the affairs in Kosovo, once the KLA overestimated their statements in order to frame the situation as more distressing as it was. Consequently, with the help of the findings of Amnesty International and the Human Rights Watch, the dispute made it onto the UN agenda. </w:t>
      </w:r>
    </w:p>
    <w:p w:rsidR="00D15816" w:rsidRPr="003742EE" w:rsidRDefault="00D15816" w:rsidP="003778BF">
      <w:pPr>
        <w:spacing w:line="360" w:lineRule="auto"/>
        <w:jc w:val="both"/>
        <w:rPr>
          <w:rFonts w:cs="Times New Roman"/>
          <w:i/>
        </w:rPr>
      </w:pPr>
      <w:r w:rsidRPr="003742EE">
        <w:rPr>
          <w:rFonts w:cs="Times New Roman"/>
          <w:i/>
        </w:rPr>
        <w:t xml:space="preserve">H2: When the advocacy network confronts the target state, it refuses to accept the accusations. </w:t>
      </w:r>
    </w:p>
    <w:p w:rsidR="00D15816" w:rsidRPr="003742EE" w:rsidRDefault="00D15816" w:rsidP="003778BF">
      <w:pPr>
        <w:spacing w:line="360" w:lineRule="auto"/>
        <w:jc w:val="both"/>
        <w:rPr>
          <w:rFonts w:cs="Times New Roman"/>
        </w:rPr>
      </w:pPr>
      <w:r w:rsidRPr="003742EE">
        <w:rPr>
          <w:rFonts w:cs="Times New Roman"/>
        </w:rPr>
        <w:t>The second hypot</w:t>
      </w:r>
      <w:r w:rsidR="0053751F">
        <w:rPr>
          <w:rFonts w:cs="Times New Roman"/>
        </w:rPr>
        <w:t>hesis, which is in line with</w:t>
      </w:r>
      <w:r w:rsidRPr="003742EE">
        <w:rPr>
          <w:rFonts w:cs="Times New Roman"/>
        </w:rPr>
        <w:t xml:space="preserve"> phase two, has been confirmed in the case of Kosovo as w</w:t>
      </w:r>
      <w:r w:rsidR="004A788B">
        <w:rPr>
          <w:rFonts w:cs="Times New Roman"/>
        </w:rPr>
        <w:t>ell. The network</w:t>
      </w:r>
      <w:r w:rsidRPr="003742EE">
        <w:rPr>
          <w:rFonts w:cs="Times New Roman"/>
        </w:rPr>
        <w:t>, on multiple occasions, initiated mediating talks with Serbia and Kosovo and opted for multiple settlement proposals. Serbia denied these settlements as well as the accusations from Kosovo</w:t>
      </w:r>
      <w:r w:rsidR="004A788B">
        <w:rPr>
          <w:rFonts w:cs="Times New Roman"/>
        </w:rPr>
        <w:t xml:space="preserve"> and the network</w:t>
      </w:r>
      <w:r w:rsidRPr="003742EE">
        <w:rPr>
          <w:rFonts w:cs="Times New Roman"/>
        </w:rPr>
        <w:t>. In opposition, Serbia accused the network of a violation of international law.</w:t>
      </w:r>
    </w:p>
    <w:p w:rsidR="00D15816" w:rsidRPr="003742EE" w:rsidRDefault="00D15816" w:rsidP="003778BF">
      <w:pPr>
        <w:spacing w:line="360" w:lineRule="auto"/>
        <w:jc w:val="both"/>
        <w:rPr>
          <w:rFonts w:cs="Times New Roman"/>
          <w:i/>
        </w:rPr>
      </w:pPr>
      <w:r w:rsidRPr="003742EE">
        <w:rPr>
          <w:rFonts w:cs="Times New Roman"/>
          <w:i/>
        </w:rPr>
        <w:t xml:space="preserve">H3: Mobilizing the distinct community in order to put pressure on the target state from above and below, forces the state  to make tactical concessions. </w:t>
      </w:r>
    </w:p>
    <w:p w:rsidR="00D15816" w:rsidRPr="003742EE" w:rsidRDefault="00D15816" w:rsidP="003778BF">
      <w:pPr>
        <w:spacing w:line="360" w:lineRule="auto"/>
        <w:jc w:val="both"/>
        <w:rPr>
          <w:rFonts w:cs="Times New Roman"/>
        </w:rPr>
      </w:pPr>
      <w:r w:rsidRPr="003742EE">
        <w:rPr>
          <w:rFonts w:cs="Times New Roman"/>
        </w:rPr>
        <w:t xml:space="preserve">Hypothesis three, as presented above, can be confirmed as well. Although, one has to take into consideration a critical note. The results of the Kosovo case demonstrate that mobilization from above and below does indeed increase the pressure on Serbia. Consequently, Serbia was willing to </w:t>
      </w:r>
      <w:r w:rsidRPr="003742EE">
        <w:rPr>
          <w:rFonts w:cs="Times New Roman"/>
        </w:rPr>
        <w:lastRenderedPageBreak/>
        <w:t xml:space="preserve">make tactical concessions. Yet, it did not lead to the results wished for by the international network and Kosovo. The theory assumes that tactical concessions in this phase can be considered as a first step towards permanent change. The tactical concessions done by Serbia cannot be considered as such. </w:t>
      </w:r>
    </w:p>
    <w:p w:rsidR="00D15816" w:rsidRPr="003742EE" w:rsidRDefault="00D15816" w:rsidP="003778BF">
      <w:pPr>
        <w:spacing w:line="360" w:lineRule="auto"/>
        <w:jc w:val="both"/>
        <w:rPr>
          <w:rFonts w:cs="Times New Roman"/>
          <w:i/>
        </w:rPr>
      </w:pPr>
      <w:r w:rsidRPr="003742EE">
        <w:rPr>
          <w:rFonts w:cs="Times New Roman"/>
          <w:i/>
        </w:rPr>
        <w:t>H4: Through argumentative behavior the t</w:t>
      </w:r>
      <w:r w:rsidR="0053751F">
        <w:rPr>
          <w:rFonts w:cs="Times New Roman"/>
          <w:i/>
        </w:rPr>
        <w:t xml:space="preserve">arget state accepts  the terms </w:t>
      </w:r>
      <w:r w:rsidRPr="003742EE">
        <w:rPr>
          <w:rFonts w:cs="Times New Roman"/>
          <w:i/>
        </w:rPr>
        <w:t>f</w:t>
      </w:r>
      <w:r w:rsidR="0053751F">
        <w:rPr>
          <w:rFonts w:cs="Times New Roman"/>
          <w:i/>
        </w:rPr>
        <w:t>or</w:t>
      </w:r>
      <w:r w:rsidRPr="003742EE">
        <w:rPr>
          <w:rFonts w:cs="Times New Roman"/>
          <w:i/>
        </w:rPr>
        <w:t xml:space="preserve"> secession.</w:t>
      </w:r>
    </w:p>
    <w:p w:rsidR="00D15816" w:rsidRPr="003742EE" w:rsidRDefault="00D15816" w:rsidP="003778BF">
      <w:pPr>
        <w:spacing w:line="360" w:lineRule="auto"/>
        <w:jc w:val="both"/>
        <w:rPr>
          <w:rFonts w:cs="Times New Roman"/>
        </w:rPr>
      </w:pPr>
      <w:r w:rsidRPr="003742EE">
        <w:rPr>
          <w:rFonts w:cs="Times New Roman"/>
        </w:rPr>
        <w:t>As a result of the outcome in phase three, one has to conclude that hypothesis four is rejected. Although the advanced negotiations over the course of 2006 and 2007 indicate that a state of argumentative behavior has occurred, the intentions of the parties involved were rather contradicting. Hence, a consensus on terms for secession was never close-at-hand. Instead of a progressive tendency towards acceptance, a setback to the phase of denial occurred. The future holds if this phase can be considered the final phase, or a minor setback</w:t>
      </w:r>
      <w:r w:rsidR="00665AC9">
        <w:rPr>
          <w:rFonts w:cs="Times New Roman"/>
        </w:rPr>
        <w:t xml:space="preserve"> in a process</w:t>
      </w:r>
      <w:r w:rsidRPr="003742EE">
        <w:rPr>
          <w:rFonts w:cs="Times New Roman"/>
        </w:rPr>
        <w:t xml:space="preserve"> towards a phase of acceptation and internalization. </w:t>
      </w:r>
    </w:p>
    <w:p w:rsidR="00D15816" w:rsidRPr="003742EE" w:rsidRDefault="00D15816" w:rsidP="003778BF">
      <w:pPr>
        <w:spacing w:line="360" w:lineRule="auto"/>
        <w:jc w:val="both"/>
        <w:rPr>
          <w:rFonts w:cs="Times New Roman"/>
          <w:i/>
        </w:rPr>
      </w:pPr>
      <w:r w:rsidRPr="003742EE">
        <w:rPr>
          <w:rFonts w:cs="Times New Roman"/>
          <w:i/>
        </w:rPr>
        <w:t>H5: acceptance of the validity of secession leads to the internalization of change.</w:t>
      </w:r>
    </w:p>
    <w:p w:rsidR="00D15816" w:rsidRPr="003742EE" w:rsidRDefault="00D15816" w:rsidP="003778BF">
      <w:pPr>
        <w:spacing w:line="360" w:lineRule="auto"/>
        <w:jc w:val="both"/>
        <w:rPr>
          <w:rFonts w:cs="Times New Roman"/>
        </w:rPr>
      </w:pPr>
      <w:r w:rsidRPr="003742EE">
        <w:rPr>
          <w:rFonts w:cs="Times New Roman"/>
        </w:rPr>
        <w:t xml:space="preserve">The theory presents the spiral model as a linear model in which the hypotheses are considered to be dependent on each other. This means that the rejection of one of the hypotheses has implications for the following hypothesis. The rejection of hypothesis four means that phase five has not been reached yet. Therefore, it is easy to conclude that hypothesis five is rejected as well. </w:t>
      </w:r>
    </w:p>
    <w:p w:rsidR="00D15816" w:rsidRPr="003742EE" w:rsidRDefault="00D15816" w:rsidP="003778BF">
      <w:pPr>
        <w:spacing w:line="360" w:lineRule="auto"/>
        <w:jc w:val="both"/>
        <w:rPr>
          <w:rFonts w:cs="Times New Roman"/>
          <w:i/>
        </w:rPr>
      </w:pPr>
      <w:r w:rsidRPr="003742EE">
        <w:rPr>
          <w:rFonts w:cs="Times New Roman"/>
          <w:i/>
        </w:rPr>
        <w:t xml:space="preserve">H-main: Involvement of an international advocacy network in an ethnic conflict in the target state leads to successful domestic changes within this target state, which is secession. </w:t>
      </w:r>
    </w:p>
    <w:p w:rsidR="00D15816" w:rsidRPr="003742EE" w:rsidRDefault="00D15816" w:rsidP="003778BF">
      <w:pPr>
        <w:spacing w:line="360" w:lineRule="auto"/>
        <w:jc w:val="both"/>
        <w:rPr>
          <w:rFonts w:cs="Times New Roman"/>
        </w:rPr>
      </w:pPr>
      <w:r w:rsidRPr="003742EE">
        <w:rPr>
          <w:rFonts w:cs="Times New Roman"/>
        </w:rPr>
        <w:t>Despite of the ‘failure’ regarding the completion of the process, the main-hypothesis can be confirmed according to the standards presented in the theoretical framework. Successful secession has been described as secession according to the standards of de jure partition. Chapman and Roeder (2007) define de jure partition as  the establishment of a new sovereign state which is recognized by the international community</w:t>
      </w:r>
      <w:r w:rsidR="000B4EFA">
        <w:rPr>
          <w:rFonts w:cs="Times New Roman"/>
        </w:rPr>
        <w:t xml:space="preserve"> (p. 678)</w:t>
      </w:r>
      <w:r w:rsidRPr="003742EE">
        <w:rPr>
          <w:rFonts w:cs="Times New Roman"/>
        </w:rPr>
        <w:t>. This is more or less the case, although Kosovo is not recognized as such by all nations. Nonetheless, it is conspicuous that the international advocacy network’s involvement has pressurized Serbia which resulted in multiple concessions from their side. Hence, it can be demonstrated that significant domestic changes are observable in the area in terms of autonomy for instance. As has been discussed in the theoretical chapter, de jure partition can be considered to be successful since the resumption of violence occurred in only 14% of the cases within two years (Ch</w:t>
      </w:r>
      <w:r w:rsidR="00A15913">
        <w:rPr>
          <w:rFonts w:cs="Times New Roman"/>
        </w:rPr>
        <w:t>apman and Roeder, 2007, p. 689), which is rather low compared to the other ‘types’ of secession.</w:t>
      </w:r>
      <w:r w:rsidRPr="003742EE">
        <w:rPr>
          <w:rFonts w:cs="Times New Roman"/>
        </w:rPr>
        <w:t xml:space="preserve"> Perhaps the Kosovar secession process is one of those exceptional cases and can be included in this 14%</w:t>
      </w:r>
      <w:r w:rsidR="00A15913">
        <w:rPr>
          <w:rFonts w:cs="Times New Roman"/>
        </w:rPr>
        <w:t>.</w:t>
      </w:r>
    </w:p>
    <w:p w:rsidR="00D15816" w:rsidRPr="003742EE" w:rsidRDefault="00307C0C" w:rsidP="003778BF">
      <w:pPr>
        <w:spacing w:line="360" w:lineRule="auto"/>
        <w:jc w:val="both"/>
        <w:rPr>
          <w:rFonts w:cs="Times New Roman"/>
          <w:i/>
        </w:rPr>
      </w:pPr>
      <w:r>
        <w:rPr>
          <w:rFonts w:cs="Times New Roman"/>
        </w:rPr>
        <w:lastRenderedPageBreak/>
        <w:t xml:space="preserve">The above discussed conclusions on the hypotheses of the study leave this study with a final remark on </w:t>
      </w:r>
      <w:r w:rsidR="00D15816" w:rsidRPr="003742EE">
        <w:rPr>
          <w:rFonts w:cs="Times New Roman"/>
        </w:rPr>
        <w:t xml:space="preserve">the main research question: </w:t>
      </w:r>
      <w:r w:rsidR="00D15816" w:rsidRPr="003742EE">
        <w:rPr>
          <w:rFonts w:cs="Times New Roman"/>
          <w:i/>
        </w:rPr>
        <w:t>How, and to what extent can international involvement in a secession tendency be beneficial for successfully achieving this?</w:t>
      </w:r>
    </w:p>
    <w:p w:rsidR="00D15816" w:rsidRPr="003742EE" w:rsidRDefault="00D15816" w:rsidP="003778BF">
      <w:pPr>
        <w:spacing w:line="360" w:lineRule="auto"/>
        <w:jc w:val="both"/>
        <w:rPr>
          <w:rFonts w:cs="Times New Roman"/>
        </w:rPr>
      </w:pPr>
      <w:r w:rsidRPr="003742EE">
        <w:rPr>
          <w:rFonts w:cs="Times New Roman"/>
        </w:rPr>
        <w:t xml:space="preserve">The results of this study have shown that international involvement can be beneficial for successfully achieving secession, although the results lack significance and are based </w:t>
      </w:r>
      <w:r w:rsidR="007668DC">
        <w:rPr>
          <w:rFonts w:cs="Times New Roman"/>
        </w:rPr>
        <w:t xml:space="preserve">on </w:t>
      </w:r>
      <w:r w:rsidRPr="003742EE">
        <w:rPr>
          <w:rFonts w:cs="Times New Roman"/>
        </w:rPr>
        <w:t xml:space="preserve">claims and interpretations rather than factual evidence. The pressure an advocacy network can generate is enormous, but its </w:t>
      </w:r>
      <w:r w:rsidR="006E3EE1">
        <w:rPr>
          <w:rFonts w:cs="Times New Roman"/>
        </w:rPr>
        <w:t>effectivity is to a large extent</w:t>
      </w:r>
      <w:r w:rsidRPr="003742EE">
        <w:rPr>
          <w:rFonts w:cs="Times New Roman"/>
        </w:rPr>
        <w:t xml:space="preserve"> dependent on the vulnerability of the target state. In the Kosovo case, Serbia cannot be considered to be vulnerable throughout the negotiation processes towards an independent Kosovo. Therefore, it seems that target state vulnerability is of major importance for the completion of the final phases of the model. Yet, some significant changes within the region took place, which proves that the presence of such a network can contribute to changes in domestic practices.</w:t>
      </w:r>
      <w:r w:rsidR="007668DC">
        <w:rPr>
          <w:rFonts w:cs="Times New Roman"/>
        </w:rPr>
        <w:t xml:space="preserve"> One should take into account though, that this term ‘progress’ depends on the perspective one has on the issue. The Serbs and Russians would argue that no progress has been made, since Kosovo still belongs to Serbian territory. </w:t>
      </w:r>
      <w:r w:rsidRPr="003742EE">
        <w:rPr>
          <w:rFonts w:cs="Times New Roman"/>
        </w:rPr>
        <w:t xml:space="preserve"> </w:t>
      </w:r>
    </w:p>
    <w:p w:rsidR="00D15816" w:rsidRPr="003742EE" w:rsidRDefault="00392300" w:rsidP="003778BF">
      <w:pPr>
        <w:pStyle w:val="Kop2"/>
        <w:spacing w:line="360" w:lineRule="auto"/>
        <w:jc w:val="both"/>
        <w:rPr>
          <w:rFonts w:asciiTheme="minorHAnsi" w:hAnsiTheme="minorHAnsi"/>
          <w:b w:val="0"/>
        </w:rPr>
      </w:pPr>
      <w:bookmarkStart w:id="52" w:name="_Toc489007266"/>
      <w:r>
        <w:rPr>
          <w:rFonts w:asciiTheme="minorHAnsi" w:hAnsiTheme="minorHAnsi"/>
          <w:b w:val="0"/>
        </w:rPr>
        <w:t xml:space="preserve">5.3 </w:t>
      </w:r>
      <w:r w:rsidR="00D15816" w:rsidRPr="003742EE">
        <w:rPr>
          <w:rFonts w:asciiTheme="minorHAnsi" w:hAnsiTheme="minorHAnsi"/>
          <w:b w:val="0"/>
        </w:rPr>
        <w:t>Interpretations of the results</w:t>
      </w:r>
      <w:bookmarkEnd w:id="52"/>
    </w:p>
    <w:p w:rsidR="00D15816" w:rsidRPr="003742EE" w:rsidRDefault="00D15816" w:rsidP="003778BF">
      <w:pPr>
        <w:spacing w:line="360" w:lineRule="auto"/>
        <w:jc w:val="both"/>
      </w:pPr>
      <w:r w:rsidRPr="003742EE">
        <w:t xml:space="preserve">Based on the idea that pressure from an international advocacy network is necessary </w:t>
      </w:r>
      <w:r w:rsidR="004C212F">
        <w:t xml:space="preserve">to persuade </w:t>
      </w:r>
      <w:r w:rsidRPr="003742EE">
        <w:t xml:space="preserve">a target state, the formulated hypotheses expected that the involvement of an international advocacy network would lead to a gradual change in domestic practices, and ultimately secession.  </w:t>
      </w:r>
      <w:r w:rsidR="004C212F">
        <w:tab/>
      </w:r>
      <w:r w:rsidR="004C212F">
        <w:tab/>
      </w:r>
      <w:r w:rsidRPr="003742EE">
        <w:t>The boomerang mechanisms consists of a five phase process</w:t>
      </w:r>
      <w:r w:rsidR="00327652">
        <w:t xml:space="preserve"> model</w:t>
      </w:r>
      <w:r w:rsidRPr="003742EE">
        <w:t xml:space="preserve">. In practice, the phases four and five were largely absent. Phase four and five can be considered the final stages of the process in which the domestic changes are accepted, implemented and internalized in the political framework. These phases are absent since this acceptance by Serbia has not taken place. Nonetheless the first three phases mainly characterize how pressure from the international community can lead to significant changes within the political structure of the region, which is what this study sought to set out. Completion of phase four and five can be considered a future prospect, and </w:t>
      </w:r>
      <w:r w:rsidR="00BC7CB6">
        <w:t xml:space="preserve">the </w:t>
      </w:r>
      <w:r w:rsidRPr="003742EE">
        <w:t>hope of the Kosovar</w:t>
      </w:r>
      <w:r w:rsidR="00BC7CB6">
        <w:t xml:space="preserve"> Albanian</w:t>
      </w:r>
      <w:r w:rsidRPr="003742EE">
        <w:t xml:space="preserve"> people. </w:t>
      </w:r>
      <w:r w:rsidR="004B2C46">
        <w:tab/>
      </w:r>
      <w:r w:rsidR="004B2C46">
        <w:tab/>
      </w:r>
      <w:r w:rsidR="004B2C46">
        <w:tab/>
      </w:r>
      <w:r w:rsidR="004B2C46">
        <w:tab/>
      </w:r>
      <w:r w:rsidR="004B2C46">
        <w:tab/>
      </w:r>
      <w:r w:rsidR="004B2C46">
        <w:tab/>
      </w:r>
      <w:r w:rsidR="004B2C46">
        <w:tab/>
      </w:r>
      <w:r w:rsidRPr="003742EE">
        <w:t xml:space="preserve">Moreover what can be concluded from the process as it unfolded in </w:t>
      </w:r>
      <w:r w:rsidR="00C0025C">
        <w:t>Kosovo</w:t>
      </w:r>
      <w:r w:rsidRPr="003742EE">
        <w:t xml:space="preserve"> is that a Tunisia-scenario occurred, as expected. In the methods section it was argued that secession is a rather turbulent process in itself, and is therefore not suitable for a smooth transition as the presented theory. Furthermore, it turned out that the phases are not as distinct as presented either. Serbia engaged at certain moments in argumentative behavior to find a proper solution, while they still explicitly expressed that it would deny Kosovo final status. The tactical concessions it made throughout the process also indicate that this is not fixed to a certain phase. </w:t>
      </w:r>
      <w:r w:rsidR="009C36F6">
        <w:tab/>
      </w:r>
      <w:r w:rsidR="009C36F6">
        <w:tab/>
      </w:r>
      <w:r w:rsidR="009C36F6">
        <w:lastRenderedPageBreak/>
        <w:tab/>
      </w:r>
      <w:r w:rsidRPr="003742EE">
        <w:t xml:space="preserve">Nevertheless, in more general terms the transition as presented in the theory is visible, be it through an obvious state of repression in the 1990’s, followed by an intervention and an ongoing state of denial expressed by Serbia. The media propaganda war shows how both camps accuse each other, instead of engaging in proper dialogue. Once negotiations started phase three was reached, and at some point in the negotiations one could argue that the phase of argumentative dialogue was present. This implies that involvement from the international community does direct change. Also the critique regarding the distinctiveness of the phases could be debunked by stating </w:t>
      </w:r>
      <w:r w:rsidR="00526A8C">
        <w:t>that the spiral model is not a</w:t>
      </w:r>
      <w:r w:rsidRPr="003742EE">
        <w:t xml:space="preserve"> single, continuous and linear process</w:t>
      </w:r>
      <w:r w:rsidR="00EF0D92">
        <w:t>. It rather is a model that develops in a non-linear manner.</w:t>
      </w:r>
      <w:r w:rsidRPr="003742EE">
        <w:t xml:space="preserve"> For instance, multiple negotiation processes have been described during the process. After the failure of every single settlement proposal, a setback to phase two occurred again, from which the parties start again. Therefore, it seems that the phases are blurred rather than distinct. The complexity of the whole dispute makes it less self-evident than it actually is. </w:t>
      </w:r>
      <w:r w:rsidR="00AD7352">
        <w:tab/>
      </w:r>
      <w:r w:rsidR="00AD7352">
        <w:tab/>
      </w:r>
      <w:r w:rsidR="00AD7352">
        <w:tab/>
      </w:r>
      <w:r w:rsidR="00AD7352">
        <w:tab/>
      </w:r>
      <w:r w:rsidRPr="003742EE">
        <w:t>The uniqueness of all secession cases does</w:t>
      </w:r>
      <w:r w:rsidR="009F4C70">
        <w:t xml:space="preserve"> influence the process outcomes</w:t>
      </w:r>
      <w:r w:rsidRPr="003742EE">
        <w:t xml:space="preserve"> in terms of progress, drawbacks and deadlocks. Overall however, it seems like the theoretical framework is plausible</w:t>
      </w:r>
      <w:r w:rsidR="009F4C70">
        <w:t xml:space="preserve"> and applicable to secession cases</w:t>
      </w:r>
      <w:r w:rsidRPr="003742EE">
        <w:t xml:space="preserve">. Its functioning and expectations have become evident to a large extent, in a case which can be considered to be unique in its complexity and difficulty. This provides confidence for its applicability to other cases of secession. What should not be underestimated though, is the importance of a vulnerable target state. Serbia did not come across as vulnerable at all during the negotiations, which strongly diminished the credibility and effectiveness of the network. It turned out that the effectiveness of pressure, no matter what political strategy employed, is marginal if the target state is not vulnerable. </w:t>
      </w:r>
    </w:p>
    <w:p w:rsidR="00D15816" w:rsidRPr="003742EE" w:rsidRDefault="00392300" w:rsidP="003778BF">
      <w:pPr>
        <w:pStyle w:val="Kop2"/>
        <w:spacing w:line="360" w:lineRule="auto"/>
        <w:jc w:val="both"/>
        <w:rPr>
          <w:rFonts w:asciiTheme="minorHAnsi" w:hAnsiTheme="minorHAnsi"/>
          <w:b w:val="0"/>
        </w:rPr>
      </w:pPr>
      <w:bookmarkStart w:id="53" w:name="_Toc489007267"/>
      <w:r>
        <w:rPr>
          <w:rFonts w:asciiTheme="minorHAnsi" w:hAnsiTheme="minorHAnsi"/>
          <w:b w:val="0"/>
        </w:rPr>
        <w:t xml:space="preserve">5.4 </w:t>
      </w:r>
      <w:r w:rsidR="00D15816" w:rsidRPr="003742EE">
        <w:rPr>
          <w:rFonts w:asciiTheme="minorHAnsi" w:hAnsiTheme="minorHAnsi"/>
          <w:b w:val="0"/>
        </w:rPr>
        <w:t>Validity of the results</w:t>
      </w:r>
      <w:bookmarkEnd w:id="53"/>
      <w:r w:rsidR="00D15816" w:rsidRPr="003742EE">
        <w:rPr>
          <w:rFonts w:asciiTheme="minorHAnsi" w:hAnsiTheme="minorHAnsi"/>
          <w:b w:val="0"/>
        </w:rPr>
        <w:t xml:space="preserve"> </w:t>
      </w:r>
    </w:p>
    <w:p w:rsidR="00D15816" w:rsidRPr="003742EE" w:rsidRDefault="00D15816" w:rsidP="003778BF">
      <w:pPr>
        <w:spacing w:line="360" w:lineRule="auto"/>
        <w:jc w:val="both"/>
      </w:pPr>
      <w:r w:rsidRPr="003742EE">
        <w:t>In terms of significance one could argue that the process has not been fully completed, thus the results are far from valid</w:t>
      </w:r>
      <w:r w:rsidR="00011AB0">
        <w:t xml:space="preserve"> since it is hard to make concluding statements regarding an ongoing process</w:t>
      </w:r>
      <w:r w:rsidRPr="003742EE">
        <w:t xml:space="preserve">. Though, this in-depth case analysis does show significant results in terms of changes in domestic practices due to advocacy network interventions. Furthermore, the critique of non-completion can be dismissed due to the fact that the whole process is still in progress. In addition, completion of phases four and five were not part of the specific scope of this research. The in-depth case study has not only increased the internal validity of the results, but has also set out the complexity of this specific case. Despite of this complexity specific changes during the progress have become visible, which enhances the validity of the theory and the results found. The external validity is rather low however, since the results cannot be generalized to many other secession cases. The complexity and uniqueness of every secession process simply does not allow for the Kosovo case to act as an example for other cases. Although this case can be, to a certain extent, comparted to other </w:t>
      </w:r>
      <w:r w:rsidRPr="003742EE">
        <w:lastRenderedPageBreak/>
        <w:t xml:space="preserve">secession processes in the former Yugoslavia and former Soviet bloc, due to the shared historical context, </w:t>
      </w:r>
      <w:r w:rsidR="00A91CCB">
        <w:t xml:space="preserve">and </w:t>
      </w:r>
      <w:r w:rsidRPr="003742EE">
        <w:t xml:space="preserve">geographic and demographic similarities. </w:t>
      </w:r>
    </w:p>
    <w:p w:rsidR="00D15816" w:rsidRPr="003742EE" w:rsidRDefault="00392300" w:rsidP="003778BF">
      <w:pPr>
        <w:pStyle w:val="Kop2"/>
        <w:spacing w:line="360" w:lineRule="auto"/>
        <w:jc w:val="both"/>
        <w:rPr>
          <w:rFonts w:asciiTheme="minorHAnsi" w:hAnsiTheme="minorHAnsi"/>
          <w:b w:val="0"/>
        </w:rPr>
      </w:pPr>
      <w:bookmarkStart w:id="54" w:name="_Toc489007268"/>
      <w:r>
        <w:rPr>
          <w:rFonts w:asciiTheme="minorHAnsi" w:hAnsiTheme="minorHAnsi"/>
          <w:b w:val="0"/>
        </w:rPr>
        <w:t xml:space="preserve">5.5 </w:t>
      </w:r>
      <w:r w:rsidR="00D15816" w:rsidRPr="003742EE">
        <w:rPr>
          <w:rFonts w:asciiTheme="minorHAnsi" w:hAnsiTheme="minorHAnsi"/>
          <w:b w:val="0"/>
        </w:rPr>
        <w:t>Limitations of theory</w:t>
      </w:r>
      <w:bookmarkEnd w:id="54"/>
    </w:p>
    <w:p w:rsidR="00D15816" w:rsidRPr="003742EE" w:rsidRDefault="00D15816" w:rsidP="003778BF">
      <w:pPr>
        <w:spacing w:line="360" w:lineRule="auto"/>
        <w:jc w:val="both"/>
      </w:pPr>
      <w:r w:rsidRPr="003742EE">
        <w:t>In terms of theoretical implications, one could question if the boomerang model is a good fit to secession tendencies. Whereas the theory focusses on domestic change and internalization within the target state, successful secession presents itself through external recognition and internalization. This does not mean that the target state’s interests</w:t>
      </w:r>
      <w:r w:rsidR="00C21FA7">
        <w:t xml:space="preserve"> regarding </w:t>
      </w:r>
      <w:r w:rsidR="00510C72">
        <w:t>recognition</w:t>
      </w:r>
      <w:r w:rsidR="00D73B3A">
        <w:t xml:space="preserve"> are of non-importance, </w:t>
      </w:r>
      <w:r w:rsidRPr="003742EE">
        <w:t>it is</w:t>
      </w:r>
      <w:r w:rsidR="00D73B3A">
        <w:t xml:space="preserve"> just</w:t>
      </w:r>
      <w:r w:rsidRPr="003742EE">
        <w:t xml:space="preserve"> not necessary for successful secession to occur. This makes an approach of rigor theory-testing applied to secession cases rather difficult. However, this study pursued a more case-centric approach for which this theory has been a good fit. </w:t>
      </w:r>
      <w:r w:rsidR="00AD7352">
        <w:tab/>
      </w:r>
      <w:r w:rsidR="00AD7352">
        <w:tab/>
      </w:r>
      <w:r w:rsidR="00AD7352">
        <w:tab/>
      </w:r>
      <w:r w:rsidR="00AD7352">
        <w:tab/>
      </w:r>
      <w:r w:rsidR="00AD7352">
        <w:tab/>
      </w:r>
      <w:r w:rsidR="00AD7352">
        <w:tab/>
      </w:r>
      <w:r w:rsidR="00AD7352">
        <w:tab/>
      </w:r>
      <w:r w:rsidRPr="003742EE">
        <w:t xml:space="preserve">Another implication that should not be neglected is the effectivity of the theory and its aims. The theory presents four different strategies of political engagement. These strategies can be employed in order to pressurize the target state. What the theory fails to take into account however, is the strength of the opposing actor. As it turned out, change occurs when the target state becomes vulnerable to the pressure. The theory extensively sets out that those strategies can be employed </w:t>
      </w:r>
      <w:r w:rsidR="00535248">
        <w:t>to increase this pressure, resulting in</w:t>
      </w:r>
      <w:r w:rsidRPr="003742EE">
        <w:t xml:space="preserve"> a more vulnerable target state. However, the target state’s perspective and situation is not included in the theoretical assumptions. By extending phase one with a more in-depth evaluation of the target state, this would enable one to better set out the theoretical expectations of the model. As presented now, the theory assumes that an advocacy network is per definition able to enforce change in domestic political practices, if it pursues the defined phases. </w:t>
      </w:r>
      <w:r w:rsidR="009812E4">
        <w:t>Moreover, the theory fails to link the strategies one can employ to the target state. As this research has shown, Serbia engaged in strategic politics as well in order to defend itself against foreign pressure.</w:t>
      </w:r>
      <w:r w:rsidR="00535248">
        <w:tab/>
      </w:r>
      <w:r w:rsidR="00535248">
        <w:tab/>
      </w:r>
      <w:r w:rsidR="00535248">
        <w:tab/>
      </w:r>
      <w:r w:rsidR="00535248">
        <w:tab/>
      </w:r>
      <w:r w:rsidR="00535248">
        <w:tab/>
      </w:r>
      <w:r w:rsidR="00535248">
        <w:tab/>
      </w:r>
      <w:r w:rsidR="00535248">
        <w:tab/>
      </w:r>
      <w:r w:rsidR="00535248">
        <w:tab/>
      </w:r>
      <w:r w:rsidR="00535248">
        <w:tab/>
      </w:r>
      <w:r w:rsidR="00535248">
        <w:tab/>
      </w:r>
      <w:r w:rsidRPr="003742EE">
        <w:t xml:space="preserve">Furthermore, the theory presents successful secession as de jure partition. This is poorly defined and diminishes the significance of the outcome. Successful secession as defined in this research is not fully in line with phase five of the theory. Full internalization of the changes implies that the changes are fully excepted and also acted upon. One can agree that this is not the case with the Kosovar secession, since this is still contested by multiple parties. From the perception of de jure partition however, one can make a case for Kosovo as a successful secession process. Kosovo is by many international actors recognized as an independent and sovereign state, and functions as one. This ambiguity is a minor limitation to the study. </w:t>
      </w:r>
    </w:p>
    <w:p w:rsidR="00D15816" w:rsidRPr="003742EE" w:rsidRDefault="00392300" w:rsidP="003778BF">
      <w:pPr>
        <w:pStyle w:val="Kop2"/>
        <w:spacing w:line="360" w:lineRule="auto"/>
        <w:jc w:val="both"/>
        <w:rPr>
          <w:rFonts w:asciiTheme="minorHAnsi" w:hAnsiTheme="minorHAnsi"/>
          <w:b w:val="0"/>
        </w:rPr>
      </w:pPr>
      <w:bookmarkStart w:id="55" w:name="_Toc489007269"/>
      <w:r>
        <w:rPr>
          <w:rFonts w:asciiTheme="minorHAnsi" w:hAnsiTheme="minorHAnsi"/>
          <w:b w:val="0"/>
        </w:rPr>
        <w:lastRenderedPageBreak/>
        <w:t xml:space="preserve">5.6 </w:t>
      </w:r>
      <w:r w:rsidR="00D15816" w:rsidRPr="003742EE">
        <w:rPr>
          <w:rFonts w:asciiTheme="minorHAnsi" w:hAnsiTheme="minorHAnsi"/>
          <w:b w:val="0"/>
        </w:rPr>
        <w:t>Future recommendations</w:t>
      </w:r>
      <w:bookmarkEnd w:id="55"/>
    </w:p>
    <w:p w:rsidR="00D15816" w:rsidRPr="003742EE" w:rsidRDefault="00D15816" w:rsidP="003778BF">
      <w:pPr>
        <w:spacing w:line="360" w:lineRule="auto"/>
        <w:jc w:val="both"/>
      </w:pPr>
      <w:r w:rsidRPr="003742EE">
        <w:t xml:space="preserve">What has become evident in the post-recognition years is that the dispute has not been solved yet. Depending on the outcome of the process, it would be compelling to build upon this research once a final outcome concludes the dispute. What has been accomplishes so far is that the involvement of an international advocacy network in the Kosovar secession process  has been demonstrated, as well as the results it produced and the advantages of the network. What cannot be demonstrated at this point in time though is whether or not pressure from the international network will result in the successful completion of secession. </w:t>
      </w:r>
      <w:r w:rsidR="00366F6E">
        <w:tab/>
      </w:r>
      <w:r w:rsidR="00366F6E">
        <w:tab/>
      </w:r>
      <w:r w:rsidR="00366F6E">
        <w:tab/>
      </w:r>
      <w:r w:rsidR="00366F6E">
        <w:tab/>
      </w:r>
      <w:r w:rsidR="00366F6E">
        <w:tab/>
      </w:r>
      <w:r w:rsidR="00366F6E">
        <w:tab/>
      </w:r>
      <w:r w:rsidR="00366F6E">
        <w:tab/>
      </w:r>
      <w:r w:rsidR="00366F6E">
        <w:tab/>
      </w:r>
      <w:r w:rsidR="00366F6E">
        <w:tab/>
      </w:r>
      <w:r w:rsidRPr="003742EE">
        <w:t xml:space="preserve">What can be drawn from this study as well, is the importance of the four different strategies which can be employed by the actors. An interesting future approach might me to focus on these strategies and assess the extent to which these strategies are effective for the advocacy network, and how their utility can be maximized. Results of this assessment may give better insights in the types of involvements international actors can engage in, and how these strategies can be beneficial in different stages of the process. </w:t>
      </w:r>
      <w:r w:rsidR="00366F6E">
        <w:tab/>
      </w:r>
      <w:r w:rsidR="00366F6E">
        <w:tab/>
      </w:r>
      <w:r w:rsidR="00366F6E">
        <w:tab/>
      </w:r>
      <w:r w:rsidR="00366F6E">
        <w:tab/>
      </w:r>
      <w:r w:rsidR="00366F6E">
        <w:tab/>
      </w:r>
      <w:r w:rsidR="00366F6E">
        <w:tab/>
      </w:r>
      <w:r w:rsidR="00366F6E">
        <w:tab/>
      </w:r>
      <w:r w:rsidR="00366F6E">
        <w:tab/>
      </w:r>
      <w:r w:rsidR="00366F6E">
        <w:tab/>
      </w:r>
      <w:r w:rsidRPr="003742EE">
        <w:t xml:space="preserve">A future aim may also concern the assessment of the important role of the European Union in the process regarding final status for Kosovo. Whereas recognition of Kosovo’s final status by a growing amount of nations may provide future leverage for further negotiations, Serbia’s request to become part of the EU may be the most important trump the network has for future negotiations. </w:t>
      </w:r>
      <w:r w:rsidR="00D84B85">
        <w:t xml:space="preserve">The EU is only willing to except Serbia as a member state if Serbia recognizes Kosovo as an independent state. </w:t>
      </w:r>
      <w:r w:rsidR="00366F6E">
        <w:tab/>
      </w:r>
      <w:r w:rsidR="00366F6E">
        <w:tab/>
      </w:r>
      <w:r w:rsidR="00366F6E">
        <w:tab/>
      </w:r>
      <w:r w:rsidR="00366F6E">
        <w:tab/>
      </w:r>
      <w:r w:rsidR="00366F6E">
        <w:tab/>
      </w:r>
      <w:r w:rsidR="00366F6E">
        <w:tab/>
      </w:r>
      <w:r w:rsidR="00366F6E">
        <w:tab/>
      </w:r>
      <w:r w:rsidR="00366F6E">
        <w:tab/>
      </w:r>
      <w:r w:rsidR="00366F6E">
        <w:tab/>
      </w:r>
      <w:r w:rsidR="00366F6E">
        <w:tab/>
      </w:r>
      <w:r w:rsidRPr="003742EE">
        <w:t>Whatever the aim of future research on secession and international involvement will be. The approach and results presented in this research provide for a rather interesting perspective on the role of international advocacy networks in secession processes, and can be used as a possible f</w:t>
      </w:r>
      <w:r w:rsidR="00F84E8F">
        <w:t xml:space="preserve">oundation for future research, but also for useful future insights in complex bargaining processes. </w:t>
      </w:r>
    </w:p>
    <w:p w:rsidR="00D15816" w:rsidRPr="003742EE" w:rsidRDefault="00392300" w:rsidP="003778BF">
      <w:pPr>
        <w:pStyle w:val="Kop2"/>
        <w:spacing w:line="360" w:lineRule="auto"/>
        <w:jc w:val="both"/>
        <w:rPr>
          <w:rFonts w:asciiTheme="minorHAnsi" w:hAnsiTheme="minorHAnsi"/>
          <w:b w:val="0"/>
        </w:rPr>
      </w:pPr>
      <w:bookmarkStart w:id="56" w:name="_Toc489007270"/>
      <w:r>
        <w:rPr>
          <w:rFonts w:asciiTheme="minorHAnsi" w:hAnsiTheme="minorHAnsi"/>
          <w:b w:val="0"/>
        </w:rPr>
        <w:t xml:space="preserve">5.7 </w:t>
      </w:r>
      <w:r w:rsidR="00D15816" w:rsidRPr="003742EE">
        <w:rPr>
          <w:rFonts w:asciiTheme="minorHAnsi" w:hAnsiTheme="minorHAnsi"/>
          <w:b w:val="0"/>
        </w:rPr>
        <w:t>Implications</w:t>
      </w:r>
      <w:bookmarkEnd w:id="56"/>
    </w:p>
    <w:p w:rsidR="00026E23" w:rsidRDefault="00D15816" w:rsidP="003778BF">
      <w:pPr>
        <w:spacing w:line="360" w:lineRule="auto"/>
        <w:jc w:val="both"/>
      </w:pPr>
      <w:r w:rsidRPr="003742EE">
        <w:t xml:space="preserve">In short, it has become evident that an international advocacy network, under the right conditions, can generate change in domestic state practices. Yet, its effect </w:t>
      </w:r>
      <w:r w:rsidR="001C1B47">
        <w:t>is dependent on the strategy ado</w:t>
      </w:r>
      <w:r w:rsidRPr="003742EE">
        <w:t xml:space="preserve">pted as well as vulnerability of the target state. Globalization processes and the rise of global governance has strongly empowered international advocacy networks as presented here. However, one has to keep in mind that it can also strengthen an opposition bloc. This implies that pressure on a target state in fact incorporates more than just a force of pressure to </w:t>
      </w:r>
      <w:r w:rsidR="00DE4BCB">
        <w:t>one single state</w:t>
      </w:r>
      <w:r w:rsidRPr="003742EE">
        <w:t xml:space="preserve">. It (in)directly affects other states and actors as well. </w:t>
      </w:r>
      <w:r w:rsidR="00E7391B">
        <w:tab/>
      </w:r>
      <w:r w:rsidR="00E7391B">
        <w:tab/>
      </w:r>
      <w:r w:rsidR="00E7391B">
        <w:tab/>
      </w:r>
      <w:r w:rsidR="00E7391B">
        <w:tab/>
      </w:r>
      <w:r w:rsidR="00E7391B">
        <w:tab/>
      </w:r>
      <w:r w:rsidR="00E7391B">
        <w:tab/>
      </w:r>
      <w:r w:rsidR="00E7391B">
        <w:tab/>
      </w:r>
      <w:r w:rsidR="00E7391B">
        <w:tab/>
      </w:r>
      <w:r w:rsidR="00E7391B">
        <w:tab/>
      </w:r>
      <w:r w:rsidRPr="003742EE">
        <w:t xml:space="preserve">Another implication is </w:t>
      </w:r>
      <w:r w:rsidR="001C1B47">
        <w:t xml:space="preserve">the </w:t>
      </w:r>
      <w:r w:rsidRPr="003742EE">
        <w:t xml:space="preserve">network itself. As one may have noticed in this research, the network is presented as one single unit, with an overall collective goal. However, in practice there </w:t>
      </w:r>
      <w:r w:rsidRPr="003742EE">
        <w:lastRenderedPageBreak/>
        <w:t xml:space="preserve">might be some differences in the advocacy network, resulting in a difference in strength. The composition, amplitude and functioning of the network affects its </w:t>
      </w:r>
      <w:r w:rsidR="00E26EA3">
        <w:t>prospects for</w:t>
      </w:r>
      <w:r w:rsidRPr="003742EE">
        <w:t xml:space="preserve"> generating change. Therefore, o</w:t>
      </w:r>
      <w:r w:rsidR="00004360">
        <w:t>ne could argue that successful</w:t>
      </w:r>
      <w:r w:rsidRPr="003742EE">
        <w:t xml:space="preserve"> change of domestic practices is not only dependent on the process and strategies employed, but also on the potential of the network. </w:t>
      </w:r>
      <w:r w:rsidR="001C1B47">
        <w:tab/>
      </w:r>
      <w:r w:rsidR="001C1B47">
        <w:tab/>
      </w:r>
      <w:r w:rsidR="001C1B47">
        <w:tab/>
      </w:r>
      <w:r w:rsidR="001C1B47">
        <w:tab/>
      </w:r>
      <w:r w:rsidR="00004360">
        <w:t xml:space="preserve">Moreover, this specific approach has shown its additional value compared to </w:t>
      </w:r>
      <w:r w:rsidR="0083385E">
        <w:t>other theoretical perspectives on secession tendencies.</w:t>
      </w:r>
      <w:r w:rsidR="00894E10">
        <w:t xml:space="preserve"> Previously, scholars applied one theoretical approach for their assessment of secession. This study has shown that the complex nature of secession asks for a more eclectic approach in which the role of institutions, shared norms and principles, but also material interests are incorporated. </w:t>
      </w:r>
      <w:r w:rsidR="003D376D">
        <w:t>This all</w:t>
      </w:r>
      <w:r w:rsidR="00930FA0">
        <w:t xml:space="preserve">ows for a more complete insight in the process </w:t>
      </w:r>
      <w:r w:rsidR="003D376D">
        <w:t>of secession, which may be useful for</w:t>
      </w:r>
      <w:r w:rsidR="00B21A58">
        <w:t xml:space="preserve"> the assessment of</w:t>
      </w:r>
      <w:r w:rsidR="003D376D">
        <w:t xml:space="preserve"> every, unique secession process</w:t>
      </w:r>
      <w:r w:rsidR="00F155C5">
        <w:t>.</w:t>
      </w:r>
      <w:r w:rsidR="00C9711B">
        <w:tab/>
      </w:r>
      <w:r w:rsidRPr="003742EE">
        <w:t>Kosovo largely depends on the support of the international community. Although it cannot be significantly proved that due to this international involvement Kosovo in the future will become a fully recognized independent state, the international support has provided  the Kosovar people with hope and prospects.</w:t>
      </w:r>
    </w:p>
    <w:p w:rsidR="00D15816" w:rsidRPr="003742EE" w:rsidRDefault="00D15816" w:rsidP="00073EC6">
      <w:r w:rsidRPr="003742EE">
        <w:br w:type="page"/>
      </w:r>
    </w:p>
    <w:p w:rsidR="00D15816" w:rsidRPr="006909AA" w:rsidRDefault="00D15816" w:rsidP="006909AA">
      <w:pPr>
        <w:pStyle w:val="Kop1"/>
        <w:rPr>
          <w:rFonts w:asciiTheme="minorHAnsi" w:hAnsiTheme="minorHAnsi"/>
          <w:b w:val="0"/>
        </w:rPr>
      </w:pPr>
      <w:bookmarkStart w:id="57" w:name="_Toc489007271"/>
      <w:r w:rsidRPr="006909AA">
        <w:rPr>
          <w:rFonts w:asciiTheme="minorHAnsi" w:hAnsiTheme="minorHAnsi"/>
          <w:b w:val="0"/>
        </w:rPr>
        <w:lastRenderedPageBreak/>
        <w:t>Literature</w:t>
      </w:r>
      <w:bookmarkEnd w:id="57"/>
    </w:p>
    <w:p w:rsidR="00D15816" w:rsidRPr="003742EE" w:rsidRDefault="00D15816" w:rsidP="003778BF">
      <w:pPr>
        <w:spacing w:line="360" w:lineRule="auto"/>
        <w:jc w:val="both"/>
      </w:pPr>
      <w:proofErr w:type="spellStart"/>
      <w:r w:rsidRPr="003742EE">
        <w:t>Ahmetaj</w:t>
      </w:r>
      <w:proofErr w:type="spellEnd"/>
      <w:r w:rsidRPr="003742EE">
        <w:t>, N. Personal communication. May 31, 2017.</w:t>
      </w:r>
    </w:p>
    <w:p w:rsidR="00D15816" w:rsidRPr="003742EE" w:rsidRDefault="00D15816" w:rsidP="003778BF">
      <w:pPr>
        <w:spacing w:line="360" w:lineRule="auto"/>
        <w:jc w:val="both"/>
        <w:rPr>
          <w:rFonts w:cs="Times New Roman"/>
          <w:shd w:val="clear" w:color="auto" w:fill="FFFFFF"/>
        </w:rPr>
      </w:pPr>
      <w:proofErr w:type="spellStart"/>
      <w:r w:rsidRPr="003742EE">
        <w:rPr>
          <w:rFonts w:cs="Times New Roman"/>
          <w:shd w:val="clear" w:color="auto" w:fill="FFFFFF"/>
        </w:rPr>
        <w:t>Aichele</w:t>
      </w:r>
      <w:proofErr w:type="spellEnd"/>
      <w:r w:rsidRPr="003742EE">
        <w:rPr>
          <w:rFonts w:cs="Times New Roman"/>
          <w:shd w:val="clear" w:color="auto" w:fill="FFFFFF"/>
        </w:rPr>
        <w:t xml:space="preserve">, R., &amp; </w:t>
      </w:r>
      <w:proofErr w:type="spellStart"/>
      <w:r w:rsidRPr="003742EE">
        <w:rPr>
          <w:rFonts w:cs="Times New Roman"/>
          <w:shd w:val="clear" w:color="auto" w:fill="FFFFFF"/>
        </w:rPr>
        <w:t>Felbermayr</w:t>
      </w:r>
      <w:proofErr w:type="spellEnd"/>
      <w:r w:rsidRPr="003742EE">
        <w:rPr>
          <w:rFonts w:cs="Times New Roman"/>
          <w:shd w:val="clear" w:color="auto" w:fill="FFFFFF"/>
        </w:rPr>
        <w:t xml:space="preserve">, G. (2013). The effect of the </w:t>
      </w:r>
      <w:proofErr w:type="spellStart"/>
      <w:r w:rsidRPr="003742EE">
        <w:rPr>
          <w:rFonts w:cs="Times New Roman"/>
          <w:shd w:val="clear" w:color="auto" w:fill="FFFFFF"/>
        </w:rPr>
        <w:t>kyoto</w:t>
      </w:r>
      <w:proofErr w:type="spellEnd"/>
      <w:r w:rsidRPr="003742EE">
        <w:rPr>
          <w:rFonts w:cs="Times New Roman"/>
          <w:shd w:val="clear" w:color="auto" w:fill="FFFFFF"/>
        </w:rPr>
        <w:t xml:space="preserve"> protocol on carbon emissions.</w:t>
      </w:r>
      <w:r w:rsidRPr="003742EE">
        <w:rPr>
          <w:rStyle w:val="apple-converted-space"/>
          <w:rFonts w:cs="Times New Roman"/>
          <w:color w:val="222222"/>
          <w:shd w:val="clear" w:color="auto" w:fill="FFFFFF"/>
        </w:rPr>
        <w:t> </w:t>
      </w:r>
      <w:r w:rsidRPr="003742EE">
        <w:rPr>
          <w:rFonts w:cs="Times New Roman"/>
          <w:i/>
          <w:iCs/>
          <w:shd w:val="clear" w:color="auto" w:fill="FFFFFF"/>
        </w:rPr>
        <w:t>Journal of Policy Analysis and Management</w:t>
      </w:r>
      <w:r w:rsidRPr="003742EE">
        <w:rPr>
          <w:rFonts w:cs="Times New Roman"/>
          <w:shd w:val="clear" w:color="auto" w:fill="FFFFFF"/>
        </w:rPr>
        <w:t>,</w:t>
      </w:r>
      <w:r w:rsidRPr="003742EE">
        <w:rPr>
          <w:rStyle w:val="apple-converted-space"/>
          <w:rFonts w:cs="Times New Roman"/>
          <w:color w:val="222222"/>
          <w:shd w:val="clear" w:color="auto" w:fill="FFFFFF"/>
        </w:rPr>
        <w:t> </w:t>
      </w:r>
      <w:r w:rsidRPr="003742EE">
        <w:rPr>
          <w:rFonts w:cs="Times New Roman"/>
          <w:i/>
          <w:iCs/>
          <w:shd w:val="clear" w:color="auto" w:fill="FFFFFF"/>
        </w:rPr>
        <w:t>32</w:t>
      </w:r>
      <w:r w:rsidRPr="003742EE">
        <w:rPr>
          <w:rFonts w:cs="Times New Roman"/>
          <w:shd w:val="clear" w:color="auto" w:fill="FFFFFF"/>
        </w:rPr>
        <w:t>(4), 731-757.</w:t>
      </w:r>
    </w:p>
    <w:p w:rsidR="00D15816" w:rsidRPr="003742EE" w:rsidRDefault="00D15816" w:rsidP="003778BF">
      <w:pPr>
        <w:spacing w:line="360" w:lineRule="auto"/>
        <w:jc w:val="both"/>
        <w:rPr>
          <w:rFonts w:eastAsia="Times New Roman" w:cs="Times New Roman"/>
          <w:lang w:eastAsia="nl-NL"/>
        </w:rPr>
      </w:pPr>
      <w:r w:rsidRPr="003742EE">
        <w:rPr>
          <w:rFonts w:cs="Times New Roman"/>
          <w:shd w:val="clear" w:color="auto" w:fill="FFFFFF"/>
        </w:rPr>
        <w:t>Armijo, L. E. (2007). The BRICs countries (Brazil, Russia, India, and China) as analytical category: mirage or insight?.</w:t>
      </w:r>
      <w:r w:rsidRPr="003742EE">
        <w:rPr>
          <w:rStyle w:val="apple-converted-space"/>
          <w:rFonts w:cs="Times New Roman"/>
          <w:shd w:val="clear" w:color="auto" w:fill="FFFFFF"/>
        </w:rPr>
        <w:t> </w:t>
      </w:r>
      <w:r w:rsidRPr="003742EE">
        <w:rPr>
          <w:rFonts w:cs="Times New Roman"/>
          <w:i/>
          <w:iCs/>
          <w:shd w:val="clear" w:color="auto" w:fill="FFFFFF"/>
        </w:rPr>
        <w:t>Asian perspective</w:t>
      </w:r>
      <w:r w:rsidRPr="003742EE">
        <w:rPr>
          <w:rFonts w:cs="Times New Roman"/>
          <w:shd w:val="clear" w:color="auto" w:fill="FFFFFF"/>
        </w:rPr>
        <w:t xml:space="preserve">, 7-42. </w:t>
      </w:r>
    </w:p>
    <w:p w:rsidR="00D15816" w:rsidRPr="003742EE" w:rsidRDefault="00D15816" w:rsidP="003778BF">
      <w:pPr>
        <w:spacing w:line="360" w:lineRule="auto"/>
        <w:jc w:val="both"/>
        <w:rPr>
          <w:rStyle w:val="Hyperlink"/>
        </w:rPr>
      </w:pPr>
      <w:r w:rsidRPr="003742EE">
        <w:t>Assembly-</w:t>
      </w:r>
      <w:proofErr w:type="spellStart"/>
      <w:r w:rsidRPr="003742EE">
        <w:t>Kosova</w:t>
      </w:r>
      <w:proofErr w:type="spellEnd"/>
      <w:r w:rsidRPr="003742EE">
        <w:t xml:space="preserve"> (2008). </w:t>
      </w:r>
      <w:r w:rsidRPr="003742EE">
        <w:rPr>
          <w:i/>
        </w:rPr>
        <w:t>Kosovo Declaration of Independence.</w:t>
      </w:r>
      <w:r w:rsidRPr="003742EE">
        <w:t xml:space="preserve"> </w:t>
      </w:r>
      <w:hyperlink r:id="rId12" w:history="1">
        <w:r w:rsidRPr="003742EE">
          <w:rPr>
            <w:rStyle w:val="Hyperlink"/>
          </w:rPr>
          <w:t>http://www.assembly-kosova.org/common/docs/Dek_Pav_e.pdf</w:t>
        </w:r>
      </w:hyperlink>
    </w:p>
    <w:p w:rsidR="00D15816" w:rsidRPr="003742EE" w:rsidRDefault="00D15816" w:rsidP="003778BF">
      <w:pPr>
        <w:spacing w:line="360" w:lineRule="auto"/>
        <w:jc w:val="both"/>
        <w:rPr>
          <w:rFonts w:cs="Times New Roman"/>
          <w:shd w:val="clear" w:color="auto" w:fill="FFFFFF"/>
        </w:rPr>
      </w:pPr>
      <w:r w:rsidRPr="003742EE">
        <w:rPr>
          <w:rFonts w:cs="Times New Roman"/>
          <w:shd w:val="clear" w:color="auto" w:fill="FFFFFF"/>
        </w:rPr>
        <w:t xml:space="preserve">Baskin, M., &amp; Pickering, P. (2014). Former Yugoslavia and Its Successors. In S. L. </w:t>
      </w:r>
      <w:proofErr w:type="spellStart"/>
      <w:r w:rsidRPr="003742EE">
        <w:rPr>
          <w:rFonts w:cs="Times New Roman"/>
          <w:shd w:val="clear" w:color="auto" w:fill="FFFFFF"/>
        </w:rPr>
        <w:t>Wolchik</w:t>
      </w:r>
      <w:proofErr w:type="spellEnd"/>
      <w:r w:rsidRPr="003742EE">
        <w:rPr>
          <w:rFonts w:cs="Times New Roman"/>
          <w:shd w:val="clear" w:color="auto" w:fill="FFFFFF"/>
        </w:rPr>
        <w:t>, &amp; J. L. Curry (Eds.). (2014).</w:t>
      </w:r>
      <w:r w:rsidRPr="003742EE">
        <w:rPr>
          <w:rStyle w:val="apple-converted-space"/>
          <w:rFonts w:cs="Times New Roman"/>
          <w:color w:val="222222"/>
          <w:shd w:val="clear" w:color="auto" w:fill="FFFFFF"/>
        </w:rPr>
        <w:t> </w:t>
      </w:r>
      <w:r w:rsidRPr="003742EE">
        <w:rPr>
          <w:rFonts w:cs="Times New Roman"/>
          <w:i/>
          <w:iCs/>
          <w:shd w:val="clear" w:color="auto" w:fill="FFFFFF"/>
        </w:rPr>
        <w:t>Central and East European politics: From communism to democracy</w:t>
      </w:r>
      <w:r w:rsidRPr="003742EE">
        <w:rPr>
          <w:rFonts w:cs="Times New Roman"/>
          <w:shd w:val="clear" w:color="auto" w:fill="FFFFFF"/>
        </w:rPr>
        <w:t>. Rowman &amp; Littlefield.</w:t>
      </w:r>
    </w:p>
    <w:p w:rsidR="00D15816" w:rsidRPr="003742EE" w:rsidRDefault="00D15816" w:rsidP="003778BF">
      <w:pPr>
        <w:spacing w:line="360" w:lineRule="auto"/>
        <w:jc w:val="both"/>
        <w:rPr>
          <w:rFonts w:cs="Times New Roman"/>
          <w:shd w:val="clear" w:color="auto" w:fill="FFFFFF"/>
        </w:rPr>
      </w:pPr>
      <w:r w:rsidRPr="003742EE">
        <w:rPr>
          <w:rFonts w:cs="Times New Roman"/>
          <w:shd w:val="clear" w:color="auto" w:fill="FFFFFF"/>
        </w:rPr>
        <w:t>Beach, D., &amp; Pedersen, R. B. (2013).</w:t>
      </w:r>
      <w:r w:rsidRPr="003742EE">
        <w:rPr>
          <w:rStyle w:val="apple-converted-space"/>
          <w:rFonts w:cs="Times New Roman"/>
          <w:shd w:val="clear" w:color="auto" w:fill="FFFFFF"/>
        </w:rPr>
        <w:t> </w:t>
      </w:r>
      <w:r w:rsidRPr="003742EE">
        <w:rPr>
          <w:rFonts w:cs="Times New Roman"/>
          <w:i/>
          <w:iCs/>
          <w:shd w:val="clear" w:color="auto" w:fill="FFFFFF"/>
        </w:rPr>
        <w:t>Process-tracing methods: Foundations and guidelines</w:t>
      </w:r>
      <w:r w:rsidRPr="003742EE">
        <w:rPr>
          <w:rFonts w:cs="Times New Roman"/>
          <w:shd w:val="clear" w:color="auto" w:fill="FFFFFF"/>
        </w:rPr>
        <w:t xml:space="preserve"> (Chapter 1 &amp; 2). University of Michigan Press.</w:t>
      </w:r>
    </w:p>
    <w:p w:rsidR="00D15816" w:rsidRPr="003742EE" w:rsidRDefault="00D15816" w:rsidP="003778BF">
      <w:pPr>
        <w:spacing w:line="360" w:lineRule="auto"/>
        <w:jc w:val="both"/>
        <w:rPr>
          <w:rStyle w:val="Hyperlink"/>
          <w:rFonts w:cs="Times New Roman"/>
        </w:rPr>
      </w:pPr>
      <w:r w:rsidRPr="003742EE">
        <w:rPr>
          <w:rFonts w:cs="Times New Roman"/>
        </w:rPr>
        <w:t xml:space="preserve">Be in Kosovo (2017). Countries that have recognized Kosovo as an independent state. Retrieved from </w:t>
      </w:r>
      <w:hyperlink r:id="rId13" w:history="1">
        <w:r w:rsidRPr="003742EE">
          <w:rPr>
            <w:rStyle w:val="Hyperlink"/>
            <w:rFonts w:cs="Times New Roman"/>
          </w:rPr>
          <w:t>http://www.beinkosovo.com/countries-that-have-recognized-kosovo-as-an-independent-state/</w:t>
        </w:r>
      </w:hyperlink>
      <w:r w:rsidRPr="003742EE">
        <w:rPr>
          <w:rFonts w:cs="Times New Roman"/>
        </w:rPr>
        <w:t xml:space="preserve"> </w:t>
      </w:r>
    </w:p>
    <w:p w:rsidR="00D15816" w:rsidRPr="003742EE" w:rsidRDefault="00D15816" w:rsidP="003778BF">
      <w:pPr>
        <w:spacing w:line="360" w:lineRule="auto"/>
        <w:jc w:val="both"/>
        <w:rPr>
          <w:rFonts w:cs="Times New Roman"/>
          <w:shd w:val="clear" w:color="auto" w:fill="FFFFFF"/>
        </w:rPr>
      </w:pPr>
      <w:r w:rsidRPr="003742EE">
        <w:rPr>
          <w:rFonts w:cs="Times New Roman"/>
          <w:lang w:val="en-GB" w:eastAsia="nl-NL"/>
        </w:rPr>
        <w:t xml:space="preserve">Bennet, A. (2008). “Process Tracing: A Bayesian Perspective”, In F. Janet, H.E. Brady, &amp; D. Collier (eds.), </w:t>
      </w:r>
      <w:r w:rsidRPr="003742EE">
        <w:rPr>
          <w:rFonts w:cs="Times New Roman"/>
          <w:i/>
          <w:lang w:val="en-GB" w:eastAsia="nl-NL"/>
        </w:rPr>
        <w:t xml:space="preserve">The Oxford Handbook of Political Methodology </w:t>
      </w:r>
      <w:r w:rsidRPr="003742EE">
        <w:rPr>
          <w:rFonts w:cs="Times New Roman"/>
          <w:lang w:val="en-GB" w:eastAsia="nl-NL"/>
        </w:rPr>
        <w:t>(pp. 702-721). Oxford: Oxford University Press.</w:t>
      </w:r>
    </w:p>
    <w:p w:rsidR="00D15816" w:rsidRPr="003742EE" w:rsidRDefault="00D15816" w:rsidP="003778BF">
      <w:pPr>
        <w:spacing w:line="360" w:lineRule="auto"/>
        <w:jc w:val="both"/>
        <w:rPr>
          <w:rFonts w:cs="Times New Roman"/>
        </w:rPr>
      </w:pPr>
      <w:proofErr w:type="spellStart"/>
      <w:r w:rsidRPr="003742EE">
        <w:rPr>
          <w:rFonts w:cs="Times New Roman"/>
        </w:rPr>
        <w:t>Brast</w:t>
      </w:r>
      <w:proofErr w:type="spellEnd"/>
      <w:r w:rsidRPr="003742EE">
        <w:rPr>
          <w:rFonts w:cs="Times New Roman"/>
        </w:rPr>
        <w:t xml:space="preserve">, B. (2015). The Regional Dimension of </w:t>
      </w:r>
      <w:proofErr w:type="spellStart"/>
      <w:r w:rsidRPr="003742EE">
        <w:rPr>
          <w:rFonts w:cs="Times New Roman"/>
        </w:rPr>
        <w:t>Statebuilding</w:t>
      </w:r>
      <w:proofErr w:type="spellEnd"/>
      <w:r w:rsidRPr="003742EE">
        <w:rPr>
          <w:rFonts w:cs="Times New Roman"/>
        </w:rPr>
        <w:t xml:space="preserve"> Interventions. </w:t>
      </w:r>
      <w:r w:rsidRPr="003742EE">
        <w:rPr>
          <w:rFonts w:cs="Times New Roman"/>
          <w:i/>
        </w:rPr>
        <w:t>International Peacekeeping 22</w:t>
      </w:r>
      <w:r w:rsidRPr="003742EE">
        <w:rPr>
          <w:rFonts w:cs="Times New Roman"/>
        </w:rPr>
        <w:t>(1), 81–99.</w:t>
      </w:r>
    </w:p>
    <w:p w:rsidR="0017587A" w:rsidRPr="003742EE" w:rsidRDefault="0017587A" w:rsidP="003778BF">
      <w:pPr>
        <w:spacing w:line="360" w:lineRule="auto"/>
        <w:jc w:val="both"/>
      </w:pPr>
      <w:proofErr w:type="spellStart"/>
      <w:r w:rsidRPr="003742EE">
        <w:t>Brunborg</w:t>
      </w:r>
      <w:proofErr w:type="spellEnd"/>
      <w:r w:rsidRPr="003742EE">
        <w:t xml:space="preserve">, H. (2002). Report on the size and ethnic composition of the population of Kosovo. </w:t>
      </w:r>
      <w:hyperlink r:id="rId14" w:history="1">
        <w:r w:rsidRPr="003742EE">
          <w:rPr>
            <w:rStyle w:val="Hyperlink"/>
          </w:rPr>
          <w:t>http://www.icty.org/x/file/About/OTP/War_Demographics/en/milosevic_kosovo_020814.pdf</w:t>
        </w:r>
      </w:hyperlink>
      <w:r w:rsidRPr="003742EE">
        <w:t xml:space="preserve"> </w:t>
      </w:r>
    </w:p>
    <w:p w:rsidR="00D15816" w:rsidRPr="003742EE" w:rsidRDefault="00D15816" w:rsidP="003778BF">
      <w:pPr>
        <w:spacing w:line="360" w:lineRule="auto"/>
        <w:jc w:val="both"/>
        <w:rPr>
          <w:rFonts w:cs="Times New Roman"/>
          <w:shd w:val="clear" w:color="auto" w:fill="FFFFFF"/>
        </w:rPr>
      </w:pPr>
      <w:r w:rsidRPr="003742EE">
        <w:rPr>
          <w:rFonts w:cs="Times New Roman"/>
          <w:shd w:val="clear" w:color="auto" w:fill="FFFFFF"/>
        </w:rPr>
        <w:t xml:space="preserve">Bunce, V. (1999). The Political Economy of </w:t>
      </w:r>
      <w:proofErr w:type="spellStart"/>
      <w:r w:rsidRPr="003742EE">
        <w:rPr>
          <w:rFonts w:cs="Times New Roman"/>
          <w:shd w:val="clear" w:color="auto" w:fill="FFFFFF"/>
        </w:rPr>
        <w:t>Postsocialism</w:t>
      </w:r>
      <w:proofErr w:type="spellEnd"/>
      <w:r w:rsidRPr="003742EE">
        <w:rPr>
          <w:rFonts w:cs="Times New Roman"/>
          <w:shd w:val="clear" w:color="auto" w:fill="FFFFFF"/>
        </w:rPr>
        <w:t>.</w:t>
      </w:r>
      <w:r w:rsidRPr="003742EE">
        <w:rPr>
          <w:rStyle w:val="apple-converted-space"/>
          <w:rFonts w:cs="Times New Roman"/>
          <w:shd w:val="clear" w:color="auto" w:fill="FFFFFF"/>
        </w:rPr>
        <w:t> </w:t>
      </w:r>
      <w:r w:rsidRPr="003742EE">
        <w:rPr>
          <w:rFonts w:cs="Times New Roman"/>
          <w:i/>
          <w:iCs/>
          <w:shd w:val="clear" w:color="auto" w:fill="FFFFFF"/>
        </w:rPr>
        <w:t>Slavic Review,</w:t>
      </w:r>
      <w:r w:rsidRPr="003742EE">
        <w:rPr>
          <w:rStyle w:val="apple-converted-space"/>
          <w:rFonts w:cs="Times New Roman"/>
          <w:shd w:val="clear" w:color="auto" w:fill="FFFFFF"/>
        </w:rPr>
        <w:t> </w:t>
      </w:r>
      <w:r w:rsidRPr="003742EE">
        <w:rPr>
          <w:rFonts w:cs="Times New Roman"/>
          <w:i/>
          <w:iCs/>
          <w:shd w:val="clear" w:color="auto" w:fill="FFFFFF"/>
        </w:rPr>
        <w:t>58</w:t>
      </w:r>
      <w:r w:rsidRPr="003742EE">
        <w:rPr>
          <w:rFonts w:cs="Times New Roman"/>
          <w:shd w:val="clear" w:color="auto" w:fill="FFFFFF"/>
        </w:rPr>
        <w:t xml:space="preserve">(4), 756-793. doi:10.2307/2697198  </w:t>
      </w:r>
    </w:p>
    <w:p w:rsidR="00D15816" w:rsidRPr="003742EE" w:rsidRDefault="00D15816" w:rsidP="003778BF">
      <w:pPr>
        <w:spacing w:line="360" w:lineRule="auto"/>
        <w:jc w:val="both"/>
        <w:rPr>
          <w:rFonts w:cs="Times New Roman"/>
          <w:shd w:val="clear" w:color="auto" w:fill="FFFFFF"/>
        </w:rPr>
      </w:pPr>
      <w:r w:rsidRPr="00236532">
        <w:rPr>
          <w:rFonts w:cs="Times New Roman"/>
          <w:shd w:val="clear" w:color="auto" w:fill="FFFFFF"/>
        </w:rPr>
        <w:t xml:space="preserve">Chapman, T., &amp; Roeder, P. G. (2007). </w:t>
      </w:r>
      <w:r w:rsidRPr="003742EE">
        <w:rPr>
          <w:rFonts w:cs="Times New Roman"/>
          <w:shd w:val="clear" w:color="auto" w:fill="FFFFFF"/>
        </w:rPr>
        <w:t>Partition as a solution to wars of nationalism: The importance of institutions.</w:t>
      </w:r>
      <w:r w:rsidRPr="003742EE">
        <w:rPr>
          <w:rStyle w:val="apple-converted-space"/>
          <w:rFonts w:cs="Times New Roman"/>
          <w:color w:val="222222"/>
          <w:shd w:val="clear" w:color="auto" w:fill="FFFFFF"/>
        </w:rPr>
        <w:t> </w:t>
      </w:r>
      <w:r w:rsidRPr="003742EE">
        <w:rPr>
          <w:rFonts w:cs="Times New Roman"/>
          <w:i/>
          <w:iCs/>
          <w:shd w:val="clear" w:color="auto" w:fill="FFFFFF"/>
        </w:rPr>
        <w:t>American Political Science Review</w:t>
      </w:r>
      <w:r w:rsidRPr="003742EE">
        <w:rPr>
          <w:rFonts w:cs="Times New Roman"/>
          <w:shd w:val="clear" w:color="auto" w:fill="FFFFFF"/>
        </w:rPr>
        <w:t>,</w:t>
      </w:r>
      <w:r w:rsidRPr="003742EE">
        <w:rPr>
          <w:rStyle w:val="apple-converted-space"/>
          <w:rFonts w:cs="Times New Roman"/>
          <w:color w:val="222222"/>
          <w:shd w:val="clear" w:color="auto" w:fill="FFFFFF"/>
        </w:rPr>
        <w:t> </w:t>
      </w:r>
      <w:r w:rsidRPr="003742EE">
        <w:rPr>
          <w:rFonts w:cs="Times New Roman"/>
          <w:i/>
          <w:iCs/>
          <w:shd w:val="clear" w:color="auto" w:fill="FFFFFF"/>
        </w:rPr>
        <w:t>101</w:t>
      </w:r>
      <w:r w:rsidRPr="003742EE">
        <w:rPr>
          <w:rFonts w:cs="Times New Roman"/>
          <w:shd w:val="clear" w:color="auto" w:fill="FFFFFF"/>
        </w:rPr>
        <w:t>(04), 677-691.</w:t>
      </w:r>
    </w:p>
    <w:p w:rsidR="00D15816" w:rsidRPr="003742EE" w:rsidRDefault="00D15816" w:rsidP="003778BF">
      <w:pPr>
        <w:spacing w:line="360" w:lineRule="auto"/>
        <w:jc w:val="both"/>
        <w:rPr>
          <w:rFonts w:eastAsia="Times New Roman" w:cs="Times New Roman"/>
          <w:lang w:eastAsia="nl-NL"/>
        </w:rPr>
      </w:pPr>
      <w:r w:rsidRPr="003742EE">
        <w:rPr>
          <w:rFonts w:eastAsia="Times New Roman" w:cs="Times New Roman"/>
          <w:lang w:eastAsia="nl-NL"/>
        </w:rPr>
        <w:t xml:space="preserve">Denzel Smith, M. (2016). The Seductive Danger of Symbolic Politics. </w:t>
      </w:r>
      <w:r w:rsidRPr="003742EE">
        <w:rPr>
          <w:rFonts w:eastAsia="Times New Roman" w:cs="Times New Roman"/>
          <w:i/>
          <w:lang w:eastAsia="nl-NL"/>
        </w:rPr>
        <w:t xml:space="preserve">The Nation. </w:t>
      </w:r>
      <w:r w:rsidRPr="003742EE">
        <w:rPr>
          <w:rFonts w:eastAsia="Times New Roman" w:cs="Times New Roman"/>
          <w:lang w:eastAsia="nl-NL"/>
        </w:rPr>
        <w:t xml:space="preserve">Retrieved June 18, 2017, from </w:t>
      </w:r>
      <w:hyperlink r:id="rId15" w:history="1">
        <w:r w:rsidRPr="003742EE">
          <w:rPr>
            <w:rStyle w:val="Hyperlink"/>
            <w:rFonts w:eastAsia="Times New Roman" w:cs="Times New Roman"/>
            <w:lang w:eastAsia="nl-NL"/>
          </w:rPr>
          <w:t>https://www.thenation.com/article/the-seductive-danger-of-symbolic-politics/</w:t>
        </w:r>
      </w:hyperlink>
      <w:r w:rsidRPr="003742EE">
        <w:rPr>
          <w:rFonts w:eastAsia="Times New Roman" w:cs="Times New Roman"/>
          <w:lang w:eastAsia="nl-NL"/>
        </w:rPr>
        <w:t xml:space="preserve"> </w:t>
      </w:r>
    </w:p>
    <w:p w:rsidR="006610AC" w:rsidRPr="003742EE" w:rsidRDefault="006610AC" w:rsidP="003778BF">
      <w:pPr>
        <w:spacing w:line="360" w:lineRule="auto"/>
        <w:jc w:val="both"/>
        <w:rPr>
          <w:rStyle w:val="Hyperlink"/>
        </w:rPr>
      </w:pPr>
      <w:r w:rsidRPr="003742EE">
        <w:lastRenderedPageBreak/>
        <w:t xml:space="preserve">Der Spiegel (2006). Serbia passes new Constitution. Retrieved June 8, 2017, from </w:t>
      </w:r>
      <w:hyperlink r:id="rId16" w:history="1">
        <w:r w:rsidRPr="003742EE">
          <w:rPr>
            <w:rStyle w:val="Hyperlink"/>
          </w:rPr>
          <w:t>http://www.spiegel.de/international/clinging-to-kosovo-serbia-passes-new-constitution-a-445401.html</w:t>
        </w:r>
      </w:hyperlink>
      <w:r w:rsidRPr="003742EE">
        <w:rPr>
          <w:rStyle w:val="Hyperlink"/>
        </w:rPr>
        <w:t xml:space="preserve"> </w:t>
      </w:r>
    </w:p>
    <w:p w:rsidR="00D15816" w:rsidRPr="003742EE" w:rsidRDefault="00D15816" w:rsidP="003778BF">
      <w:pPr>
        <w:spacing w:line="360" w:lineRule="auto"/>
        <w:jc w:val="both"/>
        <w:rPr>
          <w:rFonts w:eastAsia="Times New Roman" w:cs="Times New Roman"/>
          <w:lang w:eastAsia="nl-NL"/>
        </w:rPr>
      </w:pPr>
      <w:r w:rsidRPr="003742EE">
        <w:rPr>
          <w:rFonts w:eastAsia="Times New Roman" w:cs="Times New Roman"/>
          <w:lang w:eastAsia="nl-NL"/>
        </w:rPr>
        <w:t>Duffield, J. (2007). What Are International Institutions? </w:t>
      </w:r>
      <w:r w:rsidRPr="003742EE">
        <w:rPr>
          <w:rFonts w:eastAsia="Times New Roman" w:cs="Times New Roman"/>
          <w:i/>
          <w:iCs/>
          <w:lang w:eastAsia="nl-NL"/>
        </w:rPr>
        <w:t>International Studies Review,9</w:t>
      </w:r>
      <w:r w:rsidRPr="003742EE">
        <w:rPr>
          <w:rFonts w:eastAsia="Times New Roman" w:cs="Times New Roman"/>
          <w:lang w:eastAsia="nl-NL"/>
        </w:rPr>
        <w:t xml:space="preserve">(1), 1-22. Retrieved from </w:t>
      </w:r>
      <w:hyperlink r:id="rId17" w:history="1">
        <w:r w:rsidRPr="003742EE">
          <w:rPr>
            <w:rStyle w:val="Hyperlink"/>
            <w:rFonts w:eastAsia="Times New Roman" w:cs="Times New Roman"/>
            <w:lang w:eastAsia="nl-NL"/>
          </w:rPr>
          <w:t>http://www.jstor.org/stable/4621775</w:t>
        </w:r>
      </w:hyperlink>
      <w:r w:rsidRPr="003742EE">
        <w:rPr>
          <w:rFonts w:eastAsia="Times New Roman" w:cs="Times New Roman"/>
          <w:lang w:eastAsia="nl-NL"/>
        </w:rPr>
        <w:t xml:space="preserve"> </w:t>
      </w:r>
    </w:p>
    <w:p w:rsidR="00D15816" w:rsidRPr="003742EE" w:rsidRDefault="00D15816" w:rsidP="003778BF">
      <w:pPr>
        <w:spacing w:line="360" w:lineRule="auto"/>
        <w:jc w:val="both"/>
        <w:rPr>
          <w:rFonts w:cs="Times New Roman"/>
          <w:lang w:eastAsia="nl-NL"/>
        </w:rPr>
      </w:pPr>
      <w:proofErr w:type="spellStart"/>
      <w:r w:rsidRPr="003742EE">
        <w:rPr>
          <w:rFonts w:cs="Times New Roman"/>
          <w:lang w:eastAsia="nl-NL"/>
        </w:rPr>
        <w:t>Fierke</w:t>
      </w:r>
      <w:proofErr w:type="spellEnd"/>
      <w:r w:rsidRPr="003742EE">
        <w:rPr>
          <w:rFonts w:cs="Times New Roman"/>
          <w:lang w:eastAsia="nl-NL"/>
        </w:rPr>
        <w:t xml:space="preserve">, K. M. (2013). Constructivism. In T. Dunne, M. </w:t>
      </w:r>
      <w:proofErr w:type="spellStart"/>
      <w:r w:rsidRPr="003742EE">
        <w:rPr>
          <w:rFonts w:cs="Times New Roman"/>
          <w:lang w:eastAsia="nl-NL"/>
        </w:rPr>
        <w:t>Kurki</w:t>
      </w:r>
      <w:proofErr w:type="spellEnd"/>
      <w:r w:rsidRPr="003742EE">
        <w:rPr>
          <w:rFonts w:cs="Times New Roman"/>
          <w:lang w:eastAsia="nl-NL"/>
        </w:rPr>
        <w:t>, &amp; S. Smith (3</w:t>
      </w:r>
      <w:r w:rsidRPr="003742EE">
        <w:rPr>
          <w:rFonts w:cs="Times New Roman"/>
          <w:vertAlign w:val="superscript"/>
          <w:lang w:eastAsia="nl-NL"/>
        </w:rPr>
        <w:t>rd</w:t>
      </w:r>
      <w:r w:rsidRPr="003742EE">
        <w:rPr>
          <w:rFonts w:cs="Times New Roman"/>
          <w:lang w:eastAsia="nl-NL"/>
        </w:rPr>
        <w:t xml:space="preserve"> ed.), </w:t>
      </w:r>
      <w:r w:rsidRPr="003742EE">
        <w:rPr>
          <w:rFonts w:cs="Times New Roman"/>
          <w:i/>
          <w:lang w:eastAsia="nl-NL"/>
        </w:rPr>
        <w:t xml:space="preserve">International Relations Theories </w:t>
      </w:r>
      <w:r w:rsidRPr="003742EE">
        <w:rPr>
          <w:rFonts w:cs="Times New Roman"/>
          <w:lang w:eastAsia="nl-NL"/>
        </w:rPr>
        <w:t>(pp. 187-203). Oxford University Press.</w:t>
      </w:r>
    </w:p>
    <w:p w:rsidR="00D15816" w:rsidRPr="003742EE" w:rsidRDefault="00D15816" w:rsidP="003778BF">
      <w:pPr>
        <w:spacing w:line="360" w:lineRule="auto"/>
        <w:jc w:val="both"/>
        <w:rPr>
          <w:rFonts w:cs="Times New Roman"/>
          <w:shd w:val="clear" w:color="auto" w:fill="FFFFFF"/>
        </w:rPr>
      </w:pPr>
      <w:proofErr w:type="spellStart"/>
      <w:r w:rsidRPr="003742EE">
        <w:rPr>
          <w:rFonts w:cs="Times New Roman"/>
          <w:shd w:val="clear" w:color="auto" w:fill="FFFFFF"/>
        </w:rPr>
        <w:t>Finnemore</w:t>
      </w:r>
      <w:proofErr w:type="spellEnd"/>
      <w:r w:rsidRPr="003742EE">
        <w:rPr>
          <w:rFonts w:cs="Times New Roman"/>
          <w:shd w:val="clear" w:color="auto" w:fill="FFFFFF"/>
        </w:rPr>
        <w:t xml:space="preserve">, M., &amp; </w:t>
      </w:r>
      <w:proofErr w:type="spellStart"/>
      <w:r w:rsidRPr="003742EE">
        <w:rPr>
          <w:rFonts w:cs="Times New Roman"/>
          <w:shd w:val="clear" w:color="auto" w:fill="FFFFFF"/>
        </w:rPr>
        <w:t>Sikkink</w:t>
      </w:r>
      <w:proofErr w:type="spellEnd"/>
      <w:r w:rsidRPr="003742EE">
        <w:rPr>
          <w:rFonts w:cs="Times New Roman"/>
          <w:shd w:val="clear" w:color="auto" w:fill="FFFFFF"/>
        </w:rPr>
        <w:t>, K. (1998). International norm dynamics and political change.</w:t>
      </w:r>
      <w:r w:rsidRPr="003742EE">
        <w:rPr>
          <w:rStyle w:val="apple-converted-space"/>
          <w:rFonts w:cs="Times New Roman"/>
          <w:color w:val="222222"/>
          <w:shd w:val="clear" w:color="auto" w:fill="FFFFFF"/>
        </w:rPr>
        <w:t> </w:t>
      </w:r>
      <w:r w:rsidRPr="003742EE">
        <w:rPr>
          <w:rFonts w:cs="Times New Roman"/>
          <w:i/>
          <w:iCs/>
          <w:shd w:val="clear" w:color="auto" w:fill="FFFFFF"/>
        </w:rPr>
        <w:t>International organization</w:t>
      </w:r>
      <w:r w:rsidRPr="003742EE">
        <w:rPr>
          <w:rFonts w:cs="Times New Roman"/>
          <w:shd w:val="clear" w:color="auto" w:fill="FFFFFF"/>
        </w:rPr>
        <w:t>,</w:t>
      </w:r>
      <w:r w:rsidRPr="003742EE">
        <w:rPr>
          <w:rStyle w:val="apple-converted-space"/>
          <w:rFonts w:cs="Times New Roman"/>
          <w:color w:val="222222"/>
          <w:shd w:val="clear" w:color="auto" w:fill="FFFFFF"/>
        </w:rPr>
        <w:t> </w:t>
      </w:r>
      <w:r w:rsidRPr="003742EE">
        <w:rPr>
          <w:rFonts w:cs="Times New Roman"/>
          <w:i/>
          <w:iCs/>
          <w:shd w:val="clear" w:color="auto" w:fill="FFFFFF"/>
        </w:rPr>
        <w:t>52</w:t>
      </w:r>
      <w:r w:rsidRPr="003742EE">
        <w:rPr>
          <w:rFonts w:cs="Times New Roman"/>
          <w:shd w:val="clear" w:color="auto" w:fill="FFFFFF"/>
        </w:rPr>
        <w:t>(04), 887-917.</w:t>
      </w:r>
    </w:p>
    <w:p w:rsidR="00F40842" w:rsidRPr="003742EE" w:rsidRDefault="00F40842" w:rsidP="003778BF">
      <w:pPr>
        <w:spacing w:line="360" w:lineRule="auto"/>
        <w:jc w:val="both"/>
      </w:pPr>
      <w:r w:rsidRPr="003742EE">
        <w:rPr>
          <w:rFonts w:cs="Arial"/>
          <w:shd w:val="clear" w:color="auto" w:fill="FFFFFF"/>
        </w:rPr>
        <w:t>Fulton, J. (2010). NATO and the KLA: How the West Encouraged Terrorism.</w:t>
      </w:r>
      <w:r w:rsidRPr="003742EE">
        <w:rPr>
          <w:rStyle w:val="apple-converted-space"/>
          <w:rFonts w:cs="Arial"/>
          <w:shd w:val="clear" w:color="auto" w:fill="FFFFFF"/>
        </w:rPr>
        <w:t> </w:t>
      </w:r>
      <w:r w:rsidRPr="003742EE">
        <w:rPr>
          <w:rFonts w:cs="Arial"/>
          <w:i/>
          <w:iCs/>
          <w:shd w:val="clear" w:color="auto" w:fill="FFFFFF"/>
        </w:rPr>
        <w:t>Global Security Studies, l</w:t>
      </w:r>
      <w:r w:rsidRPr="003742EE">
        <w:rPr>
          <w:rFonts w:cs="Arial"/>
          <w:shd w:val="clear" w:color="auto" w:fill="FFFFFF"/>
        </w:rPr>
        <w:t>,</w:t>
      </w:r>
      <w:r w:rsidRPr="003742EE">
        <w:rPr>
          <w:rStyle w:val="apple-converted-space"/>
          <w:rFonts w:cs="Arial"/>
          <w:shd w:val="clear" w:color="auto" w:fill="FFFFFF"/>
        </w:rPr>
        <w:t> </w:t>
      </w:r>
      <w:r w:rsidRPr="003742EE">
        <w:rPr>
          <w:rFonts w:cs="Arial"/>
          <w:i/>
          <w:iCs/>
          <w:shd w:val="clear" w:color="auto" w:fill="FFFFFF"/>
        </w:rPr>
        <w:t>3</w:t>
      </w:r>
      <w:r w:rsidRPr="003742EE">
        <w:rPr>
          <w:rFonts w:cs="Arial"/>
          <w:shd w:val="clear" w:color="auto" w:fill="FFFFFF"/>
        </w:rPr>
        <w:t xml:space="preserve">, 2010. </w:t>
      </w:r>
    </w:p>
    <w:p w:rsidR="00D15816" w:rsidRPr="003742EE" w:rsidRDefault="00D15816" w:rsidP="003778BF">
      <w:pPr>
        <w:spacing w:line="360" w:lineRule="auto"/>
        <w:jc w:val="both"/>
        <w:rPr>
          <w:rFonts w:cs="Times New Roman"/>
          <w:shd w:val="clear" w:color="auto" w:fill="FFFFFF"/>
        </w:rPr>
      </w:pPr>
      <w:proofErr w:type="spellStart"/>
      <w:r w:rsidRPr="003742EE">
        <w:rPr>
          <w:rFonts w:cs="Times New Roman"/>
          <w:lang w:eastAsia="nl-NL"/>
        </w:rPr>
        <w:t>Gerring</w:t>
      </w:r>
      <w:proofErr w:type="spellEnd"/>
      <w:r w:rsidRPr="003742EE">
        <w:rPr>
          <w:rFonts w:cs="Times New Roman"/>
          <w:lang w:eastAsia="nl-NL"/>
        </w:rPr>
        <w:t xml:space="preserve">, J. (2008). ‘’Case Selection for Case-Study Analysis: Qualitative and Quantitative techniques.’’ In F. Janet, H.E. Brady, &amp; D. Collier (eds.), </w:t>
      </w:r>
      <w:r w:rsidRPr="003742EE">
        <w:rPr>
          <w:rFonts w:cs="Times New Roman"/>
          <w:i/>
          <w:lang w:eastAsia="nl-NL"/>
        </w:rPr>
        <w:t xml:space="preserve">The Oxford Handbook of Political Methodology </w:t>
      </w:r>
      <w:r w:rsidRPr="003742EE">
        <w:rPr>
          <w:rFonts w:cs="Times New Roman"/>
          <w:lang w:eastAsia="nl-NL"/>
        </w:rPr>
        <w:t>(pp. 645-684). Oxford: Oxford University Press.</w:t>
      </w:r>
    </w:p>
    <w:p w:rsidR="00D15816" w:rsidRPr="003742EE" w:rsidRDefault="00D15816" w:rsidP="003778BF">
      <w:pPr>
        <w:spacing w:line="360" w:lineRule="auto"/>
        <w:jc w:val="both"/>
        <w:rPr>
          <w:rFonts w:cs="Times New Roman"/>
          <w:shd w:val="clear" w:color="auto" w:fill="FFFFFF"/>
        </w:rPr>
      </w:pPr>
      <w:proofErr w:type="spellStart"/>
      <w:r w:rsidRPr="003742EE">
        <w:rPr>
          <w:rFonts w:cs="Times New Roman"/>
          <w:shd w:val="clear" w:color="auto" w:fill="FFFFFF"/>
        </w:rPr>
        <w:t>Gerring</w:t>
      </w:r>
      <w:proofErr w:type="spellEnd"/>
      <w:r w:rsidRPr="003742EE">
        <w:rPr>
          <w:rFonts w:cs="Times New Roman"/>
          <w:shd w:val="clear" w:color="auto" w:fill="FFFFFF"/>
        </w:rPr>
        <w:t>, J. (2010). Causal mechanisms: Yes, but….</w:t>
      </w:r>
      <w:r w:rsidRPr="003742EE">
        <w:rPr>
          <w:rStyle w:val="apple-converted-space"/>
          <w:rFonts w:cs="Times New Roman"/>
          <w:shd w:val="clear" w:color="auto" w:fill="FFFFFF"/>
        </w:rPr>
        <w:t> </w:t>
      </w:r>
      <w:r w:rsidRPr="003742EE">
        <w:rPr>
          <w:rFonts w:cs="Times New Roman"/>
          <w:i/>
          <w:iCs/>
          <w:shd w:val="clear" w:color="auto" w:fill="FFFFFF"/>
        </w:rPr>
        <w:t>Comparative Political Studies</w:t>
      </w:r>
      <w:r w:rsidRPr="003742EE">
        <w:rPr>
          <w:rFonts w:cs="Times New Roman"/>
          <w:shd w:val="clear" w:color="auto" w:fill="FFFFFF"/>
        </w:rPr>
        <w:t>,</w:t>
      </w:r>
      <w:r w:rsidRPr="003742EE">
        <w:rPr>
          <w:rStyle w:val="apple-converted-space"/>
          <w:rFonts w:cs="Times New Roman"/>
          <w:shd w:val="clear" w:color="auto" w:fill="FFFFFF"/>
        </w:rPr>
        <w:t> </w:t>
      </w:r>
      <w:r w:rsidRPr="003742EE">
        <w:rPr>
          <w:rFonts w:cs="Times New Roman"/>
          <w:i/>
          <w:iCs/>
          <w:shd w:val="clear" w:color="auto" w:fill="FFFFFF"/>
        </w:rPr>
        <w:t>43</w:t>
      </w:r>
      <w:r w:rsidRPr="003742EE">
        <w:rPr>
          <w:rFonts w:cs="Times New Roman"/>
          <w:shd w:val="clear" w:color="auto" w:fill="FFFFFF"/>
        </w:rPr>
        <w:t>(11), 1499-1526.</w:t>
      </w:r>
    </w:p>
    <w:p w:rsidR="00D15816" w:rsidRPr="003742EE" w:rsidRDefault="00D15816" w:rsidP="003778BF">
      <w:pPr>
        <w:spacing w:line="360" w:lineRule="auto"/>
        <w:jc w:val="both"/>
        <w:rPr>
          <w:rFonts w:eastAsia="Times New Roman" w:cs="Times New Roman"/>
          <w:lang w:eastAsia="nl-NL"/>
        </w:rPr>
      </w:pPr>
      <w:r w:rsidRPr="003742EE">
        <w:rPr>
          <w:rFonts w:eastAsia="Times New Roman" w:cs="Times New Roman"/>
          <w:lang w:eastAsia="nl-NL"/>
        </w:rPr>
        <w:t>Gilley, B. (2004). Against the Concept of Ethnic Conflict. </w:t>
      </w:r>
      <w:r w:rsidRPr="003742EE">
        <w:rPr>
          <w:rFonts w:eastAsia="Times New Roman" w:cs="Times New Roman"/>
          <w:i/>
          <w:iCs/>
          <w:lang w:eastAsia="nl-NL"/>
        </w:rPr>
        <w:t>Third World Quarterly,</w:t>
      </w:r>
      <w:r w:rsidRPr="003742EE">
        <w:rPr>
          <w:rFonts w:eastAsia="Times New Roman" w:cs="Times New Roman"/>
          <w:lang w:eastAsia="nl-NL"/>
        </w:rPr>
        <w:t> </w:t>
      </w:r>
      <w:r w:rsidRPr="003742EE">
        <w:rPr>
          <w:rFonts w:eastAsia="Times New Roman" w:cs="Times New Roman"/>
          <w:i/>
          <w:iCs/>
          <w:lang w:eastAsia="nl-NL"/>
        </w:rPr>
        <w:t>25</w:t>
      </w:r>
      <w:r w:rsidRPr="003742EE">
        <w:rPr>
          <w:rFonts w:eastAsia="Times New Roman" w:cs="Times New Roman"/>
          <w:lang w:eastAsia="nl-NL"/>
        </w:rPr>
        <w:t xml:space="preserve">(6), 1155-1166. Retrieved from </w:t>
      </w:r>
      <w:hyperlink r:id="rId18" w:history="1">
        <w:r w:rsidRPr="003742EE">
          <w:rPr>
            <w:rStyle w:val="Hyperlink"/>
            <w:rFonts w:eastAsia="Times New Roman" w:cs="Times New Roman"/>
            <w:lang w:eastAsia="nl-NL"/>
          </w:rPr>
          <w:t>http://www.jstor.org/stable/3993756</w:t>
        </w:r>
      </w:hyperlink>
      <w:r w:rsidRPr="003742EE">
        <w:rPr>
          <w:rFonts w:eastAsia="Times New Roman" w:cs="Times New Roman"/>
          <w:lang w:eastAsia="nl-NL"/>
        </w:rPr>
        <w:t xml:space="preserve"> </w:t>
      </w:r>
    </w:p>
    <w:p w:rsidR="00D15816" w:rsidRPr="003742EE" w:rsidRDefault="00D15816" w:rsidP="003778BF">
      <w:pPr>
        <w:spacing w:line="360" w:lineRule="auto"/>
        <w:jc w:val="both"/>
        <w:rPr>
          <w:rFonts w:cs="Times New Roman"/>
          <w:shd w:val="clear" w:color="auto" w:fill="FFFFFF"/>
        </w:rPr>
      </w:pPr>
      <w:proofErr w:type="spellStart"/>
      <w:r w:rsidRPr="003742EE">
        <w:rPr>
          <w:rFonts w:cs="Times New Roman"/>
          <w:shd w:val="clear" w:color="auto" w:fill="FFFFFF"/>
        </w:rPr>
        <w:t>Glennan</w:t>
      </w:r>
      <w:proofErr w:type="spellEnd"/>
      <w:r w:rsidRPr="003742EE">
        <w:rPr>
          <w:rFonts w:cs="Times New Roman"/>
          <w:shd w:val="clear" w:color="auto" w:fill="FFFFFF"/>
        </w:rPr>
        <w:t>, S. (2002). Rethinking mechanistic explanation.</w:t>
      </w:r>
      <w:r w:rsidRPr="003742EE">
        <w:rPr>
          <w:rStyle w:val="apple-converted-space"/>
          <w:rFonts w:cs="Times New Roman"/>
          <w:shd w:val="clear" w:color="auto" w:fill="FFFFFF"/>
        </w:rPr>
        <w:t> </w:t>
      </w:r>
      <w:r w:rsidRPr="003742EE">
        <w:rPr>
          <w:rFonts w:cs="Times New Roman"/>
          <w:i/>
          <w:iCs/>
          <w:shd w:val="clear" w:color="auto" w:fill="FFFFFF"/>
        </w:rPr>
        <w:t>Philosophy of science</w:t>
      </w:r>
      <w:r w:rsidRPr="003742EE">
        <w:rPr>
          <w:rFonts w:cs="Times New Roman"/>
          <w:shd w:val="clear" w:color="auto" w:fill="FFFFFF"/>
        </w:rPr>
        <w:t>,</w:t>
      </w:r>
      <w:r w:rsidRPr="003742EE">
        <w:rPr>
          <w:rStyle w:val="apple-converted-space"/>
          <w:rFonts w:cs="Times New Roman"/>
          <w:shd w:val="clear" w:color="auto" w:fill="FFFFFF"/>
        </w:rPr>
        <w:t> </w:t>
      </w:r>
      <w:r w:rsidRPr="003742EE">
        <w:rPr>
          <w:rFonts w:cs="Times New Roman"/>
          <w:i/>
          <w:iCs/>
          <w:shd w:val="clear" w:color="auto" w:fill="FFFFFF"/>
        </w:rPr>
        <w:t>69</w:t>
      </w:r>
      <w:r w:rsidRPr="003742EE">
        <w:rPr>
          <w:rFonts w:cs="Times New Roman"/>
          <w:shd w:val="clear" w:color="auto" w:fill="FFFFFF"/>
        </w:rPr>
        <w:t>(S3), S342-S353.</w:t>
      </w:r>
    </w:p>
    <w:p w:rsidR="00D15816" w:rsidRPr="003742EE" w:rsidRDefault="00D15816" w:rsidP="003778BF">
      <w:pPr>
        <w:spacing w:line="360" w:lineRule="auto"/>
        <w:jc w:val="both"/>
        <w:rPr>
          <w:rFonts w:cs="Times New Roman"/>
          <w:shd w:val="clear" w:color="auto" w:fill="FFFFFF"/>
        </w:rPr>
      </w:pPr>
      <w:proofErr w:type="spellStart"/>
      <w:r w:rsidRPr="003742EE">
        <w:rPr>
          <w:rFonts w:cs="Times New Roman"/>
          <w:shd w:val="clear" w:color="auto" w:fill="FFFFFF"/>
        </w:rPr>
        <w:t>Goertz</w:t>
      </w:r>
      <w:proofErr w:type="spellEnd"/>
      <w:r w:rsidRPr="003742EE">
        <w:rPr>
          <w:rFonts w:cs="Times New Roman"/>
          <w:shd w:val="clear" w:color="auto" w:fill="FFFFFF"/>
        </w:rPr>
        <w:t>, G., &amp; Mahoney, J. (2012).</w:t>
      </w:r>
      <w:r w:rsidRPr="003742EE">
        <w:rPr>
          <w:rStyle w:val="apple-converted-space"/>
          <w:rFonts w:cs="Times New Roman"/>
          <w:shd w:val="clear" w:color="auto" w:fill="FFFFFF"/>
        </w:rPr>
        <w:t> </w:t>
      </w:r>
      <w:r w:rsidRPr="003742EE">
        <w:rPr>
          <w:rFonts w:cs="Times New Roman"/>
          <w:i/>
          <w:iCs/>
          <w:shd w:val="clear" w:color="auto" w:fill="FFFFFF"/>
        </w:rPr>
        <w:t xml:space="preserve">A tale of two cultures: Qualitative and quantitative research in the social sciences </w:t>
      </w:r>
      <w:r w:rsidRPr="003742EE">
        <w:rPr>
          <w:rFonts w:cs="Times New Roman"/>
          <w:iCs/>
          <w:shd w:val="clear" w:color="auto" w:fill="FFFFFF"/>
        </w:rPr>
        <w:t>(Chapter 8).</w:t>
      </w:r>
      <w:r w:rsidRPr="003742EE">
        <w:rPr>
          <w:rFonts w:cs="Times New Roman"/>
          <w:shd w:val="clear" w:color="auto" w:fill="FFFFFF"/>
        </w:rPr>
        <w:t xml:space="preserve"> Princeton University Press.</w:t>
      </w:r>
    </w:p>
    <w:p w:rsidR="00D15816" w:rsidRPr="003742EE" w:rsidRDefault="00D15816" w:rsidP="003778BF">
      <w:pPr>
        <w:spacing w:line="360" w:lineRule="auto"/>
        <w:jc w:val="both"/>
        <w:rPr>
          <w:rFonts w:cs="Times New Roman"/>
          <w:shd w:val="clear" w:color="auto" w:fill="FFFFFF"/>
        </w:rPr>
      </w:pPr>
      <w:proofErr w:type="spellStart"/>
      <w:r w:rsidRPr="003742EE">
        <w:rPr>
          <w:rFonts w:cs="Times New Roman"/>
          <w:shd w:val="clear" w:color="auto" w:fill="FFFFFF"/>
        </w:rPr>
        <w:t>Gränzer</w:t>
      </w:r>
      <w:proofErr w:type="spellEnd"/>
      <w:r w:rsidRPr="003742EE">
        <w:rPr>
          <w:rFonts w:cs="Times New Roman"/>
          <w:shd w:val="clear" w:color="auto" w:fill="FFFFFF"/>
        </w:rPr>
        <w:t>, S. (1999). Changing discourse: transnational advocacy networks in Tunisia and Morocco.</w:t>
      </w:r>
      <w:r w:rsidRPr="003742EE">
        <w:rPr>
          <w:rStyle w:val="apple-converted-space"/>
          <w:rFonts w:cs="Times New Roman"/>
          <w:shd w:val="clear" w:color="auto" w:fill="FFFFFF"/>
        </w:rPr>
        <w:t xml:space="preserve"> In </w:t>
      </w:r>
      <w:r w:rsidRPr="003742EE">
        <w:rPr>
          <w:rFonts w:cs="Times New Roman"/>
          <w:i/>
          <w:iCs/>
          <w:shd w:val="clear" w:color="auto" w:fill="FFFFFF"/>
        </w:rPr>
        <w:t>The power of human rights: International norms and domestic change</w:t>
      </w:r>
      <w:r w:rsidRPr="003742EE">
        <w:rPr>
          <w:rStyle w:val="apple-converted-space"/>
          <w:rFonts w:cs="Times New Roman"/>
          <w:shd w:val="clear" w:color="auto" w:fill="FFFFFF"/>
        </w:rPr>
        <w:t> </w:t>
      </w:r>
      <w:r w:rsidRPr="003742EE">
        <w:rPr>
          <w:rFonts w:cs="Times New Roman"/>
          <w:shd w:val="clear" w:color="auto" w:fill="FFFFFF"/>
        </w:rPr>
        <w:t>(Vol. 66) (pp. 109 – 133). Cambridge University Press.</w:t>
      </w:r>
    </w:p>
    <w:p w:rsidR="00D15816" w:rsidRPr="003742EE" w:rsidRDefault="00D15816" w:rsidP="003778BF">
      <w:pPr>
        <w:spacing w:line="360" w:lineRule="auto"/>
        <w:jc w:val="both"/>
        <w:rPr>
          <w:rFonts w:cs="Times New Roman"/>
          <w:shd w:val="clear" w:color="auto" w:fill="FFFFFF"/>
        </w:rPr>
      </w:pPr>
      <w:proofErr w:type="spellStart"/>
      <w:r w:rsidRPr="003742EE">
        <w:rPr>
          <w:rFonts w:cs="Times New Roman"/>
          <w:shd w:val="clear" w:color="auto" w:fill="FFFFFF"/>
        </w:rPr>
        <w:t>Hedström</w:t>
      </w:r>
      <w:proofErr w:type="spellEnd"/>
      <w:r w:rsidRPr="003742EE">
        <w:rPr>
          <w:rFonts w:cs="Times New Roman"/>
          <w:shd w:val="clear" w:color="auto" w:fill="FFFFFF"/>
        </w:rPr>
        <w:t xml:space="preserve">, P., &amp; </w:t>
      </w:r>
      <w:proofErr w:type="spellStart"/>
      <w:r w:rsidRPr="003742EE">
        <w:rPr>
          <w:rFonts w:cs="Times New Roman"/>
          <w:shd w:val="clear" w:color="auto" w:fill="FFFFFF"/>
        </w:rPr>
        <w:t>Ylikoski</w:t>
      </w:r>
      <w:proofErr w:type="spellEnd"/>
      <w:r w:rsidRPr="003742EE">
        <w:rPr>
          <w:rFonts w:cs="Times New Roman"/>
          <w:shd w:val="clear" w:color="auto" w:fill="FFFFFF"/>
        </w:rPr>
        <w:t>, P. (2010). Causal mechanisms in the social sciences.</w:t>
      </w:r>
      <w:r w:rsidRPr="003742EE">
        <w:rPr>
          <w:rStyle w:val="apple-converted-space"/>
          <w:rFonts w:cs="Times New Roman"/>
          <w:shd w:val="clear" w:color="auto" w:fill="FFFFFF"/>
        </w:rPr>
        <w:t> </w:t>
      </w:r>
      <w:r w:rsidRPr="003742EE">
        <w:rPr>
          <w:rFonts w:cs="Times New Roman"/>
          <w:i/>
          <w:iCs/>
          <w:shd w:val="clear" w:color="auto" w:fill="FFFFFF"/>
        </w:rPr>
        <w:t>Annual Review of Sociology</w:t>
      </w:r>
      <w:r w:rsidRPr="003742EE">
        <w:rPr>
          <w:rFonts w:cs="Times New Roman"/>
          <w:shd w:val="clear" w:color="auto" w:fill="FFFFFF"/>
        </w:rPr>
        <w:t>,</w:t>
      </w:r>
      <w:r w:rsidRPr="003742EE">
        <w:rPr>
          <w:rStyle w:val="apple-converted-space"/>
          <w:rFonts w:cs="Times New Roman"/>
          <w:shd w:val="clear" w:color="auto" w:fill="FFFFFF"/>
        </w:rPr>
        <w:t> </w:t>
      </w:r>
      <w:r w:rsidRPr="003742EE">
        <w:rPr>
          <w:rFonts w:cs="Times New Roman"/>
          <w:i/>
          <w:iCs/>
          <w:shd w:val="clear" w:color="auto" w:fill="FFFFFF"/>
        </w:rPr>
        <w:t>36</w:t>
      </w:r>
      <w:r w:rsidRPr="003742EE">
        <w:rPr>
          <w:rFonts w:cs="Times New Roman"/>
          <w:shd w:val="clear" w:color="auto" w:fill="FFFFFF"/>
        </w:rPr>
        <w:t>, 49-67.</w:t>
      </w:r>
    </w:p>
    <w:p w:rsidR="00D15816" w:rsidRPr="003742EE" w:rsidRDefault="00D15816" w:rsidP="00263E52">
      <w:pPr>
        <w:spacing w:line="360" w:lineRule="auto"/>
        <w:jc w:val="both"/>
        <w:rPr>
          <w:rFonts w:cs="Times New Roman"/>
          <w:shd w:val="clear" w:color="auto" w:fill="FFFFFF"/>
        </w:rPr>
      </w:pPr>
      <w:r w:rsidRPr="003742EE">
        <w:rPr>
          <w:rFonts w:cs="Times New Roman"/>
          <w:shd w:val="clear" w:color="auto" w:fill="FFFFFF"/>
        </w:rPr>
        <w:t xml:space="preserve">Hemmer, C., &amp; </w:t>
      </w:r>
      <w:proofErr w:type="spellStart"/>
      <w:r w:rsidRPr="003742EE">
        <w:rPr>
          <w:rFonts w:cs="Times New Roman"/>
          <w:shd w:val="clear" w:color="auto" w:fill="FFFFFF"/>
        </w:rPr>
        <w:t>Katzenstein</w:t>
      </w:r>
      <w:proofErr w:type="spellEnd"/>
      <w:r w:rsidRPr="003742EE">
        <w:rPr>
          <w:rFonts w:cs="Times New Roman"/>
          <w:shd w:val="clear" w:color="auto" w:fill="FFFFFF"/>
        </w:rPr>
        <w:t>, P. J. (2002). Why is there no NAT</w:t>
      </w:r>
      <w:r w:rsidR="00263E52">
        <w:rPr>
          <w:rFonts w:cs="Times New Roman"/>
          <w:shd w:val="clear" w:color="auto" w:fill="FFFFFF"/>
        </w:rPr>
        <w:t>O in Asia? Collective identity,</w:t>
      </w:r>
      <w:r w:rsidR="00197EBC">
        <w:rPr>
          <w:rFonts w:cs="Times New Roman"/>
          <w:shd w:val="clear" w:color="auto" w:fill="FFFFFF"/>
        </w:rPr>
        <w:t xml:space="preserve"> </w:t>
      </w:r>
      <w:r w:rsidRPr="003742EE">
        <w:rPr>
          <w:rFonts w:cs="Times New Roman"/>
          <w:shd w:val="clear" w:color="auto" w:fill="FFFFFF"/>
        </w:rPr>
        <w:t>regionalism, and the origins of multilateralism.</w:t>
      </w:r>
      <w:r w:rsidRPr="003742EE">
        <w:rPr>
          <w:rStyle w:val="apple-converted-space"/>
          <w:rFonts w:cs="Times New Roman"/>
          <w:color w:val="222222"/>
          <w:shd w:val="clear" w:color="auto" w:fill="FFFFFF"/>
        </w:rPr>
        <w:t> </w:t>
      </w:r>
      <w:r w:rsidRPr="003742EE">
        <w:rPr>
          <w:rFonts w:cs="Times New Roman"/>
          <w:i/>
          <w:iCs/>
          <w:shd w:val="clear" w:color="auto" w:fill="FFFFFF"/>
        </w:rPr>
        <w:t>International organization</w:t>
      </w:r>
      <w:r w:rsidRPr="003742EE">
        <w:rPr>
          <w:rFonts w:cs="Times New Roman"/>
          <w:shd w:val="clear" w:color="auto" w:fill="FFFFFF"/>
        </w:rPr>
        <w:t>,</w:t>
      </w:r>
      <w:r w:rsidRPr="003742EE">
        <w:rPr>
          <w:rStyle w:val="apple-converted-space"/>
          <w:rFonts w:cs="Times New Roman"/>
          <w:color w:val="222222"/>
          <w:shd w:val="clear" w:color="auto" w:fill="FFFFFF"/>
        </w:rPr>
        <w:t> </w:t>
      </w:r>
      <w:r w:rsidRPr="003742EE">
        <w:rPr>
          <w:rFonts w:cs="Times New Roman"/>
          <w:i/>
          <w:iCs/>
          <w:shd w:val="clear" w:color="auto" w:fill="FFFFFF"/>
        </w:rPr>
        <w:t>56</w:t>
      </w:r>
      <w:r w:rsidRPr="003742EE">
        <w:rPr>
          <w:rFonts w:cs="Times New Roman"/>
          <w:shd w:val="clear" w:color="auto" w:fill="FFFFFF"/>
        </w:rPr>
        <w:t>(03), 575-607.</w:t>
      </w:r>
    </w:p>
    <w:p w:rsidR="00BA25CB" w:rsidRPr="003742EE" w:rsidRDefault="00BA25CB" w:rsidP="003778BF">
      <w:pPr>
        <w:spacing w:line="360" w:lineRule="auto"/>
        <w:jc w:val="both"/>
      </w:pPr>
      <w:r w:rsidRPr="003742EE">
        <w:rPr>
          <w:rFonts w:cs="Arial"/>
          <w:shd w:val="clear" w:color="auto" w:fill="FFFFFF"/>
        </w:rPr>
        <w:lastRenderedPageBreak/>
        <w:t>Hosmer, S. T. (2001).</w:t>
      </w:r>
      <w:r w:rsidRPr="003742EE">
        <w:rPr>
          <w:rStyle w:val="apple-converted-space"/>
          <w:rFonts w:cs="Arial"/>
          <w:shd w:val="clear" w:color="auto" w:fill="FFFFFF"/>
        </w:rPr>
        <w:t> </w:t>
      </w:r>
      <w:r w:rsidRPr="003742EE">
        <w:rPr>
          <w:rFonts w:cs="Arial"/>
          <w:i/>
          <w:iCs/>
          <w:shd w:val="clear" w:color="auto" w:fill="FFFFFF"/>
        </w:rPr>
        <w:t>The Conflict Over Kosovo: Why Milosevic Decided to Settle When He Did</w:t>
      </w:r>
      <w:r w:rsidRPr="003742EE">
        <w:rPr>
          <w:rFonts w:cs="Arial"/>
          <w:shd w:val="clear" w:color="auto" w:fill="FFFFFF"/>
        </w:rPr>
        <w:t>. Rand Corporation.</w:t>
      </w:r>
    </w:p>
    <w:p w:rsidR="001E5C0C" w:rsidRPr="001E5C0C" w:rsidRDefault="001E5C0C" w:rsidP="003778BF">
      <w:pPr>
        <w:spacing w:line="360" w:lineRule="auto"/>
        <w:jc w:val="both"/>
      </w:pPr>
      <w:r>
        <w:t xml:space="preserve">International Crisis Group (2017). </w:t>
      </w:r>
      <w:r w:rsidRPr="001E5C0C">
        <w:t xml:space="preserve">Preventing War and Shaping Peace. </w:t>
      </w:r>
      <w:hyperlink r:id="rId19" w:history="1">
        <w:r w:rsidRPr="001E5C0C">
          <w:rPr>
            <w:rStyle w:val="Hyperlink"/>
          </w:rPr>
          <w:t>https://www.crisisgroup.org/who-we-are</w:t>
        </w:r>
      </w:hyperlink>
      <w:r w:rsidRPr="001E5C0C">
        <w:t xml:space="preserve"> </w:t>
      </w:r>
    </w:p>
    <w:p w:rsidR="007C7FC2" w:rsidRPr="003742EE" w:rsidRDefault="007C7FC2" w:rsidP="003778BF">
      <w:pPr>
        <w:spacing w:line="360" w:lineRule="auto"/>
        <w:jc w:val="both"/>
      </w:pPr>
      <w:r w:rsidRPr="003742EE">
        <w:t xml:space="preserve">Independent International Commission on Kosovo (2006). </w:t>
      </w:r>
      <w:r w:rsidRPr="003742EE">
        <w:rPr>
          <w:i/>
        </w:rPr>
        <w:t xml:space="preserve">The Kosovo Report and Update. </w:t>
      </w:r>
      <w:hyperlink r:id="rId20" w:history="1">
        <w:r w:rsidRPr="003742EE">
          <w:rPr>
            <w:rStyle w:val="Hyperlink"/>
          </w:rPr>
          <w:t>https://www.law.umich.edu/facultyhome/drwcasebook/Documents/Documents/The%20Kosovo%20Report%20and%20Update.pdf</w:t>
        </w:r>
      </w:hyperlink>
      <w:r w:rsidRPr="003742EE">
        <w:t xml:space="preserve"> </w:t>
      </w:r>
    </w:p>
    <w:p w:rsidR="00DF7085" w:rsidRPr="003742EE" w:rsidRDefault="00DF7085" w:rsidP="003778BF">
      <w:pPr>
        <w:spacing w:line="360" w:lineRule="auto"/>
        <w:jc w:val="both"/>
        <w:rPr>
          <w:rStyle w:val="Hyperlink"/>
          <w:lang w:val="nl-NL"/>
        </w:rPr>
      </w:pPr>
      <w:proofErr w:type="spellStart"/>
      <w:r w:rsidRPr="003742EE">
        <w:t>Ivanji</w:t>
      </w:r>
      <w:proofErr w:type="spellEnd"/>
      <w:r w:rsidRPr="003742EE">
        <w:t xml:space="preserve">, A. (2007). </w:t>
      </w:r>
      <w:proofErr w:type="spellStart"/>
      <w:r w:rsidRPr="003742EE">
        <w:t>Martti</w:t>
      </w:r>
      <w:proofErr w:type="spellEnd"/>
      <w:r w:rsidRPr="003742EE">
        <w:t xml:space="preserve"> </w:t>
      </w:r>
      <w:proofErr w:type="spellStart"/>
      <w:r w:rsidRPr="003742EE">
        <w:t>Ahtisaari’s</w:t>
      </w:r>
      <w:proofErr w:type="spellEnd"/>
      <w:r w:rsidRPr="003742EE">
        <w:t xml:space="preserve"> Compromise Proposal for the Kosovo. </w:t>
      </w:r>
      <w:r w:rsidRPr="003742EE">
        <w:rPr>
          <w:i/>
          <w:lang w:val="nl-NL"/>
        </w:rPr>
        <w:t>Eurotopics.</w:t>
      </w:r>
      <w:r w:rsidRPr="003742EE">
        <w:rPr>
          <w:lang w:val="nl-NL"/>
        </w:rPr>
        <w:t xml:space="preserve"> </w:t>
      </w:r>
      <w:hyperlink r:id="rId21" w:history="1">
        <w:r w:rsidRPr="00236532">
          <w:rPr>
            <w:rStyle w:val="Hyperlink"/>
            <w:lang w:val="nl-NL"/>
          </w:rPr>
          <w:t>http://archiv.eurotopics.net/en/home/presseschau/archiv/magazin/politik-verteilerseite/kosovo-2008-03/debatte_kosovo_2007_03/</w:t>
        </w:r>
      </w:hyperlink>
    </w:p>
    <w:p w:rsidR="00D15816" w:rsidRPr="003742EE" w:rsidRDefault="00D15816" w:rsidP="003778BF">
      <w:pPr>
        <w:spacing w:line="360" w:lineRule="auto"/>
        <w:jc w:val="both"/>
        <w:rPr>
          <w:rFonts w:cs="Times New Roman"/>
          <w:color w:val="222222"/>
          <w:shd w:val="clear" w:color="auto" w:fill="FFFFFF"/>
        </w:rPr>
      </w:pPr>
      <w:proofErr w:type="spellStart"/>
      <w:r w:rsidRPr="003742EE">
        <w:rPr>
          <w:rFonts w:cs="Times New Roman"/>
          <w:shd w:val="clear" w:color="auto" w:fill="FFFFFF"/>
        </w:rPr>
        <w:t>Jenne</w:t>
      </w:r>
      <w:proofErr w:type="spellEnd"/>
      <w:r w:rsidRPr="003742EE">
        <w:rPr>
          <w:rFonts w:cs="Times New Roman"/>
          <w:shd w:val="clear" w:color="auto" w:fill="FFFFFF"/>
        </w:rPr>
        <w:t>, E. (2004). A Bargaining Theory of Minority Demands: Explaining the Dog That Did Not Bite in 1990s Yugoslavia.</w:t>
      </w:r>
      <w:r w:rsidRPr="003742EE">
        <w:rPr>
          <w:rStyle w:val="apple-converted-space"/>
          <w:rFonts w:cs="Times New Roman"/>
          <w:shd w:val="clear" w:color="auto" w:fill="FFFFFF"/>
        </w:rPr>
        <w:t> </w:t>
      </w:r>
      <w:r w:rsidRPr="003742EE">
        <w:rPr>
          <w:rFonts w:cs="Times New Roman"/>
          <w:i/>
          <w:iCs/>
          <w:shd w:val="clear" w:color="auto" w:fill="FFFFFF"/>
        </w:rPr>
        <w:t>International Studies Quarterly,</w:t>
      </w:r>
      <w:r w:rsidRPr="003742EE">
        <w:rPr>
          <w:rStyle w:val="apple-converted-space"/>
          <w:rFonts w:cs="Times New Roman"/>
          <w:shd w:val="clear" w:color="auto" w:fill="FFFFFF"/>
        </w:rPr>
        <w:t> </w:t>
      </w:r>
      <w:r w:rsidRPr="003742EE">
        <w:rPr>
          <w:rFonts w:cs="Times New Roman"/>
          <w:i/>
          <w:iCs/>
          <w:shd w:val="clear" w:color="auto" w:fill="FFFFFF"/>
        </w:rPr>
        <w:t>48</w:t>
      </w:r>
      <w:r w:rsidRPr="003742EE">
        <w:rPr>
          <w:rFonts w:cs="Times New Roman"/>
          <w:shd w:val="clear" w:color="auto" w:fill="FFFFFF"/>
        </w:rPr>
        <w:t xml:space="preserve">(4), 729-754. Retrieved from </w:t>
      </w:r>
      <w:hyperlink r:id="rId22" w:history="1">
        <w:r w:rsidRPr="003742EE">
          <w:rPr>
            <w:rStyle w:val="Hyperlink"/>
            <w:rFonts w:cs="Times New Roman"/>
            <w:shd w:val="clear" w:color="auto" w:fill="FFFFFF"/>
          </w:rPr>
          <w:t>http://www.jstor.org/stable/3693533</w:t>
        </w:r>
      </w:hyperlink>
      <w:r w:rsidRPr="003742EE">
        <w:rPr>
          <w:rFonts w:cs="Times New Roman"/>
          <w:color w:val="222222"/>
          <w:shd w:val="clear" w:color="auto" w:fill="FFFFFF"/>
        </w:rPr>
        <w:t xml:space="preserve"> </w:t>
      </w:r>
    </w:p>
    <w:p w:rsidR="00D15816" w:rsidRPr="003742EE" w:rsidRDefault="00D15816" w:rsidP="003778BF">
      <w:pPr>
        <w:spacing w:line="360" w:lineRule="auto"/>
        <w:jc w:val="both"/>
        <w:rPr>
          <w:rFonts w:cs="Times New Roman"/>
          <w:shd w:val="clear" w:color="auto" w:fill="FFFFFF"/>
        </w:rPr>
      </w:pPr>
      <w:proofErr w:type="spellStart"/>
      <w:r w:rsidRPr="003742EE">
        <w:rPr>
          <w:rFonts w:cs="Times New Roman"/>
          <w:shd w:val="clear" w:color="auto" w:fill="FFFFFF"/>
        </w:rPr>
        <w:t>Jetschke</w:t>
      </w:r>
      <w:proofErr w:type="spellEnd"/>
      <w:r w:rsidRPr="003742EE">
        <w:rPr>
          <w:rFonts w:cs="Times New Roman"/>
          <w:shd w:val="clear" w:color="auto" w:fill="FFFFFF"/>
        </w:rPr>
        <w:t xml:space="preserve">, A. (1999). Linking the </w:t>
      </w:r>
      <w:proofErr w:type="spellStart"/>
      <w:r w:rsidRPr="003742EE">
        <w:rPr>
          <w:rFonts w:cs="Times New Roman"/>
          <w:shd w:val="clear" w:color="auto" w:fill="FFFFFF"/>
        </w:rPr>
        <w:t>unlinkable</w:t>
      </w:r>
      <w:proofErr w:type="spellEnd"/>
      <w:r w:rsidRPr="003742EE">
        <w:rPr>
          <w:rFonts w:cs="Times New Roman"/>
          <w:shd w:val="clear" w:color="auto" w:fill="FFFFFF"/>
        </w:rPr>
        <w:t>? International norms and nationalism in Indonesia and the Philippines.</w:t>
      </w:r>
      <w:r w:rsidRPr="003742EE">
        <w:rPr>
          <w:rStyle w:val="apple-converted-space"/>
          <w:rFonts w:cs="Times New Roman"/>
          <w:shd w:val="clear" w:color="auto" w:fill="FFFFFF"/>
        </w:rPr>
        <w:t xml:space="preserve"> In </w:t>
      </w:r>
      <w:r w:rsidRPr="003742EE">
        <w:rPr>
          <w:rFonts w:cs="Times New Roman"/>
          <w:i/>
          <w:iCs/>
          <w:shd w:val="clear" w:color="auto" w:fill="FFFFFF"/>
        </w:rPr>
        <w:t>The power of human rights: International norms and domestic change</w:t>
      </w:r>
      <w:r w:rsidRPr="003742EE">
        <w:rPr>
          <w:rStyle w:val="apple-converted-space"/>
          <w:rFonts w:cs="Times New Roman"/>
          <w:shd w:val="clear" w:color="auto" w:fill="FFFFFF"/>
        </w:rPr>
        <w:t> </w:t>
      </w:r>
      <w:r w:rsidRPr="003742EE">
        <w:rPr>
          <w:rFonts w:cs="Times New Roman"/>
          <w:shd w:val="clear" w:color="auto" w:fill="FFFFFF"/>
        </w:rPr>
        <w:t>(Vol. 66) (pp. 134 – 171). Cambridge University Press.</w:t>
      </w:r>
    </w:p>
    <w:p w:rsidR="00D15816" w:rsidRPr="003742EE" w:rsidRDefault="00D15816" w:rsidP="003778BF">
      <w:pPr>
        <w:spacing w:line="360" w:lineRule="auto"/>
        <w:jc w:val="both"/>
        <w:rPr>
          <w:rFonts w:cs="Times New Roman"/>
          <w:shd w:val="clear" w:color="auto" w:fill="FFFFFF"/>
        </w:rPr>
      </w:pPr>
      <w:r w:rsidRPr="003742EE">
        <w:rPr>
          <w:rFonts w:cs="Times New Roman"/>
          <w:shd w:val="clear" w:color="auto" w:fill="FFFFFF"/>
        </w:rPr>
        <w:t xml:space="preserve">Johnson, C. (2008). ‘’Partitioning to Peace.’’ </w:t>
      </w:r>
      <w:r w:rsidRPr="003742EE">
        <w:rPr>
          <w:rFonts w:cs="Times New Roman"/>
          <w:i/>
          <w:shd w:val="clear" w:color="auto" w:fill="FFFFFF"/>
        </w:rPr>
        <w:t>International Security, 32</w:t>
      </w:r>
      <w:r w:rsidRPr="003742EE">
        <w:rPr>
          <w:rFonts w:cs="Times New Roman"/>
          <w:shd w:val="clear" w:color="auto" w:fill="FFFFFF"/>
        </w:rPr>
        <w:t xml:space="preserve">(4), 140-170. </w:t>
      </w:r>
    </w:p>
    <w:p w:rsidR="00D15816" w:rsidRPr="003742EE" w:rsidRDefault="00D15816" w:rsidP="003778BF">
      <w:pPr>
        <w:spacing w:line="360" w:lineRule="auto"/>
        <w:jc w:val="both"/>
        <w:rPr>
          <w:rFonts w:cs="Times New Roman"/>
          <w:shd w:val="clear" w:color="auto" w:fill="FFFFFF"/>
        </w:rPr>
      </w:pPr>
      <w:r w:rsidRPr="003742EE">
        <w:rPr>
          <w:rFonts w:cs="Times New Roman"/>
          <w:shd w:val="clear" w:color="auto" w:fill="FFFFFF"/>
        </w:rPr>
        <w:t>Kaufmann, C. (1996). Possible and impossible solutions to ethnic civil wars.</w:t>
      </w:r>
      <w:r w:rsidRPr="003742EE">
        <w:rPr>
          <w:rStyle w:val="apple-converted-space"/>
          <w:rFonts w:cs="Times New Roman"/>
          <w:color w:val="222222"/>
          <w:shd w:val="clear" w:color="auto" w:fill="FFFFFF"/>
        </w:rPr>
        <w:t> </w:t>
      </w:r>
      <w:r w:rsidRPr="003742EE">
        <w:rPr>
          <w:rFonts w:cs="Times New Roman"/>
          <w:i/>
          <w:iCs/>
          <w:shd w:val="clear" w:color="auto" w:fill="FFFFFF"/>
        </w:rPr>
        <w:t>International security</w:t>
      </w:r>
      <w:r w:rsidRPr="003742EE">
        <w:rPr>
          <w:rFonts w:cs="Times New Roman"/>
          <w:shd w:val="clear" w:color="auto" w:fill="FFFFFF"/>
        </w:rPr>
        <w:t>,</w:t>
      </w:r>
      <w:r w:rsidRPr="003742EE">
        <w:rPr>
          <w:rStyle w:val="apple-converted-space"/>
          <w:rFonts w:cs="Times New Roman"/>
          <w:color w:val="222222"/>
          <w:shd w:val="clear" w:color="auto" w:fill="FFFFFF"/>
        </w:rPr>
        <w:t> </w:t>
      </w:r>
      <w:r w:rsidRPr="003742EE">
        <w:rPr>
          <w:rFonts w:cs="Times New Roman"/>
          <w:i/>
          <w:iCs/>
          <w:shd w:val="clear" w:color="auto" w:fill="FFFFFF"/>
        </w:rPr>
        <w:t>20</w:t>
      </w:r>
      <w:r w:rsidRPr="003742EE">
        <w:rPr>
          <w:rFonts w:cs="Times New Roman"/>
          <w:shd w:val="clear" w:color="auto" w:fill="FFFFFF"/>
        </w:rPr>
        <w:t>(4), 136-175.</w:t>
      </w:r>
    </w:p>
    <w:p w:rsidR="00D15816" w:rsidRPr="003742EE" w:rsidRDefault="00D15816" w:rsidP="003778BF">
      <w:pPr>
        <w:spacing w:line="360" w:lineRule="auto"/>
        <w:jc w:val="both"/>
        <w:rPr>
          <w:rFonts w:cs="Times New Roman"/>
          <w:shd w:val="clear" w:color="auto" w:fill="FFFFFF"/>
        </w:rPr>
      </w:pPr>
      <w:r w:rsidRPr="003742EE">
        <w:rPr>
          <w:rFonts w:cs="Times New Roman"/>
          <w:shd w:val="clear" w:color="auto" w:fill="FFFFFF"/>
        </w:rPr>
        <w:t>Kaufmann, C. D. (1998). When all else fails: Ethnic population transfers and partitions in the twentieth century.</w:t>
      </w:r>
      <w:r w:rsidRPr="003742EE">
        <w:rPr>
          <w:rStyle w:val="apple-converted-space"/>
          <w:rFonts w:cs="Times New Roman"/>
          <w:color w:val="222222"/>
          <w:shd w:val="clear" w:color="auto" w:fill="FFFFFF"/>
        </w:rPr>
        <w:t> </w:t>
      </w:r>
      <w:r w:rsidRPr="003742EE">
        <w:rPr>
          <w:rFonts w:cs="Times New Roman"/>
          <w:i/>
          <w:iCs/>
          <w:shd w:val="clear" w:color="auto" w:fill="FFFFFF"/>
        </w:rPr>
        <w:t>International security</w:t>
      </w:r>
      <w:r w:rsidRPr="003742EE">
        <w:rPr>
          <w:rFonts w:cs="Times New Roman"/>
          <w:shd w:val="clear" w:color="auto" w:fill="FFFFFF"/>
        </w:rPr>
        <w:t>,</w:t>
      </w:r>
      <w:r w:rsidRPr="003742EE">
        <w:rPr>
          <w:rStyle w:val="apple-converted-space"/>
          <w:rFonts w:cs="Times New Roman"/>
          <w:color w:val="222222"/>
          <w:shd w:val="clear" w:color="auto" w:fill="FFFFFF"/>
        </w:rPr>
        <w:t> </w:t>
      </w:r>
      <w:r w:rsidRPr="003742EE">
        <w:rPr>
          <w:rFonts w:cs="Times New Roman"/>
          <w:i/>
          <w:iCs/>
          <w:shd w:val="clear" w:color="auto" w:fill="FFFFFF"/>
        </w:rPr>
        <w:t>23</w:t>
      </w:r>
      <w:r w:rsidRPr="003742EE">
        <w:rPr>
          <w:rFonts w:cs="Times New Roman"/>
          <w:shd w:val="clear" w:color="auto" w:fill="FFFFFF"/>
        </w:rPr>
        <w:t>(2), 120-156.</w:t>
      </w:r>
    </w:p>
    <w:p w:rsidR="00D15816" w:rsidRPr="003742EE" w:rsidRDefault="00D15816" w:rsidP="003778BF">
      <w:pPr>
        <w:spacing w:line="360" w:lineRule="auto"/>
        <w:jc w:val="both"/>
        <w:rPr>
          <w:rFonts w:cs="Times New Roman"/>
        </w:rPr>
      </w:pPr>
      <w:r w:rsidRPr="003742EE">
        <w:rPr>
          <w:rFonts w:cs="Times New Roman"/>
        </w:rPr>
        <w:t xml:space="preserve">Kazbek, K. and </w:t>
      </w:r>
      <w:proofErr w:type="spellStart"/>
      <w:r w:rsidRPr="003742EE">
        <w:rPr>
          <w:rFonts w:cs="Times New Roman"/>
        </w:rPr>
        <w:t>Rickleton</w:t>
      </w:r>
      <w:proofErr w:type="spellEnd"/>
      <w:r w:rsidRPr="003742EE">
        <w:rPr>
          <w:rFonts w:cs="Times New Roman"/>
        </w:rPr>
        <w:t xml:space="preserve">, C. (2014). Conflicts in Kyrgyzstan Foreshadow Water Wars to Come. Retrieved May 8, 2017, from </w:t>
      </w:r>
      <w:hyperlink r:id="rId23" w:history="1">
        <w:r w:rsidRPr="003742EE">
          <w:rPr>
            <w:rStyle w:val="Hyperlink"/>
            <w:rFonts w:cs="Times New Roman"/>
          </w:rPr>
          <w:t>http://creativetimereports.org/2014/06/17/kyrgyzstan-conflicts-foreshadow-water-wars/</w:t>
        </w:r>
      </w:hyperlink>
    </w:p>
    <w:p w:rsidR="00D15816" w:rsidRPr="003742EE" w:rsidRDefault="00D15816" w:rsidP="003778BF">
      <w:pPr>
        <w:spacing w:line="360" w:lineRule="auto"/>
        <w:jc w:val="both"/>
        <w:rPr>
          <w:rFonts w:eastAsia="Times New Roman" w:cs="Times New Roman"/>
          <w:lang w:eastAsia="nl-NL"/>
        </w:rPr>
      </w:pPr>
      <w:r w:rsidRPr="003742EE">
        <w:rPr>
          <w:rFonts w:cs="Times New Roman"/>
          <w:shd w:val="clear" w:color="auto" w:fill="FFFFFF"/>
        </w:rPr>
        <w:t xml:space="preserve">Keck, M. E., &amp; </w:t>
      </w:r>
      <w:proofErr w:type="spellStart"/>
      <w:r w:rsidRPr="003742EE">
        <w:rPr>
          <w:rFonts w:cs="Times New Roman"/>
          <w:shd w:val="clear" w:color="auto" w:fill="FFFFFF"/>
        </w:rPr>
        <w:t>Sikkink</w:t>
      </w:r>
      <w:proofErr w:type="spellEnd"/>
      <w:r w:rsidRPr="003742EE">
        <w:rPr>
          <w:rFonts w:cs="Times New Roman"/>
          <w:shd w:val="clear" w:color="auto" w:fill="FFFFFF"/>
        </w:rPr>
        <w:t>, K. (1999). Transnational advocacy networks in international and regional politics.</w:t>
      </w:r>
      <w:r w:rsidRPr="003742EE">
        <w:rPr>
          <w:rStyle w:val="apple-converted-space"/>
          <w:rFonts w:cs="Times New Roman"/>
          <w:shd w:val="clear" w:color="auto" w:fill="FFFFFF"/>
        </w:rPr>
        <w:t> </w:t>
      </w:r>
      <w:r w:rsidRPr="003742EE">
        <w:rPr>
          <w:rFonts w:cs="Times New Roman"/>
          <w:i/>
          <w:iCs/>
          <w:shd w:val="clear" w:color="auto" w:fill="FFFFFF"/>
        </w:rPr>
        <w:t>International Social Science Journal</w:t>
      </w:r>
      <w:r w:rsidRPr="003742EE">
        <w:rPr>
          <w:rFonts w:cs="Times New Roman"/>
          <w:shd w:val="clear" w:color="auto" w:fill="FFFFFF"/>
        </w:rPr>
        <w:t>,</w:t>
      </w:r>
      <w:r w:rsidRPr="003742EE">
        <w:rPr>
          <w:rStyle w:val="apple-converted-space"/>
          <w:rFonts w:cs="Times New Roman"/>
          <w:shd w:val="clear" w:color="auto" w:fill="FFFFFF"/>
        </w:rPr>
        <w:t> </w:t>
      </w:r>
      <w:r w:rsidRPr="003742EE">
        <w:rPr>
          <w:rFonts w:cs="Times New Roman"/>
          <w:i/>
          <w:iCs/>
          <w:shd w:val="clear" w:color="auto" w:fill="FFFFFF"/>
        </w:rPr>
        <w:t>51</w:t>
      </w:r>
      <w:r w:rsidRPr="003742EE">
        <w:rPr>
          <w:rFonts w:cs="Times New Roman"/>
          <w:shd w:val="clear" w:color="auto" w:fill="FFFFFF"/>
        </w:rPr>
        <w:t xml:space="preserve">(159), 89-101. </w:t>
      </w:r>
    </w:p>
    <w:p w:rsidR="00D15816" w:rsidRPr="003742EE" w:rsidRDefault="00D15816" w:rsidP="003778BF">
      <w:pPr>
        <w:spacing w:line="360" w:lineRule="auto"/>
        <w:jc w:val="both"/>
        <w:rPr>
          <w:rFonts w:cs="Times New Roman"/>
          <w:shd w:val="clear" w:color="auto" w:fill="FFFFFF"/>
        </w:rPr>
      </w:pPr>
      <w:proofErr w:type="spellStart"/>
      <w:r w:rsidRPr="003742EE">
        <w:rPr>
          <w:rFonts w:cs="Times New Roman"/>
          <w:shd w:val="clear" w:color="auto" w:fill="FFFFFF"/>
        </w:rPr>
        <w:t>Krippendorff</w:t>
      </w:r>
      <w:proofErr w:type="spellEnd"/>
      <w:r w:rsidRPr="003742EE">
        <w:rPr>
          <w:rFonts w:cs="Times New Roman"/>
          <w:shd w:val="clear" w:color="auto" w:fill="FFFFFF"/>
        </w:rPr>
        <w:t>, K. (2004).</w:t>
      </w:r>
      <w:r w:rsidRPr="003742EE">
        <w:rPr>
          <w:rStyle w:val="apple-converted-space"/>
          <w:rFonts w:cs="Times New Roman"/>
          <w:shd w:val="clear" w:color="auto" w:fill="FFFFFF"/>
        </w:rPr>
        <w:t> </w:t>
      </w:r>
      <w:r w:rsidRPr="003742EE">
        <w:rPr>
          <w:rFonts w:cs="Times New Roman"/>
          <w:i/>
          <w:iCs/>
          <w:shd w:val="clear" w:color="auto" w:fill="FFFFFF"/>
        </w:rPr>
        <w:t xml:space="preserve">Content analysis: An introduction to its methodology </w:t>
      </w:r>
      <w:r w:rsidRPr="003742EE">
        <w:rPr>
          <w:rFonts w:cs="Times New Roman"/>
          <w:iCs/>
          <w:shd w:val="clear" w:color="auto" w:fill="FFFFFF"/>
        </w:rPr>
        <w:t>(pp. 3 – 43)</w:t>
      </w:r>
      <w:r w:rsidRPr="003742EE">
        <w:rPr>
          <w:rFonts w:cs="Times New Roman"/>
          <w:shd w:val="clear" w:color="auto" w:fill="FFFFFF"/>
        </w:rPr>
        <w:t>. Sage.</w:t>
      </w:r>
    </w:p>
    <w:p w:rsidR="00D15816" w:rsidRPr="003742EE" w:rsidRDefault="00D15816" w:rsidP="003778BF">
      <w:pPr>
        <w:spacing w:line="360" w:lineRule="auto"/>
        <w:jc w:val="both"/>
        <w:rPr>
          <w:rFonts w:cs="Times New Roman"/>
          <w:shd w:val="clear" w:color="auto" w:fill="FFFFFF"/>
        </w:rPr>
      </w:pPr>
      <w:proofErr w:type="spellStart"/>
      <w:r w:rsidRPr="003742EE">
        <w:rPr>
          <w:rFonts w:cs="Times New Roman"/>
          <w:shd w:val="clear" w:color="auto" w:fill="FFFFFF"/>
        </w:rPr>
        <w:t>Kuperman</w:t>
      </w:r>
      <w:proofErr w:type="spellEnd"/>
      <w:r w:rsidRPr="003742EE">
        <w:rPr>
          <w:rFonts w:cs="Times New Roman"/>
          <w:shd w:val="clear" w:color="auto" w:fill="FFFFFF"/>
        </w:rPr>
        <w:t>, A. J. (2004). Is partition really the only hope? Reconciling contradictory findings about ethnic civil wars.</w:t>
      </w:r>
      <w:r w:rsidRPr="003742EE">
        <w:rPr>
          <w:rStyle w:val="apple-converted-space"/>
          <w:rFonts w:cs="Times New Roman"/>
          <w:color w:val="222222"/>
          <w:shd w:val="clear" w:color="auto" w:fill="FFFFFF"/>
        </w:rPr>
        <w:t> </w:t>
      </w:r>
      <w:r w:rsidRPr="003742EE">
        <w:rPr>
          <w:rFonts w:cs="Times New Roman"/>
          <w:i/>
          <w:iCs/>
          <w:shd w:val="clear" w:color="auto" w:fill="FFFFFF"/>
        </w:rPr>
        <w:t>Security Studies</w:t>
      </w:r>
      <w:r w:rsidRPr="003742EE">
        <w:rPr>
          <w:rFonts w:cs="Times New Roman"/>
          <w:shd w:val="clear" w:color="auto" w:fill="FFFFFF"/>
        </w:rPr>
        <w:t>,</w:t>
      </w:r>
      <w:r w:rsidRPr="003742EE">
        <w:rPr>
          <w:rStyle w:val="apple-converted-space"/>
          <w:rFonts w:cs="Times New Roman"/>
          <w:color w:val="222222"/>
          <w:shd w:val="clear" w:color="auto" w:fill="FFFFFF"/>
        </w:rPr>
        <w:t> </w:t>
      </w:r>
      <w:r w:rsidRPr="003742EE">
        <w:rPr>
          <w:rFonts w:cs="Times New Roman"/>
          <w:i/>
          <w:iCs/>
          <w:shd w:val="clear" w:color="auto" w:fill="FFFFFF"/>
        </w:rPr>
        <w:t>13</w:t>
      </w:r>
      <w:r w:rsidRPr="003742EE">
        <w:rPr>
          <w:rFonts w:cs="Times New Roman"/>
          <w:shd w:val="clear" w:color="auto" w:fill="FFFFFF"/>
        </w:rPr>
        <w:t>(4), 314-349.</w:t>
      </w:r>
    </w:p>
    <w:p w:rsidR="00D15816" w:rsidRPr="003742EE" w:rsidRDefault="00D15816" w:rsidP="003778BF">
      <w:pPr>
        <w:spacing w:line="360" w:lineRule="auto"/>
        <w:jc w:val="both"/>
        <w:rPr>
          <w:rFonts w:cs="Times New Roman"/>
          <w:shd w:val="clear" w:color="auto" w:fill="FFFFFF"/>
        </w:rPr>
      </w:pPr>
      <w:proofErr w:type="spellStart"/>
      <w:r w:rsidRPr="003742EE">
        <w:rPr>
          <w:rFonts w:cs="Times New Roman"/>
          <w:shd w:val="clear" w:color="auto" w:fill="FFFFFF"/>
        </w:rPr>
        <w:lastRenderedPageBreak/>
        <w:t>Kuzio</w:t>
      </w:r>
      <w:proofErr w:type="spellEnd"/>
      <w:r w:rsidRPr="003742EE">
        <w:rPr>
          <w:rFonts w:cs="Times New Roman"/>
          <w:shd w:val="clear" w:color="auto" w:fill="FFFFFF"/>
        </w:rPr>
        <w:t>, T. (2001). Transition in post-communist states: triple or quadruple?.</w:t>
      </w:r>
      <w:r w:rsidRPr="003742EE">
        <w:rPr>
          <w:rStyle w:val="apple-converted-space"/>
          <w:rFonts w:cs="Times New Roman"/>
          <w:color w:val="222222"/>
          <w:shd w:val="clear" w:color="auto" w:fill="FFFFFF"/>
        </w:rPr>
        <w:t> </w:t>
      </w:r>
      <w:r w:rsidRPr="003742EE">
        <w:rPr>
          <w:rFonts w:cs="Times New Roman"/>
          <w:i/>
          <w:iCs/>
          <w:shd w:val="clear" w:color="auto" w:fill="FFFFFF"/>
        </w:rPr>
        <w:t>Politics</w:t>
      </w:r>
      <w:r w:rsidRPr="003742EE">
        <w:rPr>
          <w:rFonts w:cs="Times New Roman"/>
          <w:shd w:val="clear" w:color="auto" w:fill="FFFFFF"/>
        </w:rPr>
        <w:t>,</w:t>
      </w:r>
      <w:r w:rsidRPr="003742EE">
        <w:rPr>
          <w:rStyle w:val="apple-converted-space"/>
          <w:rFonts w:cs="Times New Roman"/>
          <w:color w:val="222222"/>
          <w:shd w:val="clear" w:color="auto" w:fill="FFFFFF"/>
        </w:rPr>
        <w:t> </w:t>
      </w:r>
      <w:r w:rsidRPr="003742EE">
        <w:rPr>
          <w:rFonts w:cs="Times New Roman"/>
          <w:i/>
          <w:iCs/>
          <w:shd w:val="clear" w:color="auto" w:fill="FFFFFF"/>
        </w:rPr>
        <w:t>21</w:t>
      </w:r>
      <w:r w:rsidRPr="003742EE">
        <w:rPr>
          <w:rFonts w:cs="Times New Roman"/>
          <w:shd w:val="clear" w:color="auto" w:fill="FFFFFF"/>
        </w:rPr>
        <w:t>(3), 168-177.</w:t>
      </w:r>
    </w:p>
    <w:p w:rsidR="00D15816" w:rsidRPr="003742EE" w:rsidRDefault="00D15816" w:rsidP="003778BF">
      <w:pPr>
        <w:spacing w:line="360" w:lineRule="auto"/>
        <w:jc w:val="both"/>
        <w:rPr>
          <w:rFonts w:cs="Times New Roman"/>
          <w:shd w:val="clear" w:color="auto" w:fill="FFFFFF"/>
        </w:rPr>
      </w:pPr>
      <w:r w:rsidRPr="003742EE">
        <w:rPr>
          <w:rFonts w:cs="Times New Roman"/>
          <w:shd w:val="clear" w:color="auto" w:fill="FFFFFF"/>
        </w:rPr>
        <w:t>Larson, D. W., &amp; Shevchenko, A. (2010). Status seekers: Chinese and Russian responses to US primacy.</w:t>
      </w:r>
      <w:r w:rsidRPr="003742EE">
        <w:rPr>
          <w:rStyle w:val="apple-converted-space"/>
          <w:rFonts w:cs="Times New Roman"/>
          <w:shd w:val="clear" w:color="auto" w:fill="FFFFFF"/>
        </w:rPr>
        <w:t> </w:t>
      </w:r>
      <w:r w:rsidRPr="003742EE">
        <w:rPr>
          <w:rFonts w:cs="Times New Roman"/>
          <w:i/>
          <w:iCs/>
          <w:shd w:val="clear" w:color="auto" w:fill="FFFFFF"/>
        </w:rPr>
        <w:t>International Security</w:t>
      </w:r>
      <w:r w:rsidRPr="003742EE">
        <w:rPr>
          <w:rFonts w:cs="Times New Roman"/>
          <w:shd w:val="clear" w:color="auto" w:fill="FFFFFF"/>
        </w:rPr>
        <w:t>,</w:t>
      </w:r>
      <w:r w:rsidRPr="003742EE">
        <w:rPr>
          <w:rStyle w:val="apple-converted-space"/>
          <w:rFonts w:cs="Times New Roman"/>
          <w:shd w:val="clear" w:color="auto" w:fill="FFFFFF"/>
        </w:rPr>
        <w:t> </w:t>
      </w:r>
      <w:r w:rsidRPr="003742EE">
        <w:rPr>
          <w:rFonts w:cs="Times New Roman"/>
          <w:i/>
          <w:iCs/>
          <w:shd w:val="clear" w:color="auto" w:fill="FFFFFF"/>
        </w:rPr>
        <w:t>34</w:t>
      </w:r>
      <w:r w:rsidRPr="003742EE">
        <w:rPr>
          <w:rFonts w:cs="Times New Roman"/>
          <w:shd w:val="clear" w:color="auto" w:fill="FFFFFF"/>
        </w:rPr>
        <w:t>(4), 63-95.</w:t>
      </w:r>
    </w:p>
    <w:p w:rsidR="00D15816" w:rsidRPr="003742EE" w:rsidRDefault="00D15816" w:rsidP="003778BF">
      <w:pPr>
        <w:spacing w:line="360" w:lineRule="auto"/>
        <w:jc w:val="both"/>
        <w:rPr>
          <w:rFonts w:eastAsia="Times New Roman" w:cs="Times New Roman"/>
          <w:lang w:eastAsia="nl-NL"/>
        </w:rPr>
      </w:pPr>
      <w:proofErr w:type="spellStart"/>
      <w:r w:rsidRPr="003742EE">
        <w:rPr>
          <w:rFonts w:eastAsia="Times New Roman" w:cs="Times New Roman"/>
          <w:lang w:eastAsia="nl-NL"/>
        </w:rPr>
        <w:t>Lemarchand</w:t>
      </w:r>
      <w:proofErr w:type="spellEnd"/>
      <w:r w:rsidRPr="003742EE">
        <w:rPr>
          <w:rFonts w:eastAsia="Times New Roman" w:cs="Times New Roman"/>
          <w:lang w:eastAsia="nl-NL"/>
        </w:rPr>
        <w:t xml:space="preserve">, R. (2007). </w:t>
      </w:r>
      <w:proofErr w:type="spellStart"/>
      <w:r w:rsidRPr="003742EE">
        <w:rPr>
          <w:rFonts w:eastAsia="Times New Roman" w:cs="Times New Roman"/>
          <w:lang w:eastAsia="nl-NL"/>
        </w:rPr>
        <w:t>Consociationalism</w:t>
      </w:r>
      <w:proofErr w:type="spellEnd"/>
      <w:r w:rsidRPr="003742EE">
        <w:rPr>
          <w:rFonts w:eastAsia="Times New Roman" w:cs="Times New Roman"/>
          <w:lang w:eastAsia="nl-NL"/>
        </w:rPr>
        <w:t xml:space="preserve"> and Power Sharing in Africa: Rwanda, Burundi, and the Democratic Republic of the Congo. </w:t>
      </w:r>
      <w:r w:rsidRPr="003742EE">
        <w:rPr>
          <w:rFonts w:eastAsia="Times New Roman" w:cs="Times New Roman"/>
          <w:i/>
          <w:iCs/>
          <w:lang w:eastAsia="nl-NL"/>
        </w:rPr>
        <w:t>African Affairs,</w:t>
      </w:r>
      <w:r w:rsidRPr="003742EE">
        <w:rPr>
          <w:rFonts w:eastAsia="Times New Roman" w:cs="Times New Roman"/>
          <w:lang w:eastAsia="nl-NL"/>
        </w:rPr>
        <w:t> </w:t>
      </w:r>
      <w:r w:rsidRPr="003742EE">
        <w:rPr>
          <w:rFonts w:eastAsia="Times New Roman" w:cs="Times New Roman"/>
          <w:i/>
          <w:iCs/>
          <w:lang w:eastAsia="nl-NL"/>
        </w:rPr>
        <w:t>106</w:t>
      </w:r>
      <w:r w:rsidRPr="003742EE">
        <w:rPr>
          <w:rFonts w:eastAsia="Times New Roman" w:cs="Times New Roman"/>
          <w:lang w:eastAsia="nl-NL"/>
        </w:rPr>
        <w:t xml:space="preserve">(422), 1-20. Retrieved from </w:t>
      </w:r>
      <w:hyperlink r:id="rId24" w:history="1">
        <w:r w:rsidRPr="003742EE">
          <w:rPr>
            <w:rStyle w:val="Hyperlink"/>
            <w:rFonts w:eastAsia="Times New Roman" w:cs="Times New Roman"/>
            <w:lang w:eastAsia="nl-NL"/>
          </w:rPr>
          <w:t>http://www.jstor.org/stable/4496413</w:t>
        </w:r>
      </w:hyperlink>
      <w:r w:rsidRPr="003742EE">
        <w:rPr>
          <w:rFonts w:eastAsia="Times New Roman" w:cs="Times New Roman"/>
          <w:lang w:eastAsia="nl-NL"/>
        </w:rPr>
        <w:t xml:space="preserve"> </w:t>
      </w:r>
    </w:p>
    <w:p w:rsidR="00574208" w:rsidRPr="003742EE" w:rsidRDefault="00574208" w:rsidP="003778BF">
      <w:pPr>
        <w:spacing w:line="360" w:lineRule="auto"/>
        <w:jc w:val="both"/>
      </w:pPr>
      <w:proofErr w:type="spellStart"/>
      <w:r w:rsidRPr="003742EE">
        <w:t>Mitrovic</w:t>
      </w:r>
      <w:proofErr w:type="spellEnd"/>
      <w:r w:rsidRPr="003742EE">
        <w:t xml:space="preserve">, M. (2015). Five EU members under pressure to recognize Kosovo. </w:t>
      </w:r>
      <w:hyperlink r:id="rId25" w:history="1">
        <w:r w:rsidRPr="003742EE">
          <w:rPr>
            <w:rStyle w:val="Hyperlink"/>
          </w:rPr>
          <w:t>http://www.balkaneu.com/eu-members-pressure-recognize-kosovo/</w:t>
        </w:r>
      </w:hyperlink>
    </w:p>
    <w:p w:rsidR="00D15816" w:rsidRPr="003742EE" w:rsidRDefault="00D15816" w:rsidP="003778BF">
      <w:pPr>
        <w:spacing w:line="360" w:lineRule="auto"/>
        <w:jc w:val="both"/>
        <w:rPr>
          <w:rFonts w:cs="Times New Roman"/>
          <w:shd w:val="clear" w:color="auto" w:fill="FFFFFF"/>
        </w:rPr>
      </w:pPr>
      <w:proofErr w:type="spellStart"/>
      <w:r w:rsidRPr="003742EE">
        <w:rPr>
          <w:rFonts w:cs="Times New Roman"/>
          <w:shd w:val="clear" w:color="auto" w:fill="FFFFFF"/>
        </w:rPr>
        <w:t>Oneal</w:t>
      </w:r>
      <w:proofErr w:type="spellEnd"/>
      <w:r w:rsidRPr="003742EE">
        <w:rPr>
          <w:rFonts w:cs="Times New Roman"/>
          <w:shd w:val="clear" w:color="auto" w:fill="FFFFFF"/>
        </w:rPr>
        <w:t xml:space="preserve">, J. R., </w:t>
      </w:r>
      <w:proofErr w:type="spellStart"/>
      <w:r w:rsidRPr="003742EE">
        <w:rPr>
          <w:rFonts w:cs="Times New Roman"/>
          <w:shd w:val="clear" w:color="auto" w:fill="FFFFFF"/>
        </w:rPr>
        <w:t>Russett</w:t>
      </w:r>
      <w:proofErr w:type="spellEnd"/>
      <w:r w:rsidRPr="003742EE">
        <w:rPr>
          <w:rFonts w:cs="Times New Roman"/>
          <w:shd w:val="clear" w:color="auto" w:fill="FFFFFF"/>
        </w:rPr>
        <w:t xml:space="preserve">, B., &amp; </w:t>
      </w:r>
      <w:proofErr w:type="spellStart"/>
      <w:r w:rsidRPr="003742EE">
        <w:rPr>
          <w:rFonts w:cs="Times New Roman"/>
          <w:shd w:val="clear" w:color="auto" w:fill="FFFFFF"/>
        </w:rPr>
        <w:t>Berbaum</w:t>
      </w:r>
      <w:proofErr w:type="spellEnd"/>
      <w:r w:rsidRPr="003742EE">
        <w:rPr>
          <w:rFonts w:cs="Times New Roman"/>
          <w:shd w:val="clear" w:color="auto" w:fill="FFFFFF"/>
        </w:rPr>
        <w:t>, M. L. (2003). Causes of peace: Democracy, interdependence, and international organizations, 1885–1992.</w:t>
      </w:r>
      <w:r w:rsidRPr="003742EE">
        <w:rPr>
          <w:rStyle w:val="apple-converted-space"/>
          <w:rFonts w:cs="Times New Roman"/>
          <w:color w:val="222222"/>
          <w:shd w:val="clear" w:color="auto" w:fill="FFFFFF"/>
        </w:rPr>
        <w:t> </w:t>
      </w:r>
      <w:r w:rsidRPr="003742EE">
        <w:rPr>
          <w:rFonts w:cs="Times New Roman"/>
          <w:i/>
          <w:iCs/>
          <w:shd w:val="clear" w:color="auto" w:fill="FFFFFF"/>
        </w:rPr>
        <w:t>International Studies Quarterly</w:t>
      </w:r>
      <w:r w:rsidRPr="003742EE">
        <w:rPr>
          <w:rFonts w:cs="Times New Roman"/>
          <w:shd w:val="clear" w:color="auto" w:fill="FFFFFF"/>
        </w:rPr>
        <w:t>,</w:t>
      </w:r>
      <w:r w:rsidRPr="003742EE">
        <w:rPr>
          <w:rStyle w:val="apple-converted-space"/>
          <w:rFonts w:cs="Times New Roman"/>
          <w:color w:val="222222"/>
          <w:shd w:val="clear" w:color="auto" w:fill="FFFFFF"/>
        </w:rPr>
        <w:t> </w:t>
      </w:r>
      <w:r w:rsidRPr="003742EE">
        <w:rPr>
          <w:rFonts w:cs="Times New Roman"/>
          <w:i/>
          <w:iCs/>
          <w:shd w:val="clear" w:color="auto" w:fill="FFFFFF"/>
        </w:rPr>
        <w:t>47</w:t>
      </w:r>
      <w:r w:rsidRPr="003742EE">
        <w:rPr>
          <w:rFonts w:cs="Times New Roman"/>
          <w:shd w:val="clear" w:color="auto" w:fill="FFFFFF"/>
        </w:rPr>
        <w:t>(3), 371-393.</w:t>
      </w:r>
    </w:p>
    <w:p w:rsidR="00574208" w:rsidRPr="003742EE" w:rsidRDefault="00574208" w:rsidP="003778BF">
      <w:pPr>
        <w:spacing w:line="360" w:lineRule="auto"/>
        <w:jc w:val="both"/>
      </w:pPr>
      <w:r w:rsidRPr="003742EE">
        <w:t>Organization for Security and Co-operation in Europe (</w:t>
      </w:r>
      <w:proofErr w:type="spellStart"/>
      <w:r w:rsidRPr="003742EE">
        <w:t>n.d.</w:t>
      </w:r>
      <w:proofErr w:type="spellEnd"/>
      <w:r w:rsidRPr="003742EE">
        <w:t xml:space="preserve">). </w:t>
      </w:r>
      <w:r w:rsidRPr="003742EE">
        <w:rPr>
          <w:i/>
        </w:rPr>
        <w:t>Human Rights Challenges, following the March riots.</w:t>
      </w:r>
      <w:r w:rsidRPr="003742EE">
        <w:t xml:space="preserve"> Department of Human Rights and Rule of Law. </w:t>
      </w:r>
      <w:hyperlink r:id="rId26" w:history="1">
        <w:r w:rsidR="00FD35DA" w:rsidRPr="003742EE">
          <w:rPr>
            <w:rStyle w:val="Hyperlink"/>
          </w:rPr>
          <w:t>http://www.osce.org/kosovo/32379?download=true</w:t>
        </w:r>
      </w:hyperlink>
      <w:r w:rsidR="00FD35DA" w:rsidRPr="003742EE">
        <w:t xml:space="preserve"> </w:t>
      </w:r>
    </w:p>
    <w:p w:rsidR="00D15816" w:rsidRPr="003742EE" w:rsidRDefault="00D15816" w:rsidP="003778BF">
      <w:pPr>
        <w:spacing w:line="360" w:lineRule="auto"/>
        <w:jc w:val="both"/>
        <w:rPr>
          <w:rFonts w:cs="Times New Roman"/>
          <w:shd w:val="clear" w:color="auto" w:fill="FFFFFF"/>
        </w:rPr>
      </w:pPr>
      <w:proofErr w:type="spellStart"/>
      <w:r w:rsidRPr="003742EE">
        <w:rPr>
          <w:rFonts w:cs="Times New Roman"/>
          <w:shd w:val="clear" w:color="auto" w:fill="FFFFFF"/>
        </w:rPr>
        <w:t>Ostrom</w:t>
      </w:r>
      <w:proofErr w:type="spellEnd"/>
      <w:r w:rsidRPr="003742EE">
        <w:rPr>
          <w:rFonts w:cs="Times New Roman"/>
          <w:shd w:val="clear" w:color="auto" w:fill="FFFFFF"/>
        </w:rPr>
        <w:t>, E. (1986). An agenda for the study of institutions.</w:t>
      </w:r>
      <w:r w:rsidRPr="003742EE">
        <w:rPr>
          <w:rStyle w:val="apple-converted-space"/>
          <w:rFonts w:cs="Times New Roman"/>
          <w:color w:val="222222"/>
          <w:shd w:val="clear" w:color="auto" w:fill="FFFFFF"/>
        </w:rPr>
        <w:t> </w:t>
      </w:r>
      <w:r w:rsidRPr="003742EE">
        <w:rPr>
          <w:rFonts w:cs="Times New Roman"/>
          <w:i/>
          <w:iCs/>
          <w:shd w:val="clear" w:color="auto" w:fill="FFFFFF"/>
        </w:rPr>
        <w:t>Public choice</w:t>
      </w:r>
      <w:r w:rsidRPr="003742EE">
        <w:rPr>
          <w:rFonts w:cs="Times New Roman"/>
          <w:shd w:val="clear" w:color="auto" w:fill="FFFFFF"/>
        </w:rPr>
        <w:t>,</w:t>
      </w:r>
      <w:r w:rsidRPr="003742EE">
        <w:rPr>
          <w:rStyle w:val="apple-converted-space"/>
          <w:rFonts w:cs="Times New Roman"/>
          <w:color w:val="222222"/>
          <w:shd w:val="clear" w:color="auto" w:fill="FFFFFF"/>
        </w:rPr>
        <w:t> </w:t>
      </w:r>
      <w:r w:rsidRPr="003742EE">
        <w:rPr>
          <w:rFonts w:cs="Times New Roman"/>
          <w:i/>
          <w:iCs/>
          <w:shd w:val="clear" w:color="auto" w:fill="FFFFFF"/>
        </w:rPr>
        <w:t>48</w:t>
      </w:r>
      <w:r w:rsidRPr="003742EE">
        <w:rPr>
          <w:rFonts w:cs="Times New Roman"/>
          <w:shd w:val="clear" w:color="auto" w:fill="FFFFFF"/>
        </w:rPr>
        <w:t>(1), 3-25.</w:t>
      </w:r>
    </w:p>
    <w:p w:rsidR="004E1F8E" w:rsidRPr="003742EE" w:rsidRDefault="004E1F8E" w:rsidP="003778BF">
      <w:pPr>
        <w:spacing w:line="360" w:lineRule="auto"/>
        <w:jc w:val="both"/>
      </w:pPr>
      <w:proofErr w:type="spellStart"/>
      <w:r w:rsidRPr="003742EE">
        <w:t>Peci</w:t>
      </w:r>
      <w:proofErr w:type="spellEnd"/>
      <w:r w:rsidRPr="003742EE">
        <w:t xml:space="preserve">, E. (2014). Serbia Must Recognize Kosovo to Join the EU, MEP. </w:t>
      </w:r>
      <w:hyperlink r:id="rId27" w:history="1">
        <w:r w:rsidRPr="003742EE">
          <w:rPr>
            <w:rStyle w:val="Hyperlink"/>
          </w:rPr>
          <w:t>http://www.balkaninsight.com/en/article/serbia-not-in-eu-without-kosovo-recognition-eu-mp-says</w:t>
        </w:r>
      </w:hyperlink>
    </w:p>
    <w:p w:rsidR="004E1F8E" w:rsidRPr="003742EE" w:rsidRDefault="004E1F8E" w:rsidP="003778BF">
      <w:pPr>
        <w:spacing w:line="360" w:lineRule="auto"/>
        <w:jc w:val="both"/>
        <w:rPr>
          <w:rFonts w:eastAsia="Times New Roman" w:cs="Times New Roman"/>
          <w:lang w:eastAsia="nl-NL"/>
        </w:rPr>
      </w:pPr>
      <w:r w:rsidRPr="003742EE">
        <w:rPr>
          <w:rFonts w:cs="Times New Roman"/>
        </w:rPr>
        <w:t xml:space="preserve">Posen, B. (1993). "The Security Dilemma and Ethnic Conflict." </w:t>
      </w:r>
      <w:r w:rsidRPr="003742EE">
        <w:rPr>
          <w:rFonts w:cs="Times New Roman"/>
          <w:i/>
        </w:rPr>
        <w:t>Survival 35</w:t>
      </w:r>
      <w:r w:rsidRPr="003742EE">
        <w:rPr>
          <w:rFonts w:cs="Times New Roman"/>
        </w:rPr>
        <w:t>.</w:t>
      </w:r>
    </w:p>
    <w:p w:rsidR="004E1F8E" w:rsidRPr="003742EE" w:rsidRDefault="004E1F8E" w:rsidP="003778BF">
      <w:pPr>
        <w:spacing w:line="360" w:lineRule="auto"/>
        <w:jc w:val="both"/>
      </w:pPr>
      <w:proofErr w:type="spellStart"/>
      <w:r w:rsidRPr="003742EE">
        <w:t>Prishtina</w:t>
      </w:r>
      <w:proofErr w:type="spellEnd"/>
      <w:r w:rsidRPr="003742EE">
        <w:t xml:space="preserve"> Insight (2017). Bangladesh recognizes Kosovo. </w:t>
      </w:r>
      <w:hyperlink r:id="rId28" w:history="1">
        <w:r w:rsidRPr="003742EE">
          <w:rPr>
            <w:rStyle w:val="Hyperlink"/>
          </w:rPr>
          <w:t>http://prishtinainsight.com/bangladesh-recognizes-kosovo/</w:t>
        </w:r>
      </w:hyperlink>
      <w:r w:rsidRPr="003742EE">
        <w:t xml:space="preserve"> </w:t>
      </w:r>
    </w:p>
    <w:p w:rsidR="00D15816" w:rsidRPr="003742EE" w:rsidRDefault="00D15816" w:rsidP="003778BF">
      <w:pPr>
        <w:spacing w:line="360" w:lineRule="auto"/>
        <w:jc w:val="both"/>
        <w:rPr>
          <w:rFonts w:cs="Times New Roman"/>
        </w:rPr>
      </w:pPr>
      <w:proofErr w:type="spellStart"/>
      <w:r w:rsidRPr="003742EE">
        <w:rPr>
          <w:rFonts w:cs="Times New Roman"/>
        </w:rPr>
        <w:t>Risse</w:t>
      </w:r>
      <w:proofErr w:type="spellEnd"/>
      <w:r w:rsidRPr="003742EE">
        <w:rPr>
          <w:rFonts w:cs="Times New Roman"/>
        </w:rPr>
        <w:t>, T. (1999). International norms and domestic change: Arguing and communicative behavior in the human rights area.</w:t>
      </w:r>
      <w:r w:rsidRPr="003742EE">
        <w:rPr>
          <w:rStyle w:val="apple-converted-space"/>
          <w:rFonts w:cs="Times New Roman"/>
        </w:rPr>
        <w:t> </w:t>
      </w:r>
      <w:r w:rsidRPr="003742EE">
        <w:rPr>
          <w:rFonts w:cs="Times New Roman"/>
          <w:i/>
          <w:iCs/>
        </w:rPr>
        <w:t>Politics &amp; Society</w:t>
      </w:r>
      <w:r w:rsidRPr="003742EE">
        <w:rPr>
          <w:rFonts w:cs="Times New Roman"/>
        </w:rPr>
        <w:t>,</w:t>
      </w:r>
      <w:r w:rsidRPr="003742EE">
        <w:rPr>
          <w:rStyle w:val="apple-converted-space"/>
          <w:rFonts w:cs="Times New Roman"/>
        </w:rPr>
        <w:t> </w:t>
      </w:r>
      <w:r w:rsidRPr="003742EE">
        <w:rPr>
          <w:rFonts w:cs="Times New Roman"/>
          <w:i/>
          <w:iCs/>
        </w:rPr>
        <w:t>27</w:t>
      </w:r>
      <w:r w:rsidRPr="003742EE">
        <w:rPr>
          <w:rFonts w:cs="Times New Roman"/>
        </w:rPr>
        <w:t>(4), 529-559.</w:t>
      </w:r>
    </w:p>
    <w:p w:rsidR="00D15816" w:rsidRPr="003742EE" w:rsidRDefault="00D15816" w:rsidP="003778BF">
      <w:pPr>
        <w:spacing w:line="360" w:lineRule="auto"/>
        <w:jc w:val="both"/>
        <w:rPr>
          <w:rFonts w:cs="Times New Roman"/>
          <w:shd w:val="clear" w:color="auto" w:fill="FFFFFF"/>
        </w:rPr>
      </w:pPr>
      <w:proofErr w:type="spellStart"/>
      <w:r w:rsidRPr="003742EE">
        <w:rPr>
          <w:rFonts w:cs="Times New Roman"/>
          <w:shd w:val="clear" w:color="auto" w:fill="FFFFFF"/>
        </w:rPr>
        <w:t>Risse</w:t>
      </w:r>
      <w:proofErr w:type="spellEnd"/>
      <w:r w:rsidRPr="003742EE">
        <w:rPr>
          <w:rFonts w:cs="Times New Roman"/>
          <w:shd w:val="clear" w:color="auto" w:fill="FFFFFF"/>
        </w:rPr>
        <w:t>, T. (2002). Constructivism and international institutions: Toward conversations across paradigms.</w:t>
      </w:r>
      <w:r w:rsidRPr="003742EE">
        <w:rPr>
          <w:rStyle w:val="apple-converted-space"/>
          <w:rFonts w:cs="Times New Roman"/>
          <w:color w:val="222222"/>
          <w:shd w:val="clear" w:color="auto" w:fill="FFFFFF"/>
        </w:rPr>
        <w:t> </w:t>
      </w:r>
      <w:r w:rsidRPr="003742EE">
        <w:rPr>
          <w:rFonts w:cs="Times New Roman"/>
          <w:i/>
          <w:iCs/>
          <w:shd w:val="clear" w:color="auto" w:fill="FFFFFF"/>
        </w:rPr>
        <w:t>Political science: The state of the discipline</w:t>
      </w:r>
      <w:r w:rsidRPr="003742EE">
        <w:rPr>
          <w:rFonts w:cs="Times New Roman"/>
          <w:shd w:val="clear" w:color="auto" w:fill="FFFFFF"/>
        </w:rPr>
        <w:t>, 597-623.</w:t>
      </w:r>
    </w:p>
    <w:p w:rsidR="00D15816" w:rsidRPr="003742EE" w:rsidRDefault="00D15816" w:rsidP="003778BF">
      <w:pPr>
        <w:spacing w:line="360" w:lineRule="auto"/>
        <w:jc w:val="both"/>
        <w:rPr>
          <w:rFonts w:cs="Times New Roman"/>
          <w:shd w:val="clear" w:color="auto" w:fill="FFFFFF"/>
        </w:rPr>
      </w:pPr>
      <w:proofErr w:type="spellStart"/>
      <w:r w:rsidRPr="003742EE">
        <w:rPr>
          <w:rFonts w:cs="Times New Roman"/>
          <w:shd w:val="clear" w:color="auto" w:fill="FFFFFF"/>
        </w:rPr>
        <w:t>Ropp</w:t>
      </w:r>
      <w:proofErr w:type="spellEnd"/>
      <w:r w:rsidRPr="003742EE">
        <w:rPr>
          <w:rFonts w:cs="Times New Roman"/>
          <w:shd w:val="clear" w:color="auto" w:fill="FFFFFF"/>
        </w:rPr>
        <w:t xml:space="preserve">, S. C., &amp; </w:t>
      </w:r>
      <w:proofErr w:type="spellStart"/>
      <w:r w:rsidRPr="003742EE">
        <w:rPr>
          <w:rFonts w:cs="Times New Roman"/>
          <w:shd w:val="clear" w:color="auto" w:fill="FFFFFF"/>
        </w:rPr>
        <w:t>Sikkink</w:t>
      </w:r>
      <w:proofErr w:type="spellEnd"/>
      <w:r w:rsidRPr="003742EE">
        <w:rPr>
          <w:rFonts w:cs="Times New Roman"/>
          <w:shd w:val="clear" w:color="auto" w:fill="FFFFFF"/>
        </w:rPr>
        <w:t>, K. (1999).</w:t>
      </w:r>
      <w:r w:rsidRPr="003742EE">
        <w:rPr>
          <w:rStyle w:val="apple-converted-space"/>
          <w:rFonts w:cs="Times New Roman"/>
          <w:shd w:val="clear" w:color="auto" w:fill="FFFFFF"/>
        </w:rPr>
        <w:t> </w:t>
      </w:r>
      <w:r w:rsidRPr="003742EE">
        <w:rPr>
          <w:rFonts w:cs="Times New Roman"/>
          <w:i/>
          <w:iCs/>
          <w:shd w:val="clear" w:color="auto" w:fill="FFFFFF"/>
        </w:rPr>
        <w:t>The power of human rights: International norms and domestic change</w:t>
      </w:r>
      <w:r w:rsidRPr="003742EE">
        <w:rPr>
          <w:rStyle w:val="apple-converted-space"/>
          <w:rFonts w:cs="Times New Roman"/>
          <w:shd w:val="clear" w:color="auto" w:fill="FFFFFF"/>
        </w:rPr>
        <w:t> </w:t>
      </w:r>
      <w:r w:rsidRPr="003742EE">
        <w:rPr>
          <w:rFonts w:cs="Times New Roman"/>
          <w:shd w:val="clear" w:color="auto" w:fill="FFFFFF"/>
        </w:rPr>
        <w:t>(Vol. 66). Cambridge University Press.</w:t>
      </w:r>
    </w:p>
    <w:p w:rsidR="000A15D2" w:rsidRPr="00236532" w:rsidRDefault="000A15D2" w:rsidP="003778BF">
      <w:pPr>
        <w:spacing w:line="360" w:lineRule="auto"/>
        <w:jc w:val="both"/>
      </w:pPr>
      <w:proofErr w:type="spellStart"/>
      <w:r w:rsidRPr="003742EE">
        <w:t>Rütsche</w:t>
      </w:r>
      <w:proofErr w:type="spellEnd"/>
      <w:r w:rsidRPr="003742EE">
        <w:t xml:space="preserve">, N. (2007). Kosovo- a historical overview. </w:t>
      </w:r>
      <w:proofErr w:type="spellStart"/>
      <w:r w:rsidRPr="00236532">
        <w:rPr>
          <w:i/>
        </w:rPr>
        <w:t>Eurotopics</w:t>
      </w:r>
      <w:proofErr w:type="spellEnd"/>
      <w:r w:rsidRPr="00236532">
        <w:rPr>
          <w:i/>
        </w:rPr>
        <w:t xml:space="preserve">. </w:t>
      </w:r>
      <w:hyperlink r:id="rId29" w:history="1">
        <w:r w:rsidRPr="00236532">
          <w:rPr>
            <w:rStyle w:val="Hyperlink"/>
          </w:rPr>
          <w:t>http://archiv.eurotopics.net/en/home/presseschau/archiv/magazin/politik-verteilerseite/kosovo-2008-03/kosovo_ueberblick_geschichte/</w:t>
        </w:r>
      </w:hyperlink>
      <w:r w:rsidRPr="00236532">
        <w:t xml:space="preserve"> </w:t>
      </w:r>
    </w:p>
    <w:p w:rsidR="00D15816" w:rsidRPr="003742EE" w:rsidRDefault="00D15816" w:rsidP="003778BF">
      <w:pPr>
        <w:spacing w:line="360" w:lineRule="auto"/>
        <w:jc w:val="both"/>
        <w:rPr>
          <w:rFonts w:eastAsia="Times New Roman" w:cs="Times New Roman"/>
          <w:lang w:eastAsia="nl-NL"/>
        </w:rPr>
      </w:pPr>
      <w:proofErr w:type="spellStart"/>
      <w:r w:rsidRPr="003742EE">
        <w:rPr>
          <w:rFonts w:cs="Times New Roman"/>
          <w:shd w:val="clear" w:color="auto" w:fill="FFFFFF"/>
        </w:rPr>
        <w:lastRenderedPageBreak/>
        <w:t>Sadowski</w:t>
      </w:r>
      <w:proofErr w:type="spellEnd"/>
      <w:r w:rsidRPr="003742EE">
        <w:rPr>
          <w:rFonts w:cs="Times New Roman"/>
          <w:shd w:val="clear" w:color="auto" w:fill="FFFFFF"/>
        </w:rPr>
        <w:t>, Y. (1998). Ethnic conflict.</w:t>
      </w:r>
      <w:r w:rsidRPr="003742EE">
        <w:rPr>
          <w:rStyle w:val="apple-converted-space"/>
          <w:rFonts w:cs="Times New Roman"/>
          <w:shd w:val="clear" w:color="auto" w:fill="FFFFFF"/>
        </w:rPr>
        <w:t> </w:t>
      </w:r>
      <w:r w:rsidRPr="003742EE">
        <w:rPr>
          <w:rFonts w:cs="Times New Roman"/>
          <w:i/>
          <w:iCs/>
          <w:shd w:val="clear" w:color="auto" w:fill="FFFFFF"/>
        </w:rPr>
        <w:t>Foreign Policy</w:t>
      </w:r>
      <w:r w:rsidRPr="003742EE">
        <w:rPr>
          <w:rFonts w:cs="Times New Roman"/>
          <w:shd w:val="clear" w:color="auto" w:fill="FFFFFF"/>
        </w:rPr>
        <w:t>, 12-23.</w:t>
      </w:r>
    </w:p>
    <w:p w:rsidR="00D15816" w:rsidRPr="003742EE" w:rsidRDefault="00D15816" w:rsidP="003778BF">
      <w:pPr>
        <w:spacing w:line="360" w:lineRule="auto"/>
        <w:jc w:val="both"/>
        <w:rPr>
          <w:rFonts w:eastAsia="Times New Roman" w:cs="Times New Roman"/>
          <w:color w:val="222222"/>
          <w:lang w:eastAsia="nl-NL"/>
        </w:rPr>
      </w:pPr>
      <w:proofErr w:type="spellStart"/>
      <w:r w:rsidRPr="003742EE">
        <w:rPr>
          <w:rFonts w:eastAsia="Times New Roman" w:cs="Times New Roman"/>
          <w:lang w:eastAsia="nl-NL"/>
        </w:rPr>
        <w:t>Saideman</w:t>
      </w:r>
      <w:proofErr w:type="spellEnd"/>
      <w:r w:rsidRPr="003742EE">
        <w:rPr>
          <w:rFonts w:eastAsia="Times New Roman" w:cs="Times New Roman"/>
          <w:lang w:eastAsia="nl-NL"/>
        </w:rPr>
        <w:t>, S. (1997). Explaining the International Relations of Secessionist Conflicts: Vulnerability versus Ethnic Ties. </w:t>
      </w:r>
      <w:r w:rsidRPr="003742EE">
        <w:rPr>
          <w:rFonts w:eastAsia="Times New Roman" w:cs="Times New Roman"/>
          <w:i/>
          <w:iCs/>
          <w:lang w:eastAsia="nl-NL"/>
        </w:rPr>
        <w:t>International Organization,</w:t>
      </w:r>
      <w:r w:rsidRPr="003742EE">
        <w:rPr>
          <w:rFonts w:eastAsia="Times New Roman" w:cs="Times New Roman"/>
          <w:lang w:eastAsia="nl-NL"/>
        </w:rPr>
        <w:t> </w:t>
      </w:r>
      <w:r w:rsidRPr="003742EE">
        <w:rPr>
          <w:rFonts w:eastAsia="Times New Roman" w:cs="Times New Roman"/>
          <w:i/>
          <w:iCs/>
          <w:lang w:eastAsia="nl-NL"/>
        </w:rPr>
        <w:t>51</w:t>
      </w:r>
      <w:r w:rsidRPr="003742EE">
        <w:rPr>
          <w:rFonts w:eastAsia="Times New Roman" w:cs="Times New Roman"/>
          <w:lang w:eastAsia="nl-NL"/>
        </w:rPr>
        <w:t xml:space="preserve">(4), 721-753. Retrieved from </w:t>
      </w:r>
      <w:hyperlink r:id="rId30" w:history="1">
        <w:r w:rsidRPr="003742EE">
          <w:rPr>
            <w:rStyle w:val="Hyperlink"/>
            <w:rFonts w:eastAsia="Times New Roman" w:cs="Times New Roman"/>
            <w:lang w:eastAsia="nl-NL"/>
          </w:rPr>
          <w:t>http://www.jstor.org/stable/2703504</w:t>
        </w:r>
      </w:hyperlink>
      <w:r w:rsidRPr="003742EE">
        <w:rPr>
          <w:rFonts w:eastAsia="Times New Roman" w:cs="Times New Roman"/>
          <w:color w:val="222222"/>
          <w:lang w:eastAsia="nl-NL"/>
        </w:rPr>
        <w:t xml:space="preserve"> </w:t>
      </w:r>
    </w:p>
    <w:p w:rsidR="00D15816" w:rsidRPr="003742EE" w:rsidRDefault="00D15816" w:rsidP="003778BF">
      <w:pPr>
        <w:spacing w:line="360" w:lineRule="auto"/>
        <w:jc w:val="both"/>
        <w:rPr>
          <w:rFonts w:eastAsia="Times New Roman" w:cs="Times New Roman"/>
          <w:lang w:eastAsia="nl-NL"/>
        </w:rPr>
      </w:pPr>
      <w:proofErr w:type="spellStart"/>
      <w:r w:rsidRPr="003742EE">
        <w:rPr>
          <w:rFonts w:eastAsia="Times New Roman" w:cs="Times New Roman"/>
          <w:lang w:eastAsia="nl-NL"/>
        </w:rPr>
        <w:t>Sambanis</w:t>
      </w:r>
      <w:proofErr w:type="spellEnd"/>
      <w:r w:rsidRPr="003742EE">
        <w:rPr>
          <w:rFonts w:eastAsia="Times New Roman" w:cs="Times New Roman"/>
          <w:lang w:eastAsia="nl-NL"/>
        </w:rPr>
        <w:t>, N. (2000). Partition as a Solution to Ethnic War: An Empirical Critique of the Theoretical Literature. </w:t>
      </w:r>
      <w:r w:rsidRPr="003742EE">
        <w:rPr>
          <w:rFonts w:eastAsia="Times New Roman" w:cs="Times New Roman"/>
          <w:i/>
          <w:iCs/>
          <w:lang w:eastAsia="nl-NL"/>
        </w:rPr>
        <w:t>World Politics,</w:t>
      </w:r>
      <w:r w:rsidRPr="003742EE">
        <w:rPr>
          <w:rFonts w:eastAsia="Times New Roman" w:cs="Times New Roman"/>
          <w:lang w:eastAsia="nl-NL"/>
        </w:rPr>
        <w:t> </w:t>
      </w:r>
      <w:r w:rsidRPr="003742EE">
        <w:rPr>
          <w:rFonts w:eastAsia="Times New Roman" w:cs="Times New Roman"/>
          <w:i/>
          <w:iCs/>
          <w:lang w:eastAsia="nl-NL"/>
        </w:rPr>
        <w:t>52</w:t>
      </w:r>
      <w:r w:rsidRPr="003742EE">
        <w:rPr>
          <w:rFonts w:eastAsia="Times New Roman" w:cs="Times New Roman"/>
          <w:lang w:eastAsia="nl-NL"/>
        </w:rPr>
        <w:t xml:space="preserve">(4), 437-483. Retrieved from </w:t>
      </w:r>
      <w:hyperlink r:id="rId31" w:history="1">
        <w:r w:rsidRPr="003742EE">
          <w:rPr>
            <w:rStyle w:val="Hyperlink"/>
            <w:rFonts w:eastAsia="Times New Roman" w:cs="Times New Roman"/>
            <w:lang w:eastAsia="nl-NL"/>
          </w:rPr>
          <w:t>http://www.jstor.org/stable/25054126</w:t>
        </w:r>
      </w:hyperlink>
      <w:r w:rsidRPr="003742EE">
        <w:rPr>
          <w:rFonts w:eastAsia="Times New Roman" w:cs="Times New Roman"/>
          <w:lang w:eastAsia="nl-NL"/>
        </w:rPr>
        <w:t xml:space="preserve"> </w:t>
      </w:r>
    </w:p>
    <w:p w:rsidR="00D15816" w:rsidRPr="003742EE" w:rsidRDefault="00D15816" w:rsidP="003778BF">
      <w:pPr>
        <w:spacing w:line="360" w:lineRule="auto"/>
        <w:jc w:val="both"/>
        <w:rPr>
          <w:rFonts w:cs="Times New Roman"/>
          <w:shd w:val="clear" w:color="auto" w:fill="FFFFFF"/>
        </w:rPr>
      </w:pPr>
      <w:r w:rsidRPr="003742EE">
        <w:rPr>
          <w:rFonts w:cs="Times New Roman"/>
          <w:shd w:val="clear" w:color="auto" w:fill="FFFFFF"/>
        </w:rPr>
        <w:t xml:space="preserve">Schmitz, H. P. (1999). Transnational activism and political change in Kenya and Uganda. </w:t>
      </w:r>
      <w:r w:rsidRPr="003742EE">
        <w:rPr>
          <w:rStyle w:val="apple-converted-space"/>
          <w:rFonts w:cs="Times New Roman"/>
          <w:shd w:val="clear" w:color="auto" w:fill="FFFFFF"/>
        </w:rPr>
        <w:t xml:space="preserve">In </w:t>
      </w:r>
      <w:r w:rsidRPr="003742EE">
        <w:rPr>
          <w:rFonts w:cs="Times New Roman"/>
          <w:i/>
          <w:iCs/>
          <w:shd w:val="clear" w:color="auto" w:fill="FFFFFF"/>
        </w:rPr>
        <w:t>The power of human rights: International norms and domestic change</w:t>
      </w:r>
      <w:r w:rsidRPr="003742EE">
        <w:rPr>
          <w:rStyle w:val="apple-converted-space"/>
          <w:rFonts w:cs="Times New Roman"/>
          <w:shd w:val="clear" w:color="auto" w:fill="FFFFFF"/>
        </w:rPr>
        <w:t> </w:t>
      </w:r>
      <w:r w:rsidRPr="003742EE">
        <w:rPr>
          <w:rFonts w:cs="Times New Roman"/>
          <w:shd w:val="clear" w:color="auto" w:fill="FFFFFF"/>
        </w:rPr>
        <w:t>(Vol. 66) (pp. 39 – 77). Cambridge University Press.</w:t>
      </w:r>
    </w:p>
    <w:p w:rsidR="00D15816" w:rsidRPr="003742EE" w:rsidRDefault="00D15816" w:rsidP="003778BF">
      <w:pPr>
        <w:spacing w:line="360" w:lineRule="auto"/>
        <w:jc w:val="both"/>
        <w:rPr>
          <w:rFonts w:cs="Times New Roman"/>
        </w:rPr>
      </w:pPr>
      <w:r w:rsidRPr="003742EE">
        <w:rPr>
          <w:rFonts w:cs="Times New Roman"/>
          <w:shd w:val="clear" w:color="auto" w:fill="FFFFFF"/>
        </w:rPr>
        <w:t xml:space="preserve">Smith, M. A., &amp; </w:t>
      </w:r>
      <w:proofErr w:type="spellStart"/>
      <w:r w:rsidRPr="003742EE">
        <w:rPr>
          <w:rFonts w:cs="Times New Roman"/>
          <w:shd w:val="clear" w:color="auto" w:fill="FFFFFF"/>
        </w:rPr>
        <w:t>Latawski</w:t>
      </w:r>
      <w:proofErr w:type="spellEnd"/>
      <w:r w:rsidRPr="003742EE">
        <w:rPr>
          <w:rFonts w:cs="Times New Roman"/>
          <w:shd w:val="clear" w:color="auto" w:fill="FFFFFF"/>
        </w:rPr>
        <w:t>, P. (2003).</w:t>
      </w:r>
      <w:r w:rsidRPr="003742EE">
        <w:rPr>
          <w:rStyle w:val="apple-converted-space"/>
          <w:rFonts w:cs="Times New Roman"/>
          <w:shd w:val="clear" w:color="auto" w:fill="FFFFFF"/>
        </w:rPr>
        <w:t> </w:t>
      </w:r>
      <w:r w:rsidRPr="003742EE">
        <w:rPr>
          <w:rFonts w:cs="Times New Roman"/>
          <w:i/>
          <w:iCs/>
          <w:shd w:val="clear" w:color="auto" w:fill="FFFFFF"/>
        </w:rPr>
        <w:t xml:space="preserve">The Kosovo Crisis: The Evolution of </w:t>
      </w:r>
      <w:proofErr w:type="spellStart"/>
      <w:r w:rsidRPr="003742EE">
        <w:rPr>
          <w:rFonts w:cs="Times New Roman"/>
          <w:i/>
          <w:iCs/>
          <w:shd w:val="clear" w:color="auto" w:fill="FFFFFF"/>
        </w:rPr>
        <w:t>Post Cold</w:t>
      </w:r>
      <w:proofErr w:type="spellEnd"/>
      <w:r w:rsidRPr="003742EE">
        <w:rPr>
          <w:rFonts w:cs="Times New Roman"/>
          <w:i/>
          <w:iCs/>
          <w:shd w:val="clear" w:color="auto" w:fill="FFFFFF"/>
        </w:rPr>
        <w:t xml:space="preserve"> War European Security</w:t>
      </w:r>
      <w:r w:rsidRPr="003742EE">
        <w:rPr>
          <w:rFonts w:cs="Times New Roman"/>
          <w:shd w:val="clear" w:color="auto" w:fill="FFFFFF"/>
        </w:rPr>
        <w:t>. Manchester University Press.</w:t>
      </w:r>
    </w:p>
    <w:p w:rsidR="00A803B1" w:rsidRPr="003742EE" w:rsidRDefault="00A803B1" w:rsidP="003778BF">
      <w:pPr>
        <w:spacing w:line="360" w:lineRule="auto"/>
        <w:jc w:val="both"/>
      </w:pPr>
      <w:r w:rsidRPr="003742EE">
        <w:rPr>
          <w:rFonts w:cs="Arial"/>
          <w:shd w:val="clear" w:color="auto" w:fill="FFFFFF"/>
        </w:rPr>
        <w:t>Spiro, B. (2004). Pan-</w:t>
      </w:r>
      <w:proofErr w:type="spellStart"/>
      <w:r w:rsidRPr="003742EE">
        <w:rPr>
          <w:rFonts w:cs="Arial"/>
          <w:shd w:val="clear" w:color="auto" w:fill="FFFFFF"/>
        </w:rPr>
        <w:t>Albanianism</w:t>
      </w:r>
      <w:proofErr w:type="spellEnd"/>
      <w:r w:rsidRPr="003742EE">
        <w:rPr>
          <w:rFonts w:cs="Arial"/>
          <w:shd w:val="clear" w:color="auto" w:fill="FFFFFF"/>
        </w:rPr>
        <w:t>: How big a threat to Balkan stability?.</w:t>
      </w:r>
      <w:r w:rsidRPr="003742EE">
        <w:rPr>
          <w:rStyle w:val="apple-converted-space"/>
          <w:rFonts w:cs="Arial"/>
          <w:shd w:val="clear" w:color="auto" w:fill="FFFFFF"/>
        </w:rPr>
        <w:t> </w:t>
      </w:r>
      <w:r w:rsidRPr="003742EE">
        <w:rPr>
          <w:rFonts w:cs="Arial"/>
          <w:i/>
          <w:iCs/>
          <w:shd w:val="clear" w:color="auto" w:fill="FFFFFF"/>
        </w:rPr>
        <w:t>ICG Europe</w:t>
      </w:r>
      <w:r w:rsidRPr="003742EE">
        <w:rPr>
          <w:rFonts w:cs="Arial"/>
          <w:shd w:val="clear" w:color="auto" w:fill="FFFFFF"/>
        </w:rPr>
        <w:t>,</w:t>
      </w:r>
      <w:r w:rsidRPr="003742EE">
        <w:rPr>
          <w:rStyle w:val="apple-converted-space"/>
          <w:rFonts w:cs="Arial"/>
          <w:shd w:val="clear" w:color="auto" w:fill="FFFFFF"/>
        </w:rPr>
        <w:t> </w:t>
      </w:r>
      <w:r w:rsidRPr="003742EE">
        <w:rPr>
          <w:rFonts w:cs="Arial"/>
          <w:i/>
          <w:iCs/>
          <w:shd w:val="clear" w:color="auto" w:fill="FFFFFF"/>
        </w:rPr>
        <w:t>153</w:t>
      </w:r>
      <w:r w:rsidRPr="003742EE">
        <w:rPr>
          <w:rFonts w:cs="Arial"/>
          <w:shd w:val="clear" w:color="auto" w:fill="FFFFFF"/>
        </w:rPr>
        <w:t>, 25.</w:t>
      </w:r>
    </w:p>
    <w:p w:rsidR="00A803B1" w:rsidRPr="003742EE" w:rsidRDefault="00A803B1" w:rsidP="003778BF">
      <w:pPr>
        <w:spacing w:line="360" w:lineRule="auto"/>
        <w:jc w:val="both"/>
      </w:pPr>
      <w:proofErr w:type="spellStart"/>
      <w:r w:rsidRPr="003742EE">
        <w:t>Spörl</w:t>
      </w:r>
      <w:proofErr w:type="spellEnd"/>
      <w:r w:rsidRPr="003742EE">
        <w:t xml:space="preserve">, G. (2007). Mission impossible in the Balkans. </w:t>
      </w:r>
      <w:r w:rsidRPr="003742EE">
        <w:rPr>
          <w:i/>
        </w:rPr>
        <w:t>Der Spiegel.</w:t>
      </w:r>
      <w:r w:rsidRPr="003742EE">
        <w:t xml:space="preserve"> Retrieved June 6, 2017, from </w:t>
      </w:r>
      <w:hyperlink r:id="rId32" w:history="1">
        <w:r w:rsidRPr="003742EE">
          <w:rPr>
            <w:rStyle w:val="Hyperlink"/>
          </w:rPr>
          <w:t>http://www.spiegel.de/international/europe/the-kosovo-failure-mission-impossible-in-the-balkans-a-522406.html</w:t>
        </w:r>
      </w:hyperlink>
      <w:r w:rsidRPr="003742EE">
        <w:t xml:space="preserve"> </w:t>
      </w:r>
    </w:p>
    <w:p w:rsidR="00D15816" w:rsidRPr="003742EE" w:rsidRDefault="00D15816" w:rsidP="003778BF">
      <w:pPr>
        <w:spacing w:line="360" w:lineRule="auto"/>
        <w:jc w:val="both"/>
        <w:rPr>
          <w:rFonts w:cs="Times New Roman"/>
          <w:lang w:eastAsia="nl-NL"/>
        </w:rPr>
      </w:pPr>
      <w:r w:rsidRPr="003742EE">
        <w:rPr>
          <w:rFonts w:cs="Times New Roman"/>
          <w:lang w:eastAsia="nl-NL"/>
        </w:rPr>
        <w:t>Sterling-</w:t>
      </w:r>
      <w:proofErr w:type="spellStart"/>
      <w:r w:rsidRPr="003742EE">
        <w:rPr>
          <w:rFonts w:cs="Times New Roman"/>
          <w:lang w:eastAsia="nl-NL"/>
        </w:rPr>
        <w:t>Folker</w:t>
      </w:r>
      <w:proofErr w:type="spellEnd"/>
      <w:r w:rsidRPr="003742EE">
        <w:rPr>
          <w:rFonts w:cs="Times New Roman"/>
          <w:lang w:eastAsia="nl-NL"/>
        </w:rPr>
        <w:t xml:space="preserve">, J. (2013). Neoliberalism. In T. Dunne, M. </w:t>
      </w:r>
      <w:proofErr w:type="spellStart"/>
      <w:r w:rsidRPr="003742EE">
        <w:rPr>
          <w:rFonts w:cs="Times New Roman"/>
          <w:lang w:eastAsia="nl-NL"/>
        </w:rPr>
        <w:t>Kurki</w:t>
      </w:r>
      <w:proofErr w:type="spellEnd"/>
      <w:r w:rsidRPr="003742EE">
        <w:rPr>
          <w:rFonts w:cs="Times New Roman"/>
          <w:lang w:eastAsia="nl-NL"/>
        </w:rPr>
        <w:t>, &amp; S. Smith (3</w:t>
      </w:r>
      <w:r w:rsidRPr="003742EE">
        <w:rPr>
          <w:rFonts w:cs="Times New Roman"/>
          <w:vertAlign w:val="superscript"/>
          <w:lang w:eastAsia="nl-NL"/>
        </w:rPr>
        <w:t>rd</w:t>
      </w:r>
      <w:r w:rsidRPr="003742EE">
        <w:rPr>
          <w:rFonts w:cs="Times New Roman"/>
          <w:lang w:eastAsia="nl-NL"/>
        </w:rPr>
        <w:t xml:space="preserve"> ed.), </w:t>
      </w:r>
      <w:r w:rsidRPr="003742EE">
        <w:rPr>
          <w:rFonts w:cs="Times New Roman"/>
          <w:i/>
          <w:lang w:eastAsia="nl-NL"/>
        </w:rPr>
        <w:t xml:space="preserve">International Relations Theories </w:t>
      </w:r>
      <w:r w:rsidRPr="003742EE">
        <w:rPr>
          <w:rFonts w:cs="Times New Roman"/>
          <w:lang w:eastAsia="nl-NL"/>
        </w:rPr>
        <w:t>(pp. 114-131). Oxford University Press.</w:t>
      </w:r>
    </w:p>
    <w:p w:rsidR="00D15816" w:rsidRPr="003742EE" w:rsidRDefault="00D15816" w:rsidP="003778BF">
      <w:pPr>
        <w:spacing w:line="360" w:lineRule="auto"/>
        <w:jc w:val="both"/>
        <w:rPr>
          <w:rFonts w:cs="Times New Roman"/>
          <w:shd w:val="clear" w:color="auto" w:fill="FFFFFF"/>
        </w:rPr>
      </w:pPr>
      <w:proofErr w:type="spellStart"/>
      <w:r w:rsidRPr="003742EE">
        <w:rPr>
          <w:rFonts w:cs="Times New Roman"/>
          <w:shd w:val="clear" w:color="auto" w:fill="FFFFFF"/>
        </w:rPr>
        <w:t>Sterio</w:t>
      </w:r>
      <w:proofErr w:type="spellEnd"/>
      <w:r w:rsidRPr="003742EE">
        <w:rPr>
          <w:rFonts w:cs="Times New Roman"/>
          <w:shd w:val="clear" w:color="auto" w:fill="FFFFFF"/>
        </w:rPr>
        <w:t>, M. (2015). Self-determination and secession in international law [Book Review].</w:t>
      </w:r>
      <w:r w:rsidRPr="003742EE">
        <w:rPr>
          <w:rStyle w:val="apple-converted-space"/>
          <w:rFonts w:cs="Times New Roman"/>
          <w:shd w:val="clear" w:color="auto" w:fill="FFFFFF"/>
        </w:rPr>
        <w:t> </w:t>
      </w:r>
      <w:r w:rsidRPr="003742EE">
        <w:rPr>
          <w:rFonts w:cs="Times New Roman"/>
          <w:i/>
          <w:iCs/>
          <w:shd w:val="clear" w:color="auto" w:fill="FFFFFF"/>
        </w:rPr>
        <w:t>Melbourne Journal Of International Law</w:t>
      </w:r>
      <w:r w:rsidRPr="003742EE">
        <w:rPr>
          <w:rFonts w:cs="Times New Roman"/>
          <w:shd w:val="clear" w:color="auto" w:fill="FFFFFF"/>
        </w:rPr>
        <w:t>,</w:t>
      </w:r>
      <w:r w:rsidRPr="003742EE">
        <w:rPr>
          <w:rStyle w:val="apple-converted-space"/>
          <w:rFonts w:cs="Times New Roman"/>
          <w:shd w:val="clear" w:color="auto" w:fill="FFFFFF"/>
        </w:rPr>
        <w:t> </w:t>
      </w:r>
      <w:r w:rsidRPr="003742EE">
        <w:rPr>
          <w:rFonts w:cs="Times New Roman"/>
          <w:i/>
          <w:iCs/>
          <w:shd w:val="clear" w:color="auto" w:fill="FFFFFF"/>
        </w:rPr>
        <w:t>16</w:t>
      </w:r>
      <w:r w:rsidRPr="003742EE">
        <w:rPr>
          <w:rFonts w:cs="Times New Roman"/>
          <w:shd w:val="clear" w:color="auto" w:fill="FFFFFF"/>
        </w:rPr>
        <w:t xml:space="preserve">(1), 286-297. </w:t>
      </w:r>
    </w:p>
    <w:p w:rsidR="00D15816" w:rsidRPr="003742EE" w:rsidRDefault="00D15816" w:rsidP="003778BF">
      <w:pPr>
        <w:spacing w:line="360" w:lineRule="auto"/>
        <w:jc w:val="both"/>
        <w:rPr>
          <w:rFonts w:cs="Times New Roman"/>
          <w:shd w:val="clear" w:color="auto" w:fill="FFFFFF"/>
        </w:rPr>
      </w:pPr>
      <w:r w:rsidRPr="003742EE">
        <w:rPr>
          <w:rFonts w:cs="Times New Roman"/>
          <w:shd w:val="clear" w:color="auto" w:fill="FFFFFF"/>
        </w:rPr>
        <w:t>The Universal Declaration of Human Rights (</w:t>
      </w:r>
      <w:proofErr w:type="spellStart"/>
      <w:r w:rsidRPr="003742EE">
        <w:rPr>
          <w:rFonts w:cs="Times New Roman"/>
          <w:shd w:val="clear" w:color="auto" w:fill="FFFFFF"/>
        </w:rPr>
        <w:t>n.d.</w:t>
      </w:r>
      <w:proofErr w:type="spellEnd"/>
      <w:r w:rsidRPr="003742EE">
        <w:rPr>
          <w:rFonts w:cs="Times New Roman"/>
          <w:shd w:val="clear" w:color="auto" w:fill="FFFFFF"/>
        </w:rPr>
        <w:t xml:space="preserve">). Retrieved from </w:t>
      </w:r>
      <w:hyperlink r:id="rId33" w:history="1">
        <w:r w:rsidRPr="003742EE">
          <w:rPr>
            <w:rStyle w:val="Hyperlink"/>
            <w:rFonts w:cs="Times New Roman"/>
            <w:shd w:val="clear" w:color="auto" w:fill="FFFFFF"/>
          </w:rPr>
          <w:t>http://www.ohchr.org/EN/UDHR/Documents/UDHR_Translations/eng.pdf</w:t>
        </w:r>
      </w:hyperlink>
      <w:r w:rsidRPr="003742EE">
        <w:rPr>
          <w:rFonts w:cs="Times New Roman"/>
          <w:shd w:val="clear" w:color="auto" w:fill="FFFFFF"/>
        </w:rPr>
        <w:t xml:space="preserve"> </w:t>
      </w:r>
    </w:p>
    <w:p w:rsidR="00D15816" w:rsidRPr="003742EE" w:rsidRDefault="00D15816" w:rsidP="003778BF">
      <w:pPr>
        <w:spacing w:line="360" w:lineRule="auto"/>
        <w:jc w:val="both"/>
        <w:rPr>
          <w:rFonts w:cs="Times New Roman"/>
          <w:shd w:val="clear" w:color="auto" w:fill="FFFFFF"/>
        </w:rPr>
      </w:pPr>
      <w:r w:rsidRPr="003742EE">
        <w:rPr>
          <w:rFonts w:cs="Times New Roman"/>
          <w:shd w:val="clear" w:color="auto" w:fill="FFFFFF"/>
        </w:rPr>
        <w:t>Thomas, D. C. (1999).</w:t>
      </w:r>
      <w:r w:rsidRPr="003742EE">
        <w:rPr>
          <w:rStyle w:val="apple-converted-space"/>
          <w:rFonts w:cs="Times New Roman"/>
          <w:shd w:val="clear" w:color="auto" w:fill="FFFFFF"/>
        </w:rPr>
        <w:t xml:space="preserve"> The Helsinki accords and political change in Eastern Europe. In </w:t>
      </w:r>
      <w:r w:rsidRPr="003742EE">
        <w:rPr>
          <w:rFonts w:cs="Times New Roman"/>
          <w:i/>
          <w:iCs/>
          <w:shd w:val="clear" w:color="auto" w:fill="FFFFFF"/>
        </w:rPr>
        <w:t>The power of human rights: International norms and domestic change</w:t>
      </w:r>
      <w:r w:rsidRPr="003742EE">
        <w:rPr>
          <w:rStyle w:val="apple-converted-space"/>
          <w:rFonts w:cs="Times New Roman"/>
          <w:shd w:val="clear" w:color="auto" w:fill="FFFFFF"/>
        </w:rPr>
        <w:t> </w:t>
      </w:r>
      <w:r w:rsidRPr="003742EE">
        <w:rPr>
          <w:rFonts w:cs="Times New Roman"/>
          <w:shd w:val="clear" w:color="auto" w:fill="FFFFFF"/>
        </w:rPr>
        <w:t>(Vol. 66) (pp. 205 – 233). Cambridge University Press.</w:t>
      </w:r>
    </w:p>
    <w:p w:rsidR="00D15816" w:rsidRPr="003742EE" w:rsidRDefault="00D15816" w:rsidP="003778BF">
      <w:pPr>
        <w:spacing w:line="360" w:lineRule="auto"/>
        <w:jc w:val="both"/>
        <w:rPr>
          <w:rFonts w:eastAsia="Times New Roman" w:cs="Times New Roman"/>
          <w:color w:val="222222"/>
          <w:lang w:eastAsia="nl-NL"/>
        </w:rPr>
      </w:pPr>
      <w:proofErr w:type="spellStart"/>
      <w:r w:rsidRPr="003742EE">
        <w:rPr>
          <w:rFonts w:eastAsia="Times New Roman" w:cs="Times New Roman"/>
          <w:lang w:eastAsia="nl-NL"/>
        </w:rPr>
        <w:t>Tir</w:t>
      </w:r>
      <w:proofErr w:type="spellEnd"/>
      <w:r w:rsidRPr="003742EE">
        <w:rPr>
          <w:rFonts w:eastAsia="Times New Roman" w:cs="Times New Roman"/>
          <w:lang w:eastAsia="nl-NL"/>
        </w:rPr>
        <w:t>, J. (2005). Keeping the Peace after Secession: Territorial Conflicts between Rump and Secessionist States. </w:t>
      </w:r>
      <w:r w:rsidRPr="003742EE">
        <w:rPr>
          <w:rFonts w:eastAsia="Times New Roman" w:cs="Times New Roman"/>
          <w:i/>
          <w:iCs/>
          <w:lang w:eastAsia="nl-NL"/>
        </w:rPr>
        <w:t>The Journal of Conflict Resolution,</w:t>
      </w:r>
      <w:r w:rsidRPr="003742EE">
        <w:rPr>
          <w:rFonts w:eastAsia="Times New Roman" w:cs="Times New Roman"/>
          <w:lang w:eastAsia="nl-NL"/>
        </w:rPr>
        <w:t> </w:t>
      </w:r>
      <w:r w:rsidRPr="003742EE">
        <w:rPr>
          <w:rFonts w:eastAsia="Times New Roman" w:cs="Times New Roman"/>
          <w:i/>
          <w:iCs/>
          <w:lang w:eastAsia="nl-NL"/>
        </w:rPr>
        <w:t>49</w:t>
      </w:r>
      <w:r w:rsidRPr="003742EE">
        <w:rPr>
          <w:rFonts w:eastAsia="Times New Roman" w:cs="Times New Roman"/>
          <w:lang w:eastAsia="nl-NL"/>
        </w:rPr>
        <w:t xml:space="preserve">(5), 713-741. Retrieved from </w:t>
      </w:r>
      <w:hyperlink r:id="rId34" w:history="1">
        <w:r w:rsidRPr="003742EE">
          <w:rPr>
            <w:rStyle w:val="Hyperlink"/>
            <w:rFonts w:eastAsia="Times New Roman" w:cs="Times New Roman"/>
            <w:lang w:eastAsia="nl-NL"/>
          </w:rPr>
          <w:t>http://www.jstor.org/stable/30045150</w:t>
        </w:r>
      </w:hyperlink>
      <w:r w:rsidRPr="003742EE">
        <w:rPr>
          <w:rFonts w:eastAsia="Times New Roman" w:cs="Times New Roman"/>
          <w:color w:val="222222"/>
          <w:lang w:eastAsia="nl-NL"/>
        </w:rPr>
        <w:t xml:space="preserve"> </w:t>
      </w:r>
    </w:p>
    <w:p w:rsidR="00A803B1" w:rsidRPr="003742EE" w:rsidRDefault="00A803B1" w:rsidP="003778BF">
      <w:pPr>
        <w:spacing w:line="360" w:lineRule="auto"/>
        <w:jc w:val="both"/>
        <w:rPr>
          <w:rStyle w:val="Hyperlink"/>
        </w:rPr>
      </w:pPr>
      <w:r w:rsidRPr="003742EE">
        <w:t xml:space="preserve">Tran, M. (2008). Serbia refuses to accept Kosovo’s imminent secession. </w:t>
      </w:r>
      <w:r w:rsidRPr="003742EE">
        <w:rPr>
          <w:i/>
        </w:rPr>
        <w:t>The Guardian.</w:t>
      </w:r>
      <w:r w:rsidRPr="003742EE">
        <w:t xml:space="preserve"> Retrieved June 9, 2017, from </w:t>
      </w:r>
      <w:hyperlink r:id="rId35" w:history="1">
        <w:r w:rsidRPr="003742EE">
          <w:rPr>
            <w:rStyle w:val="Hyperlink"/>
          </w:rPr>
          <w:t>https://www.theguardian.com/world/2008/feb/14/kosovo.russia</w:t>
        </w:r>
      </w:hyperlink>
    </w:p>
    <w:p w:rsidR="00795839" w:rsidRPr="003742EE" w:rsidRDefault="00795839" w:rsidP="003778BF">
      <w:pPr>
        <w:spacing w:line="360" w:lineRule="auto"/>
        <w:jc w:val="both"/>
      </w:pPr>
      <w:r w:rsidRPr="003742EE">
        <w:lastRenderedPageBreak/>
        <w:t xml:space="preserve">UN (2017). What we Do. Retrieved June 9, 2017, from </w:t>
      </w:r>
      <w:hyperlink r:id="rId36" w:history="1">
        <w:r w:rsidRPr="003742EE">
          <w:rPr>
            <w:rStyle w:val="Hyperlink"/>
          </w:rPr>
          <w:t>http://www.un.org/en/sections/what-we-do/index.html</w:t>
        </w:r>
      </w:hyperlink>
      <w:r w:rsidRPr="003742EE">
        <w:t xml:space="preserve"> </w:t>
      </w:r>
    </w:p>
    <w:p w:rsidR="00795839" w:rsidRPr="003742EE" w:rsidRDefault="00795839" w:rsidP="003778BF">
      <w:pPr>
        <w:spacing w:line="360" w:lineRule="auto"/>
        <w:jc w:val="both"/>
      </w:pPr>
      <w:r w:rsidRPr="003742EE">
        <w:t xml:space="preserve">UNSC (1999). </w:t>
      </w:r>
      <w:r w:rsidRPr="003742EE">
        <w:rPr>
          <w:i/>
        </w:rPr>
        <w:t xml:space="preserve">Resolution 1244 on the situation relating Kosovo. </w:t>
      </w:r>
      <w:r w:rsidRPr="003742EE">
        <w:t xml:space="preserve">S/RES/1244. </w:t>
      </w:r>
      <w:hyperlink r:id="rId37" w:history="1">
        <w:r w:rsidRPr="003742EE">
          <w:rPr>
            <w:rStyle w:val="Hyperlink"/>
          </w:rPr>
          <w:t>http://www.un.org/Docs/scres/1999/sc99.htm</w:t>
        </w:r>
      </w:hyperlink>
      <w:r w:rsidRPr="003742EE">
        <w:t xml:space="preserve"> </w:t>
      </w:r>
    </w:p>
    <w:p w:rsidR="00795839" w:rsidRPr="003742EE" w:rsidRDefault="00795839" w:rsidP="003778BF">
      <w:pPr>
        <w:spacing w:line="360" w:lineRule="auto"/>
        <w:jc w:val="both"/>
      </w:pPr>
      <w:r w:rsidRPr="003742EE">
        <w:t xml:space="preserve">UNSC (2005a). Security Council Presidential Statement offers full support for start of political process to determine Kosovo’s future status. </w:t>
      </w:r>
      <w:r w:rsidRPr="003742EE">
        <w:rPr>
          <w:i/>
        </w:rPr>
        <w:t>UN Meeting Coverage and Press Releases.</w:t>
      </w:r>
      <w:r w:rsidRPr="003742EE">
        <w:t xml:space="preserve"> </w:t>
      </w:r>
      <w:hyperlink r:id="rId38" w:history="1">
        <w:r w:rsidRPr="003742EE">
          <w:rPr>
            <w:rStyle w:val="Hyperlink"/>
          </w:rPr>
          <w:t>http://www.un.org/press/en/2005/sc8533.doc.htm</w:t>
        </w:r>
      </w:hyperlink>
      <w:r w:rsidRPr="003742EE">
        <w:t xml:space="preserve"> </w:t>
      </w:r>
    </w:p>
    <w:p w:rsidR="00795839" w:rsidRPr="003742EE" w:rsidRDefault="00795839" w:rsidP="003778BF">
      <w:pPr>
        <w:spacing w:line="360" w:lineRule="auto"/>
        <w:jc w:val="both"/>
      </w:pPr>
      <w:r w:rsidRPr="003742EE">
        <w:t xml:space="preserve">UNSC (2005b). </w:t>
      </w:r>
      <w:r w:rsidRPr="003742EE">
        <w:rPr>
          <w:i/>
        </w:rPr>
        <w:t xml:space="preserve">Statement by the President of the Security Council. </w:t>
      </w:r>
      <w:r w:rsidRPr="003742EE">
        <w:t xml:space="preserve">S/PRST/2005/51. </w:t>
      </w:r>
      <w:hyperlink r:id="rId39" w:history="1">
        <w:r w:rsidRPr="003742EE">
          <w:rPr>
            <w:rStyle w:val="Hyperlink"/>
          </w:rPr>
          <w:t>http://www.securitycouncilreport.org/atf/cf/%7B65BFCF9B-6D27-4E9C-8CD3-CF6E4FF96FF9%7D/Kos%20SPRST%202005%2051.pdf</w:t>
        </w:r>
      </w:hyperlink>
      <w:r w:rsidRPr="003742EE">
        <w:t xml:space="preserve"> </w:t>
      </w:r>
    </w:p>
    <w:p w:rsidR="00795839" w:rsidRPr="003742EE" w:rsidRDefault="00795839" w:rsidP="003778BF">
      <w:pPr>
        <w:spacing w:line="360" w:lineRule="auto"/>
        <w:jc w:val="both"/>
      </w:pPr>
      <w:r w:rsidRPr="003742EE">
        <w:t xml:space="preserve">UNSC (2007a). </w:t>
      </w:r>
      <w:r w:rsidRPr="003742EE">
        <w:rPr>
          <w:i/>
        </w:rPr>
        <w:t>Report of the Special Envoy of the Secretary-General on Kosovo’s future status.</w:t>
      </w:r>
      <w:r w:rsidRPr="003742EE">
        <w:t xml:space="preserve"> S/2007/168. </w:t>
      </w:r>
      <w:hyperlink r:id="rId40" w:history="1">
        <w:r w:rsidRPr="003742EE">
          <w:rPr>
            <w:rStyle w:val="Hyperlink"/>
          </w:rPr>
          <w:t>http://www.securitycouncilreport.org/atf/cf/%7B65BFCF9B-6D27-4E9C-8CD3-CF6E4FF96FF9%7D/Kosovo%20S2007%20168.pdf</w:t>
        </w:r>
      </w:hyperlink>
      <w:r w:rsidRPr="003742EE">
        <w:t xml:space="preserve"> </w:t>
      </w:r>
    </w:p>
    <w:p w:rsidR="00795839" w:rsidRPr="003742EE" w:rsidRDefault="00795839" w:rsidP="003778BF">
      <w:pPr>
        <w:spacing w:line="360" w:lineRule="auto"/>
        <w:jc w:val="both"/>
        <w:rPr>
          <w:lang w:val="nl-NL"/>
        </w:rPr>
      </w:pPr>
      <w:r w:rsidRPr="003742EE">
        <w:t xml:space="preserve">UNSC (2007b). </w:t>
      </w:r>
      <w:r w:rsidRPr="003742EE">
        <w:rPr>
          <w:i/>
        </w:rPr>
        <w:t xml:space="preserve">Security Council Report on letter dated 10 December 2007 from the Secretary-General to the President of the Security Council. </w:t>
      </w:r>
      <w:r w:rsidRPr="003742EE">
        <w:rPr>
          <w:lang w:val="nl-NL"/>
        </w:rPr>
        <w:t xml:space="preserve">S/2007/723. </w:t>
      </w:r>
      <w:hyperlink r:id="rId41" w:history="1">
        <w:r w:rsidRPr="003742EE">
          <w:rPr>
            <w:rStyle w:val="Hyperlink"/>
            <w:lang w:val="nl-NL"/>
          </w:rPr>
          <w:t>http://www.securitycouncilreport.org/atf/cf/%7B65BFCF9B-6D27-4E9C-8CD3-CF6E4FF96FF9%7D/Kosovo%20S2007%20723.pdf</w:t>
        </w:r>
      </w:hyperlink>
      <w:r w:rsidRPr="003742EE">
        <w:rPr>
          <w:lang w:val="nl-NL"/>
        </w:rPr>
        <w:t xml:space="preserve"> </w:t>
      </w:r>
    </w:p>
    <w:p w:rsidR="00872C76" w:rsidRPr="003742EE" w:rsidRDefault="00872C76" w:rsidP="003778BF">
      <w:pPr>
        <w:spacing w:line="360" w:lineRule="auto"/>
        <w:jc w:val="both"/>
        <w:rPr>
          <w:rFonts w:cs="Arial"/>
          <w:shd w:val="clear" w:color="auto" w:fill="FFFFFF"/>
        </w:rPr>
      </w:pPr>
      <w:proofErr w:type="spellStart"/>
      <w:r w:rsidRPr="003742EE">
        <w:rPr>
          <w:rFonts w:cs="Arial"/>
          <w:shd w:val="clear" w:color="auto" w:fill="FFFFFF"/>
          <w:lang w:val="nl-NL"/>
        </w:rPr>
        <w:t>Walsch</w:t>
      </w:r>
      <w:proofErr w:type="spellEnd"/>
      <w:r w:rsidRPr="003742EE">
        <w:rPr>
          <w:rFonts w:cs="Arial"/>
          <w:shd w:val="clear" w:color="auto" w:fill="FFFFFF"/>
          <w:lang w:val="nl-NL"/>
        </w:rPr>
        <w:t xml:space="preserve">, C. (2017). </w:t>
      </w:r>
      <w:r w:rsidRPr="003742EE">
        <w:rPr>
          <w:rFonts w:cs="Arial"/>
          <w:shd w:val="clear" w:color="auto" w:fill="FFFFFF"/>
        </w:rPr>
        <w:t xml:space="preserve">Personal communication. May 22, 2017.  </w:t>
      </w:r>
    </w:p>
    <w:p w:rsidR="00D15816" w:rsidRPr="003742EE" w:rsidRDefault="00D15816" w:rsidP="003778BF">
      <w:pPr>
        <w:spacing w:line="360" w:lineRule="auto"/>
        <w:jc w:val="both"/>
        <w:rPr>
          <w:rFonts w:cs="Times New Roman"/>
          <w:shd w:val="clear" w:color="auto" w:fill="FFFFFF"/>
        </w:rPr>
      </w:pPr>
      <w:r w:rsidRPr="003742EE">
        <w:rPr>
          <w:rFonts w:cs="Times New Roman"/>
          <w:shd w:val="clear" w:color="auto" w:fill="FFFFFF"/>
        </w:rPr>
        <w:t>Waltz, K. N. (2010).</w:t>
      </w:r>
      <w:r w:rsidRPr="003742EE">
        <w:rPr>
          <w:rStyle w:val="apple-converted-space"/>
          <w:rFonts w:cs="Times New Roman"/>
          <w:shd w:val="clear" w:color="auto" w:fill="FFFFFF"/>
        </w:rPr>
        <w:t> </w:t>
      </w:r>
      <w:r w:rsidRPr="003742EE">
        <w:rPr>
          <w:rFonts w:cs="Times New Roman"/>
          <w:i/>
          <w:iCs/>
          <w:shd w:val="clear" w:color="auto" w:fill="FFFFFF"/>
        </w:rPr>
        <w:t>Theory of international politics</w:t>
      </w:r>
      <w:r w:rsidRPr="003742EE">
        <w:rPr>
          <w:rFonts w:cs="Times New Roman"/>
          <w:shd w:val="clear" w:color="auto" w:fill="FFFFFF"/>
        </w:rPr>
        <w:t xml:space="preserve"> (pp. 1 – 17). Waveland Press.</w:t>
      </w:r>
    </w:p>
    <w:p w:rsidR="00872C76" w:rsidRPr="003742EE" w:rsidRDefault="00872C76" w:rsidP="003778BF">
      <w:pPr>
        <w:spacing w:line="360" w:lineRule="auto"/>
        <w:jc w:val="both"/>
        <w:rPr>
          <w:rFonts w:cs="Arial"/>
          <w:shd w:val="clear" w:color="auto" w:fill="FFFFFF"/>
        </w:rPr>
      </w:pPr>
      <w:r w:rsidRPr="003742EE">
        <w:rPr>
          <w:rFonts w:cs="Arial"/>
          <w:shd w:val="clear" w:color="auto" w:fill="FFFFFF"/>
        </w:rPr>
        <w:t>Weller, M. (2008a).</w:t>
      </w:r>
      <w:r w:rsidRPr="003742EE">
        <w:rPr>
          <w:rStyle w:val="apple-converted-space"/>
          <w:rFonts w:cs="Arial"/>
          <w:shd w:val="clear" w:color="auto" w:fill="FFFFFF"/>
        </w:rPr>
        <w:t> </w:t>
      </w:r>
      <w:r w:rsidRPr="003742EE">
        <w:rPr>
          <w:rFonts w:cs="Arial"/>
          <w:i/>
          <w:iCs/>
          <w:shd w:val="clear" w:color="auto" w:fill="FFFFFF"/>
        </w:rPr>
        <w:t>Negotiating the final status of Kosovo</w:t>
      </w:r>
      <w:r w:rsidRPr="003742EE">
        <w:rPr>
          <w:rFonts w:cs="Arial"/>
          <w:shd w:val="clear" w:color="auto" w:fill="FFFFFF"/>
        </w:rPr>
        <w:t>. Institute for Security Studies, European Union.</w:t>
      </w:r>
    </w:p>
    <w:p w:rsidR="00872C76" w:rsidRPr="003742EE" w:rsidRDefault="00872C76" w:rsidP="003778BF">
      <w:pPr>
        <w:spacing w:line="360" w:lineRule="auto"/>
        <w:jc w:val="both"/>
        <w:rPr>
          <w:rFonts w:cs="Arial"/>
          <w:shd w:val="clear" w:color="auto" w:fill="FFFFFF"/>
        </w:rPr>
      </w:pPr>
      <w:r w:rsidRPr="003742EE">
        <w:rPr>
          <w:rFonts w:cs="Arial"/>
          <w:shd w:val="clear" w:color="auto" w:fill="FFFFFF"/>
        </w:rPr>
        <w:t>Weller, M. (2008b). The Vienna negotiations on the final status for Kosovo.</w:t>
      </w:r>
      <w:r w:rsidRPr="003742EE">
        <w:rPr>
          <w:rStyle w:val="apple-converted-space"/>
          <w:rFonts w:cs="Arial"/>
          <w:shd w:val="clear" w:color="auto" w:fill="FFFFFF"/>
        </w:rPr>
        <w:t> </w:t>
      </w:r>
      <w:r w:rsidRPr="003742EE">
        <w:rPr>
          <w:rFonts w:cs="Arial"/>
          <w:i/>
          <w:iCs/>
          <w:shd w:val="clear" w:color="auto" w:fill="FFFFFF"/>
        </w:rPr>
        <w:t>International Affairs</w:t>
      </w:r>
      <w:r w:rsidRPr="003742EE">
        <w:rPr>
          <w:rFonts w:cs="Arial"/>
          <w:shd w:val="clear" w:color="auto" w:fill="FFFFFF"/>
        </w:rPr>
        <w:t>,</w:t>
      </w:r>
      <w:r w:rsidRPr="003742EE">
        <w:rPr>
          <w:rStyle w:val="apple-converted-space"/>
          <w:rFonts w:cs="Arial"/>
          <w:shd w:val="clear" w:color="auto" w:fill="FFFFFF"/>
        </w:rPr>
        <w:t> </w:t>
      </w:r>
      <w:r w:rsidRPr="003742EE">
        <w:rPr>
          <w:rFonts w:cs="Arial"/>
          <w:i/>
          <w:iCs/>
          <w:shd w:val="clear" w:color="auto" w:fill="FFFFFF"/>
        </w:rPr>
        <w:t>84</w:t>
      </w:r>
      <w:r w:rsidRPr="003742EE">
        <w:rPr>
          <w:rFonts w:cs="Arial"/>
          <w:shd w:val="clear" w:color="auto" w:fill="FFFFFF"/>
        </w:rPr>
        <w:t>(4), 659-681.</w:t>
      </w:r>
    </w:p>
    <w:p w:rsidR="00872C76" w:rsidRPr="003742EE" w:rsidRDefault="00872C76" w:rsidP="003778BF">
      <w:pPr>
        <w:spacing w:line="360" w:lineRule="auto"/>
        <w:jc w:val="both"/>
        <w:rPr>
          <w:rFonts w:cs="Arial"/>
          <w:shd w:val="clear" w:color="auto" w:fill="FFFFFF"/>
        </w:rPr>
      </w:pPr>
      <w:r w:rsidRPr="003742EE">
        <w:rPr>
          <w:rFonts w:cs="Arial"/>
          <w:shd w:val="clear" w:color="auto" w:fill="FFFFFF"/>
        </w:rPr>
        <w:t>Weller, M. (2008c). Kosovo's final status.</w:t>
      </w:r>
      <w:r w:rsidRPr="003742EE">
        <w:rPr>
          <w:rStyle w:val="apple-converted-space"/>
          <w:rFonts w:cs="Arial"/>
          <w:shd w:val="clear" w:color="auto" w:fill="FFFFFF"/>
        </w:rPr>
        <w:t> </w:t>
      </w:r>
      <w:r w:rsidRPr="003742EE">
        <w:rPr>
          <w:rFonts w:cs="Arial"/>
          <w:i/>
          <w:iCs/>
          <w:shd w:val="clear" w:color="auto" w:fill="FFFFFF"/>
        </w:rPr>
        <w:t>International Affairs</w:t>
      </w:r>
      <w:r w:rsidRPr="003742EE">
        <w:rPr>
          <w:rFonts w:cs="Arial"/>
          <w:shd w:val="clear" w:color="auto" w:fill="FFFFFF"/>
        </w:rPr>
        <w:t>,</w:t>
      </w:r>
      <w:r w:rsidRPr="003742EE">
        <w:rPr>
          <w:rStyle w:val="apple-converted-space"/>
          <w:rFonts w:cs="Arial"/>
          <w:shd w:val="clear" w:color="auto" w:fill="FFFFFF"/>
        </w:rPr>
        <w:t> </w:t>
      </w:r>
      <w:r w:rsidRPr="003742EE">
        <w:rPr>
          <w:rFonts w:cs="Arial"/>
          <w:i/>
          <w:iCs/>
          <w:shd w:val="clear" w:color="auto" w:fill="FFFFFF"/>
        </w:rPr>
        <w:t>84</w:t>
      </w:r>
      <w:r w:rsidRPr="003742EE">
        <w:rPr>
          <w:rFonts w:cs="Arial"/>
          <w:shd w:val="clear" w:color="auto" w:fill="FFFFFF"/>
        </w:rPr>
        <w:t>(6), 1223-1243.</w:t>
      </w:r>
    </w:p>
    <w:p w:rsidR="00D15816" w:rsidRPr="003742EE" w:rsidRDefault="00D15816" w:rsidP="003778BF">
      <w:pPr>
        <w:spacing w:line="360" w:lineRule="auto"/>
        <w:jc w:val="both"/>
        <w:rPr>
          <w:rFonts w:cs="Times New Roman"/>
          <w:shd w:val="clear" w:color="auto" w:fill="FFFFFF"/>
        </w:rPr>
      </w:pPr>
      <w:r w:rsidRPr="003742EE">
        <w:rPr>
          <w:rFonts w:cs="Times New Roman"/>
          <w:shd w:val="clear" w:color="auto" w:fill="FFFFFF"/>
        </w:rPr>
        <w:t>Welsh, H. (1994). Political Transition Processes in Central and Eastern Europe.</w:t>
      </w:r>
      <w:r w:rsidRPr="003742EE">
        <w:rPr>
          <w:rStyle w:val="apple-converted-space"/>
          <w:rFonts w:cs="Times New Roman"/>
          <w:color w:val="222222"/>
          <w:shd w:val="clear" w:color="auto" w:fill="FFFFFF"/>
        </w:rPr>
        <w:t> </w:t>
      </w:r>
      <w:r w:rsidRPr="003742EE">
        <w:rPr>
          <w:rFonts w:cs="Times New Roman"/>
          <w:i/>
          <w:iCs/>
          <w:shd w:val="clear" w:color="auto" w:fill="FFFFFF"/>
        </w:rPr>
        <w:t>Comparative Politics,26</w:t>
      </w:r>
      <w:r w:rsidRPr="003742EE">
        <w:rPr>
          <w:rFonts w:cs="Times New Roman"/>
          <w:shd w:val="clear" w:color="auto" w:fill="FFFFFF"/>
        </w:rPr>
        <w:t>(4), 379-394. doi:10.2307/422022</w:t>
      </w:r>
    </w:p>
    <w:p w:rsidR="00D15816" w:rsidRPr="003742EE" w:rsidRDefault="00D15816" w:rsidP="003778BF">
      <w:pPr>
        <w:spacing w:line="360" w:lineRule="auto"/>
        <w:jc w:val="both"/>
        <w:rPr>
          <w:rFonts w:eastAsia="Times New Roman" w:cs="Times New Roman"/>
          <w:lang w:eastAsia="nl-NL"/>
        </w:rPr>
      </w:pPr>
      <w:r w:rsidRPr="003742EE">
        <w:rPr>
          <w:rFonts w:eastAsia="Times New Roman" w:cs="Times New Roman"/>
          <w:lang w:eastAsia="nl-NL"/>
        </w:rPr>
        <w:t xml:space="preserve">Wendt, A. (1987). The Agent-Structure Problem in International Relations. </w:t>
      </w:r>
      <w:r w:rsidRPr="003742EE">
        <w:rPr>
          <w:rFonts w:eastAsia="Times New Roman" w:cs="Times New Roman"/>
          <w:i/>
          <w:lang w:eastAsia="nl-NL"/>
        </w:rPr>
        <w:t>International Organization, 41</w:t>
      </w:r>
      <w:r w:rsidRPr="003742EE">
        <w:rPr>
          <w:rFonts w:eastAsia="Times New Roman" w:cs="Times New Roman"/>
          <w:lang w:eastAsia="nl-NL"/>
        </w:rPr>
        <w:t xml:space="preserve">(3), 335-370. </w:t>
      </w:r>
    </w:p>
    <w:p w:rsidR="00D15816" w:rsidRPr="003742EE" w:rsidRDefault="00D15816" w:rsidP="003778BF">
      <w:pPr>
        <w:spacing w:line="360" w:lineRule="auto"/>
        <w:jc w:val="both"/>
        <w:rPr>
          <w:rFonts w:eastAsia="Times New Roman" w:cs="Times New Roman"/>
          <w:color w:val="222222"/>
          <w:lang w:eastAsia="nl-NL"/>
        </w:rPr>
      </w:pPr>
      <w:proofErr w:type="spellStart"/>
      <w:r w:rsidRPr="003742EE">
        <w:rPr>
          <w:rFonts w:eastAsia="Times New Roman" w:cs="Times New Roman"/>
          <w:lang w:eastAsia="nl-NL"/>
        </w:rPr>
        <w:lastRenderedPageBreak/>
        <w:t>Woodwell</w:t>
      </w:r>
      <w:proofErr w:type="spellEnd"/>
      <w:r w:rsidRPr="003742EE">
        <w:rPr>
          <w:rFonts w:eastAsia="Times New Roman" w:cs="Times New Roman"/>
          <w:lang w:eastAsia="nl-NL"/>
        </w:rPr>
        <w:t>, D. (2004). Unwelcome Neighbors: Shared Ethnicity and International Conflict during the Cold War. </w:t>
      </w:r>
      <w:r w:rsidRPr="003742EE">
        <w:rPr>
          <w:rFonts w:eastAsia="Times New Roman" w:cs="Times New Roman"/>
          <w:i/>
          <w:iCs/>
          <w:lang w:eastAsia="nl-NL"/>
        </w:rPr>
        <w:t>International Studies Quarterly,</w:t>
      </w:r>
      <w:r w:rsidRPr="003742EE">
        <w:rPr>
          <w:rFonts w:eastAsia="Times New Roman" w:cs="Times New Roman"/>
          <w:lang w:eastAsia="nl-NL"/>
        </w:rPr>
        <w:t> </w:t>
      </w:r>
      <w:r w:rsidRPr="003742EE">
        <w:rPr>
          <w:rFonts w:eastAsia="Times New Roman" w:cs="Times New Roman"/>
          <w:i/>
          <w:iCs/>
          <w:lang w:eastAsia="nl-NL"/>
        </w:rPr>
        <w:t>48</w:t>
      </w:r>
      <w:r w:rsidRPr="003742EE">
        <w:rPr>
          <w:rFonts w:eastAsia="Times New Roman" w:cs="Times New Roman"/>
          <w:lang w:eastAsia="nl-NL"/>
        </w:rPr>
        <w:t xml:space="preserve">(1), 197-223. Retrieved from </w:t>
      </w:r>
      <w:hyperlink r:id="rId42" w:history="1">
        <w:r w:rsidRPr="003742EE">
          <w:rPr>
            <w:rStyle w:val="Hyperlink"/>
            <w:rFonts w:eastAsia="Times New Roman" w:cs="Times New Roman"/>
            <w:lang w:eastAsia="nl-NL"/>
          </w:rPr>
          <w:t>http://www.jstor.org/stable/3693569</w:t>
        </w:r>
      </w:hyperlink>
      <w:r w:rsidRPr="003742EE">
        <w:rPr>
          <w:rFonts w:eastAsia="Times New Roman" w:cs="Times New Roman"/>
          <w:color w:val="222222"/>
          <w:lang w:eastAsia="nl-NL"/>
        </w:rPr>
        <w:t xml:space="preserve"> </w:t>
      </w:r>
    </w:p>
    <w:p w:rsidR="00D15816" w:rsidRPr="003742EE" w:rsidRDefault="00D15816" w:rsidP="003778BF">
      <w:pPr>
        <w:spacing w:line="360" w:lineRule="auto"/>
        <w:jc w:val="both"/>
        <w:rPr>
          <w:rFonts w:cs="Times New Roman"/>
          <w:shd w:val="clear" w:color="auto" w:fill="FFFFFF"/>
        </w:rPr>
      </w:pPr>
    </w:p>
    <w:p w:rsidR="00D15816" w:rsidRPr="003742EE" w:rsidRDefault="00D15816" w:rsidP="003778BF">
      <w:pPr>
        <w:spacing w:line="360" w:lineRule="auto"/>
        <w:jc w:val="both"/>
        <w:rPr>
          <w:rFonts w:cs="Times New Roman"/>
        </w:rPr>
      </w:pPr>
    </w:p>
    <w:p w:rsidR="00D15816" w:rsidRPr="003742EE" w:rsidRDefault="00D15816" w:rsidP="003778BF">
      <w:pPr>
        <w:spacing w:line="360" w:lineRule="auto"/>
        <w:jc w:val="both"/>
        <w:rPr>
          <w:rFonts w:eastAsiaTheme="majorEastAsia" w:cs="Times New Roman"/>
          <w:bCs/>
          <w:sz w:val="24"/>
          <w:szCs w:val="24"/>
        </w:rPr>
      </w:pPr>
    </w:p>
    <w:p w:rsidR="00073EC6" w:rsidRDefault="00073EC6">
      <w:r>
        <w:br w:type="page"/>
      </w:r>
    </w:p>
    <w:p w:rsidR="00073EC6" w:rsidRPr="00073EC6" w:rsidRDefault="00073EC6" w:rsidP="00073EC6">
      <w:pPr>
        <w:pStyle w:val="Kop1"/>
        <w:rPr>
          <w:rFonts w:asciiTheme="minorHAnsi" w:hAnsiTheme="minorHAnsi"/>
          <w:b w:val="0"/>
        </w:rPr>
      </w:pPr>
      <w:bookmarkStart w:id="58" w:name="_Toc489007272"/>
      <w:r w:rsidRPr="00073EC6">
        <w:rPr>
          <w:rFonts w:asciiTheme="minorHAnsi" w:hAnsiTheme="minorHAnsi"/>
          <w:b w:val="0"/>
        </w:rPr>
        <w:lastRenderedPageBreak/>
        <w:t>Appendix A: UNSC Resolution 1244</w:t>
      </w:r>
      <w:bookmarkEnd w:id="58"/>
    </w:p>
    <w:p w:rsidR="00073EC6" w:rsidRDefault="00073EC6" w:rsidP="00073EC6"/>
    <w:p w:rsidR="00073EC6" w:rsidRPr="00790AFF" w:rsidRDefault="00073EC6" w:rsidP="00073EC6">
      <w:pPr>
        <w:autoSpaceDE w:val="0"/>
        <w:autoSpaceDN w:val="0"/>
        <w:adjustRightInd w:val="0"/>
        <w:spacing w:after="0" w:line="240" w:lineRule="auto"/>
        <w:jc w:val="both"/>
        <w:rPr>
          <w:rFonts w:cs="Arial"/>
          <w:b/>
          <w:bCs/>
        </w:rPr>
      </w:pPr>
      <w:r w:rsidRPr="00790AFF">
        <w:rPr>
          <w:rFonts w:cs="Arial"/>
          <w:b/>
          <w:bCs/>
        </w:rPr>
        <w:t xml:space="preserve">UNITED NATIONS </w:t>
      </w:r>
    </w:p>
    <w:p w:rsidR="00073EC6" w:rsidRPr="00790AFF" w:rsidRDefault="00073EC6" w:rsidP="00073EC6">
      <w:pPr>
        <w:autoSpaceDE w:val="0"/>
        <w:autoSpaceDN w:val="0"/>
        <w:adjustRightInd w:val="0"/>
        <w:spacing w:after="0" w:line="240" w:lineRule="auto"/>
        <w:jc w:val="both"/>
        <w:rPr>
          <w:rFonts w:cs="Arial"/>
          <w:b/>
          <w:bCs/>
        </w:rPr>
      </w:pPr>
      <w:r w:rsidRPr="00790AFF">
        <w:rPr>
          <w:rFonts w:cs="Arial"/>
          <w:b/>
          <w:bCs/>
        </w:rPr>
        <w:t>Security Council</w:t>
      </w:r>
    </w:p>
    <w:p w:rsidR="00073EC6" w:rsidRPr="00790AFF" w:rsidRDefault="00073EC6" w:rsidP="00073EC6">
      <w:pPr>
        <w:autoSpaceDE w:val="0"/>
        <w:autoSpaceDN w:val="0"/>
        <w:adjustRightInd w:val="0"/>
        <w:spacing w:after="0" w:line="240" w:lineRule="auto"/>
        <w:jc w:val="both"/>
        <w:rPr>
          <w:rFonts w:cs="Courier"/>
        </w:rPr>
      </w:pPr>
      <w:proofErr w:type="spellStart"/>
      <w:r w:rsidRPr="00790AFF">
        <w:rPr>
          <w:rFonts w:cs="Courier"/>
        </w:rPr>
        <w:t>Distr.</w:t>
      </w:r>
      <w:r>
        <w:rPr>
          <w:rFonts w:cs="Courier"/>
        </w:rPr>
        <w:t>S</w:t>
      </w:r>
      <w:proofErr w:type="spellEnd"/>
    </w:p>
    <w:p w:rsidR="00073EC6" w:rsidRPr="00790AFF" w:rsidRDefault="00073EC6" w:rsidP="00073EC6">
      <w:pPr>
        <w:autoSpaceDE w:val="0"/>
        <w:autoSpaceDN w:val="0"/>
        <w:adjustRightInd w:val="0"/>
        <w:spacing w:after="0" w:line="240" w:lineRule="auto"/>
        <w:jc w:val="both"/>
        <w:rPr>
          <w:rFonts w:cs="Courier"/>
        </w:rPr>
      </w:pPr>
      <w:r w:rsidRPr="00790AFF">
        <w:rPr>
          <w:rFonts w:cs="Courier"/>
        </w:rPr>
        <w:t>GENERAL</w:t>
      </w:r>
    </w:p>
    <w:p w:rsidR="00073EC6" w:rsidRPr="00790AFF" w:rsidRDefault="00073EC6" w:rsidP="00073EC6">
      <w:pPr>
        <w:autoSpaceDE w:val="0"/>
        <w:autoSpaceDN w:val="0"/>
        <w:adjustRightInd w:val="0"/>
        <w:spacing w:after="0" w:line="240" w:lineRule="auto"/>
        <w:jc w:val="both"/>
        <w:rPr>
          <w:rFonts w:cs="Courier"/>
        </w:rPr>
      </w:pP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S/RES/1244 (1999)</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10 June 1999</w:t>
      </w:r>
    </w:p>
    <w:p w:rsidR="00073EC6" w:rsidRPr="00790AFF" w:rsidRDefault="00073EC6" w:rsidP="00073EC6">
      <w:pPr>
        <w:autoSpaceDE w:val="0"/>
        <w:autoSpaceDN w:val="0"/>
        <w:adjustRightInd w:val="0"/>
        <w:spacing w:after="0" w:line="240" w:lineRule="auto"/>
        <w:jc w:val="both"/>
        <w:rPr>
          <w:rFonts w:cs="Courier"/>
        </w:rPr>
      </w:pP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RESOLUTION 1244 (1999)</w:t>
      </w:r>
    </w:p>
    <w:p w:rsidR="00073EC6" w:rsidRPr="00790AFF" w:rsidRDefault="00073EC6" w:rsidP="00073EC6">
      <w:pPr>
        <w:autoSpaceDE w:val="0"/>
        <w:autoSpaceDN w:val="0"/>
        <w:adjustRightInd w:val="0"/>
        <w:spacing w:after="0" w:line="240" w:lineRule="auto"/>
        <w:jc w:val="both"/>
        <w:rPr>
          <w:rFonts w:cs="Courier"/>
        </w:rPr>
      </w:pP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Adopted by the Security Council at its 4011th meeting,</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on 10 June 1999</w:t>
      </w:r>
    </w:p>
    <w:p w:rsidR="00073EC6" w:rsidRPr="00790AFF" w:rsidRDefault="00073EC6" w:rsidP="00073EC6">
      <w:pPr>
        <w:autoSpaceDE w:val="0"/>
        <w:autoSpaceDN w:val="0"/>
        <w:adjustRightInd w:val="0"/>
        <w:spacing w:after="0" w:line="240" w:lineRule="auto"/>
        <w:jc w:val="both"/>
        <w:rPr>
          <w:rFonts w:cs="Courier"/>
        </w:rPr>
      </w:pP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The Security Council,</w:t>
      </w:r>
    </w:p>
    <w:p w:rsidR="00073EC6" w:rsidRPr="00790AFF" w:rsidRDefault="00073EC6" w:rsidP="00073EC6">
      <w:pPr>
        <w:autoSpaceDE w:val="0"/>
        <w:autoSpaceDN w:val="0"/>
        <w:adjustRightInd w:val="0"/>
        <w:spacing w:after="0" w:line="240" w:lineRule="auto"/>
        <w:jc w:val="both"/>
        <w:rPr>
          <w:rFonts w:cs="Courier"/>
        </w:rPr>
      </w:pP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Bearing in mind the purposes and principles of the Charter of the United</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Nations, and the primary responsibility of the Security Council for the</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maintenance of international peace and security,</w:t>
      </w:r>
    </w:p>
    <w:p w:rsidR="00073EC6" w:rsidRPr="00790AFF" w:rsidRDefault="00073EC6" w:rsidP="00073EC6">
      <w:pPr>
        <w:autoSpaceDE w:val="0"/>
        <w:autoSpaceDN w:val="0"/>
        <w:adjustRightInd w:val="0"/>
        <w:spacing w:after="0" w:line="240" w:lineRule="auto"/>
        <w:jc w:val="both"/>
        <w:rPr>
          <w:rFonts w:cs="Courier"/>
        </w:rPr>
      </w:pP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Recalling its resolutions 1160 (1998) of 31 March 1998, 1199 (1998) of</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23 September 1998, 1203 (1998) of 24 October 1998 and 1239 (1999) of</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14 May 1999,</w:t>
      </w:r>
    </w:p>
    <w:p w:rsidR="00073EC6" w:rsidRPr="00790AFF" w:rsidRDefault="00073EC6" w:rsidP="00073EC6">
      <w:pPr>
        <w:autoSpaceDE w:val="0"/>
        <w:autoSpaceDN w:val="0"/>
        <w:adjustRightInd w:val="0"/>
        <w:spacing w:after="0" w:line="240" w:lineRule="auto"/>
        <w:jc w:val="both"/>
        <w:rPr>
          <w:rFonts w:cs="Courier"/>
        </w:rPr>
      </w:pP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Regretting that there has not been full compliance with the requirements of</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these resolutions,</w:t>
      </w:r>
    </w:p>
    <w:p w:rsidR="00073EC6" w:rsidRPr="00790AFF" w:rsidRDefault="00073EC6" w:rsidP="00073EC6">
      <w:pPr>
        <w:autoSpaceDE w:val="0"/>
        <w:autoSpaceDN w:val="0"/>
        <w:adjustRightInd w:val="0"/>
        <w:spacing w:after="0" w:line="240" w:lineRule="auto"/>
        <w:jc w:val="both"/>
        <w:rPr>
          <w:rFonts w:cs="Courier"/>
        </w:rPr>
      </w:pP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Determined to resolve the grave humanitarian situation in Kosovo, Federal</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Republic of Yugoslavia, and to provide for the safe and free return of all</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refugees and displaced persons to their homes,</w:t>
      </w:r>
    </w:p>
    <w:p w:rsidR="00073EC6" w:rsidRPr="00790AFF" w:rsidRDefault="00073EC6" w:rsidP="00073EC6">
      <w:pPr>
        <w:autoSpaceDE w:val="0"/>
        <w:autoSpaceDN w:val="0"/>
        <w:adjustRightInd w:val="0"/>
        <w:spacing w:after="0" w:line="240" w:lineRule="auto"/>
        <w:jc w:val="both"/>
        <w:rPr>
          <w:rFonts w:cs="Courier"/>
        </w:rPr>
      </w:pP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Condemning all acts of violence against the Kosovo population as well as</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all terrorist acts by any party,</w:t>
      </w:r>
    </w:p>
    <w:p w:rsidR="00073EC6" w:rsidRPr="00790AFF" w:rsidRDefault="00073EC6" w:rsidP="00073EC6">
      <w:pPr>
        <w:autoSpaceDE w:val="0"/>
        <w:autoSpaceDN w:val="0"/>
        <w:adjustRightInd w:val="0"/>
        <w:spacing w:after="0" w:line="240" w:lineRule="auto"/>
        <w:jc w:val="both"/>
        <w:rPr>
          <w:rFonts w:cs="Courier"/>
        </w:rPr>
      </w:pP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Recalling the statement made by the Secretary-General on 9 April 1999,</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expressing concern at the humanitarian tragedy taking place in Kosovo,</w:t>
      </w:r>
    </w:p>
    <w:p w:rsidR="00073EC6" w:rsidRPr="00790AFF" w:rsidRDefault="00073EC6" w:rsidP="00073EC6">
      <w:pPr>
        <w:autoSpaceDE w:val="0"/>
        <w:autoSpaceDN w:val="0"/>
        <w:adjustRightInd w:val="0"/>
        <w:spacing w:after="0" w:line="240" w:lineRule="auto"/>
        <w:jc w:val="both"/>
        <w:rPr>
          <w:rFonts w:cs="Courier"/>
        </w:rPr>
      </w:pP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Reaffirming the right of all refugees and displaced persons to return to</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their homes in safety,</w:t>
      </w:r>
    </w:p>
    <w:p w:rsidR="00073EC6" w:rsidRPr="00790AFF" w:rsidRDefault="00073EC6" w:rsidP="00073EC6">
      <w:pPr>
        <w:autoSpaceDE w:val="0"/>
        <w:autoSpaceDN w:val="0"/>
        <w:adjustRightInd w:val="0"/>
        <w:spacing w:after="0" w:line="240" w:lineRule="auto"/>
        <w:jc w:val="both"/>
        <w:rPr>
          <w:rFonts w:cs="Courier"/>
        </w:rPr>
      </w:pP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Recalling the jurisdiction and the mandate of the International Tribunal</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for the Former Yugoslavia,</w:t>
      </w:r>
    </w:p>
    <w:p w:rsidR="00073EC6" w:rsidRPr="00790AFF" w:rsidRDefault="00073EC6" w:rsidP="00073EC6">
      <w:pPr>
        <w:autoSpaceDE w:val="0"/>
        <w:autoSpaceDN w:val="0"/>
        <w:adjustRightInd w:val="0"/>
        <w:spacing w:after="0" w:line="240" w:lineRule="auto"/>
        <w:jc w:val="both"/>
        <w:rPr>
          <w:rFonts w:cs="Courier"/>
        </w:rPr>
      </w:pP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Welcoming the general principles on a political solution to the Kosovo</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crisis adopted on 6 May 1999 (S/1999/516, annex 1 to this resolution) and</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welcoming also the acceptance by the Federal Republic of Yugoslavia of the</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principles set forth in points 1 to 9 of the paper presented in Belgrade on</w:t>
      </w:r>
    </w:p>
    <w:p w:rsidR="00073EC6" w:rsidRPr="00790AFF" w:rsidRDefault="00073EC6" w:rsidP="00073EC6">
      <w:pPr>
        <w:autoSpaceDE w:val="0"/>
        <w:autoSpaceDN w:val="0"/>
        <w:adjustRightInd w:val="0"/>
        <w:spacing w:after="0" w:line="240" w:lineRule="auto"/>
        <w:jc w:val="both"/>
        <w:rPr>
          <w:rFonts w:cs="Courier"/>
        </w:rPr>
      </w:pPr>
    </w:p>
    <w:p w:rsidR="00073EC6" w:rsidRDefault="00073EC6" w:rsidP="00073EC6">
      <w:pPr>
        <w:autoSpaceDE w:val="0"/>
        <w:autoSpaceDN w:val="0"/>
        <w:adjustRightInd w:val="0"/>
        <w:spacing w:after="0" w:line="240" w:lineRule="auto"/>
        <w:jc w:val="both"/>
        <w:rPr>
          <w:rFonts w:cs="Courier"/>
        </w:rPr>
      </w:pPr>
      <w:r w:rsidRPr="00790AFF">
        <w:rPr>
          <w:rFonts w:cs="Courier"/>
        </w:rPr>
        <w:t>99-17289 (E) /...</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lastRenderedPageBreak/>
        <w:t>S/RES/1244 (1999)</w:t>
      </w:r>
    </w:p>
    <w:p w:rsidR="00073EC6" w:rsidRPr="00790AFF" w:rsidRDefault="00073EC6" w:rsidP="00073EC6">
      <w:pPr>
        <w:autoSpaceDE w:val="0"/>
        <w:autoSpaceDN w:val="0"/>
        <w:adjustRightInd w:val="0"/>
        <w:spacing w:after="0" w:line="240" w:lineRule="auto"/>
        <w:jc w:val="both"/>
        <w:rPr>
          <w:rFonts w:cs="Courier"/>
        </w:rPr>
      </w:pP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2 June 1999 (S/1999/649, annex 2 to this resolution), and the Federal Republic</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of Yugoslavia’s agreement to that paper,</w:t>
      </w:r>
    </w:p>
    <w:p w:rsidR="00073EC6" w:rsidRPr="00790AFF" w:rsidRDefault="00073EC6" w:rsidP="00073EC6">
      <w:pPr>
        <w:autoSpaceDE w:val="0"/>
        <w:autoSpaceDN w:val="0"/>
        <w:adjustRightInd w:val="0"/>
        <w:spacing w:after="0" w:line="240" w:lineRule="auto"/>
        <w:jc w:val="both"/>
        <w:rPr>
          <w:rFonts w:cs="Courier"/>
        </w:rPr>
      </w:pP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Reaffirming the commitment of all Member States to the sovereignty and</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territorial integrity of the Federal Republic of Yugoslavia and the other States</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of the region, as set out in the Helsinki Final Act and annex 2,</w:t>
      </w:r>
    </w:p>
    <w:p w:rsidR="00073EC6" w:rsidRPr="00790AFF" w:rsidRDefault="00073EC6" w:rsidP="00073EC6">
      <w:pPr>
        <w:autoSpaceDE w:val="0"/>
        <w:autoSpaceDN w:val="0"/>
        <w:adjustRightInd w:val="0"/>
        <w:spacing w:after="0" w:line="240" w:lineRule="auto"/>
        <w:jc w:val="both"/>
        <w:rPr>
          <w:rFonts w:cs="Courier"/>
        </w:rPr>
      </w:pP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Reaffirming the call in previous resolutions for substantial autonomy and</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meaningful self-administration for Kosovo,</w:t>
      </w:r>
    </w:p>
    <w:p w:rsidR="00073EC6" w:rsidRPr="00790AFF" w:rsidRDefault="00073EC6" w:rsidP="00073EC6">
      <w:pPr>
        <w:autoSpaceDE w:val="0"/>
        <w:autoSpaceDN w:val="0"/>
        <w:adjustRightInd w:val="0"/>
        <w:spacing w:after="0" w:line="240" w:lineRule="auto"/>
        <w:jc w:val="both"/>
        <w:rPr>
          <w:rFonts w:cs="Courier"/>
        </w:rPr>
      </w:pP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Determining that the situation in the region continues to constitute a</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threat to international peace and security,</w:t>
      </w:r>
    </w:p>
    <w:p w:rsidR="00073EC6" w:rsidRPr="00790AFF" w:rsidRDefault="00073EC6" w:rsidP="00073EC6">
      <w:pPr>
        <w:autoSpaceDE w:val="0"/>
        <w:autoSpaceDN w:val="0"/>
        <w:adjustRightInd w:val="0"/>
        <w:spacing w:after="0" w:line="240" w:lineRule="auto"/>
        <w:jc w:val="both"/>
        <w:rPr>
          <w:rFonts w:cs="Courier"/>
        </w:rPr>
      </w:pP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Determined to ensure the safety and security of international personnel and</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the implementation by all concerned of their responsibilities under the present</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resolution, and acting for these purposes under Chapter VII of the Charter of</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the United Nations,</w:t>
      </w:r>
    </w:p>
    <w:p w:rsidR="00073EC6" w:rsidRPr="00790AFF" w:rsidRDefault="00073EC6" w:rsidP="00073EC6">
      <w:pPr>
        <w:autoSpaceDE w:val="0"/>
        <w:autoSpaceDN w:val="0"/>
        <w:adjustRightInd w:val="0"/>
        <w:spacing w:after="0" w:line="240" w:lineRule="auto"/>
        <w:jc w:val="both"/>
        <w:rPr>
          <w:rFonts w:cs="Courier"/>
        </w:rPr>
      </w:pP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1. Decides that a political solution to the Kosovo crisis shall be based</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on the general principles in annex 1 and as further elaborated in the principles</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and other required elements in annex 2;</w:t>
      </w:r>
    </w:p>
    <w:p w:rsidR="00073EC6" w:rsidRPr="00790AFF" w:rsidRDefault="00073EC6" w:rsidP="00073EC6">
      <w:pPr>
        <w:autoSpaceDE w:val="0"/>
        <w:autoSpaceDN w:val="0"/>
        <w:adjustRightInd w:val="0"/>
        <w:spacing w:after="0" w:line="240" w:lineRule="auto"/>
        <w:jc w:val="both"/>
        <w:rPr>
          <w:rFonts w:cs="Courier"/>
        </w:rPr>
      </w:pP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2. Welcomes the acceptance by the Federal Republic of Yugoslavia of the</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principles and other required elements referred to in paragraph 1 above, and</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demands the full cooperation of the Federal Republic of Yugoslavia in their</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rapid implementation;</w:t>
      </w:r>
    </w:p>
    <w:p w:rsidR="00073EC6" w:rsidRPr="00790AFF" w:rsidRDefault="00073EC6" w:rsidP="00073EC6">
      <w:pPr>
        <w:autoSpaceDE w:val="0"/>
        <w:autoSpaceDN w:val="0"/>
        <w:adjustRightInd w:val="0"/>
        <w:spacing w:after="0" w:line="240" w:lineRule="auto"/>
        <w:jc w:val="both"/>
        <w:rPr>
          <w:rFonts w:cs="Courier"/>
        </w:rPr>
      </w:pP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3. Demands in particular that the Federal Republic of Yugoslavia put an</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immediate and verifiable end to violence and repression in Kosovo, and begin and</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complete verifiable phased withdrawal from Kosovo of all military, police and</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paramilitary forces according to a rapid timetable, with which the deployment of</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the international security presence in Kosovo will be synchronized;</w:t>
      </w:r>
    </w:p>
    <w:p w:rsidR="00073EC6" w:rsidRPr="00790AFF" w:rsidRDefault="00073EC6" w:rsidP="00073EC6">
      <w:pPr>
        <w:autoSpaceDE w:val="0"/>
        <w:autoSpaceDN w:val="0"/>
        <w:adjustRightInd w:val="0"/>
        <w:spacing w:after="0" w:line="240" w:lineRule="auto"/>
        <w:jc w:val="both"/>
        <w:rPr>
          <w:rFonts w:cs="Courier"/>
        </w:rPr>
      </w:pP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4. Confirms that after the withdrawal an agreed number of Yugoslav and</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Serb military and police personnel will be permitted to return to Kosovo to</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perform the functions in accordance with annex 2;</w:t>
      </w:r>
    </w:p>
    <w:p w:rsidR="00073EC6" w:rsidRPr="00790AFF" w:rsidRDefault="00073EC6" w:rsidP="00073EC6">
      <w:pPr>
        <w:autoSpaceDE w:val="0"/>
        <w:autoSpaceDN w:val="0"/>
        <w:adjustRightInd w:val="0"/>
        <w:spacing w:after="0" w:line="240" w:lineRule="auto"/>
        <w:jc w:val="both"/>
        <w:rPr>
          <w:rFonts w:cs="Courier"/>
        </w:rPr>
      </w:pP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5. Decides on the deployment in Kosovo, under United Nations auspices, of</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international civil and security presences, with appropriate equipment and</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personnel as required, and welcomes the agreement of the Federal Republic of</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Yugoslavia to such presences;</w:t>
      </w:r>
    </w:p>
    <w:p w:rsidR="00073EC6" w:rsidRPr="00790AFF" w:rsidRDefault="00073EC6" w:rsidP="00073EC6">
      <w:pPr>
        <w:autoSpaceDE w:val="0"/>
        <w:autoSpaceDN w:val="0"/>
        <w:adjustRightInd w:val="0"/>
        <w:spacing w:after="0" w:line="240" w:lineRule="auto"/>
        <w:jc w:val="both"/>
        <w:rPr>
          <w:rFonts w:cs="Courier"/>
        </w:rPr>
      </w:pP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6. Requests the Secretary-General to appoint, in consultation with the</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Security Council, a Special Representative to control the implementation of the</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international civil presence, and further requests the Secretary-General to</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instruct his Special Representative to coordinate closely with the international</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security presence to ensure that both presences operate towards the same goals</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and in a mutually supportive manner;</w:t>
      </w:r>
    </w:p>
    <w:p w:rsidR="00073EC6" w:rsidRPr="00790AFF" w:rsidRDefault="00073EC6" w:rsidP="00073EC6">
      <w:pPr>
        <w:autoSpaceDE w:val="0"/>
        <w:autoSpaceDN w:val="0"/>
        <w:adjustRightInd w:val="0"/>
        <w:spacing w:after="0" w:line="240" w:lineRule="auto"/>
        <w:jc w:val="both"/>
        <w:rPr>
          <w:rFonts w:cs="Courier"/>
        </w:rPr>
      </w:pP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7. Authorizes Member States and relevant international organizations to</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lastRenderedPageBreak/>
        <w:t>establish the international security presence in Kosovo as set out in point 4 of</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annex 2 with all necessary means to fulfil its responsibilities under</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paragraph 9 below;</w:t>
      </w:r>
    </w:p>
    <w:p w:rsidR="00073EC6" w:rsidRPr="00790AFF" w:rsidRDefault="00073EC6" w:rsidP="00073EC6">
      <w:pPr>
        <w:autoSpaceDE w:val="0"/>
        <w:autoSpaceDN w:val="0"/>
        <w:adjustRightInd w:val="0"/>
        <w:spacing w:after="0" w:line="240" w:lineRule="auto"/>
        <w:jc w:val="both"/>
        <w:rPr>
          <w:rFonts w:cs="Courier"/>
        </w:rPr>
      </w:pP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S/RES/1244 (1999)</w:t>
      </w:r>
    </w:p>
    <w:p w:rsidR="00073EC6" w:rsidRPr="00790AFF" w:rsidRDefault="00073EC6" w:rsidP="00073EC6">
      <w:pPr>
        <w:autoSpaceDE w:val="0"/>
        <w:autoSpaceDN w:val="0"/>
        <w:adjustRightInd w:val="0"/>
        <w:spacing w:after="0" w:line="240" w:lineRule="auto"/>
        <w:jc w:val="both"/>
        <w:rPr>
          <w:rFonts w:cs="Courier"/>
        </w:rPr>
      </w:pP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8. Affirms the need for the rapid early deployment of effective</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international civil and security presences to Kosovo, and demands that the</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parties cooperate fully in their deployment;</w:t>
      </w:r>
    </w:p>
    <w:p w:rsidR="00073EC6" w:rsidRPr="00790AFF" w:rsidRDefault="00073EC6" w:rsidP="00073EC6">
      <w:pPr>
        <w:autoSpaceDE w:val="0"/>
        <w:autoSpaceDN w:val="0"/>
        <w:adjustRightInd w:val="0"/>
        <w:spacing w:after="0" w:line="240" w:lineRule="auto"/>
        <w:jc w:val="both"/>
        <w:rPr>
          <w:rFonts w:cs="Courier"/>
        </w:rPr>
      </w:pP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9. Decides that the responsibilities of the international security</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presence to be deployed and acting in Kosovo will include:</w:t>
      </w:r>
    </w:p>
    <w:p w:rsidR="00073EC6" w:rsidRPr="00790AFF" w:rsidRDefault="00073EC6" w:rsidP="00073EC6">
      <w:pPr>
        <w:autoSpaceDE w:val="0"/>
        <w:autoSpaceDN w:val="0"/>
        <w:adjustRightInd w:val="0"/>
        <w:spacing w:after="0" w:line="240" w:lineRule="auto"/>
        <w:ind w:firstLine="708"/>
        <w:jc w:val="both"/>
        <w:rPr>
          <w:rFonts w:cs="Courier"/>
        </w:rPr>
      </w:pPr>
      <w:r w:rsidRPr="00790AFF">
        <w:rPr>
          <w:rFonts w:cs="Courier"/>
        </w:rPr>
        <w:t>(a) Deterring renewed hostilities, maintaining and where necessary</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enforcing a ceasefire, and ensuring the withdrawal and preventing the return</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into Kosovo of Federal and Republic military, police and paramilitary forces,</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except as provided in point 6 of annex 2;</w:t>
      </w:r>
    </w:p>
    <w:p w:rsidR="00073EC6" w:rsidRPr="00790AFF" w:rsidRDefault="00073EC6" w:rsidP="00073EC6">
      <w:pPr>
        <w:autoSpaceDE w:val="0"/>
        <w:autoSpaceDN w:val="0"/>
        <w:adjustRightInd w:val="0"/>
        <w:spacing w:after="0" w:line="240" w:lineRule="auto"/>
        <w:ind w:firstLine="708"/>
        <w:jc w:val="both"/>
        <w:rPr>
          <w:rFonts w:cs="Courier"/>
        </w:rPr>
      </w:pPr>
      <w:r w:rsidRPr="00790AFF">
        <w:rPr>
          <w:rFonts w:cs="Courier"/>
        </w:rPr>
        <w:t>(b) Demilitarizing the Kosovo Liberation Army (KLA) and other armed Kosovo</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Albanian groups as required in paragraph 15 below;</w:t>
      </w:r>
    </w:p>
    <w:p w:rsidR="00073EC6" w:rsidRPr="00790AFF" w:rsidRDefault="00073EC6" w:rsidP="00073EC6">
      <w:pPr>
        <w:autoSpaceDE w:val="0"/>
        <w:autoSpaceDN w:val="0"/>
        <w:adjustRightInd w:val="0"/>
        <w:spacing w:after="0" w:line="240" w:lineRule="auto"/>
        <w:ind w:firstLine="708"/>
        <w:jc w:val="both"/>
        <w:rPr>
          <w:rFonts w:cs="Courier"/>
        </w:rPr>
      </w:pPr>
      <w:r w:rsidRPr="00790AFF">
        <w:rPr>
          <w:rFonts w:cs="Courier"/>
        </w:rPr>
        <w:t>(c) Establishing a secure environment in which refugees and displaced</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persons can return home in safety, the international civil presence can operate,</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a transitional administration can be established, and humanitarian aid can be</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delivered;</w:t>
      </w:r>
    </w:p>
    <w:p w:rsidR="00073EC6" w:rsidRPr="00790AFF" w:rsidRDefault="00073EC6" w:rsidP="00073EC6">
      <w:pPr>
        <w:autoSpaceDE w:val="0"/>
        <w:autoSpaceDN w:val="0"/>
        <w:adjustRightInd w:val="0"/>
        <w:spacing w:after="0" w:line="240" w:lineRule="auto"/>
        <w:ind w:firstLine="708"/>
        <w:jc w:val="both"/>
        <w:rPr>
          <w:rFonts w:cs="Courier"/>
        </w:rPr>
      </w:pPr>
      <w:r w:rsidRPr="00790AFF">
        <w:rPr>
          <w:rFonts w:cs="Courier"/>
        </w:rPr>
        <w:t>(d) Ensuring public safety and order until the international civil</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presence can take responsibility for this task;</w:t>
      </w:r>
    </w:p>
    <w:p w:rsidR="00073EC6" w:rsidRPr="00790AFF" w:rsidRDefault="00073EC6" w:rsidP="00073EC6">
      <w:pPr>
        <w:autoSpaceDE w:val="0"/>
        <w:autoSpaceDN w:val="0"/>
        <w:adjustRightInd w:val="0"/>
        <w:spacing w:after="0" w:line="240" w:lineRule="auto"/>
        <w:ind w:firstLine="708"/>
        <w:jc w:val="both"/>
        <w:rPr>
          <w:rFonts w:cs="Courier"/>
        </w:rPr>
      </w:pPr>
      <w:r w:rsidRPr="00790AFF">
        <w:rPr>
          <w:rFonts w:cs="Courier"/>
        </w:rPr>
        <w:t>(e) Supervising demining until the international civil presence can, as</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appropriate, take over responsibility for this task;</w:t>
      </w:r>
    </w:p>
    <w:p w:rsidR="00073EC6" w:rsidRPr="00790AFF" w:rsidRDefault="00073EC6" w:rsidP="00073EC6">
      <w:pPr>
        <w:autoSpaceDE w:val="0"/>
        <w:autoSpaceDN w:val="0"/>
        <w:adjustRightInd w:val="0"/>
        <w:spacing w:after="0" w:line="240" w:lineRule="auto"/>
        <w:ind w:firstLine="708"/>
        <w:jc w:val="both"/>
        <w:rPr>
          <w:rFonts w:cs="Courier"/>
        </w:rPr>
      </w:pPr>
      <w:r w:rsidRPr="00790AFF">
        <w:rPr>
          <w:rFonts w:cs="Courier"/>
        </w:rPr>
        <w:t>(f) Supporting, as appropriate, and coordinating closely with the work of</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the international civil presence;</w:t>
      </w:r>
    </w:p>
    <w:p w:rsidR="00073EC6" w:rsidRPr="00790AFF" w:rsidRDefault="00073EC6" w:rsidP="00073EC6">
      <w:pPr>
        <w:autoSpaceDE w:val="0"/>
        <w:autoSpaceDN w:val="0"/>
        <w:adjustRightInd w:val="0"/>
        <w:spacing w:after="0" w:line="240" w:lineRule="auto"/>
        <w:ind w:firstLine="708"/>
        <w:jc w:val="both"/>
        <w:rPr>
          <w:rFonts w:cs="Courier"/>
        </w:rPr>
      </w:pPr>
      <w:r w:rsidRPr="00790AFF">
        <w:rPr>
          <w:rFonts w:cs="Courier"/>
        </w:rPr>
        <w:t>(g) Conducting border monitoring duties as required;</w:t>
      </w:r>
    </w:p>
    <w:p w:rsidR="00073EC6" w:rsidRPr="00790AFF" w:rsidRDefault="00073EC6" w:rsidP="00073EC6">
      <w:pPr>
        <w:autoSpaceDE w:val="0"/>
        <w:autoSpaceDN w:val="0"/>
        <w:adjustRightInd w:val="0"/>
        <w:spacing w:after="0" w:line="240" w:lineRule="auto"/>
        <w:ind w:firstLine="708"/>
        <w:jc w:val="both"/>
        <w:rPr>
          <w:rFonts w:cs="Courier"/>
        </w:rPr>
      </w:pPr>
      <w:r w:rsidRPr="00790AFF">
        <w:rPr>
          <w:rFonts w:cs="Courier"/>
        </w:rPr>
        <w:t>(h) Ensuring the protection and freedom of movement of itself, the</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international civil presence, and other international organizations;</w:t>
      </w:r>
    </w:p>
    <w:p w:rsidR="00073EC6" w:rsidRPr="00790AFF" w:rsidRDefault="00073EC6" w:rsidP="00073EC6">
      <w:pPr>
        <w:autoSpaceDE w:val="0"/>
        <w:autoSpaceDN w:val="0"/>
        <w:adjustRightInd w:val="0"/>
        <w:spacing w:after="0" w:line="240" w:lineRule="auto"/>
        <w:jc w:val="both"/>
        <w:rPr>
          <w:rFonts w:cs="Courier"/>
        </w:rPr>
      </w:pP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10. Authorizes the Secretary-General, with the assistance of relevant</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international organizations, to establish an international civil presence in</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Kosovo in order to provide an interim administration for Kosovo under which the</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people of Kosovo can enjoy substantial autonomy within the Federal Republic of</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Yugoslavia, and which will provide transitional administration while</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 xml:space="preserve">establishing and overseeing the development of provisional democratic </w:t>
      </w:r>
      <w:proofErr w:type="spellStart"/>
      <w:r w:rsidRPr="00790AFF">
        <w:rPr>
          <w:rFonts w:cs="Courier"/>
        </w:rPr>
        <w:t>selfgoverning</w:t>
      </w:r>
      <w:proofErr w:type="spellEnd"/>
    </w:p>
    <w:p w:rsidR="00073EC6" w:rsidRPr="00790AFF" w:rsidRDefault="00073EC6" w:rsidP="00073EC6">
      <w:pPr>
        <w:autoSpaceDE w:val="0"/>
        <w:autoSpaceDN w:val="0"/>
        <w:adjustRightInd w:val="0"/>
        <w:spacing w:after="0" w:line="240" w:lineRule="auto"/>
        <w:jc w:val="both"/>
        <w:rPr>
          <w:rFonts w:cs="Courier"/>
        </w:rPr>
      </w:pPr>
      <w:r w:rsidRPr="00790AFF">
        <w:rPr>
          <w:rFonts w:cs="Courier"/>
        </w:rPr>
        <w:t>institutions to ensure conditions for a peaceful and normal life for</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all inhabitants of Kosovo;</w:t>
      </w:r>
    </w:p>
    <w:p w:rsidR="00073EC6" w:rsidRPr="00790AFF" w:rsidRDefault="00073EC6" w:rsidP="00073EC6">
      <w:pPr>
        <w:autoSpaceDE w:val="0"/>
        <w:autoSpaceDN w:val="0"/>
        <w:adjustRightInd w:val="0"/>
        <w:spacing w:after="0" w:line="240" w:lineRule="auto"/>
        <w:jc w:val="both"/>
        <w:rPr>
          <w:rFonts w:cs="Courier"/>
        </w:rPr>
      </w:pP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11. Decides that the main responsibilities of the international civil</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presence will include:</w:t>
      </w:r>
    </w:p>
    <w:p w:rsidR="00073EC6" w:rsidRPr="00790AFF" w:rsidRDefault="00073EC6" w:rsidP="00073EC6">
      <w:pPr>
        <w:autoSpaceDE w:val="0"/>
        <w:autoSpaceDN w:val="0"/>
        <w:adjustRightInd w:val="0"/>
        <w:spacing w:after="0" w:line="240" w:lineRule="auto"/>
        <w:ind w:firstLine="708"/>
        <w:jc w:val="both"/>
        <w:rPr>
          <w:rFonts w:cs="Courier"/>
        </w:rPr>
      </w:pPr>
      <w:r w:rsidRPr="00790AFF">
        <w:rPr>
          <w:rFonts w:cs="Courier"/>
        </w:rPr>
        <w:t>(a) Promoting the establishment, pending a final settlement, of</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substantial autonomy and self-government in Kosovo, taking full account of</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 xml:space="preserve">annex 2 and of the </w:t>
      </w:r>
      <w:proofErr w:type="spellStart"/>
      <w:r w:rsidRPr="00790AFF">
        <w:rPr>
          <w:rFonts w:cs="Courier"/>
        </w:rPr>
        <w:t>Rambouillet</w:t>
      </w:r>
      <w:proofErr w:type="spellEnd"/>
      <w:r w:rsidRPr="00790AFF">
        <w:rPr>
          <w:rFonts w:cs="Courier"/>
        </w:rPr>
        <w:t xml:space="preserve"> accords (S/1999/648);</w:t>
      </w:r>
    </w:p>
    <w:p w:rsidR="00073EC6" w:rsidRPr="00790AFF" w:rsidRDefault="00073EC6" w:rsidP="00073EC6">
      <w:pPr>
        <w:autoSpaceDE w:val="0"/>
        <w:autoSpaceDN w:val="0"/>
        <w:adjustRightInd w:val="0"/>
        <w:spacing w:after="0" w:line="240" w:lineRule="auto"/>
        <w:ind w:firstLine="708"/>
        <w:jc w:val="both"/>
        <w:rPr>
          <w:rFonts w:cs="Courier"/>
        </w:rPr>
      </w:pPr>
      <w:r w:rsidRPr="00790AFF">
        <w:rPr>
          <w:rFonts w:cs="Courier"/>
        </w:rPr>
        <w:t>(b) Performing basic civilian administrative functions where and as long</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as required;</w:t>
      </w:r>
    </w:p>
    <w:p w:rsidR="00073EC6" w:rsidRPr="00790AFF" w:rsidRDefault="00073EC6" w:rsidP="00073EC6">
      <w:pPr>
        <w:autoSpaceDE w:val="0"/>
        <w:autoSpaceDN w:val="0"/>
        <w:adjustRightInd w:val="0"/>
        <w:spacing w:after="0" w:line="240" w:lineRule="auto"/>
        <w:jc w:val="both"/>
        <w:rPr>
          <w:rFonts w:cs="Courier"/>
        </w:rPr>
      </w:pP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S/RES/1244 (1999)</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lastRenderedPageBreak/>
        <w:t xml:space="preserve"> </w:t>
      </w:r>
    </w:p>
    <w:p w:rsidR="00073EC6" w:rsidRPr="00790AFF" w:rsidRDefault="00073EC6" w:rsidP="00073EC6">
      <w:pPr>
        <w:autoSpaceDE w:val="0"/>
        <w:autoSpaceDN w:val="0"/>
        <w:adjustRightInd w:val="0"/>
        <w:spacing w:after="0" w:line="240" w:lineRule="auto"/>
        <w:ind w:firstLine="708"/>
        <w:jc w:val="both"/>
        <w:rPr>
          <w:rFonts w:cs="Courier"/>
        </w:rPr>
      </w:pPr>
      <w:r w:rsidRPr="00790AFF">
        <w:rPr>
          <w:rFonts w:cs="Courier"/>
        </w:rPr>
        <w:t>(c) Organizing and overseeing the development of provisional institutions</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for democratic and autonomous self-government pending a political settlement,</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including the holding of elections;</w:t>
      </w:r>
    </w:p>
    <w:p w:rsidR="00073EC6" w:rsidRPr="00790AFF" w:rsidRDefault="00073EC6" w:rsidP="00073EC6">
      <w:pPr>
        <w:autoSpaceDE w:val="0"/>
        <w:autoSpaceDN w:val="0"/>
        <w:adjustRightInd w:val="0"/>
        <w:spacing w:after="0" w:line="240" w:lineRule="auto"/>
        <w:ind w:firstLine="708"/>
        <w:jc w:val="both"/>
        <w:rPr>
          <w:rFonts w:cs="Courier"/>
        </w:rPr>
      </w:pPr>
      <w:r w:rsidRPr="00790AFF">
        <w:rPr>
          <w:rFonts w:cs="Courier"/>
        </w:rPr>
        <w:t>(d) Transferring, as these institutions are established, its</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administrative responsibilities while overseeing and supporting the</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consolidation of Kosovo’s local provisional institutions and other peacebuilding</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activities;</w:t>
      </w:r>
    </w:p>
    <w:p w:rsidR="00073EC6" w:rsidRPr="00790AFF" w:rsidRDefault="00073EC6" w:rsidP="00073EC6">
      <w:pPr>
        <w:autoSpaceDE w:val="0"/>
        <w:autoSpaceDN w:val="0"/>
        <w:adjustRightInd w:val="0"/>
        <w:spacing w:after="0" w:line="240" w:lineRule="auto"/>
        <w:ind w:firstLine="708"/>
        <w:jc w:val="both"/>
        <w:rPr>
          <w:rFonts w:cs="Courier"/>
        </w:rPr>
      </w:pPr>
      <w:r w:rsidRPr="00790AFF">
        <w:rPr>
          <w:rFonts w:cs="Courier"/>
        </w:rPr>
        <w:t>(e) Facilitating a political process designed to determine Kosovo’s future</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 xml:space="preserve">status, taking into account the </w:t>
      </w:r>
      <w:proofErr w:type="spellStart"/>
      <w:r w:rsidRPr="00790AFF">
        <w:rPr>
          <w:rFonts w:cs="Courier"/>
        </w:rPr>
        <w:t>Rambouillet</w:t>
      </w:r>
      <w:proofErr w:type="spellEnd"/>
      <w:r w:rsidRPr="00790AFF">
        <w:rPr>
          <w:rFonts w:cs="Courier"/>
        </w:rPr>
        <w:t xml:space="preserve"> accords (S/1999/648);</w:t>
      </w:r>
    </w:p>
    <w:p w:rsidR="00073EC6" w:rsidRPr="00790AFF" w:rsidRDefault="00073EC6" w:rsidP="00073EC6">
      <w:pPr>
        <w:autoSpaceDE w:val="0"/>
        <w:autoSpaceDN w:val="0"/>
        <w:adjustRightInd w:val="0"/>
        <w:spacing w:after="0" w:line="240" w:lineRule="auto"/>
        <w:ind w:firstLine="708"/>
        <w:jc w:val="both"/>
        <w:rPr>
          <w:rFonts w:cs="Courier"/>
        </w:rPr>
      </w:pPr>
      <w:r w:rsidRPr="00790AFF">
        <w:rPr>
          <w:rFonts w:cs="Courier"/>
        </w:rPr>
        <w:t>(f) In a final stage, overseeing the transfer of authority from Kosovo’s</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provisional institutions to institutions established under a political</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settlement;</w:t>
      </w:r>
    </w:p>
    <w:p w:rsidR="00073EC6" w:rsidRPr="00790AFF" w:rsidRDefault="00073EC6" w:rsidP="00073EC6">
      <w:pPr>
        <w:autoSpaceDE w:val="0"/>
        <w:autoSpaceDN w:val="0"/>
        <w:adjustRightInd w:val="0"/>
        <w:spacing w:after="0" w:line="240" w:lineRule="auto"/>
        <w:ind w:firstLine="708"/>
        <w:jc w:val="both"/>
        <w:rPr>
          <w:rFonts w:cs="Courier"/>
        </w:rPr>
      </w:pPr>
      <w:r w:rsidRPr="00790AFF">
        <w:rPr>
          <w:rFonts w:cs="Courier"/>
        </w:rPr>
        <w:t>(g) Supporting the reconstruction of key infrastructure and other economic</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reconstruction;</w:t>
      </w:r>
    </w:p>
    <w:p w:rsidR="00073EC6" w:rsidRPr="00790AFF" w:rsidRDefault="00073EC6" w:rsidP="00073EC6">
      <w:pPr>
        <w:autoSpaceDE w:val="0"/>
        <w:autoSpaceDN w:val="0"/>
        <w:adjustRightInd w:val="0"/>
        <w:spacing w:after="0" w:line="240" w:lineRule="auto"/>
        <w:ind w:firstLine="708"/>
        <w:jc w:val="both"/>
        <w:rPr>
          <w:rFonts w:cs="Courier"/>
        </w:rPr>
      </w:pPr>
      <w:r w:rsidRPr="00790AFF">
        <w:rPr>
          <w:rFonts w:cs="Courier"/>
        </w:rPr>
        <w:t>(h) Supporting, in coordination with international humanitarian</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organizations, humanitarian and disaster relief aid;</w:t>
      </w:r>
    </w:p>
    <w:p w:rsidR="00073EC6" w:rsidRPr="00790AFF" w:rsidRDefault="00073EC6" w:rsidP="00073EC6">
      <w:pPr>
        <w:autoSpaceDE w:val="0"/>
        <w:autoSpaceDN w:val="0"/>
        <w:adjustRightInd w:val="0"/>
        <w:spacing w:after="0" w:line="240" w:lineRule="auto"/>
        <w:ind w:firstLine="708"/>
        <w:jc w:val="both"/>
        <w:rPr>
          <w:rFonts w:cs="Courier"/>
        </w:rPr>
      </w:pPr>
      <w:r w:rsidRPr="00790AFF">
        <w:rPr>
          <w:rFonts w:cs="Courier"/>
        </w:rPr>
        <w:t>(</w:t>
      </w:r>
      <w:proofErr w:type="spellStart"/>
      <w:r w:rsidRPr="00790AFF">
        <w:rPr>
          <w:rFonts w:cs="Courier"/>
        </w:rPr>
        <w:t>i</w:t>
      </w:r>
      <w:proofErr w:type="spellEnd"/>
      <w:r w:rsidRPr="00790AFF">
        <w:rPr>
          <w:rFonts w:cs="Courier"/>
        </w:rPr>
        <w:t>) Maintaining civil law and order, including establishing local police</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forces and meanwhile through the deployment of international police personnel to</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serve in Kosovo;</w:t>
      </w:r>
    </w:p>
    <w:p w:rsidR="00073EC6" w:rsidRPr="00790AFF" w:rsidRDefault="00073EC6" w:rsidP="00073EC6">
      <w:pPr>
        <w:autoSpaceDE w:val="0"/>
        <w:autoSpaceDN w:val="0"/>
        <w:adjustRightInd w:val="0"/>
        <w:spacing w:after="0" w:line="240" w:lineRule="auto"/>
        <w:ind w:firstLine="708"/>
        <w:jc w:val="both"/>
        <w:rPr>
          <w:rFonts w:cs="Courier"/>
        </w:rPr>
      </w:pPr>
      <w:r w:rsidRPr="00790AFF">
        <w:rPr>
          <w:rFonts w:cs="Courier"/>
        </w:rPr>
        <w:t>(j) Protecting and promoting human rights;</w:t>
      </w:r>
    </w:p>
    <w:p w:rsidR="00073EC6" w:rsidRPr="00790AFF" w:rsidRDefault="00073EC6" w:rsidP="00073EC6">
      <w:pPr>
        <w:autoSpaceDE w:val="0"/>
        <w:autoSpaceDN w:val="0"/>
        <w:adjustRightInd w:val="0"/>
        <w:spacing w:after="0" w:line="240" w:lineRule="auto"/>
        <w:ind w:firstLine="708"/>
        <w:jc w:val="both"/>
        <w:rPr>
          <w:rFonts w:cs="Courier"/>
        </w:rPr>
      </w:pPr>
      <w:r w:rsidRPr="00790AFF">
        <w:rPr>
          <w:rFonts w:cs="Courier"/>
        </w:rPr>
        <w:t>(k) Assuring the safe and unimpeded return of all refugees and displaced</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persons to their homes in Kosovo;</w:t>
      </w:r>
    </w:p>
    <w:p w:rsidR="00073EC6" w:rsidRPr="00790AFF" w:rsidRDefault="00073EC6" w:rsidP="00073EC6">
      <w:pPr>
        <w:autoSpaceDE w:val="0"/>
        <w:autoSpaceDN w:val="0"/>
        <w:adjustRightInd w:val="0"/>
        <w:spacing w:after="0" w:line="240" w:lineRule="auto"/>
        <w:jc w:val="both"/>
        <w:rPr>
          <w:rFonts w:cs="Courier"/>
        </w:rPr>
      </w:pP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12. Emphasizes the need for coordinated humanitarian relief operations,</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and for the Federal Republic of Yugoslavia to allow unimpeded access to Kosovo</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by humanitarian aid organizations and to cooperate with such organizations so as</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to ensure the fast and effective delivery of international aid;</w:t>
      </w:r>
    </w:p>
    <w:p w:rsidR="00073EC6" w:rsidRPr="00790AFF" w:rsidRDefault="00073EC6" w:rsidP="00073EC6">
      <w:pPr>
        <w:autoSpaceDE w:val="0"/>
        <w:autoSpaceDN w:val="0"/>
        <w:adjustRightInd w:val="0"/>
        <w:spacing w:after="0" w:line="240" w:lineRule="auto"/>
        <w:jc w:val="both"/>
        <w:rPr>
          <w:rFonts w:cs="Courier"/>
        </w:rPr>
      </w:pP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13. Encourages all Member States and international organizations to</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contribute to economic and social reconstruction as well as to the safe return</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of refugees and displaced persons, and emphasizes in this context the importance</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of convening an international donors’ conference, particularly for the purposes</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set out in paragraph 11 (g) above, at the earliest possible date;</w:t>
      </w:r>
    </w:p>
    <w:p w:rsidR="00073EC6" w:rsidRPr="00790AFF" w:rsidRDefault="00073EC6" w:rsidP="00073EC6">
      <w:pPr>
        <w:autoSpaceDE w:val="0"/>
        <w:autoSpaceDN w:val="0"/>
        <w:adjustRightInd w:val="0"/>
        <w:spacing w:after="0" w:line="240" w:lineRule="auto"/>
        <w:jc w:val="both"/>
        <w:rPr>
          <w:rFonts w:cs="Courier"/>
        </w:rPr>
      </w:pP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14. Demands full cooperation by all concerned, including the international</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security presence, with the International Tribunal for the Former Yugoslavia;</w:t>
      </w:r>
    </w:p>
    <w:p w:rsidR="00073EC6" w:rsidRPr="00790AFF" w:rsidRDefault="00073EC6" w:rsidP="00073EC6">
      <w:pPr>
        <w:autoSpaceDE w:val="0"/>
        <w:autoSpaceDN w:val="0"/>
        <w:adjustRightInd w:val="0"/>
        <w:spacing w:after="0" w:line="240" w:lineRule="auto"/>
        <w:jc w:val="both"/>
        <w:rPr>
          <w:rFonts w:cs="Courier"/>
        </w:rPr>
      </w:pP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15. Demands that the KLA and other armed Kosovo Albanian groups end</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immediately all offensive actions and comply with the requirements for</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demilitarization as laid down by the head of the international security presence</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in consultation with the Special Representative of the Secretary-General;</w:t>
      </w:r>
    </w:p>
    <w:p w:rsidR="00073EC6" w:rsidRPr="00790AFF" w:rsidRDefault="00073EC6" w:rsidP="00073EC6">
      <w:pPr>
        <w:autoSpaceDE w:val="0"/>
        <w:autoSpaceDN w:val="0"/>
        <w:adjustRightInd w:val="0"/>
        <w:spacing w:after="0" w:line="240" w:lineRule="auto"/>
        <w:jc w:val="both"/>
        <w:rPr>
          <w:rFonts w:cs="Courier"/>
        </w:rPr>
      </w:pP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16. Decides that the prohibitions imposed by paragraph 8 of resolution</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 xml:space="preserve">1160 (1998) shall not apply to arms and related </w:t>
      </w:r>
      <w:proofErr w:type="spellStart"/>
      <w:r w:rsidRPr="00790AFF">
        <w:rPr>
          <w:rFonts w:cs="Courier"/>
        </w:rPr>
        <w:t>matériel</w:t>
      </w:r>
      <w:proofErr w:type="spellEnd"/>
      <w:r w:rsidRPr="00790AFF">
        <w:rPr>
          <w:rFonts w:cs="Courier"/>
        </w:rPr>
        <w:t xml:space="preserve"> for the use of the</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international civil and security presences;</w:t>
      </w:r>
    </w:p>
    <w:p w:rsidR="00073EC6" w:rsidRPr="00790AFF" w:rsidRDefault="00073EC6" w:rsidP="00073EC6">
      <w:pPr>
        <w:autoSpaceDE w:val="0"/>
        <w:autoSpaceDN w:val="0"/>
        <w:adjustRightInd w:val="0"/>
        <w:spacing w:after="0" w:line="240" w:lineRule="auto"/>
        <w:jc w:val="both"/>
        <w:rPr>
          <w:rFonts w:cs="Courier"/>
        </w:rPr>
      </w:pP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S/RES/1244 (1999)</w:t>
      </w:r>
    </w:p>
    <w:p w:rsidR="00073EC6" w:rsidRPr="00790AFF" w:rsidRDefault="00073EC6" w:rsidP="00073EC6">
      <w:pPr>
        <w:autoSpaceDE w:val="0"/>
        <w:autoSpaceDN w:val="0"/>
        <w:adjustRightInd w:val="0"/>
        <w:spacing w:after="0" w:line="240" w:lineRule="auto"/>
        <w:jc w:val="both"/>
        <w:rPr>
          <w:rFonts w:cs="Courier"/>
        </w:rPr>
      </w:pP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17. Welcomes the work in hand in the European Union and other</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international organizations to develop a comprehensive approach to the economic</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lastRenderedPageBreak/>
        <w:t>development and stabilization of the region affected by the Kosovo crisis,</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including the implementation of a Stability Pact for South Eastern Europe with</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broad international participation in order to further the promotion of</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democracy, economic prosperity, stability and regional cooperation;</w:t>
      </w:r>
    </w:p>
    <w:p w:rsidR="00073EC6" w:rsidRPr="00790AFF" w:rsidRDefault="00073EC6" w:rsidP="00073EC6">
      <w:pPr>
        <w:autoSpaceDE w:val="0"/>
        <w:autoSpaceDN w:val="0"/>
        <w:adjustRightInd w:val="0"/>
        <w:spacing w:after="0" w:line="240" w:lineRule="auto"/>
        <w:jc w:val="both"/>
        <w:rPr>
          <w:rFonts w:cs="Courier"/>
        </w:rPr>
      </w:pP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18. Demands that all States in the region cooperate fully in the</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implementation of all aspects of this resolution;</w:t>
      </w:r>
    </w:p>
    <w:p w:rsidR="00073EC6" w:rsidRPr="00790AFF" w:rsidRDefault="00073EC6" w:rsidP="00073EC6">
      <w:pPr>
        <w:autoSpaceDE w:val="0"/>
        <w:autoSpaceDN w:val="0"/>
        <w:adjustRightInd w:val="0"/>
        <w:spacing w:after="0" w:line="240" w:lineRule="auto"/>
        <w:jc w:val="both"/>
        <w:rPr>
          <w:rFonts w:cs="Courier"/>
        </w:rPr>
      </w:pP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19. Decides that the international civil and security presences are</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established for an initial period of 12 months, to continue thereafter unless</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the Security Council decides otherwise;</w:t>
      </w:r>
    </w:p>
    <w:p w:rsidR="00073EC6" w:rsidRPr="00790AFF" w:rsidRDefault="00073EC6" w:rsidP="00073EC6">
      <w:pPr>
        <w:autoSpaceDE w:val="0"/>
        <w:autoSpaceDN w:val="0"/>
        <w:adjustRightInd w:val="0"/>
        <w:spacing w:after="0" w:line="240" w:lineRule="auto"/>
        <w:jc w:val="both"/>
        <w:rPr>
          <w:rFonts w:cs="Courier"/>
        </w:rPr>
      </w:pP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20. Requests the Secretary-General to report to the Council at regular</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intervals on the implementation of this resolution, including reports from the</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leaderships of the international civil and security presences, the first reports</w:t>
      </w:r>
    </w:p>
    <w:p w:rsidR="00073EC6" w:rsidRPr="00790AFF" w:rsidRDefault="00073EC6" w:rsidP="00073EC6">
      <w:pPr>
        <w:autoSpaceDE w:val="0"/>
        <w:autoSpaceDN w:val="0"/>
        <w:adjustRightInd w:val="0"/>
        <w:spacing w:after="0" w:line="240" w:lineRule="auto"/>
        <w:jc w:val="both"/>
        <w:rPr>
          <w:rFonts w:cs="Courier"/>
        </w:rPr>
      </w:pPr>
      <w:r w:rsidRPr="00790AFF">
        <w:rPr>
          <w:rFonts w:cs="Courier"/>
        </w:rPr>
        <w:t>to be submitted within 30 days of the adoption of this resolution;</w:t>
      </w:r>
    </w:p>
    <w:p w:rsidR="00073EC6" w:rsidRPr="00790AFF" w:rsidRDefault="00073EC6" w:rsidP="00073EC6">
      <w:pPr>
        <w:autoSpaceDE w:val="0"/>
        <w:autoSpaceDN w:val="0"/>
        <w:adjustRightInd w:val="0"/>
        <w:spacing w:after="0" w:line="240" w:lineRule="auto"/>
        <w:jc w:val="both"/>
        <w:rPr>
          <w:rFonts w:cs="Courier"/>
        </w:rPr>
      </w:pPr>
    </w:p>
    <w:p w:rsidR="00335457" w:rsidRPr="003742EE" w:rsidRDefault="00073EC6" w:rsidP="00073EC6">
      <w:pPr>
        <w:jc w:val="both"/>
      </w:pPr>
      <w:r w:rsidRPr="00790AFF">
        <w:rPr>
          <w:rFonts w:cs="Courier"/>
        </w:rPr>
        <w:t>21. Decides to remain actively seized of the matter.</w:t>
      </w:r>
    </w:p>
    <w:sectPr w:rsidR="00335457" w:rsidRPr="003742EE" w:rsidSect="00EC54E3">
      <w:footerReference w:type="default" r:id="rId43"/>
      <w:type w:val="continuous"/>
      <w:pgSz w:w="11906" w:h="16838"/>
      <w:pgMar w:top="1417" w:right="1417" w:bottom="1417" w:left="1417"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D28E2" w:rsidRDefault="003D28E2" w:rsidP="009A603A">
      <w:pPr>
        <w:spacing w:after="0" w:line="240" w:lineRule="auto"/>
      </w:pPr>
      <w:r>
        <w:separator/>
      </w:r>
    </w:p>
  </w:endnote>
  <w:endnote w:type="continuationSeparator" w:id="0">
    <w:p w:rsidR="003D28E2" w:rsidRDefault="003D28E2" w:rsidP="009A603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TimesNew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10AF9" w:rsidRDefault="00610AF9">
    <w:pPr>
      <w:pStyle w:val="Voettekst"/>
    </w:pPr>
  </w:p>
  <w:p w:rsidR="00610AF9" w:rsidRPr="009A4848" w:rsidRDefault="00610AF9" w:rsidP="009A4848">
    <w:pPr>
      <w:pStyle w:val="Voetteks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14530268"/>
      <w:docPartObj>
        <w:docPartGallery w:val="Page Numbers (Bottom of Page)"/>
        <w:docPartUnique/>
      </w:docPartObj>
    </w:sdtPr>
    <w:sdtEndPr/>
    <w:sdtContent>
      <w:p w:rsidR="001477E6" w:rsidRDefault="001477E6" w:rsidP="009A4848">
        <w:pPr>
          <w:pStyle w:val="Voettekst"/>
        </w:pPr>
      </w:p>
      <w:p w:rsidR="00610AF9" w:rsidRPr="009A4848" w:rsidRDefault="001477E6" w:rsidP="009A4848">
        <w:pPr>
          <w:pStyle w:val="Voettekst"/>
        </w:pPr>
        <w:r>
          <w:rPr>
            <w:noProof/>
            <w:lang w:val="nl-NL" w:eastAsia="nl-NL"/>
          </w:rPr>
          <mc:AlternateContent>
            <mc:Choice Requires="wps">
              <w:drawing>
                <wp:anchor distT="0" distB="0" distL="114300" distR="114300" simplePos="0" relativeHeight="251659264" behindDoc="0" locked="0" layoutInCell="1" allowOverlap="1" wp14:editId="03F126F3">
                  <wp:simplePos x="0" y="0"/>
                  <wp:positionH relativeFrom="leftMargin">
                    <wp:align>center</wp:align>
                  </wp:positionH>
                  <wp:positionV relativeFrom="bottomMargin">
                    <wp:align>center</wp:align>
                  </wp:positionV>
                  <wp:extent cx="565785" cy="191770"/>
                  <wp:effectExtent l="0" t="0" r="0" b="0"/>
                  <wp:wrapNone/>
                  <wp:docPr id="649" name="Rechthoek 6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flipH="1">
                            <a:off x="0" y="0"/>
                            <a:ext cx="565785" cy="191770"/>
                          </a:xfrm>
                          <a:prstGeom prst="rect">
                            <a:avLst/>
                          </a:prstGeom>
                          <a:noFill/>
                          <a:extLst>
                            <a:ext uri="{909E8E84-426E-40DD-AFC4-6F175D3DCCD1}">
                              <a14:hiddenFill xmlns:a14="http://schemas.microsoft.com/office/drawing/2010/main">
                                <a:solidFill>
                                  <a:srgbClr val="C0504D"/>
                                </a:solidFill>
                              </a14:hiddenFill>
                            </a:ext>
                            <a:ext uri="{91240B29-F687-4F45-9708-019B960494DF}">
                              <a14:hiddenLine xmlns:a14="http://schemas.microsoft.com/office/drawing/2010/main" w="28575">
                                <a:solidFill>
                                  <a:srgbClr val="5C83B4"/>
                                </a:solidFill>
                                <a:miter lim="800000"/>
                                <a:headEnd/>
                                <a:tailEnd/>
                              </a14:hiddenLine>
                            </a:ext>
                          </a:extLst>
                        </wps:spPr>
                        <wps:txbx>
                          <w:txbxContent>
                            <w:p w:rsidR="001477E6" w:rsidRDefault="001477E6">
                              <w:pPr>
                                <w:pBdr>
                                  <w:top w:val="single" w:sz="4" w:space="1" w:color="7F7F7F" w:themeColor="background1" w:themeShade="7F"/>
                                </w:pBdr>
                                <w:jc w:val="center"/>
                                <w:rPr>
                                  <w:color w:val="C0504D" w:themeColor="accent2"/>
                                </w:rPr>
                              </w:pPr>
                              <w:r>
                                <w:fldChar w:fldCharType="begin"/>
                              </w:r>
                              <w:r>
                                <w:instrText>PAGE   \* MERGEFORMAT</w:instrText>
                              </w:r>
                              <w:r>
                                <w:fldChar w:fldCharType="separate"/>
                              </w:r>
                              <w:r w:rsidR="008A11FA" w:rsidRPr="008A11FA">
                                <w:rPr>
                                  <w:noProof/>
                                  <w:color w:val="C0504D" w:themeColor="accent2"/>
                                  <w:lang w:val="nl-NL"/>
                                </w:rPr>
                                <w:t>38</w:t>
                              </w:r>
                              <w:r>
                                <w:rPr>
                                  <w:color w:val="C0504D" w:themeColor="accent2"/>
                                </w:rPr>
                                <w:fldChar w:fldCharType="end"/>
                              </w:r>
                            </w:p>
                          </w:txbxContent>
                        </wps:txbx>
                        <wps:bodyPr rot="0" vert="horz" wrap="square" lIns="91440" tIns="0" rIns="91440" bIns="0" anchor="t" anchorCtr="0" upright="1">
                          <a:noAutofit/>
                        </wps:bodyPr>
                      </wps:wsp>
                    </a:graphicData>
                  </a:graphic>
                  <wp14:sizeRelH relativeFrom="page">
                    <wp14:pctWidth>0</wp14:pctWidth>
                  </wp14:sizeRelH>
                  <wp14:sizeRelV relativeFrom="bottomMargin">
                    <wp14:pctHeight>0</wp14:pctHeight>
                  </wp14:sizeRelV>
                </wp:anchor>
              </w:drawing>
            </mc:Choice>
            <mc:Fallback>
              <w:pict>
                <v:rect id="Rechthoek 649" o:spid="_x0000_s1027" style="position:absolute;margin-left:0;margin-top:0;width:44.55pt;height:15.1pt;rotation:180;flip:x;z-index:251659264;visibility:visible;mso-wrap-style:square;mso-width-percent:0;mso-height-percent:0;mso-wrap-distance-left:9pt;mso-wrap-distance-top:0;mso-wrap-distance-right:9pt;mso-wrap-distance-bottom:0;mso-position-horizontal:center;mso-position-horizontal-relative:left-margin-area;mso-position-vertical:center;mso-position-vertical-relative:bottom-margin-area;mso-width-percent:0;mso-height-percent:0;mso-width-relative:page;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" filled="f" fillcolor="#c0504d" stroked="f" strokecolor="#5c83b4" strokeweight="2.25pt">
                  <v:textbox inset=",0,,0">
                    <w:txbxContent>
                      <w:p w:rsidR="001477E6" w:rsidRDefault="001477E6">
                        <w:pPr>
                          <w:pBdr>
                            <w:top w:val="single" w:sz="4" w:space="1" w:color="7F7F7F" w:themeColor="background1" w:themeShade="7F"/>
                          </w:pBdr>
                          <w:jc w:val="center"/>
                          <w:rPr>
                            <w:color w:val="C0504D" w:themeColor="accent2"/>
                          </w:rPr>
                        </w:pPr>
                        <w:r>
                          <w:fldChar w:fldCharType="begin"/>
                        </w:r>
                        <w:r>
                          <w:instrText>PAGE   \* MERGEFORMAT</w:instrText>
                        </w:r>
                        <w:r>
                          <w:fldChar w:fldCharType="separate"/>
                        </w:r>
                        <w:r w:rsidR="008A11FA" w:rsidRPr="008A11FA">
                          <w:rPr>
                            <w:noProof/>
                            <w:color w:val="C0504D" w:themeColor="accent2"/>
                            <w:lang w:val="nl-NL"/>
                          </w:rPr>
                          <w:t>38</w:t>
                        </w:r>
                        <w:r>
                          <w:rPr>
                            <w:color w:val="C0504D" w:themeColor="accent2"/>
                          </w:rPr>
                          <w:fldChar w:fldCharType="end"/>
                        </w:r>
                      </w:p>
                    </w:txbxContent>
                  </v:textbox>
                  <w10:wrap anchorx="margin" anchory="margin"/>
                </v:rect>
              </w:pict>
            </mc:Fallback>
          </mc:AlternateConten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D28E2" w:rsidRDefault="003D28E2" w:rsidP="009A603A">
      <w:pPr>
        <w:spacing w:after="0" w:line="240" w:lineRule="auto"/>
      </w:pPr>
      <w:r>
        <w:separator/>
      </w:r>
    </w:p>
  </w:footnote>
  <w:footnote w:type="continuationSeparator" w:id="0">
    <w:p w:rsidR="003D28E2" w:rsidRDefault="003D28E2" w:rsidP="009A603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E51D8F"/>
    <w:multiLevelType w:val="hybridMultilevel"/>
    <w:tmpl w:val="733AE8E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nsid w:val="1F8204C9"/>
    <w:multiLevelType w:val="hybridMultilevel"/>
    <w:tmpl w:val="CB2A7F02"/>
    <w:lvl w:ilvl="0" w:tplc="E78693E8">
      <w:start w:val="8"/>
      <w:numFmt w:val="bullet"/>
      <w:lvlText w:val="-"/>
      <w:lvlJc w:val="left"/>
      <w:pPr>
        <w:ind w:left="720" w:hanging="360"/>
      </w:pPr>
      <w:rPr>
        <w:rFonts w:ascii="Calibri" w:eastAsiaTheme="minorHAnsi" w:hAnsi="Calibri" w:cstheme="minorBidi"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nsid w:val="26134FA7"/>
    <w:multiLevelType w:val="hybridMultilevel"/>
    <w:tmpl w:val="1376D86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nsid w:val="3A0E6403"/>
    <w:multiLevelType w:val="hybridMultilevel"/>
    <w:tmpl w:val="0BA0701A"/>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nsid w:val="65536CD4"/>
    <w:multiLevelType w:val="hybridMultilevel"/>
    <w:tmpl w:val="94365CA6"/>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nsid w:val="6FE86B22"/>
    <w:multiLevelType w:val="hybridMultilevel"/>
    <w:tmpl w:val="666A8B6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nsid w:val="7E7C3205"/>
    <w:multiLevelType w:val="hybridMultilevel"/>
    <w:tmpl w:val="18408FF4"/>
    <w:lvl w:ilvl="0" w:tplc="97BA6AAE">
      <w:start w:val="6525"/>
      <w:numFmt w:val="bullet"/>
      <w:lvlText w:val=""/>
      <w:lvlJc w:val="left"/>
      <w:pPr>
        <w:ind w:left="720" w:hanging="360"/>
      </w:pPr>
      <w:rPr>
        <w:rFonts w:ascii="Symbol" w:eastAsiaTheme="minorHAnsi" w:hAnsi="Symbol"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abstractNumId w:val="5"/>
  </w:num>
  <w:num w:numId="2">
    <w:abstractNumId w:val="0"/>
  </w:num>
  <w:num w:numId="3">
    <w:abstractNumId w:val="3"/>
  </w:num>
  <w:num w:numId="4">
    <w:abstractNumId w:val="2"/>
  </w:num>
  <w:num w:numId="5">
    <w:abstractNumId w:val="4"/>
  </w:num>
  <w:num w:numId="6">
    <w:abstractNumId w:val="1"/>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15816"/>
    <w:rsid w:val="00004360"/>
    <w:rsid w:val="00011AB0"/>
    <w:rsid w:val="00026460"/>
    <w:rsid w:val="00026E23"/>
    <w:rsid w:val="00047A8E"/>
    <w:rsid w:val="000639BC"/>
    <w:rsid w:val="00067355"/>
    <w:rsid w:val="00070B6D"/>
    <w:rsid w:val="000735D1"/>
    <w:rsid w:val="00073EC6"/>
    <w:rsid w:val="00075DA3"/>
    <w:rsid w:val="0007620C"/>
    <w:rsid w:val="000979AB"/>
    <w:rsid w:val="000A15D2"/>
    <w:rsid w:val="000A3A87"/>
    <w:rsid w:val="000B4EFA"/>
    <w:rsid w:val="000C1190"/>
    <w:rsid w:val="000C3381"/>
    <w:rsid w:val="000C49A4"/>
    <w:rsid w:val="000D14D8"/>
    <w:rsid w:val="000D2086"/>
    <w:rsid w:val="000D62E1"/>
    <w:rsid w:val="000E51CA"/>
    <w:rsid w:val="000F5676"/>
    <w:rsid w:val="001015CE"/>
    <w:rsid w:val="0011455D"/>
    <w:rsid w:val="00120FB6"/>
    <w:rsid w:val="00133460"/>
    <w:rsid w:val="001477E6"/>
    <w:rsid w:val="001651E6"/>
    <w:rsid w:val="001676BE"/>
    <w:rsid w:val="0017587A"/>
    <w:rsid w:val="001851A2"/>
    <w:rsid w:val="00186EC9"/>
    <w:rsid w:val="0019288B"/>
    <w:rsid w:val="00197EBC"/>
    <w:rsid w:val="001B1CBC"/>
    <w:rsid w:val="001C1B47"/>
    <w:rsid w:val="001C1C40"/>
    <w:rsid w:val="001C259D"/>
    <w:rsid w:val="001C6B9C"/>
    <w:rsid w:val="001D298F"/>
    <w:rsid w:val="001E56B5"/>
    <w:rsid w:val="001E5C0C"/>
    <w:rsid w:val="001E666E"/>
    <w:rsid w:val="001F2D9B"/>
    <w:rsid w:val="00200B1E"/>
    <w:rsid w:val="00206926"/>
    <w:rsid w:val="002078EF"/>
    <w:rsid w:val="00210B10"/>
    <w:rsid w:val="0022217F"/>
    <w:rsid w:val="002348E8"/>
    <w:rsid w:val="00234989"/>
    <w:rsid w:val="00234DEB"/>
    <w:rsid w:val="00236532"/>
    <w:rsid w:val="00241C9F"/>
    <w:rsid w:val="00244756"/>
    <w:rsid w:val="00253778"/>
    <w:rsid w:val="00263E52"/>
    <w:rsid w:val="00275732"/>
    <w:rsid w:val="00280B13"/>
    <w:rsid w:val="00284029"/>
    <w:rsid w:val="002955F9"/>
    <w:rsid w:val="002A291E"/>
    <w:rsid w:val="002A5E0E"/>
    <w:rsid w:val="002B0ABF"/>
    <w:rsid w:val="002C7BB5"/>
    <w:rsid w:val="002D128F"/>
    <w:rsid w:val="002D246B"/>
    <w:rsid w:val="002F34FF"/>
    <w:rsid w:val="002F6996"/>
    <w:rsid w:val="00307C0C"/>
    <w:rsid w:val="00317D68"/>
    <w:rsid w:val="00327652"/>
    <w:rsid w:val="00335457"/>
    <w:rsid w:val="00343B65"/>
    <w:rsid w:val="00362664"/>
    <w:rsid w:val="003647D5"/>
    <w:rsid w:val="00366F6E"/>
    <w:rsid w:val="003742EE"/>
    <w:rsid w:val="003778BF"/>
    <w:rsid w:val="00391803"/>
    <w:rsid w:val="0039197B"/>
    <w:rsid w:val="00392300"/>
    <w:rsid w:val="003B61A9"/>
    <w:rsid w:val="003C09D5"/>
    <w:rsid w:val="003C42A1"/>
    <w:rsid w:val="003C7960"/>
    <w:rsid w:val="003D28E2"/>
    <w:rsid w:val="003D376D"/>
    <w:rsid w:val="003E3D6A"/>
    <w:rsid w:val="003E5279"/>
    <w:rsid w:val="003F0001"/>
    <w:rsid w:val="003F2C26"/>
    <w:rsid w:val="0040290B"/>
    <w:rsid w:val="00420BA6"/>
    <w:rsid w:val="0042164F"/>
    <w:rsid w:val="004243FF"/>
    <w:rsid w:val="00430679"/>
    <w:rsid w:val="004512B0"/>
    <w:rsid w:val="00462E6F"/>
    <w:rsid w:val="00467BF5"/>
    <w:rsid w:val="00473A8F"/>
    <w:rsid w:val="004769DB"/>
    <w:rsid w:val="00480383"/>
    <w:rsid w:val="004828D6"/>
    <w:rsid w:val="004834F7"/>
    <w:rsid w:val="004A0434"/>
    <w:rsid w:val="004A0CAE"/>
    <w:rsid w:val="004A42C9"/>
    <w:rsid w:val="004A6E4B"/>
    <w:rsid w:val="004A788B"/>
    <w:rsid w:val="004B2C46"/>
    <w:rsid w:val="004C06E1"/>
    <w:rsid w:val="004C212F"/>
    <w:rsid w:val="004C2DDB"/>
    <w:rsid w:val="004E1F8E"/>
    <w:rsid w:val="004F09F0"/>
    <w:rsid w:val="004F7475"/>
    <w:rsid w:val="00503109"/>
    <w:rsid w:val="00510185"/>
    <w:rsid w:val="00510C72"/>
    <w:rsid w:val="0051644F"/>
    <w:rsid w:val="005208C6"/>
    <w:rsid w:val="00526A8C"/>
    <w:rsid w:val="00534E6B"/>
    <w:rsid w:val="00535248"/>
    <w:rsid w:val="0053751F"/>
    <w:rsid w:val="00543C59"/>
    <w:rsid w:val="00555471"/>
    <w:rsid w:val="00556EF6"/>
    <w:rsid w:val="00557F72"/>
    <w:rsid w:val="00574208"/>
    <w:rsid w:val="00596A77"/>
    <w:rsid w:val="005A456B"/>
    <w:rsid w:val="005B105D"/>
    <w:rsid w:val="005D1A78"/>
    <w:rsid w:val="005D225F"/>
    <w:rsid w:val="005D3FB9"/>
    <w:rsid w:val="005D6966"/>
    <w:rsid w:val="005D6F5E"/>
    <w:rsid w:val="005F4399"/>
    <w:rsid w:val="00610AF9"/>
    <w:rsid w:val="006335A5"/>
    <w:rsid w:val="00633887"/>
    <w:rsid w:val="00634BD9"/>
    <w:rsid w:val="006501BB"/>
    <w:rsid w:val="00654EF4"/>
    <w:rsid w:val="006610AC"/>
    <w:rsid w:val="00661E51"/>
    <w:rsid w:val="00665AC9"/>
    <w:rsid w:val="00665B96"/>
    <w:rsid w:val="00670B43"/>
    <w:rsid w:val="00670D6C"/>
    <w:rsid w:val="006746F8"/>
    <w:rsid w:val="006909AA"/>
    <w:rsid w:val="006A1CD7"/>
    <w:rsid w:val="006A3B53"/>
    <w:rsid w:val="006A408E"/>
    <w:rsid w:val="006A7D54"/>
    <w:rsid w:val="006C0C24"/>
    <w:rsid w:val="006C5EDA"/>
    <w:rsid w:val="006D045C"/>
    <w:rsid w:val="006D36E7"/>
    <w:rsid w:val="006E1F1D"/>
    <w:rsid w:val="006E2C51"/>
    <w:rsid w:val="006E3EE1"/>
    <w:rsid w:val="006F11F2"/>
    <w:rsid w:val="00704515"/>
    <w:rsid w:val="00707EE5"/>
    <w:rsid w:val="0071071E"/>
    <w:rsid w:val="00712475"/>
    <w:rsid w:val="00715B5F"/>
    <w:rsid w:val="00726925"/>
    <w:rsid w:val="007319EA"/>
    <w:rsid w:val="00731DBA"/>
    <w:rsid w:val="00740882"/>
    <w:rsid w:val="0075463F"/>
    <w:rsid w:val="00754CCE"/>
    <w:rsid w:val="00756005"/>
    <w:rsid w:val="00757CE0"/>
    <w:rsid w:val="00761936"/>
    <w:rsid w:val="007668DC"/>
    <w:rsid w:val="00770C55"/>
    <w:rsid w:val="00771F38"/>
    <w:rsid w:val="00790AFF"/>
    <w:rsid w:val="00794DD5"/>
    <w:rsid w:val="00795839"/>
    <w:rsid w:val="007A00CE"/>
    <w:rsid w:val="007A170D"/>
    <w:rsid w:val="007A43F7"/>
    <w:rsid w:val="007A5045"/>
    <w:rsid w:val="007B754F"/>
    <w:rsid w:val="007B7B03"/>
    <w:rsid w:val="007C7FC2"/>
    <w:rsid w:val="007D30CC"/>
    <w:rsid w:val="00812AAA"/>
    <w:rsid w:val="008227A3"/>
    <w:rsid w:val="0083385E"/>
    <w:rsid w:val="008355DB"/>
    <w:rsid w:val="00846312"/>
    <w:rsid w:val="00870A38"/>
    <w:rsid w:val="0087241E"/>
    <w:rsid w:val="00872C76"/>
    <w:rsid w:val="00872EA8"/>
    <w:rsid w:val="00886152"/>
    <w:rsid w:val="008936BA"/>
    <w:rsid w:val="00894E10"/>
    <w:rsid w:val="008A11FA"/>
    <w:rsid w:val="008C1257"/>
    <w:rsid w:val="008C6ED3"/>
    <w:rsid w:val="008D07C8"/>
    <w:rsid w:val="008E3E43"/>
    <w:rsid w:val="008F68B5"/>
    <w:rsid w:val="0090153B"/>
    <w:rsid w:val="00926E40"/>
    <w:rsid w:val="00930FA0"/>
    <w:rsid w:val="00944074"/>
    <w:rsid w:val="00946416"/>
    <w:rsid w:val="00947D29"/>
    <w:rsid w:val="0095091D"/>
    <w:rsid w:val="00954F9F"/>
    <w:rsid w:val="009559B7"/>
    <w:rsid w:val="00967513"/>
    <w:rsid w:val="00973D36"/>
    <w:rsid w:val="00976096"/>
    <w:rsid w:val="009812E4"/>
    <w:rsid w:val="00986FA9"/>
    <w:rsid w:val="009A2700"/>
    <w:rsid w:val="009A4848"/>
    <w:rsid w:val="009A603A"/>
    <w:rsid w:val="009A6474"/>
    <w:rsid w:val="009A7F52"/>
    <w:rsid w:val="009B7028"/>
    <w:rsid w:val="009C36F6"/>
    <w:rsid w:val="009E2668"/>
    <w:rsid w:val="009F31AF"/>
    <w:rsid w:val="009F3AAB"/>
    <w:rsid w:val="009F4C70"/>
    <w:rsid w:val="009F4CC3"/>
    <w:rsid w:val="009F6AB8"/>
    <w:rsid w:val="009F6EC9"/>
    <w:rsid w:val="00A0197D"/>
    <w:rsid w:val="00A053FA"/>
    <w:rsid w:val="00A05DFA"/>
    <w:rsid w:val="00A15913"/>
    <w:rsid w:val="00A22779"/>
    <w:rsid w:val="00A22AB2"/>
    <w:rsid w:val="00A5434C"/>
    <w:rsid w:val="00A60EAC"/>
    <w:rsid w:val="00A61E4C"/>
    <w:rsid w:val="00A726FD"/>
    <w:rsid w:val="00A803B1"/>
    <w:rsid w:val="00A86CBB"/>
    <w:rsid w:val="00A87D7B"/>
    <w:rsid w:val="00A901F7"/>
    <w:rsid w:val="00A91CCB"/>
    <w:rsid w:val="00A9573C"/>
    <w:rsid w:val="00AA1F10"/>
    <w:rsid w:val="00AB226F"/>
    <w:rsid w:val="00AD1757"/>
    <w:rsid w:val="00AD6812"/>
    <w:rsid w:val="00AD7352"/>
    <w:rsid w:val="00AF00EF"/>
    <w:rsid w:val="00AF2C33"/>
    <w:rsid w:val="00AF3055"/>
    <w:rsid w:val="00AF4917"/>
    <w:rsid w:val="00AF7488"/>
    <w:rsid w:val="00B033A3"/>
    <w:rsid w:val="00B05AC0"/>
    <w:rsid w:val="00B14673"/>
    <w:rsid w:val="00B14EB6"/>
    <w:rsid w:val="00B21A58"/>
    <w:rsid w:val="00B339FD"/>
    <w:rsid w:val="00B44918"/>
    <w:rsid w:val="00B474CF"/>
    <w:rsid w:val="00B56E99"/>
    <w:rsid w:val="00B66A90"/>
    <w:rsid w:val="00B7287E"/>
    <w:rsid w:val="00B8398F"/>
    <w:rsid w:val="00B91377"/>
    <w:rsid w:val="00B91AEA"/>
    <w:rsid w:val="00BA1A87"/>
    <w:rsid w:val="00BA25CB"/>
    <w:rsid w:val="00BA66CD"/>
    <w:rsid w:val="00BA78DF"/>
    <w:rsid w:val="00BB07CF"/>
    <w:rsid w:val="00BB453F"/>
    <w:rsid w:val="00BB4F37"/>
    <w:rsid w:val="00BC7CB6"/>
    <w:rsid w:val="00BD201E"/>
    <w:rsid w:val="00BD6076"/>
    <w:rsid w:val="00BE04F5"/>
    <w:rsid w:val="00BE4D31"/>
    <w:rsid w:val="00BE698E"/>
    <w:rsid w:val="00BE7E05"/>
    <w:rsid w:val="00C0025C"/>
    <w:rsid w:val="00C007C5"/>
    <w:rsid w:val="00C03D50"/>
    <w:rsid w:val="00C15806"/>
    <w:rsid w:val="00C21FA7"/>
    <w:rsid w:val="00C22F21"/>
    <w:rsid w:val="00C45471"/>
    <w:rsid w:val="00C46BD5"/>
    <w:rsid w:val="00C46EC7"/>
    <w:rsid w:val="00C55594"/>
    <w:rsid w:val="00C744C6"/>
    <w:rsid w:val="00C74A5C"/>
    <w:rsid w:val="00C74A7F"/>
    <w:rsid w:val="00C75640"/>
    <w:rsid w:val="00C8750B"/>
    <w:rsid w:val="00C905D2"/>
    <w:rsid w:val="00C933A3"/>
    <w:rsid w:val="00C96235"/>
    <w:rsid w:val="00C9711B"/>
    <w:rsid w:val="00CA1A35"/>
    <w:rsid w:val="00CA350C"/>
    <w:rsid w:val="00CA3976"/>
    <w:rsid w:val="00CC1D56"/>
    <w:rsid w:val="00CC4F11"/>
    <w:rsid w:val="00CC5EEE"/>
    <w:rsid w:val="00CD13C5"/>
    <w:rsid w:val="00CE54E7"/>
    <w:rsid w:val="00CF31A8"/>
    <w:rsid w:val="00CF372F"/>
    <w:rsid w:val="00CF443F"/>
    <w:rsid w:val="00CF57D4"/>
    <w:rsid w:val="00CF6445"/>
    <w:rsid w:val="00D00EBB"/>
    <w:rsid w:val="00D02737"/>
    <w:rsid w:val="00D02AF5"/>
    <w:rsid w:val="00D04197"/>
    <w:rsid w:val="00D1064B"/>
    <w:rsid w:val="00D15816"/>
    <w:rsid w:val="00D22C8B"/>
    <w:rsid w:val="00D25959"/>
    <w:rsid w:val="00D31E3F"/>
    <w:rsid w:val="00D32727"/>
    <w:rsid w:val="00D33124"/>
    <w:rsid w:val="00D423A4"/>
    <w:rsid w:val="00D42EED"/>
    <w:rsid w:val="00D43D13"/>
    <w:rsid w:val="00D47292"/>
    <w:rsid w:val="00D47F65"/>
    <w:rsid w:val="00D553EE"/>
    <w:rsid w:val="00D55FB5"/>
    <w:rsid w:val="00D57C2E"/>
    <w:rsid w:val="00D72873"/>
    <w:rsid w:val="00D73B3A"/>
    <w:rsid w:val="00D81CF3"/>
    <w:rsid w:val="00D82EEA"/>
    <w:rsid w:val="00D839EA"/>
    <w:rsid w:val="00D84B85"/>
    <w:rsid w:val="00D9013C"/>
    <w:rsid w:val="00D92912"/>
    <w:rsid w:val="00DA35FA"/>
    <w:rsid w:val="00DC160E"/>
    <w:rsid w:val="00DC1D80"/>
    <w:rsid w:val="00DC33D6"/>
    <w:rsid w:val="00DC360C"/>
    <w:rsid w:val="00DC5C3F"/>
    <w:rsid w:val="00DD53C4"/>
    <w:rsid w:val="00DD540C"/>
    <w:rsid w:val="00DD5B02"/>
    <w:rsid w:val="00DE0CC1"/>
    <w:rsid w:val="00DE4BCB"/>
    <w:rsid w:val="00DF7085"/>
    <w:rsid w:val="00E113D5"/>
    <w:rsid w:val="00E211C5"/>
    <w:rsid w:val="00E26EA3"/>
    <w:rsid w:val="00E3350D"/>
    <w:rsid w:val="00E369E0"/>
    <w:rsid w:val="00E4739D"/>
    <w:rsid w:val="00E562E5"/>
    <w:rsid w:val="00E574F7"/>
    <w:rsid w:val="00E7391B"/>
    <w:rsid w:val="00E82256"/>
    <w:rsid w:val="00E90EBE"/>
    <w:rsid w:val="00E90ECB"/>
    <w:rsid w:val="00E94C04"/>
    <w:rsid w:val="00E95EAA"/>
    <w:rsid w:val="00EA123C"/>
    <w:rsid w:val="00EB260C"/>
    <w:rsid w:val="00EB67FF"/>
    <w:rsid w:val="00EB7D4A"/>
    <w:rsid w:val="00EC40D1"/>
    <w:rsid w:val="00EC54E3"/>
    <w:rsid w:val="00ED1211"/>
    <w:rsid w:val="00ED29B2"/>
    <w:rsid w:val="00EE4E38"/>
    <w:rsid w:val="00EF0D92"/>
    <w:rsid w:val="00F03CDD"/>
    <w:rsid w:val="00F0773C"/>
    <w:rsid w:val="00F10BFB"/>
    <w:rsid w:val="00F11CB3"/>
    <w:rsid w:val="00F155C5"/>
    <w:rsid w:val="00F30565"/>
    <w:rsid w:val="00F3399A"/>
    <w:rsid w:val="00F40842"/>
    <w:rsid w:val="00F447A8"/>
    <w:rsid w:val="00F462E0"/>
    <w:rsid w:val="00F53A5F"/>
    <w:rsid w:val="00F740BE"/>
    <w:rsid w:val="00F84E8F"/>
    <w:rsid w:val="00F92627"/>
    <w:rsid w:val="00F94BF8"/>
    <w:rsid w:val="00FB59B0"/>
    <w:rsid w:val="00FD1EBE"/>
    <w:rsid w:val="00FD2BCB"/>
    <w:rsid w:val="00FD35DA"/>
    <w:rsid w:val="00FD4FF9"/>
    <w:rsid w:val="00FD5F86"/>
    <w:rsid w:val="00FE176E"/>
    <w:rsid w:val="00FF270C"/>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rsid w:val="00DD53C4"/>
    <w:rPr>
      <w:lang w:val="en-US"/>
    </w:rPr>
  </w:style>
  <w:style w:type="paragraph" w:styleId="Kop1">
    <w:name w:val="heading 1"/>
    <w:basedOn w:val="Standaard"/>
    <w:next w:val="Standaard"/>
    <w:link w:val="Kop1Char"/>
    <w:uiPriority w:val="9"/>
    <w:qFormat/>
    <w:rsid w:val="00D1581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Kop2">
    <w:name w:val="heading 2"/>
    <w:basedOn w:val="Standaard"/>
    <w:next w:val="Standaard"/>
    <w:link w:val="Kop2Char"/>
    <w:uiPriority w:val="9"/>
    <w:unhideWhenUsed/>
    <w:qFormat/>
    <w:rsid w:val="00D1581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Kop3">
    <w:name w:val="heading 3"/>
    <w:basedOn w:val="Standaard"/>
    <w:next w:val="Standaard"/>
    <w:link w:val="Kop3Char"/>
    <w:uiPriority w:val="9"/>
    <w:unhideWhenUsed/>
    <w:qFormat/>
    <w:rsid w:val="00D15816"/>
    <w:pPr>
      <w:keepNext/>
      <w:keepLines/>
      <w:spacing w:before="200" w:after="0"/>
      <w:outlineLvl w:val="2"/>
    </w:pPr>
    <w:rPr>
      <w:rFonts w:asciiTheme="majorHAnsi" w:eastAsiaTheme="majorEastAsia" w:hAnsiTheme="majorHAnsi" w:cstheme="majorBidi"/>
      <w:b/>
      <w:bCs/>
      <w:color w:val="4F81BD" w:themeColor="accent1"/>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
    <w:rsid w:val="00D15816"/>
    <w:rPr>
      <w:rFonts w:asciiTheme="majorHAnsi" w:eastAsiaTheme="majorEastAsia" w:hAnsiTheme="majorHAnsi" w:cstheme="majorBidi"/>
      <w:b/>
      <w:bCs/>
      <w:color w:val="365F91" w:themeColor="accent1" w:themeShade="BF"/>
      <w:sz w:val="28"/>
      <w:szCs w:val="28"/>
      <w:lang w:val="en-US"/>
    </w:rPr>
  </w:style>
  <w:style w:type="character" w:customStyle="1" w:styleId="Kop2Char">
    <w:name w:val="Kop 2 Char"/>
    <w:basedOn w:val="Standaardalinea-lettertype"/>
    <w:link w:val="Kop2"/>
    <w:uiPriority w:val="9"/>
    <w:rsid w:val="00D15816"/>
    <w:rPr>
      <w:rFonts w:asciiTheme="majorHAnsi" w:eastAsiaTheme="majorEastAsia" w:hAnsiTheme="majorHAnsi" w:cstheme="majorBidi"/>
      <w:b/>
      <w:bCs/>
      <w:color w:val="4F81BD" w:themeColor="accent1"/>
      <w:sz w:val="26"/>
      <w:szCs w:val="26"/>
      <w:lang w:val="en-US"/>
    </w:rPr>
  </w:style>
  <w:style w:type="character" w:customStyle="1" w:styleId="Kop3Char">
    <w:name w:val="Kop 3 Char"/>
    <w:basedOn w:val="Standaardalinea-lettertype"/>
    <w:link w:val="Kop3"/>
    <w:uiPriority w:val="9"/>
    <w:rsid w:val="00D15816"/>
    <w:rPr>
      <w:rFonts w:asciiTheme="majorHAnsi" w:eastAsiaTheme="majorEastAsia" w:hAnsiTheme="majorHAnsi" w:cstheme="majorBidi"/>
      <w:b/>
      <w:bCs/>
      <w:color w:val="4F81BD" w:themeColor="accent1"/>
      <w:lang w:val="en-US"/>
    </w:rPr>
  </w:style>
  <w:style w:type="paragraph" w:styleId="Lijstalinea">
    <w:name w:val="List Paragraph"/>
    <w:basedOn w:val="Standaard"/>
    <w:uiPriority w:val="34"/>
    <w:qFormat/>
    <w:rsid w:val="00D15816"/>
    <w:pPr>
      <w:ind w:left="720"/>
      <w:contextualSpacing/>
    </w:pPr>
  </w:style>
  <w:style w:type="character" w:styleId="Hyperlink">
    <w:name w:val="Hyperlink"/>
    <w:basedOn w:val="Standaardalinea-lettertype"/>
    <w:uiPriority w:val="99"/>
    <w:unhideWhenUsed/>
    <w:rsid w:val="00D15816"/>
    <w:rPr>
      <w:color w:val="0000FF" w:themeColor="hyperlink"/>
      <w:u w:val="single"/>
    </w:rPr>
  </w:style>
  <w:style w:type="character" w:customStyle="1" w:styleId="apple-converted-space">
    <w:name w:val="apple-converted-space"/>
    <w:basedOn w:val="Standaardalinea-lettertype"/>
    <w:rsid w:val="00D15816"/>
  </w:style>
  <w:style w:type="paragraph" w:styleId="Kopvaninhoudsopgave">
    <w:name w:val="TOC Heading"/>
    <w:basedOn w:val="Kop1"/>
    <w:next w:val="Standaard"/>
    <w:uiPriority w:val="39"/>
    <w:semiHidden/>
    <w:unhideWhenUsed/>
    <w:qFormat/>
    <w:rsid w:val="00236532"/>
    <w:pPr>
      <w:outlineLvl w:val="9"/>
    </w:pPr>
    <w:rPr>
      <w:lang w:val="nl-NL" w:eastAsia="nl-NL"/>
    </w:rPr>
  </w:style>
  <w:style w:type="paragraph" w:styleId="Inhopg1">
    <w:name w:val="toc 1"/>
    <w:basedOn w:val="Standaard"/>
    <w:next w:val="Standaard"/>
    <w:autoRedefine/>
    <w:uiPriority w:val="39"/>
    <w:unhideWhenUsed/>
    <w:rsid w:val="00236532"/>
    <w:pPr>
      <w:spacing w:after="100"/>
    </w:pPr>
  </w:style>
  <w:style w:type="paragraph" w:styleId="Inhopg2">
    <w:name w:val="toc 2"/>
    <w:basedOn w:val="Standaard"/>
    <w:next w:val="Standaard"/>
    <w:autoRedefine/>
    <w:uiPriority w:val="39"/>
    <w:unhideWhenUsed/>
    <w:rsid w:val="00236532"/>
    <w:pPr>
      <w:spacing w:after="100"/>
      <w:ind w:left="220"/>
    </w:pPr>
  </w:style>
  <w:style w:type="paragraph" w:styleId="Inhopg3">
    <w:name w:val="toc 3"/>
    <w:basedOn w:val="Standaard"/>
    <w:next w:val="Standaard"/>
    <w:autoRedefine/>
    <w:uiPriority w:val="39"/>
    <w:unhideWhenUsed/>
    <w:rsid w:val="00236532"/>
    <w:pPr>
      <w:spacing w:after="100"/>
      <w:ind w:left="440"/>
    </w:pPr>
  </w:style>
  <w:style w:type="paragraph" w:styleId="Ballontekst">
    <w:name w:val="Balloon Text"/>
    <w:basedOn w:val="Standaard"/>
    <w:link w:val="BallontekstChar"/>
    <w:uiPriority w:val="99"/>
    <w:semiHidden/>
    <w:unhideWhenUsed/>
    <w:rsid w:val="00236532"/>
    <w:pPr>
      <w:spacing w:after="0" w:line="240" w:lineRule="auto"/>
    </w:pPr>
    <w:rPr>
      <w:rFonts w:ascii="Tahoma" w:hAnsi="Tahoma" w:cs="Tahoma"/>
      <w:sz w:val="16"/>
      <w:szCs w:val="16"/>
    </w:rPr>
  </w:style>
  <w:style w:type="character" w:customStyle="1" w:styleId="BallontekstChar">
    <w:name w:val="Ballontekst Char"/>
    <w:basedOn w:val="Standaardalinea-lettertype"/>
    <w:link w:val="Ballontekst"/>
    <w:uiPriority w:val="99"/>
    <w:semiHidden/>
    <w:rsid w:val="00236532"/>
    <w:rPr>
      <w:rFonts w:ascii="Tahoma" w:hAnsi="Tahoma" w:cs="Tahoma"/>
      <w:sz w:val="16"/>
      <w:szCs w:val="16"/>
      <w:lang w:val="en-US"/>
    </w:rPr>
  </w:style>
  <w:style w:type="paragraph" w:styleId="Koptekst">
    <w:name w:val="header"/>
    <w:basedOn w:val="Standaard"/>
    <w:link w:val="KoptekstChar"/>
    <w:uiPriority w:val="99"/>
    <w:unhideWhenUsed/>
    <w:rsid w:val="009A603A"/>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9A603A"/>
    <w:rPr>
      <w:lang w:val="en-US"/>
    </w:rPr>
  </w:style>
  <w:style w:type="paragraph" w:styleId="Voettekst">
    <w:name w:val="footer"/>
    <w:basedOn w:val="Standaard"/>
    <w:link w:val="VoettekstChar"/>
    <w:uiPriority w:val="99"/>
    <w:unhideWhenUsed/>
    <w:rsid w:val="009A603A"/>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9A603A"/>
    <w:rPr>
      <w:lang w:val="en-US"/>
    </w:rPr>
  </w:style>
  <w:style w:type="paragraph" w:styleId="Titel">
    <w:name w:val="Title"/>
    <w:basedOn w:val="Standaard"/>
    <w:next w:val="Standaard"/>
    <w:link w:val="TitelChar"/>
    <w:uiPriority w:val="10"/>
    <w:qFormat/>
    <w:rsid w:val="00715B5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elChar">
    <w:name w:val="Titel Char"/>
    <w:basedOn w:val="Standaardalinea-lettertype"/>
    <w:link w:val="Titel"/>
    <w:uiPriority w:val="10"/>
    <w:rsid w:val="00715B5F"/>
    <w:rPr>
      <w:rFonts w:asciiTheme="majorHAnsi" w:eastAsiaTheme="majorEastAsia" w:hAnsiTheme="majorHAnsi" w:cstheme="majorBidi"/>
      <w:color w:val="17365D" w:themeColor="text2" w:themeShade="BF"/>
      <w:spacing w:val="5"/>
      <w:kern w:val="28"/>
      <w:sz w:val="52"/>
      <w:szCs w:val="52"/>
      <w:lang w:val="en-US"/>
    </w:rPr>
  </w:style>
  <w:style w:type="paragraph" w:styleId="Ondertitel">
    <w:name w:val="Subtitle"/>
    <w:basedOn w:val="Standaard"/>
    <w:next w:val="Standaard"/>
    <w:link w:val="OndertitelChar"/>
    <w:uiPriority w:val="11"/>
    <w:qFormat/>
    <w:rsid w:val="00715B5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OndertitelChar">
    <w:name w:val="Ondertitel Char"/>
    <w:basedOn w:val="Standaardalinea-lettertype"/>
    <w:link w:val="Ondertitel"/>
    <w:uiPriority w:val="11"/>
    <w:rsid w:val="00715B5F"/>
    <w:rPr>
      <w:rFonts w:asciiTheme="majorHAnsi" w:eastAsiaTheme="majorEastAsia" w:hAnsiTheme="majorHAnsi" w:cstheme="majorBidi"/>
      <w:i/>
      <w:iCs/>
      <w:color w:val="4F81BD" w:themeColor="accent1"/>
      <w:spacing w:val="15"/>
      <w:sz w:val="24"/>
      <w:szCs w:val="24"/>
      <w:lang w:val="en-US"/>
    </w:rPr>
  </w:style>
  <w:style w:type="paragraph" w:styleId="Geenafstand">
    <w:name w:val="No Spacing"/>
    <w:uiPriority w:val="1"/>
    <w:qFormat/>
    <w:rsid w:val="00E211C5"/>
    <w:pPr>
      <w:spacing w:after="0" w:line="240" w:lineRule="auto"/>
    </w:pPr>
    <w:rPr>
      <w:lang w:val="en-US"/>
    </w:rPr>
  </w:style>
  <w:style w:type="character" w:styleId="Verwijzingopmerking">
    <w:name w:val="annotation reference"/>
    <w:basedOn w:val="Standaardalinea-lettertype"/>
    <w:uiPriority w:val="99"/>
    <w:semiHidden/>
    <w:unhideWhenUsed/>
    <w:rsid w:val="001E56B5"/>
    <w:rPr>
      <w:sz w:val="16"/>
      <w:szCs w:val="16"/>
    </w:rPr>
  </w:style>
  <w:style w:type="paragraph" w:styleId="Tekstopmerking">
    <w:name w:val="annotation text"/>
    <w:basedOn w:val="Standaard"/>
    <w:link w:val="TekstopmerkingChar"/>
    <w:uiPriority w:val="99"/>
    <w:semiHidden/>
    <w:unhideWhenUsed/>
    <w:rsid w:val="001E56B5"/>
    <w:pPr>
      <w:spacing w:line="240" w:lineRule="auto"/>
    </w:pPr>
    <w:rPr>
      <w:sz w:val="20"/>
      <w:szCs w:val="20"/>
    </w:rPr>
  </w:style>
  <w:style w:type="character" w:customStyle="1" w:styleId="TekstopmerkingChar">
    <w:name w:val="Tekst opmerking Char"/>
    <w:basedOn w:val="Standaardalinea-lettertype"/>
    <w:link w:val="Tekstopmerking"/>
    <w:uiPriority w:val="99"/>
    <w:semiHidden/>
    <w:rsid w:val="001E56B5"/>
    <w:rPr>
      <w:sz w:val="20"/>
      <w:szCs w:val="20"/>
      <w:lang w:val="en-US"/>
    </w:rPr>
  </w:style>
  <w:style w:type="paragraph" w:styleId="Onderwerpvanopmerking">
    <w:name w:val="annotation subject"/>
    <w:basedOn w:val="Tekstopmerking"/>
    <w:next w:val="Tekstopmerking"/>
    <w:link w:val="OnderwerpvanopmerkingChar"/>
    <w:uiPriority w:val="99"/>
    <w:semiHidden/>
    <w:unhideWhenUsed/>
    <w:rsid w:val="005B105D"/>
    <w:rPr>
      <w:b/>
      <w:bCs/>
    </w:rPr>
  </w:style>
  <w:style w:type="character" w:customStyle="1" w:styleId="OnderwerpvanopmerkingChar">
    <w:name w:val="Onderwerp van opmerking Char"/>
    <w:basedOn w:val="TekstopmerkingChar"/>
    <w:link w:val="Onderwerpvanopmerking"/>
    <w:uiPriority w:val="99"/>
    <w:semiHidden/>
    <w:rsid w:val="005B105D"/>
    <w:rPr>
      <w:b/>
      <w:bCs/>
      <w:sz w:val="20"/>
      <w:szCs w:val="20"/>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rsid w:val="00DD53C4"/>
    <w:rPr>
      <w:lang w:val="en-US"/>
    </w:rPr>
  </w:style>
  <w:style w:type="paragraph" w:styleId="Kop1">
    <w:name w:val="heading 1"/>
    <w:basedOn w:val="Standaard"/>
    <w:next w:val="Standaard"/>
    <w:link w:val="Kop1Char"/>
    <w:uiPriority w:val="9"/>
    <w:qFormat/>
    <w:rsid w:val="00D1581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Kop2">
    <w:name w:val="heading 2"/>
    <w:basedOn w:val="Standaard"/>
    <w:next w:val="Standaard"/>
    <w:link w:val="Kop2Char"/>
    <w:uiPriority w:val="9"/>
    <w:unhideWhenUsed/>
    <w:qFormat/>
    <w:rsid w:val="00D1581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Kop3">
    <w:name w:val="heading 3"/>
    <w:basedOn w:val="Standaard"/>
    <w:next w:val="Standaard"/>
    <w:link w:val="Kop3Char"/>
    <w:uiPriority w:val="9"/>
    <w:unhideWhenUsed/>
    <w:qFormat/>
    <w:rsid w:val="00D15816"/>
    <w:pPr>
      <w:keepNext/>
      <w:keepLines/>
      <w:spacing w:before="200" w:after="0"/>
      <w:outlineLvl w:val="2"/>
    </w:pPr>
    <w:rPr>
      <w:rFonts w:asciiTheme="majorHAnsi" w:eastAsiaTheme="majorEastAsia" w:hAnsiTheme="majorHAnsi" w:cstheme="majorBidi"/>
      <w:b/>
      <w:bCs/>
      <w:color w:val="4F81BD" w:themeColor="accent1"/>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
    <w:rsid w:val="00D15816"/>
    <w:rPr>
      <w:rFonts w:asciiTheme="majorHAnsi" w:eastAsiaTheme="majorEastAsia" w:hAnsiTheme="majorHAnsi" w:cstheme="majorBidi"/>
      <w:b/>
      <w:bCs/>
      <w:color w:val="365F91" w:themeColor="accent1" w:themeShade="BF"/>
      <w:sz w:val="28"/>
      <w:szCs w:val="28"/>
      <w:lang w:val="en-US"/>
    </w:rPr>
  </w:style>
  <w:style w:type="character" w:customStyle="1" w:styleId="Kop2Char">
    <w:name w:val="Kop 2 Char"/>
    <w:basedOn w:val="Standaardalinea-lettertype"/>
    <w:link w:val="Kop2"/>
    <w:uiPriority w:val="9"/>
    <w:rsid w:val="00D15816"/>
    <w:rPr>
      <w:rFonts w:asciiTheme="majorHAnsi" w:eastAsiaTheme="majorEastAsia" w:hAnsiTheme="majorHAnsi" w:cstheme="majorBidi"/>
      <w:b/>
      <w:bCs/>
      <w:color w:val="4F81BD" w:themeColor="accent1"/>
      <w:sz w:val="26"/>
      <w:szCs w:val="26"/>
      <w:lang w:val="en-US"/>
    </w:rPr>
  </w:style>
  <w:style w:type="character" w:customStyle="1" w:styleId="Kop3Char">
    <w:name w:val="Kop 3 Char"/>
    <w:basedOn w:val="Standaardalinea-lettertype"/>
    <w:link w:val="Kop3"/>
    <w:uiPriority w:val="9"/>
    <w:rsid w:val="00D15816"/>
    <w:rPr>
      <w:rFonts w:asciiTheme="majorHAnsi" w:eastAsiaTheme="majorEastAsia" w:hAnsiTheme="majorHAnsi" w:cstheme="majorBidi"/>
      <w:b/>
      <w:bCs/>
      <w:color w:val="4F81BD" w:themeColor="accent1"/>
      <w:lang w:val="en-US"/>
    </w:rPr>
  </w:style>
  <w:style w:type="paragraph" w:styleId="Lijstalinea">
    <w:name w:val="List Paragraph"/>
    <w:basedOn w:val="Standaard"/>
    <w:uiPriority w:val="34"/>
    <w:qFormat/>
    <w:rsid w:val="00D15816"/>
    <w:pPr>
      <w:ind w:left="720"/>
      <w:contextualSpacing/>
    </w:pPr>
  </w:style>
  <w:style w:type="character" w:styleId="Hyperlink">
    <w:name w:val="Hyperlink"/>
    <w:basedOn w:val="Standaardalinea-lettertype"/>
    <w:uiPriority w:val="99"/>
    <w:unhideWhenUsed/>
    <w:rsid w:val="00D15816"/>
    <w:rPr>
      <w:color w:val="0000FF" w:themeColor="hyperlink"/>
      <w:u w:val="single"/>
    </w:rPr>
  </w:style>
  <w:style w:type="character" w:customStyle="1" w:styleId="apple-converted-space">
    <w:name w:val="apple-converted-space"/>
    <w:basedOn w:val="Standaardalinea-lettertype"/>
    <w:rsid w:val="00D15816"/>
  </w:style>
  <w:style w:type="paragraph" w:styleId="Kopvaninhoudsopgave">
    <w:name w:val="TOC Heading"/>
    <w:basedOn w:val="Kop1"/>
    <w:next w:val="Standaard"/>
    <w:uiPriority w:val="39"/>
    <w:semiHidden/>
    <w:unhideWhenUsed/>
    <w:qFormat/>
    <w:rsid w:val="00236532"/>
    <w:pPr>
      <w:outlineLvl w:val="9"/>
    </w:pPr>
    <w:rPr>
      <w:lang w:val="nl-NL" w:eastAsia="nl-NL"/>
    </w:rPr>
  </w:style>
  <w:style w:type="paragraph" w:styleId="Inhopg1">
    <w:name w:val="toc 1"/>
    <w:basedOn w:val="Standaard"/>
    <w:next w:val="Standaard"/>
    <w:autoRedefine/>
    <w:uiPriority w:val="39"/>
    <w:unhideWhenUsed/>
    <w:rsid w:val="00236532"/>
    <w:pPr>
      <w:spacing w:after="100"/>
    </w:pPr>
  </w:style>
  <w:style w:type="paragraph" w:styleId="Inhopg2">
    <w:name w:val="toc 2"/>
    <w:basedOn w:val="Standaard"/>
    <w:next w:val="Standaard"/>
    <w:autoRedefine/>
    <w:uiPriority w:val="39"/>
    <w:unhideWhenUsed/>
    <w:rsid w:val="00236532"/>
    <w:pPr>
      <w:spacing w:after="100"/>
      <w:ind w:left="220"/>
    </w:pPr>
  </w:style>
  <w:style w:type="paragraph" w:styleId="Inhopg3">
    <w:name w:val="toc 3"/>
    <w:basedOn w:val="Standaard"/>
    <w:next w:val="Standaard"/>
    <w:autoRedefine/>
    <w:uiPriority w:val="39"/>
    <w:unhideWhenUsed/>
    <w:rsid w:val="00236532"/>
    <w:pPr>
      <w:spacing w:after="100"/>
      <w:ind w:left="440"/>
    </w:pPr>
  </w:style>
  <w:style w:type="paragraph" w:styleId="Ballontekst">
    <w:name w:val="Balloon Text"/>
    <w:basedOn w:val="Standaard"/>
    <w:link w:val="BallontekstChar"/>
    <w:uiPriority w:val="99"/>
    <w:semiHidden/>
    <w:unhideWhenUsed/>
    <w:rsid w:val="00236532"/>
    <w:pPr>
      <w:spacing w:after="0" w:line="240" w:lineRule="auto"/>
    </w:pPr>
    <w:rPr>
      <w:rFonts w:ascii="Tahoma" w:hAnsi="Tahoma" w:cs="Tahoma"/>
      <w:sz w:val="16"/>
      <w:szCs w:val="16"/>
    </w:rPr>
  </w:style>
  <w:style w:type="character" w:customStyle="1" w:styleId="BallontekstChar">
    <w:name w:val="Ballontekst Char"/>
    <w:basedOn w:val="Standaardalinea-lettertype"/>
    <w:link w:val="Ballontekst"/>
    <w:uiPriority w:val="99"/>
    <w:semiHidden/>
    <w:rsid w:val="00236532"/>
    <w:rPr>
      <w:rFonts w:ascii="Tahoma" w:hAnsi="Tahoma" w:cs="Tahoma"/>
      <w:sz w:val="16"/>
      <w:szCs w:val="16"/>
      <w:lang w:val="en-US"/>
    </w:rPr>
  </w:style>
  <w:style w:type="paragraph" w:styleId="Koptekst">
    <w:name w:val="header"/>
    <w:basedOn w:val="Standaard"/>
    <w:link w:val="KoptekstChar"/>
    <w:uiPriority w:val="99"/>
    <w:unhideWhenUsed/>
    <w:rsid w:val="009A603A"/>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9A603A"/>
    <w:rPr>
      <w:lang w:val="en-US"/>
    </w:rPr>
  </w:style>
  <w:style w:type="paragraph" w:styleId="Voettekst">
    <w:name w:val="footer"/>
    <w:basedOn w:val="Standaard"/>
    <w:link w:val="VoettekstChar"/>
    <w:uiPriority w:val="99"/>
    <w:unhideWhenUsed/>
    <w:rsid w:val="009A603A"/>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9A603A"/>
    <w:rPr>
      <w:lang w:val="en-US"/>
    </w:rPr>
  </w:style>
  <w:style w:type="paragraph" w:styleId="Titel">
    <w:name w:val="Title"/>
    <w:basedOn w:val="Standaard"/>
    <w:next w:val="Standaard"/>
    <w:link w:val="TitelChar"/>
    <w:uiPriority w:val="10"/>
    <w:qFormat/>
    <w:rsid w:val="00715B5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elChar">
    <w:name w:val="Titel Char"/>
    <w:basedOn w:val="Standaardalinea-lettertype"/>
    <w:link w:val="Titel"/>
    <w:uiPriority w:val="10"/>
    <w:rsid w:val="00715B5F"/>
    <w:rPr>
      <w:rFonts w:asciiTheme="majorHAnsi" w:eastAsiaTheme="majorEastAsia" w:hAnsiTheme="majorHAnsi" w:cstheme="majorBidi"/>
      <w:color w:val="17365D" w:themeColor="text2" w:themeShade="BF"/>
      <w:spacing w:val="5"/>
      <w:kern w:val="28"/>
      <w:sz w:val="52"/>
      <w:szCs w:val="52"/>
      <w:lang w:val="en-US"/>
    </w:rPr>
  </w:style>
  <w:style w:type="paragraph" w:styleId="Ondertitel">
    <w:name w:val="Subtitle"/>
    <w:basedOn w:val="Standaard"/>
    <w:next w:val="Standaard"/>
    <w:link w:val="OndertitelChar"/>
    <w:uiPriority w:val="11"/>
    <w:qFormat/>
    <w:rsid w:val="00715B5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OndertitelChar">
    <w:name w:val="Ondertitel Char"/>
    <w:basedOn w:val="Standaardalinea-lettertype"/>
    <w:link w:val="Ondertitel"/>
    <w:uiPriority w:val="11"/>
    <w:rsid w:val="00715B5F"/>
    <w:rPr>
      <w:rFonts w:asciiTheme="majorHAnsi" w:eastAsiaTheme="majorEastAsia" w:hAnsiTheme="majorHAnsi" w:cstheme="majorBidi"/>
      <w:i/>
      <w:iCs/>
      <w:color w:val="4F81BD" w:themeColor="accent1"/>
      <w:spacing w:val="15"/>
      <w:sz w:val="24"/>
      <w:szCs w:val="24"/>
      <w:lang w:val="en-US"/>
    </w:rPr>
  </w:style>
  <w:style w:type="paragraph" w:styleId="Geenafstand">
    <w:name w:val="No Spacing"/>
    <w:uiPriority w:val="1"/>
    <w:qFormat/>
    <w:rsid w:val="00E211C5"/>
    <w:pPr>
      <w:spacing w:after="0" w:line="240" w:lineRule="auto"/>
    </w:pPr>
    <w:rPr>
      <w:lang w:val="en-US"/>
    </w:rPr>
  </w:style>
  <w:style w:type="character" w:styleId="Verwijzingopmerking">
    <w:name w:val="annotation reference"/>
    <w:basedOn w:val="Standaardalinea-lettertype"/>
    <w:uiPriority w:val="99"/>
    <w:semiHidden/>
    <w:unhideWhenUsed/>
    <w:rsid w:val="001E56B5"/>
    <w:rPr>
      <w:sz w:val="16"/>
      <w:szCs w:val="16"/>
    </w:rPr>
  </w:style>
  <w:style w:type="paragraph" w:styleId="Tekstopmerking">
    <w:name w:val="annotation text"/>
    <w:basedOn w:val="Standaard"/>
    <w:link w:val="TekstopmerkingChar"/>
    <w:uiPriority w:val="99"/>
    <w:semiHidden/>
    <w:unhideWhenUsed/>
    <w:rsid w:val="001E56B5"/>
    <w:pPr>
      <w:spacing w:line="240" w:lineRule="auto"/>
    </w:pPr>
    <w:rPr>
      <w:sz w:val="20"/>
      <w:szCs w:val="20"/>
    </w:rPr>
  </w:style>
  <w:style w:type="character" w:customStyle="1" w:styleId="TekstopmerkingChar">
    <w:name w:val="Tekst opmerking Char"/>
    <w:basedOn w:val="Standaardalinea-lettertype"/>
    <w:link w:val="Tekstopmerking"/>
    <w:uiPriority w:val="99"/>
    <w:semiHidden/>
    <w:rsid w:val="001E56B5"/>
    <w:rPr>
      <w:sz w:val="20"/>
      <w:szCs w:val="20"/>
      <w:lang w:val="en-US"/>
    </w:rPr>
  </w:style>
  <w:style w:type="paragraph" w:styleId="Onderwerpvanopmerking">
    <w:name w:val="annotation subject"/>
    <w:basedOn w:val="Tekstopmerking"/>
    <w:next w:val="Tekstopmerking"/>
    <w:link w:val="OnderwerpvanopmerkingChar"/>
    <w:uiPriority w:val="99"/>
    <w:semiHidden/>
    <w:unhideWhenUsed/>
    <w:rsid w:val="005B105D"/>
    <w:rPr>
      <w:b/>
      <w:bCs/>
    </w:rPr>
  </w:style>
  <w:style w:type="character" w:customStyle="1" w:styleId="OnderwerpvanopmerkingChar">
    <w:name w:val="Onderwerp van opmerking Char"/>
    <w:basedOn w:val="TekstopmerkingChar"/>
    <w:link w:val="Onderwerpvanopmerking"/>
    <w:uiPriority w:val="99"/>
    <w:semiHidden/>
    <w:rsid w:val="005B105D"/>
    <w:rPr>
      <w:b/>
      <w:bCs/>
      <w:sz w:val="20"/>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94778375">
      <w:bodyDiv w:val="1"/>
      <w:marLeft w:val="0"/>
      <w:marRight w:val="0"/>
      <w:marTop w:val="0"/>
      <w:marBottom w:val="0"/>
      <w:divBdr>
        <w:top w:val="none" w:sz="0" w:space="0" w:color="auto"/>
        <w:left w:val="none" w:sz="0" w:space="0" w:color="auto"/>
        <w:bottom w:val="none" w:sz="0" w:space="0" w:color="auto"/>
        <w:right w:val="none" w:sz="0" w:space="0" w:color="auto"/>
      </w:divBdr>
      <w:divsChild>
        <w:div w:id="1042242150">
          <w:marLeft w:val="0"/>
          <w:marRight w:val="0"/>
          <w:marTop w:val="0"/>
          <w:marBottom w:val="0"/>
          <w:divBdr>
            <w:top w:val="none" w:sz="0" w:space="0" w:color="auto"/>
            <w:left w:val="none" w:sz="0" w:space="0" w:color="auto"/>
            <w:bottom w:val="none" w:sz="0" w:space="0" w:color="auto"/>
            <w:right w:val="none" w:sz="0" w:space="0" w:color="auto"/>
          </w:divBdr>
        </w:div>
        <w:div w:id="605694264">
          <w:marLeft w:val="0"/>
          <w:marRight w:val="0"/>
          <w:marTop w:val="0"/>
          <w:marBottom w:val="0"/>
          <w:divBdr>
            <w:top w:val="none" w:sz="0" w:space="0" w:color="auto"/>
            <w:left w:val="none" w:sz="0" w:space="0" w:color="auto"/>
            <w:bottom w:val="none" w:sz="0" w:space="0" w:color="auto"/>
            <w:right w:val="none" w:sz="0" w:space="0" w:color="auto"/>
          </w:divBdr>
        </w:div>
        <w:div w:id="1806119143">
          <w:marLeft w:val="0"/>
          <w:marRight w:val="0"/>
          <w:marTop w:val="0"/>
          <w:marBottom w:val="0"/>
          <w:divBdr>
            <w:top w:val="none" w:sz="0" w:space="0" w:color="auto"/>
            <w:left w:val="none" w:sz="0" w:space="0" w:color="auto"/>
            <w:bottom w:val="none" w:sz="0" w:space="0" w:color="auto"/>
            <w:right w:val="none" w:sz="0" w:space="0" w:color="auto"/>
          </w:divBdr>
        </w:div>
        <w:div w:id="716777912">
          <w:marLeft w:val="0"/>
          <w:marRight w:val="0"/>
          <w:marTop w:val="0"/>
          <w:marBottom w:val="0"/>
          <w:divBdr>
            <w:top w:val="none" w:sz="0" w:space="0" w:color="auto"/>
            <w:left w:val="none" w:sz="0" w:space="0" w:color="auto"/>
            <w:bottom w:val="none" w:sz="0" w:space="0" w:color="auto"/>
            <w:right w:val="none" w:sz="0" w:space="0" w:color="auto"/>
          </w:divBdr>
        </w:div>
        <w:div w:id="166022503">
          <w:marLeft w:val="0"/>
          <w:marRight w:val="0"/>
          <w:marTop w:val="0"/>
          <w:marBottom w:val="0"/>
          <w:divBdr>
            <w:top w:val="none" w:sz="0" w:space="0" w:color="auto"/>
            <w:left w:val="none" w:sz="0" w:space="0" w:color="auto"/>
            <w:bottom w:val="none" w:sz="0" w:space="0" w:color="auto"/>
            <w:right w:val="none" w:sz="0" w:space="0" w:color="auto"/>
          </w:divBdr>
        </w:div>
        <w:div w:id="206991674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beinkosovo.com/countries-that-have-recognized-kosovo-as-an-independent-state/" TargetMode="External"/><Relationship Id="rId18" Type="http://schemas.openxmlformats.org/officeDocument/2006/relationships/hyperlink" Target="http://www.jstor.org/stable/3993756" TargetMode="External"/><Relationship Id="rId26" Type="http://schemas.openxmlformats.org/officeDocument/2006/relationships/hyperlink" Target="http://www.osce.org/kosovo/32379?download=true" TargetMode="External"/><Relationship Id="rId39" Type="http://schemas.openxmlformats.org/officeDocument/2006/relationships/hyperlink" Target="http://www.securitycouncilreport.org/atf/cf/%7B65BFCF9B-6D27-4E9C-8CD3-CF6E4FF96FF9%7D/Kos%20SPRST%202005%2051.pdf" TargetMode="External"/><Relationship Id="rId3" Type="http://schemas.openxmlformats.org/officeDocument/2006/relationships/styles" Target="styles.xml"/><Relationship Id="rId21" Type="http://schemas.openxmlformats.org/officeDocument/2006/relationships/hyperlink" Target="http://archiv.eurotopics.net/en/home/presseschau/archiv/magazin/politik-verteilerseite/kosovo-2008-03/debatte_kosovo_2007_03/" TargetMode="External"/><Relationship Id="rId34" Type="http://schemas.openxmlformats.org/officeDocument/2006/relationships/hyperlink" Target="http://www.jstor.org/stable/30045150" TargetMode="External"/><Relationship Id="rId42" Type="http://schemas.openxmlformats.org/officeDocument/2006/relationships/hyperlink" Target="http://www.jstor.org/stable/3693569" TargetMode="External"/><Relationship Id="rId7" Type="http://schemas.openxmlformats.org/officeDocument/2006/relationships/footnotes" Target="footnotes.xml"/><Relationship Id="rId12" Type="http://schemas.openxmlformats.org/officeDocument/2006/relationships/hyperlink" Target="http://www.assembly-kosova.org/common/docs/Dek_Pav_e.pdf" TargetMode="External"/><Relationship Id="rId17" Type="http://schemas.openxmlformats.org/officeDocument/2006/relationships/hyperlink" Target="http://www.jstor.org/stable/4621775" TargetMode="External"/><Relationship Id="rId25" Type="http://schemas.openxmlformats.org/officeDocument/2006/relationships/hyperlink" Target="http://www.balkaneu.com/eu-members-pressure-recognize-kosovo/" TargetMode="External"/><Relationship Id="rId33" Type="http://schemas.openxmlformats.org/officeDocument/2006/relationships/hyperlink" Target="http://www.ohchr.org/EN/UDHR/Documents/UDHR_Translations/eng.pdf" TargetMode="External"/><Relationship Id="rId38" Type="http://schemas.openxmlformats.org/officeDocument/2006/relationships/hyperlink" Target="http://www.un.org/press/en/2005/sc8533.doc.htm" TargetMode="External"/><Relationship Id="rId2" Type="http://schemas.openxmlformats.org/officeDocument/2006/relationships/numbering" Target="numbering.xml"/><Relationship Id="rId16" Type="http://schemas.openxmlformats.org/officeDocument/2006/relationships/hyperlink" Target="http://www.spiegel.de/international/clinging-to-kosovo-serbia-passes-new-constitution-a-445401.html" TargetMode="External"/><Relationship Id="rId20" Type="http://schemas.openxmlformats.org/officeDocument/2006/relationships/hyperlink" Target="https://www.law.umich.edu/facultyhome/drwcasebook/Documents/Documents/The%20Kosovo%20Report%20and%20Update.pdf" TargetMode="External"/><Relationship Id="rId29" Type="http://schemas.openxmlformats.org/officeDocument/2006/relationships/hyperlink" Target="http://archiv.eurotopics.net/en/home/presseschau/archiv/magazin/politik-verteilerseite/kosovo-2008-03/kosovo_ueberblick_geschichte/" TargetMode="External"/><Relationship Id="rId41" Type="http://schemas.openxmlformats.org/officeDocument/2006/relationships/hyperlink" Target="http://www.securitycouncilreport.org/atf/cf/%7B65BFCF9B-6D27-4E9C-8CD3-CF6E4FF96FF9%7D/Kosovo%20S2007%20723.pdf"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S.Swaanen@student.ru.nl" TargetMode="External"/><Relationship Id="rId24" Type="http://schemas.openxmlformats.org/officeDocument/2006/relationships/hyperlink" Target="http://www.jstor.org/stable/4496413" TargetMode="External"/><Relationship Id="rId32" Type="http://schemas.openxmlformats.org/officeDocument/2006/relationships/hyperlink" Target="http://www.spiegel.de/international/europe/the-kosovo-failure-mission-impossible-in-the-balkans-a-522406.html" TargetMode="External"/><Relationship Id="rId37" Type="http://schemas.openxmlformats.org/officeDocument/2006/relationships/hyperlink" Target="http://www.un.org/Docs/scres/1999/sc99.htm" TargetMode="External"/><Relationship Id="rId40" Type="http://schemas.openxmlformats.org/officeDocument/2006/relationships/hyperlink" Target="http://www.securitycouncilreport.org/atf/cf/%7B65BFCF9B-6D27-4E9C-8CD3-CF6E4FF96FF9%7D/Kosovo%20S2007%20168.pdf" TargetMode="External"/><Relationship Id="rId45"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s://www.thenation.com/article/the-seductive-danger-of-symbolic-politics/" TargetMode="External"/><Relationship Id="rId23" Type="http://schemas.openxmlformats.org/officeDocument/2006/relationships/hyperlink" Target="http://creativetimereports.org/2014/06/17/kyrgyzstan-conflicts-foreshadow-water-wars/" TargetMode="External"/><Relationship Id="rId28" Type="http://schemas.openxmlformats.org/officeDocument/2006/relationships/hyperlink" Target="http://prishtinainsight.com/bangladesh-recognizes-kosovo/" TargetMode="External"/><Relationship Id="rId36" Type="http://schemas.openxmlformats.org/officeDocument/2006/relationships/hyperlink" Target="http://www.un.org/en/sections/what-we-do/index.html" TargetMode="External"/><Relationship Id="rId10" Type="http://schemas.openxmlformats.org/officeDocument/2006/relationships/footer" Target="footer1.xml"/><Relationship Id="rId19" Type="http://schemas.openxmlformats.org/officeDocument/2006/relationships/hyperlink" Target="https://www.crisisgroup.org/who-we-are" TargetMode="External"/><Relationship Id="rId31" Type="http://schemas.openxmlformats.org/officeDocument/2006/relationships/hyperlink" Target="http://www.jstor.org/stable/25054126" TargetMode="External"/><Relationship Id="rId44"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www.icty.org/x/file/About/OTP/War_Demographics/en/milosevic_kosovo_020814.pdf" TargetMode="External"/><Relationship Id="rId22" Type="http://schemas.openxmlformats.org/officeDocument/2006/relationships/hyperlink" Target="http://www.jstor.org/stable/3693533" TargetMode="External"/><Relationship Id="rId27" Type="http://schemas.openxmlformats.org/officeDocument/2006/relationships/hyperlink" Target="http://www.balkaninsight.com/en/article/serbia-not-in-eu-without-kosovo-recognition-eu-mp-says" TargetMode="External"/><Relationship Id="rId30" Type="http://schemas.openxmlformats.org/officeDocument/2006/relationships/hyperlink" Target="http://www.jstor.org/stable/2703504" TargetMode="External"/><Relationship Id="rId35" Type="http://schemas.openxmlformats.org/officeDocument/2006/relationships/hyperlink" Target="https://www.theguardian.com/world/2008/feb/14/kosovo.russia" TargetMode="External"/><Relationship Id="rId43" Type="http://schemas.openxmlformats.org/officeDocument/2006/relationships/footer" Target="footer2.xm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4D5DA03-FB11-48BE-A6E1-80ADA88B3A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92</TotalTime>
  <Pages>84</Pages>
  <Words>35152</Words>
  <Characters>193336</Characters>
  <Application>Microsoft Office Word</Application>
  <DocSecurity>0</DocSecurity>
  <Lines>1611</Lines>
  <Paragraphs>456</Paragraphs>
  <ScaleCrop>false</ScaleCrop>
  <HeadingPairs>
    <vt:vector size="2" baseType="variant">
      <vt:variant>
        <vt:lpstr>Titel</vt:lpstr>
      </vt:variant>
      <vt:variant>
        <vt:i4>1</vt:i4>
      </vt:variant>
    </vt:vector>
  </HeadingPairs>
  <TitlesOfParts>
    <vt:vector size="1" baseType="lpstr">
      <vt:lpstr/>
    </vt:vector>
  </TitlesOfParts>
  <Company>Hewlett-Packard</Company>
  <LinksUpToDate>false</LinksUpToDate>
  <CharactersWithSpaces>228032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Stein</dc:creator>
  <cp:lastModifiedBy>Stein</cp:lastModifiedBy>
  <cp:revision>37</cp:revision>
  <dcterms:created xsi:type="dcterms:W3CDTF">2017-07-24T13:54:00Z</dcterms:created>
  <dcterms:modified xsi:type="dcterms:W3CDTF">2017-08-28T10:23:00Z</dcterms:modified>
</cp:coreProperties>
</file>