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73600996"/>
        <w:docPartObj>
          <w:docPartGallery w:val="Cover Pages"/>
          <w:docPartUnique/>
        </w:docPartObj>
      </w:sdtPr>
      <w:sdtEndPr/>
      <w:sdtContent>
        <w:p w14:paraId="57C5DA7C" w14:textId="7B19B94D" w:rsidR="00011EDB" w:rsidRDefault="00011EDB" w:rsidP="00770C64"/>
        <w:p w14:paraId="5C5B9B44" w14:textId="77777777" w:rsidR="00011EDB" w:rsidRDefault="00011EDB" w:rsidP="00770C64"/>
        <w:tbl>
          <w:tblPr>
            <w:tblpPr w:leftFromText="141" w:rightFromText="141" w:vertAnchor="page" w:horzAnchor="page" w:tblpX="3301" w:tblpY="3481"/>
            <w:tblW w:w="9106" w:type="dxa"/>
            <w:tblLayout w:type="fixed"/>
            <w:tblLook w:val="0000" w:firstRow="0" w:lastRow="0" w:firstColumn="0" w:lastColumn="0" w:noHBand="0" w:noVBand="0"/>
          </w:tblPr>
          <w:tblGrid>
            <w:gridCol w:w="279"/>
            <w:gridCol w:w="539"/>
            <w:gridCol w:w="2159"/>
            <w:gridCol w:w="284"/>
            <w:gridCol w:w="3113"/>
            <w:gridCol w:w="182"/>
            <w:gridCol w:w="107"/>
            <w:gridCol w:w="2443"/>
          </w:tblGrid>
          <w:tr w:rsidR="00F44591" w:rsidRPr="00D84322" w14:paraId="3BA74072" w14:textId="77777777" w:rsidTr="00F44591">
            <w:trPr>
              <w:gridAfter w:val="3"/>
              <w:wAfter w:w="2732" w:type="dxa"/>
              <w:cantSplit/>
            </w:trPr>
            <w:tc>
              <w:tcPr>
                <w:tcW w:w="279" w:type="dxa"/>
              </w:tcPr>
              <w:p w14:paraId="41605FD6" w14:textId="77777777" w:rsidR="00F44591" w:rsidRPr="00B65BC7" w:rsidRDefault="00F44591" w:rsidP="00770C64">
                <w:pPr>
                  <w:pStyle w:val="Footer"/>
                  <w:rPr>
                    <w:rFonts w:ascii="Times New Roman" w:hAnsi="Times New Roman" w:cs="Times New Roman"/>
                    <w:color w:val="696E38"/>
                  </w:rPr>
                </w:pPr>
              </w:p>
            </w:tc>
            <w:tc>
              <w:tcPr>
                <w:tcW w:w="6095" w:type="dxa"/>
                <w:gridSpan w:val="4"/>
                <w:vMerge w:val="restart"/>
                <w:tcMar>
                  <w:top w:w="57" w:type="dxa"/>
                  <w:bottom w:w="57" w:type="dxa"/>
                </w:tcMar>
              </w:tcPr>
              <w:p w14:paraId="499EE459" w14:textId="77777777" w:rsidR="00F44591" w:rsidRPr="00D84322" w:rsidRDefault="00F44591" w:rsidP="00F44591">
                <w:pPr>
                  <w:spacing w:line="240" w:lineRule="exact"/>
                  <w:jc w:val="right"/>
                  <w:rPr>
                    <w:rFonts w:ascii="Univers" w:hAnsi="Univers" w:cs="Univers"/>
                    <w:color w:val="696E38"/>
                    <w:sz w:val="20"/>
                    <w:szCs w:val="20"/>
                  </w:rPr>
                </w:pPr>
              </w:p>
              <w:p w14:paraId="6FAB012C" w14:textId="77777777" w:rsidR="00F44591" w:rsidRPr="00D84322" w:rsidRDefault="00F44591" w:rsidP="00F44591">
                <w:pPr>
                  <w:spacing w:line="360" w:lineRule="auto"/>
                  <w:ind w:left="-103" w:firstLine="670"/>
                  <w:jc w:val="right"/>
                  <w:rPr>
                    <w:rFonts w:ascii="Univers" w:hAnsi="Univers" w:cs="Univers"/>
                    <w:color w:val="696E38"/>
                    <w:sz w:val="20"/>
                    <w:szCs w:val="20"/>
                  </w:rPr>
                </w:pPr>
              </w:p>
              <w:p w14:paraId="0E58EE4C" w14:textId="77777777" w:rsidR="00F44591" w:rsidRPr="00D84322" w:rsidRDefault="00F44591" w:rsidP="00F44591">
                <w:pPr>
                  <w:spacing w:line="360" w:lineRule="auto"/>
                  <w:jc w:val="right"/>
                  <w:rPr>
                    <w:rFonts w:ascii="Univers" w:hAnsi="Univers" w:cs="Univers"/>
                    <w:color w:val="696E38"/>
                    <w:sz w:val="16"/>
                    <w:szCs w:val="16"/>
                  </w:rPr>
                </w:pPr>
              </w:p>
              <w:p w14:paraId="04BA9016" w14:textId="36C8AAC5" w:rsidR="00F44591" w:rsidRPr="00F44591" w:rsidRDefault="00F44591" w:rsidP="00F44591">
                <w:pPr>
                  <w:spacing w:line="360" w:lineRule="auto"/>
                  <w:ind w:left="0"/>
                  <w:jc w:val="right"/>
                  <w:rPr>
                    <w:rFonts w:ascii="Univers" w:hAnsi="Univers" w:cs="Univers"/>
                    <w:b/>
                    <w:caps/>
                    <w:color w:val="696E38"/>
                    <w:sz w:val="28"/>
                    <w:szCs w:val="28"/>
                  </w:rPr>
                </w:pPr>
                <w:r w:rsidRPr="00F44591">
                  <w:rPr>
                    <w:rFonts w:ascii="Univers" w:hAnsi="Univers" w:cs="Univers"/>
                    <w:b/>
                    <w:caps/>
                    <w:color w:val="696E38"/>
                    <w:sz w:val="28"/>
                    <w:szCs w:val="28"/>
                  </w:rPr>
                  <w:t>the role of policy instruments in the integration of energy storage systems in</w:t>
                </w:r>
                <w:r w:rsidR="00C7581E">
                  <w:rPr>
                    <w:rFonts w:ascii="Univers" w:hAnsi="Univers" w:cs="Univers"/>
                    <w:b/>
                    <w:caps/>
                    <w:color w:val="696E38"/>
                    <w:sz w:val="28"/>
                    <w:szCs w:val="28"/>
                  </w:rPr>
                  <w:t>to</w:t>
                </w:r>
                <w:r w:rsidRPr="00F44591">
                  <w:rPr>
                    <w:rFonts w:ascii="Univers" w:hAnsi="Univers" w:cs="Univers"/>
                    <w:b/>
                    <w:caps/>
                    <w:color w:val="696E38"/>
                    <w:sz w:val="28"/>
                    <w:szCs w:val="28"/>
                  </w:rPr>
                  <w:t xml:space="preserve"> the dutch energy mix</w:t>
                </w:r>
              </w:p>
              <w:p w14:paraId="4DDD2493" w14:textId="77777777" w:rsidR="00F44591" w:rsidRPr="00F44591" w:rsidRDefault="00F44591" w:rsidP="00F44591">
                <w:pPr>
                  <w:spacing w:line="360" w:lineRule="auto"/>
                  <w:ind w:left="0"/>
                  <w:jc w:val="right"/>
                  <w:rPr>
                    <w:rFonts w:ascii="Univers" w:hAnsi="Univers" w:cs="Univers"/>
                    <w:caps/>
                    <w:color w:val="696E38"/>
                    <w:sz w:val="22"/>
                  </w:rPr>
                </w:pPr>
              </w:p>
              <w:p w14:paraId="75C1179A" w14:textId="1CBF4307" w:rsidR="00F44591" w:rsidRPr="005A35B8" w:rsidRDefault="00F44591" w:rsidP="00F44591">
                <w:pPr>
                  <w:spacing w:line="360" w:lineRule="auto"/>
                  <w:ind w:left="463" w:firstLine="283"/>
                  <w:jc w:val="right"/>
                  <w:rPr>
                    <w:rFonts w:ascii="Univers" w:hAnsi="Univers" w:cs="Univers"/>
                    <w:color w:val="696E38"/>
                    <w:sz w:val="22"/>
                  </w:rPr>
                </w:pPr>
                <w:r w:rsidRPr="005A35B8">
                  <w:rPr>
                    <w:rFonts w:ascii="Univers" w:hAnsi="Univers" w:cs="Univers"/>
                    <w:color w:val="696E38"/>
                    <w:sz w:val="22"/>
                  </w:rPr>
                  <w:t>Master’s Thesis for the Environment and Society Studies Programme</w:t>
                </w:r>
                <w:r>
                  <w:rPr>
                    <w:rFonts w:ascii="Univers" w:hAnsi="Univers" w:cs="Univers"/>
                    <w:color w:val="696E38"/>
                    <w:sz w:val="22"/>
                  </w:rPr>
                  <w:t xml:space="preserve"> at the Nijmegen School of Management, Radboud University</w:t>
                </w:r>
              </w:p>
              <w:p w14:paraId="0436517F" w14:textId="76F024CF" w:rsidR="00F44591" w:rsidRPr="00D84322" w:rsidRDefault="00F44591" w:rsidP="00F44591">
                <w:pPr>
                  <w:spacing w:line="360" w:lineRule="auto"/>
                  <w:ind w:left="81"/>
                  <w:jc w:val="right"/>
                  <w:rPr>
                    <w:rFonts w:ascii="Univers" w:hAnsi="Univers" w:cs="Univers"/>
                    <w:color w:val="696E38"/>
                    <w:sz w:val="28"/>
                    <w:szCs w:val="28"/>
                  </w:rPr>
                </w:pPr>
              </w:p>
              <w:p w14:paraId="32E11CC6" w14:textId="27C4CA21" w:rsidR="00F44591" w:rsidRPr="00D84322" w:rsidRDefault="00F44591" w:rsidP="00F44591">
                <w:pPr>
                  <w:spacing w:line="360" w:lineRule="auto"/>
                  <w:ind w:left="0"/>
                  <w:jc w:val="right"/>
                  <w:rPr>
                    <w:rFonts w:ascii="Univers" w:hAnsi="Univers" w:cs="Univers"/>
                    <w:color w:val="696E38"/>
                    <w:sz w:val="28"/>
                    <w:szCs w:val="28"/>
                  </w:rPr>
                </w:pPr>
                <w:r>
                  <w:rPr>
                    <w:rFonts w:ascii="Univers" w:hAnsi="Univers" w:cs="Univers"/>
                    <w:color w:val="696E38"/>
                    <w:sz w:val="28"/>
                    <w:szCs w:val="28"/>
                  </w:rPr>
                  <w:t>By Andrew Walker</w:t>
                </w:r>
              </w:p>
              <w:p w14:paraId="4B1D4B1A" w14:textId="77777777" w:rsidR="00F44591" w:rsidRDefault="00F44591" w:rsidP="00F44591">
                <w:pPr>
                  <w:spacing w:line="360" w:lineRule="auto"/>
                  <w:ind w:left="81"/>
                  <w:jc w:val="right"/>
                  <w:rPr>
                    <w:rFonts w:ascii="Univers" w:hAnsi="Univers" w:cs="Univers"/>
                    <w:color w:val="696E38"/>
                    <w:sz w:val="28"/>
                    <w:szCs w:val="28"/>
                  </w:rPr>
                </w:pPr>
              </w:p>
              <w:p w14:paraId="089B2EA2" w14:textId="37A96BA1" w:rsidR="00F44591" w:rsidRPr="005A35B8" w:rsidRDefault="00F44591" w:rsidP="00F44591">
                <w:pPr>
                  <w:spacing w:line="360" w:lineRule="auto"/>
                  <w:ind w:left="0"/>
                  <w:jc w:val="right"/>
                  <w:rPr>
                    <w:rFonts w:ascii="Univers" w:hAnsi="Univers" w:cs="Univers"/>
                    <w:color w:val="696E38"/>
                    <w:sz w:val="22"/>
                  </w:rPr>
                </w:pPr>
                <w:r w:rsidRPr="005A35B8">
                  <w:rPr>
                    <w:rFonts w:ascii="Univers" w:hAnsi="Univers" w:cs="Univers"/>
                    <w:color w:val="696E38"/>
                    <w:sz w:val="22"/>
                  </w:rPr>
                  <w:t>August 2017</w:t>
                </w:r>
              </w:p>
              <w:p w14:paraId="4458C109" w14:textId="77777777" w:rsidR="00F44591" w:rsidRDefault="00F44591" w:rsidP="00F44591">
                <w:pPr>
                  <w:spacing w:line="360" w:lineRule="auto"/>
                  <w:ind w:left="81"/>
                  <w:jc w:val="right"/>
                  <w:rPr>
                    <w:rFonts w:ascii="Univers" w:hAnsi="Univers" w:cs="Univers"/>
                    <w:color w:val="696E38"/>
                    <w:sz w:val="28"/>
                    <w:szCs w:val="28"/>
                  </w:rPr>
                </w:pPr>
              </w:p>
              <w:p w14:paraId="1BF25B5A" w14:textId="77777777" w:rsidR="00F44591" w:rsidRPr="00D84322" w:rsidRDefault="00F44591" w:rsidP="00F44591">
                <w:pPr>
                  <w:ind w:left="81"/>
                  <w:jc w:val="right"/>
                  <w:rPr>
                    <w:rFonts w:ascii="Univers" w:hAnsi="Univers" w:cs="Univers"/>
                    <w:color w:val="696E38"/>
                    <w:sz w:val="28"/>
                    <w:szCs w:val="28"/>
                  </w:rPr>
                </w:pPr>
              </w:p>
            </w:tc>
          </w:tr>
          <w:tr w:rsidR="00F44591" w:rsidRPr="00D84322" w14:paraId="544B1205" w14:textId="77777777" w:rsidTr="00F44591">
            <w:trPr>
              <w:gridAfter w:val="3"/>
              <w:wAfter w:w="2732" w:type="dxa"/>
              <w:cantSplit/>
              <w:trHeight w:val="116"/>
            </w:trPr>
            <w:tc>
              <w:tcPr>
                <w:tcW w:w="279" w:type="dxa"/>
              </w:tcPr>
              <w:p w14:paraId="1A602A76" w14:textId="77777777" w:rsidR="00F44591" w:rsidRPr="00D4715D" w:rsidRDefault="00F44591" w:rsidP="00770C64">
                <w:pPr>
                  <w:rPr>
                    <w:rFonts w:ascii="Univers" w:hAnsi="Univers" w:cs="Univers"/>
                  </w:rPr>
                </w:pPr>
                <w:r>
                  <w:rPr>
                    <w:rFonts w:cs="Helvetica"/>
                    <w:noProof/>
                    <w:lang w:eastAsia="ko-KR" w:bidi="ar-SA"/>
                  </w:rPr>
                  <mc:AlternateContent>
                    <mc:Choice Requires="wps">
                      <w:drawing>
                        <wp:anchor distT="0" distB="0" distL="114295" distR="114295" simplePos="0" relativeHeight="251662336" behindDoc="0" locked="0" layoutInCell="0" allowOverlap="1" wp14:anchorId="0D6EF4DD" wp14:editId="552E19E7">
                          <wp:simplePos x="0" y="0"/>
                          <wp:positionH relativeFrom="page">
                            <wp:posOffset>4201933</wp:posOffset>
                          </wp:positionH>
                          <wp:positionV relativeFrom="page">
                            <wp:posOffset>-9441</wp:posOffset>
                          </wp:positionV>
                          <wp:extent cx="0" cy="5432646"/>
                          <wp:effectExtent l="0" t="0" r="19050" b="34925"/>
                          <wp:wrapNone/>
                          <wp:docPr id="13" name="Rechte verbindingslijn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32646"/>
                                  </a:xfrm>
                                  <a:prstGeom prst="line">
                                    <a:avLst/>
                                  </a:prstGeom>
                                  <a:noFill/>
                                  <a:ln w="9525">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6716E1" id="Rechte verbindingslijn 2" o:spid="_x0000_s1026" style="position:absolute;z-index:251662336;visibility:visible;mso-wrap-style:square;mso-width-percent:0;mso-height-percent:0;mso-wrap-distance-left:3.17486mm;mso-wrap-distance-top:0;mso-wrap-distance-right:3.17486mm;mso-wrap-distance-bottom:0;mso-position-horizontal:absolute;mso-position-horizontal-relative:page;mso-position-vertical:absolute;mso-position-vertical-relative:page;mso-width-percent:0;mso-height-percent:0;mso-width-relative:page;mso-height-relative:page" from="330.85pt,-.75pt" to="330.85pt,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" o:allowincell="f" strokecolor="silver">
                          <w10:wrap anchorx="page" anchory="page"/>
                        </v:line>
                      </w:pict>
                    </mc:Fallback>
                  </mc:AlternateContent>
                </w:r>
              </w:p>
            </w:tc>
            <w:tc>
              <w:tcPr>
                <w:tcW w:w="6095" w:type="dxa"/>
                <w:gridSpan w:val="4"/>
                <w:vMerge/>
              </w:tcPr>
              <w:p w14:paraId="2A77E2F8" w14:textId="77777777" w:rsidR="00F44591" w:rsidRPr="00D84322" w:rsidRDefault="00F44591" w:rsidP="00770C64">
                <w:pPr>
                  <w:spacing w:line="240" w:lineRule="exact"/>
                  <w:rPr>
                    <w:rFonts w:ascii="Univers" w:hAnsi="Univers" w:cs="Univers"/>
                    <w:color w:val="696E38"/>
                  </w:rPr>
                </w:pPr>
              </w:p>
            </w:tc>
          </w:tr>
          <w:tr w:rsidR="00F44591" w:rsidRPr="00D84322" w14:paraId="5165084E" w14:textId="77777777" w:rsidTr="00F44591">
            <w:trPr>
              <w:gridAfter w:val="1"/>
              <w:wAfter w:w="2443" w:type="dxa"/>
              <w:cantSplit/>
            </w:trPr>
            <w:tc>
              <w:tcPr>
                <w:tcW w:w="279" w:type="dxa"/>
              </w:tcPr>
              <w:p w14:paraId="5EFF370F" w14:textId="77777777" w:rsidR="00F44591" w:rsidRPr="00D4715D" w:rsidRDefault="00F44591" w:rsidP="00770C64">
                <w:pPr>
                  <w:rPr>
                    <w:rFonts w:ascii="Univers" w:hAnsi="Univers" w:cs="Univers"/>
                  </w:rPr>
                </w:pPr>
              </w:p>
            </w:tc>
            <w:tc>
              <w:tcPr>
                <w:tcW w:w="539" w:type="dxa"/>
                <w:vMerge w:val="restart"/>
              </w:tcPr>
              <w:p w14:paraId="1EB15266" w14:textId="77777777" w:rsidR="00F44591" w:rsidRPr="00D4715D" w:rsidRDefault="00F44591" w:rsidP="00770C64">
                <w:pPr>
                  <w:rPr>
                    <w:rFonts w:ascii="Univers" w:hAnsi="Univers" w:cs="Univers"/>
                    <w:color w:val="696E34"/>
                  </w:rPr>
                </w:pPr>
              </w:p>
            </w:tc>
            <w:tc>
              <w:tcPr>
                <w:tcW w:w="5845" w:type="dxa"/>
                <w:gridSpan w:val="5"/>
                <w:vMerge w:val="restart"/>
              </w:tcPr>
              <w:p w14:paraId="13B2E76D" w14:textId="77777777" w:rsidR="00F44591" w:rsidRPr="00D84322" w:rsidRDefault="00F44591" w:rsidP="00770C64">
                <w:pPr>
                  <w:spacing w:line="240" w:lineRule="exact"/>
                  <w:rPr>
                    <w:rFonts w:ascii="Univers" w:hAnsi="Univers" w:cs="Univers"/>
                    <w:color w:val="696E38"/>
                  </w:rPr>
                </w:pPr>
              </w:p>
            </w:tc>
          </w:tr>
          <w:tr w:rsidR="00F44591" w:rsidRPr="00D84322" w14:paraId="6ED46F55" w14:textId="77777777" w:rsidTr="00F44591">
            <w:trPr>
              <w:gridAfter w:val="1"/>
              <w:wAfter w:w="2443" w:type="dxa"/>
              <w:cantSplit/>
            </w:trPr>
            <w:tc>
              <w:tcPr>
                <w:tcW w:w="279" w:type="dxa"/>
              </w:tcPr>
              <w:p w14:paraId="2BFC6BA8" w14:textId="77777777" w:rsidR="00F44591" w:rsidRPr="00D4715D" w:rsidRDefault="00F44591" w:rsidP="00770C64">
                <w:pPr>
                  <w:rPr>
                    <w:rFonts w:ascii="Univers" w:hAnsi="Univers" w:cs="Univers"/>
                  </w:rPr>
                </w:pPr>
              </w:p>
            </w:tc>
            <w:tc>
              <w:tcPr>
                <w:tcW w:w="539" w:type="dxa"/>
                <w:vMerge/>
              </w:tcPr>
              <w:p w14:paraId="55FA6EB8" w14:textId="77777777" w:rsidR="00F44591" w:rsidRPr="00D4715D" w:rsidRDefault="00F44591" w:rsidP="00770C64">
                <w:pPr>
                  <w:rPr>
                    <w:rFonts w:ascii="Univers" w:hAnsi="Univers" w:cs="Univers"/>
                    <w:color w:val="696E34"/>
                  </w:rPr>
                </w:pPr>
              </w:p>
            </w:tc>
            <w:tc>
              <w:tcPr>
                <w:tcW w:w="5845" w:type="dxa"/>
                <w:gridSpan w:val="5"/>
                <w:vMerge/>
              </w:tcPr>
              <w:p w14:paraId="03765CD8" w14:textId="77777777" w:rsidR="00F44591" w:rsidRPr="00D84322" w:rsidRDefault="00F44591" w:rsidP="00770C64">
                <w:pPr>
                  <w:pStyle w:val="Header"/>
                  <w:rPr>
                    <w:color w:val="696E38"/>
                  </w:rPr>
                </w:pPr>
              </w:p>
            </w:tc>
          </w:tr>
          <w:tr w:rsidR="00F44591" w:rsidRPr="00D84322" w14:paraId="6E7B5F3B" w14:textId="77777777" w:rsidTr="00F44591">
            <w:trPr>
              <w:gridAfter w:val="1"/>
              <w:wAfter w:w="2443" w:type="dxa"/>
              <w:cantSplit/>
            </w:trPr>
            <w:tc>
              <w:tcPr>
                <w:tcW w:w="279" w:type="dxa"/>
              </w:tcPr>
              <w:p w14:paraId="66BFF7CD" w14:textId="77777777" w:rsidR="00F44591" w:rsidRPr="00D4715D" w:rsidRDefault="00F44591" w:rsidP="00770C64">
                <w:pPr>
                  <w:rPr>
                    <w:rFonts w:ascii="Univers" w:hAnsi="Univers" w:cs="Univers"/>
                  </w:rPr>
                </w:pPr>
              </w:p>
            </w:tc>
            <w:tc>
              <w:tcPr>
                <w:tcW w:w="539" w:type="dxa"/>
                <w:vMerge/>
              </w:tcPr>
              <w:p w14:paraId="261089A9" w14:textId="77777777" w:rsidR="00F44591" w:rsidRPr="00D4715D" w:rsidRDefault="00F44591" w:rsidP="00770C64">
                <w:pPr>
                  <w:rPr>
                    <w:rFonts w:ascii="Univers" w:hAnsi="Univers" w:cs="Univers"/>
                    <w:color w:val="696E34"/>
                  </w:rPr>
                </w:pPr>
              </w:p>
            </w:tc>
            <w:tc>
              <w:tcPr>
                <w:tcW w:w="5845" w:type="dxa"/>
                <w:gridSpan w:val="5"/>
                <w:vMerge/>
              </w:tcPr>
              <w:p w14:paraId="637DDC5A" w14:textId="77777777" w:rsidR="00F44591" w:rsidRPr="00D84322" w:rsidRDefault="00F44591" w:rsidP="00770C64">
                <w:pPr>
                  <w:spacing w:line="240" w:lineRule="exact"/>
                  <w:rPr>
                    <w:rFonts w:ascii="Univers" w:hAnsi="Univers" w:cs="Univers"/>
                    <w:color w:val="696E38"/>
                  </w:rPr>
                </w:pPr>
              </w:p>
            </w:tc>
          </w:tr>
          <w:tr w:rsidR="00F44591" w:rsidRPr="00D84322" w14:paraId="00BD9349" w14:textId="77777777" w:rsidTr="00F44591">
            <w:trPr>
              <w:gridAfter w:val="1"/>
              <w:wAfter w:w="2443" w:type="dxa"/>
              <w:cantSplit/>
            </w:trPr>
            <w:tc>
              <w:tcPr>
                <w:tcW w:w="279" w:type="dxa"/>
              </w:tcPr>
              <w:p w14:paraId="0E0141EA" w14:textId="77777777" w:rsidR="00F44591" w:rsidRPr="00D4715D" w:rsidRDefault="00F44591" w:rsidP="00770C64">
                <w:pPr>
                  <w:rPr>
                    <w:rFonts w:ascii="Univers" w:hAnsi="Univers" w:cs="Univers"/>
                  </w:rPr>
                </w:pPr>
              </w:p>
            </w:tc>
            <w:tc>
              <w:tcPr>
                <w:tcW w:w="539" w:type="dxa"/>
                <w:vMerge/>
              </w:tcPr>
              <w:p w14:paraId="7CAA6DCE" w14:textId="77777777" w:rsidR="00F44591" w:rsidRPr="00D4715D" w:rsidRDefault="00F44591" w:rsidP="00770C64">
                <w:pPr>
                  <w:rPr>
                    <w:rFonts w:ascii="Univers" w:hAnsi="Univers" w:cs="Univers"/>
                    <w:color w:val="696E34"/>
                  </w:rPr>
                </w:pPr>
              </w:p>
            </w:tc>
            <w:tc>
              <w:tcPr>
                <w:tcW w:w="5845" w:type="dxa"/>
                <w:gridSpan w:val="5"/>
                <w:vMerge/>
              </w:tcPr>
              <w:p w14:paraId="31435FC3" w14:textId="77777777" w:rsidR="00F44591" w:rsidRPr="00D84322" w:rsidRDefault="00F44591" w:rsidP="00770C64">
                <w:pPr>
                  <w:spacing w:line="240" w:lineRule="exact"/>
                  <w:rPr>
                    <w:rFonts w:ascii="Univers" w:hAnsi="Univers" w:cs="Univers"/>
                    <w:color w:val="696E38"/>
                  </w:rPr>
                </w:pPr>
              </w:p>
            </w:tc>
          </w:tr>
          <w:tr w:rsidR="00F44591" w:rsidRPr="00D84322" w14:paraId="3C9A7FB5" w14:textId="77777777" w:rsidTr="00F44591">
            <w:trPr>
              <w:gridAfter w:val="1"/>
              <w:wAfter w:w="2443" w:type="dxa"/>
              <w:cantSplit/>
            </w:trPr>
            <w:tc>
              <w:tcPr>
                <w:tcW w:w="279" w:type="dxa"/>
              </w:tcPr>
              <w:p w14:paraId="03C80A06" w14:textId="77777777" w:rsidR="00F44591" w:rsidRPr="00D4715D" w:rsidRDefault="00F44591" w:rsidP="00770C64">
                <w:pPr>
                  <w:rPr>
                    <w:rFonts w:ascii="Univers" w:hAnsi="Univers" w:cs="Univers"/>
                  </w:rPr>
                </w:pPr>
              </w:p>
            </w:tc>
            <w:tc>
              <w:tcPr>
                <w:tcW w:w="539" w:type="dxa"/>
                <w:vMerge/>
              </w:tcPr>
              <w:p w14:paraId="13B11D03" w14:textId="77777777" w:rsidR="00F44591" w:rsidRPr="00D4715D" w:rsidRDefault="00F44591" w:rsidP="00770C64">
                <w:pPr>
                  <w:rPr>
                    <w:rFonts w:ascii="Univers" w:hAnsi="Univers" w:cs="Univers"/>
                    <w:color w:val="696E34"/>
                  </w:rPr>
                </w:pPr>
              </w:p>
            </w:tc>
            <w:tc>
              <w:tcPr>
                <w:tcW w:w="5845" w:type="dxa"/>
                <w:gridSpan w:val="5"/>
                <w:vMerge/>
              </w:tcPr>
              <w:p w14:paraId="0CB2A617" w14:textId="77777777" w:rsidR="00F44591" w:rsidRPr="00D84322" w:rsidRDefault="00F44591" w:rsidP="00770C64">
                <w:pPr>
                  <w:spacing w:line="240" w:lineRule="exact"/>
                  <w:rPr>
                    <w:rFonts w:ascii="Univers" w:hAnsi="Univers" w:cs="Univers"/>
                    <w:color w:val="696E38"/>
                  </w:rPr>
                </w:pPr>
              </w:p>
            </w:tc>
          </w:tr>
          <w:tr w:rsidR="00011EDB" w:rsidRPr="00D4715D" w14:paraId="365D8C08" w14:textId="77777777" w:rsidTr="00F44591">
            <w:trPr>
              <w:cantSplit/>
            </w:trPr>
            <w:tc>
              <w:tcPr>
                <w:tcW w:w="279" w:type="dxa"/>
              </w:tcPr>
              <w:p w14:paraId="0E221F8E" w14:textId="77777777" w:rsidR="00011EDB" w:rsidRPr="00D4715D" w:rsidRDefault="00011EDB" w:rsidP="00770C64">
                <w:pPr>
                  <w:rPr>
                    <w:rFonts w:ascii="Univers" w:hAnsi="Univers" w:cs="Univers"/>
                  </w:rPr>
                </w:pPr>
              </w:p>
            </w:tc>
            <w:tc>
              <w:tcPr>
                <w:tcW w:w="2698" w:type="dxa"/>
                <w:gridSpan w:val="2"/>
              </w:tcPr>
              <w:p w14:paraId="4E214FD2" w14:textId="77777777" w:rsidR="00011EDB" w:rsidRPr="00D4715D" w:rsidRDefault="00011EDB" w:rsidP="00770C64">
                <w:pPr>
                  <w:spacing w:line="240" w:lineRule="exact"/>
                  <w:jc w:val="right"/>
                  <w:rPr>
                    <w:rFonts w:ascii="Univers" w:hAnsi="Univers" w:cs="Univers"/>
                    <w:color w:val="696E34"/>
                    <w:sz w:val="14"/>
                    <w:szCs w:val="14"/>
                  </w:rPr>
                </w:pPr>
              </w:p>
            </w:tc>
            <w:tc>
              <w:tcPr>
                <w:tcW w:w="284" w:type="dxa"/>
              </w:tcPr>
              <w:p w14:paraId="6EFFFED5" w14:textId="77777777" w:rsidR="00011EDB" w:rsidRPr="00D4715D" w:rsidRDefault="00011EDB" w:rsidP="00770C64">
                <w:pPr>
                  <w:spacing w:before="40"/>
                  <w:rPr>
                    <w:rFonts w:ascii="Univers" w:hAnsi="Univers" w:cs="Univers"/>
                    <w:color w:val="696E34"/>
                    <w:sz w:val="14"/>
                    <w:szCs w:val="14"/>
                  </w:rPr>
                </w:pPr>
              </w:p>
            </w:tc>
            <w:tc>
              <w:tcPr>
                <w:tcW w:w="5845" w:type="dxa"/>
                <w:gridSpan w:val="4"/>
              </w:tcPr>
              <w:p w14:paraId="6DE01F85" w14:textId="77777777" w:rsidR="00011EDB" w:rsidRPr="00D4715D" w:rsidRDefault="00011EDB" w:rsidP="00770C64">
                <w:pPr>
                  <w:spacing w:line="240" w:lineRule="exact"/>
                  <w:rPr>
                    <w:rFonts w:ascii="Univers" w:hAnsi="Univers" w:cs="Univers"/>
                    <w:color w:val="696E34"/>
                    <w:sz w:val="28"/>
                    <w:szCs w:val="28"/>
                  </w:rPr>
                </w:pPr>
              </w:p>
              <w:p w14:paraId="4A26321E" w14:textId="77777777" w:rsidR="00011EDB" w:rsidRPr="00D4715D" w:rsidRDefault="00011EDB" w:rsidP="00770C64">
                <w:pPr>
                  <w:spacing w:line="240" w:lineRule="exact"/>
                  <w:rPr>
                    <w:rFonts w:ascii="Univers" w:hAnsi="Univers" w:cs="Univers"/>
                    <w:color w:val="696E34"/>
                    <w:sz w:val="28"/>
                    <w:szCs w:val="28"/>
                  </w:rPr>
                </w:pPr>
              </w:p>
            </w:tc>
          </w:tr>
          <w:tr w:rsidR="00011EDB" w:rsidRPr="00D4715D" w14:paraId="48EF3260" w14:textId="77777777" w:rsidTr="00F44591">
            <w:trPr>
              <w:cantSplit/>
            </w:trPr>
            <w:tc>
              <w:tcPr>
                <w:tcW w:w="279" w:type="dxa"/>
              </w:tcPr>
              <w:p w14:paraId="3DD1CE4C" w14:textId="77777777" w:rsidR="00011EDB" w:rsidRPr="00D4715D" w:rsidRDefault="00011EDB" w:rsidP="00770C64">
                <w:pPr>
                  <w:rPr>
                    <w:rFonts w:ascii="Univers" w:hAnsi="Univers" w:cs="Univers"/>
                  </w:rPr>
                </w:pPr>
              </w:p>
            </w:tc>
            <w:tc>
              <w:tcPr>
                <w:tcW w:w="2698" w:type="dxa"/>
                <w:gridSpan w:val="2"/>
              </w:tcPr>
              <w:p w14:paraId="34E406B6" w14:textId="77777777" w:rsidR="00011EDB" w:rsidRPr="00D4715D" w:rsidRDefault="00011EDB" w:rsidP="00770C64">
                <w:pPr>
                  <w:spacing w:line="240" w:lineRule="exact"/>
                  <w:jc w:val="right"/>
                  <w:rPr>
                    <w:rFonts w:ascii="Univers" w:hAnsi="Univers" w:cs="Univers"/>
                    <w:color w:val="696E34"/>
                    <w:sz w:val="14"/>
                    <w:szCs w:val="14"/>
                  </w:rPr>
                </w:pPr>
              </w:p>
            </w:tc>
            <w:tc>
              <w:tcPr>
                <w:tcW w:w="284" w:type="dxa"/>
              </w:tcPr>
              <w:p w14:paraId="2AE24A70" w14:textId="77777777" w:rsidR="00011EDB" w:rsidRPr="00D4715D" w:rsidRDefault="00011EDB" w:rsidP="00770C64">
                <w:pPr>
                  <w:spacing w:before="40"/>
                  <w:rPr>
                    <w:rFonts w:ascii="Univers" w:hAnsi="Univers" w:cs="Univers"/>
                    <w:color w:val="696E34"/>
                    <w:sz w:val="14"/>
                    <w:szCs w:val="14"/>
                  </w:rPr>
                </w:pPr>
              </w:p>
            </w:tc>
            <w:tc>
              <w:tcPr>
                <w:tcW w:w="5845" w:type="dxa"/>
                <w:gridSpan w:val="4"/>
              </w:tcPr>
              <w:p w14:paraId="464E67C1" w14:textId="77777777" w:rsidR="00011EDB" w:rsidRPr="00D4715D" w:rsidRDefault="00011EDB" w:rsidP="00770C64">
                <w:pPr>
                  <w:spacing w:line="240" w:lineRule="exact"/>
                  <w:rPr>
                    <w:rFonts w:ascii="Univers" w:hAnsi="Univers" w:cs="Univers"/>
                    <w:color w:val="696E34"/>
                  </w:rPr>
                </w:pPr>
              </w:p>
            </w:tc>
          </w:tr>
          <w:tr w:rsidR="0059651A" w:rsidRPr="00D4715D" w14:paraId="242E6E1F" w14:textId="77777777" w:rsidTr="00F44591">
            <w:trPr>
              <w:gridAfter w:val="2"/>
              <w:wAfter w:w="2550" w:type="dxa"/>
              <w:cantSplit/>
            </w:trPr>
            <w:tc>
              <w:tcPr>
                <w:tcW w:w="279" w:type="dxa"/>
              </w:tcPr>
              <w:p w14:paraId="1B6C6FDC" w14:textId="77777777" w:rsidR="0059651A" w:rsidRPr="00D4715D" w:rsidRDefault="0059651A" w:rsidP="00770C64">
                <w:pPr>
                  <w:rPr>
                    <w:rFonts w:ascii="Univers" w:hAnsi="Univers" w:cs="Univers"/>
                  </w:rPr>
                </w:pPr>
              </w:p>
            </w:tc>
            <w:tc>
              <w:tcPr>
                <w:tcW w:w="539" w:type="dxa"/>
              </w:tcPr>
              <w:p w14:paraId="28DDC438" w14:textId="77777777" w:rsidR="0059651A" w:rsidRPr="00D4715D" w:rsidRDefault="0059651A" w:rsidP="00770C64">
                <w:pPr>
                  <w:spacing w:before="40"/>
                  <w:rPr>
                    <w:rFonts w:ascii="Univers" w:hAnsi="Univers" w:cs="Univers"/>
                    <w:color w:val="696E34"/>
                    <w:sz w:val="14"/>
                    <w:szCs w:val="14"/>
                  </w:rPr>
                </w:pPr>
              </w:p>
            </w:tc>
            <w:tc>
              <w:tcPr>
                <w:tcW w:w="5738" w:type="dxa"/>
                <w:gridSpan w:val="4"/>
              </w:tcPr>
              <w:p w14:paraId="5EBD6DE9" w14:textId="77777777" w:rsidR="0059651A" w:rsidRPr="00D4715D" w:rsidRDefault="0059651A" w:rsidP="00770C64">
                <w:pPr>
                  <w:spacing w:line="240" w:lineRule="exact"/>
                  <w:rPr>
                    <w:rFonts w:ascii="Univers" w:hAnsi="Univers" w:cs="Univers"/>
                    <w:color w:val="696E34"/>
                  </w:rPr>
                </w:pPr>
              </w:p>
            </w:tc>
          </w:tr>
          <w:tr w:rsidR="00011EDB" w:rsidRPr="00011EDB" w14:paraId="37E5961B" w14:textId="77777777" w:rsidTr="00F44591">
            <w:trPr>
              <w:cantSplit/>
            </w:trPr>
            <w:tc>
              <w:tcPr>
                <w:tcW w:w="279" w:type="dxa"/>
              </w:tcPr>
              <w:p w14:paraId="24435303" w14:textId="77777777" w:rsidR="00011EDB" w:rsidRPr="00011EDB" w:rsidRDefault="00011EDB" w:rsidP="00770C64">
                <w:pPr>
                  <w:rPr>
                    <w:b/>
                    <w:bCs/>
                    <w:caps/>
                    <w:color w:val="696E34"/>
                    <w:sz w:val="28"/>
                    <w:szCs w:val="28"/>
                  </w:rPr>
                </w:pPr>
              </w:p>
            </w:tc>
            <w:tc>
              <w:tcPr>
                <w:tcW w:w="2698" w:type="dxa"/>
                <w:gridSpan w:val="2"/>
              </w:tcPr>
              <w:p w14:paraId="45D452F6" w14:textId="77777777" w:rsidR="00011EDB" w:rsidRPr="00011EDB" w:rsidRDefault="00011EDB" w:rsidP="00011EDB">
                <w:pPr>
                  <w:rPr>
                    <w:b/>
                    <w:bCs/>
                    <w:caps/>
                    <w:color w:val="696E34"/>
                    <w:sz w:val="28"/>
                    <w:szCs w:val="28"/>
                  </w:rPr>
                </w:pPr>
              </w:p>
            </w:tc>
            <w:tc>
              <w:tcPr>
                <w:tcW w:w="284" w:type="dxa"/>
              </w:tcPr>
              <w:p w14:paraId="7D7F7C08" w14:textId="77777777" w:rsidR="00011EDB" w:rsidRPr="00011EDB" w:rsidRDefault="00011EDB" w:rsidP="00011EDB">
                <w:pPr>
                  <w:rPr>
                    <w:b/>
                    <w:bCs/>
                    <w:caps/>
                    <w:color w:val="696E34"/>
                    <w:sz w:val="28"/>
                    <w:szCs w:val="28"/>
                  </w:rPr>
                </w:pPr>
              </w:p>
            </w:tc>
            <w:tc>
              <w:tcPr>
                <w:tcW w:w="5845" w:type="dxa"/>
                <w:gridSpan w:val="4"/>
              </w:tcPr>
              <w:p w14:paraId="1EC648DA" w14:textId="77777777" w:rsidR="00011EDB" w:rsidRPr="00011EDB" w:rsidRDefault="00011EDB" w:rsidP="00011EDB">
                <w:pPr>
                  <w:rPr>
                    <w:b/>
                    <w:bCs/>
                    <w:caps/>
                    <w:color w:val="696E34"/>
                    <w:sz w:val="28"/>
                    <w:szCs w:val="28"/>
                  </w:rPr>
                </w:pPr>
              </w:p>
            </w:tc>
          </w:tr>
        </w:tbl>
        <w:p w14:paraId="2538D618" w14:textId="107A2F5D" w:rsidR="00011EDB" w:rsidRDefault="00011EDB" w:rsidP="00011EDB">
          <w:pPr>
            <w:spacing w:after="200" w:line="276" w:lineRule="auto"/>
            <w:ind w:left="0"/>
          </w:pPr>
        </w:p>
        <w:p w14:paraId="3A77B1B1" w14:textId="1CE8A1E7" w:rsidR="00011EDB" w:rsidRDefault="00011EDB" w:rsidP="00011EDB">
          <w:pPr>
            <w:spacing w:after="200" w:line="276" w:lineRule="auto"/>
            <w:ind w:left="0"/>
          </w:pPr>
        </w:p>
        <w:p w14:paraId="2397E327" w14:textId="14F2068B" w:rsidR="00011EDB" w:rsidRDefault="00011EDB" w:rsidP="00011EDB">
          <w:pPr>
            <w:spacing w:after="200" w:line="276" w:lineRule="auto"/>
            <w:ind w:left="0"/>
          </w:pPr>
        </w:p>
        <w:p w14:paraId="23F1BEE4" w14:textId="0C34F3BE" w:rsidR="00011EDB" w:rsidRDefault="00011EDB" w:rsidP="00011EDB">
          <w:pPr>
            <w:spacing w:after="200" w:line="276" w:lineRule="auto"/>
            <w:ind w:left="0"/>
          </w:pPr>
        </w:p>
        <w:p w14:paraId="66777B5D" w14:textId="10C49999" w:rsidR="00011EDB" w:rsidRDefault="00011EDB" w:rsidP="00011EDB">
          <w:pPr>
            <w:spacing w:after="200" w:line="276" w:lineRule="auto"/>
            <w:ind w:left="0"/>
          </w:pPr>
        </w:p>
        <w:p w14:paraId="61452AE4" w14:textId="358B6264" w:rsidR="00011EDB" w:rsidRDefault="00011EDB" w:rsidP="00011EDB">
          <w:pPr>
            <w:spacing w:after="200" w:line="276" w:lineRule="auto"/>
            <w:ind w:left="0"/>
          </w:pPr>
        </w:p>
        <w:p w14:paraId="3F4A6FF1" w14:textId="25B553AF" w:rsidR="00011EDB" w:rsidRDefault="00011EDB" w:rsidP="00011EDB">
          <w:pPr>
            <w:spacing w:after="200" w:line="276" w:lineRule="auto"/>
            <w:ind w:left="0"/>
          </w:pPr>
        </w:p>
        <w:p w14:paraId="38581FF7" w14:textId="27CF13D5" w:rsidR="00011EDB" w:rsidRDefault="00011EDB" w:rsidP="00011EDB">
          <w:pPr>
            <w:spacing w:after="200" w:line="276" w:lineRule="auto"/>
            <w:ind w:left="0"/>
          </w:pPr>
        </w:p>
        <w:p w14:paraId="4E38A8B2" w14:textId="6EAC9817" w:rsidR="00011EDB" w:rsidRDefault="00011EDB" w:rsidP="00011EDB">
          <w:pPr>
            <w:spacing w:after="200" w:line="276" w:lineRule="auto"/>
            <w:ind w:left="0"/>
          </w:pPr>
        </w:p>
        <w:p w14:paraId="6E53ABFB" w14:textId="77777777" w:rsidR="00011EDB" w:rsidRDefault="00011EDB" w:rsidP="00011EDB">
          <w:pPr>
            <w:spacing w:after="200" w:line="276" w:lineRule="auto"/>
            <w:ind w:left="0"/>
          </w:pPr>
        </w:p>
        <w:p w14:paraId="1997A5C2" w14:textId="77777777" w:rsidR="00011EDB" w:rsidRDefault="00011EDB" w:rsidP="00011EDB">
          <w:pPr>
            <w:spacing w:after="200" w:line="276" w:lineRule="auto"/>
            <w:ind w:left="0"/>
          </w:pPr>
        </w:p>
        <w:p w14:paraId="58F2ACF8" w14:textId="77777777" w:rsidR="00011EDB" w:rsidRDefault="00011EDB" w:rsidP="00011EDB">
          <w:pPr>
            <w:spacing w:after="200" w:line="276" w:lineRule="auto"/>
            <w:ind w:left="0"/>
          </w:pPr>
        </w:p>
        <w:p w14:paraId="3E49CEDD" w14:textId="77777777" w:rsidR="00011EDB" w:rsidRDefault="00011EDB" w:rsidP="00011EDB">
          <w:pPr>
            <w:spacing w:after="200" w:line="276" w:lineRule="auto"/>
            <w:ind w:left="0"/>
          </w:pPr>
        </w:p>
        <w:p w14:paraId="65B7269F" w14:textId="77777777" w:rsidR="00011EDB" w:rsidRDefault="00011EDB" w:rsidP="00011EDB">
          <w:pPr>
            <w:spacing w:after="200" w:line="276" w:lineRule="auto"/>
            <w:ind w:left="0"/>
          </w:pPr>
        </w:p>
        <w:p w14:paraId="59A5F618" w14:textId="77777777" w:rsidR="00011EDB" w:rsidRDefault="00011EDB" w:rsidP="00011EDB">
          <w:pPr>
            <w:spacing w:after="200" w:line="276" w:lineRule="auto"/>
            <w:ind w:left="0"/>
          </w:pPr>
        </w:p>
        <w:p w14:paraId="589CE576" w14:textId="77777777" w:rsidR="00011EDB" w:rsidRDefault="00011EDB" w:rsidP="00011EDB">
          <w:pPr>
            <w:spacing w:after="200" w:line="276" w:lineRule="auto"/>
            <w:ind w:left="0"/>
          </w:pPr>
        </w:p>
        <w:p w14:paraId="4082287F" w14:textId="77777777" w:rsidR="00011EDB" w:rsidRDefault="00011EDB" w:rsidP="00011EDB">
          <w:pPr>
            <w:spacing w:after="200" w:line="276" w:lineRule="auto"/>
            <w:ind w:left="0"/>
          </w:pPr>
        </w:p>
        <w:p w14:paraId="453740E4" w14:textId="77777777" w:rsidR="00011EDB" w:rsidRDefault="00011EDB" w:rsidP="00011EDB">
          <w:pPr>
            <w:spacing w:after="200" w:line="276" w:lineRule="auto"/>
            <w:ind w:left="0"/>
          </w:pPr>
        </w:p>
        <w:p w14:paraId="59099F11" w14:textId="77777777" w:rsidR="00011EDB" w:rsidRDefault="00011EDB" w:rsidP="00011EDB">
          <w:pPr>
            <w:spacing w:after="200" w:line="276" w:lineRule="auto"/>
            <w:ind w:left="0"/>
          </w:pPr>
        </w:p>
        <w:p w14:paraId="5F103539" w14:textId="77777777" w:rsidR="00011EDB" w:rsidRDefault="00011EDB" w:rsidP="00011EDB">
          <w:pPr>
            <w:spacing w:after="200" w:line="276" w:lineRule="auto"/>
            <w:ind w:left="0"/>
          </w:pPr>
        </w:p>
        <w:p w14:paraId="484E52DA" w14:textId="77777777" w:rsidR="00011EDB" w:rsidRDefault="00011EDB" w:rsidP="00011EDB">
          <w:pPr>
            <w:spacing w:after="200" w:line="276" w:lineRule="auto"/>
            <w:ind w:left="0"/>
          </w:pPr>
        </w:p>
        <w:p w14:paraId="05773A40" w14:textId="77777777" w:rsidR="00011EDB" w:rsidRDefault="00011EDB" w:rsidP="00011EDB">
          <w:pPr>
            <w:spacing w:after="200" w:line="276" w:lineRule="auto"/>
            <w:ind w:left="0"/>
          </w:pPr>
        </w:p>
        <w:p w14:paraId="59A6067B" w14:textId="77777777" w:rsidR="00011EDB" w:rsidRDefault="00011EDB" w:rsidP="00011EDB">
          <w:pPr>
            <w:spacing w:after="200" w:line="276" w:lineRule="auto"/>
            <w:ind w:left="0"/>
          </w:pPr>
        </w:p>
        <w:p w14:paraId="0A6F7EEC" w14:textId="77777777" w:rsidR="00011EDB" w:rsidRDefault="00011EDB" w:rsidP="00011EDB">
          <w:pPr>
            <w:spacing w:after="200" w:line="276" w:lineRule="auto"/>
            <w:ind w:left="0"/>
          </w:pPr>
        </w:p>
        <w:p w14:paraId="7561A5E3" w14:textId="77777777" w:rsidR="00011EDB" w:rsidRDefault="00011EDB" w:rsidP="00011EDB">
          <w:pPr>
            <w:spacing w:after="200" w:line="276" w:lineRule="auto"/>
            <w:ind w:left="0"/>
          </w:pPr>
        </w:p>
        <w:p w14:paraId="50711CE6" w14:textId="041B6379" w:rsidR="00011EDB" w:rsidRDefault="002D202C" w:rsidP="00011EDB">
          <w:pPr>
            <w:spacing w:after="200" w:line="276" w:lineRule="auto"/>
            <w:ind w:left="0"/>
          </w:pPr>
          <w:r>
            <w:rPr>
              <w:noProof/>
              <w:lang w:eastAsia="ko-KR" w:bidi="ar-SA"/>
            </w:rPr>
            <mc:AlternateContent>
              <mc:Choice Requires="wps">
                <w:drawing>
                  <wp:anchor distT="0" distB="0" distL="114300" distR="114300" simplePos="0" relativeHeight="251660288" behindDoc="0" locked="0" layoutInCell="1" allowOverlap="1" wp14:anchorId="29C3BDAC" wp14:editId="2FB6610E">
                    <wp:simplePos x="0" y="0"/>
                    <wp:positionH relativeFrom="column">
                      <wp:posOffset>2722387</wp:posOffset>
                    </wp:positionH>
                    <wp:positionV relativeFrom="paragraph">
                      <wp:posOffset>1211135</wp:posOffset>
                    </wp:positionV>
                    <wp:extent cx="163773" cy="170597"/>
                    <wp:effectExtent l="0" t="0" r="27305" b="20320"/>
                    <wp:wrapNone/>
                    <wp:docPr id="9" name="Rectangle 9"/>
                    <wp:cNvGraphicFramePr/>
                    <a:graphic xmlns:a="http://schemas.openxmlformats.org/drawingml/2006/main">
                      <a:graphicData uri="http://schemas.microsoft.com/office/word/2010/wordprocessingShape">
                        <wps:wsp>
                          <wps:cNvSpPr/>
                          <wps:spPr>
                            <a:xfrm>
                              <a:off x="0" y="0"/>
                              <a:ext cx="163773" cy="17059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EDBF02" id="Rectangle 9" o:spid="_x0000_s1026" style="position:absolute;margin-left:214.35pt;margin-top:95.35pt;width:12.9pt;height:13.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" fillcolor="white [3212]" strokecolor="white [3212]" strokeweight="2pt"/>
                </w:pict>
              </mc:Fallback>
            </mc:AlternateContent>
          </w:r>
        </w:p>
        <w:p w14:paraId="2986CAA3" w14:textId="77777777" w:rsidR="005163B1" w:rsidRDefault="005163B1" w:rsidP="00011EDB">
          <w:pPr>
            <w:spacing w:after="200" w:line="276" w:lineRule="auto"/>
            <w:ind w:left="0"/>
            <w:sectPr w:rsidR="005163B1" w:rsidSect="005163B1">
              <w:footerReference w:type="default" r:id="rId9"/>
              <w:footerReference w:type="first" r:id="rId10"/>
              <w:footnotePr>
                <w:numRestart w:val="eachSect"/>
              </w:footnotePr>
              <w:type w:val="continuous"/>
              <w:pgSz w:w="11906" w:h="16838" w:code="9"/>
              <w:pgMar w:top="2268" w:right="1418" w:bottom="1843" w:left="2268" w:header="709" w:footer="709" w:gutter="0"/>
              <w:pgNumType w:fmt="lowerRoman" w:start="1"/>
              <w:cols w:space="708"/>
              <w:titlePg/>
              <w:docGrid w:linePitch="360"/>
            </w:sectPr>
          </w:pPr>
        </w:p>
        <w:p w14:paraId="7E3BD2AD" w14:textId="565C495B" w:rsidR="0051451E" w:rsidRDefault="0051451E" w:rsidP="0051451E">
          <w:pPr>
            <w:spacing w:after="200" w:line="276" w:lineRule="auto"/>
            <w:rPr>
              <w:b/>
              <w:bCs/>
              <w:caps/>
              <w:color w:val="696E34"/>
              <w:sz w:val="28"/>
              <w:szCs w:val="28"/>
            </w:rPr>
          </w:pPr>
          <w:r>
            <w:rPr>
              <w:b/>
              <w:bCs/>
              <w:caps/>
              <w:color w:val="696E34"/>
              <w:sz w:val="28"/>
              <w:szCs w:val="28"/>
            </w:rPr>
            <w:lastRenderedPageBreak/>
            <w:t>Colophon</w:t>
          </w:r>
        </w:p>
        <w:p w14:paraId="2D7702B9" w14:textId="52BD14BE" w:rsidR="00316A51" w:rsidRDefault="00C27BF9" w:rsidP="00C27BF9">
          <w:pPr>
            <w:jc w:val="both"/>
          </w:pPr>
          <w:r>
            <w:t>This document is a Master’s Thesis for the completion of the Environment and Society Studies Programme at the Nijmegen School of Management, Radboud University, Nijmegen, Netherlands.</w:t>
          </w:r>
        </w:p>
        <w:p w14:paraId="3AD19BA9" w14:textId="76DF5DB6" w:rsidR="00C27BF9" w:rsidRDefault="00C27BF9" w:rsidP="00C27BF9">
          <w:pPr>
            <w:jc w:val="both"/>
          </w:pPr>
        </w:p>
        <w:p w14:paraId="721AFBB0" w14:textId="38C2DD19" w:rsidR="00C27BF9" w:rsidRDefault="00C7581E" w:rsidP="00C7581E">
          <w:pPr>
            <w:ind w:left="4247" w:hanging="3680"/>
            <w:jc w:val="both"/>
          </w:pPr>
          <w:r>
            <w:t>Title:</w:t>
          </w:r>
          <w:r>
            <w:tab/>
          </w:r>
          <w:r>
            <w:tab/>
            <w:t>The Role of Policy Instruments in the Integration of Energy Storage Systems into the Dutch Energy Mix</w:t>
          </w:r>
        </w:p>
        <w:p w14:paraId="26F91F0E" w14:textId="3E2923CB" w:rsidR="00C27BF9" w:rsidRDefault="00C27BF9" w:rsidP="00C27BF9">
          <w:pPr>
            <w:jc w:val="both"/>
          </w:pPr>
        </w:p>
        <w:p w14:paraId="4B4EF611" w14:textId="0BA97784" w:rsidR="00C27BF9" w:rsidRDefault="00C27BF9" w:rsidP="00C27BF9">
          <w:pPr>
            <w:jc w:val="both"/>
          </w:pPr>
          <w:r>
            <w:t xml:space="preserve">Version: </w:t>
          </w:r>
          <w:r>
            <w:tab/>
          </w:r>
          <w:r>
            <w:tab/>
          </w:r>
          <w:r>
            <w:tab/>
          </w:r>
          <w:r>
            <w:tab/>
          </w:r>
          <w:r>
            <w:tab/>
            <w:t>Final Version</w:t>
          </w:r>
        </w:p>
        <w:p w14:paraId="23DAB46E" w14:textId="1848A965" w:rsidR="00C27BF9" w:rsidRDefault="00C27BF9" w:rsidP="00C27BF9">
          <w:pPr>
            <w:jc w:val="both"/>
          </w:pPr>
        </w:p>
        <w:p w14:paraId="36973B78" w14:textId="547BFC2C" w:rsidR="00C27BF9" w:rsidRDefault="000D62D7" w:rsidP="00C27BF9">
          <w:pPr>
            <w:jc w:val="both"/>
          </w:pPr>
          <w:r>
            <w:t>Date of Submission:</w:t>
          </w:r>
          <w:r>
            <w:tab/>
          </w:r>
          <w:r>
            <w:tab/>
          </w:r>
          <w:r>
            <w:tab/>
            <w:t>21</w:t>
          </w:r>
          <w:r w:rsidRPr="000D62D7">
            <w:rPr>
              <w:vertAlign w:val="superscript"/>
            </w:rPr>
            <w:t>st</w:t>
          </w:r>
          <w:r w:rsidR="00C27BF9">
            <w:t xml:space="preserve"> August 2017</w:t>
          </w:r>
        </w:p>
        <w:p w14:paraId="16891177" w14:textId="15CAB181" w:rsidR="00C27BF9" w:rsidRDefault="00C27BF9" w:rsidP="00C27BF9">
          <w:pPr>
            <w:jc w:val="both"/>
          </w:pPr>
          <w:r>
            <w:tab/>
          </w:r>
        </w:p>
        <w:p w14:paraId="11D3D8D3" w14:textId="190E0BED" w:rsidR="00C27BF9" w:rsidRDefault="00C27BF9" w:rsidP="00C27BF9">
          <w:pPr>
            <w:jc w:val="both"/>
          </w:pPr>
          <w:r>
            <w:t>Author:</w:t>
          </w:r>
          <w:r>
            <w:tab/>
          </w:r>
          <w:r>
            <w:tab/>
          </w:r>
          <w:r>
            <w:tab/>
          </w:r>
          <w:r>
            <w:tab/>
          </w:r>
          <w:r>
            <w:tab/>
            <w:t>Andrew Walker</w:t>
          </w:r>
        </w:p>
        <w:p w14:paraId="4AEC4F60" w14:textId="4C76D92E" w:rsidR="00C27BF9" w:rsidRDefault="00C27BF9" w:rsidP="00C27BF9">
          <w:pPr>
            <w:jc w:val="both"/>
          </w:pPr>
          <w:r>
            <w:tab/>
          </w:r>
          <w:r>
            <w:tab/>
          </w:r>
          <w:r>
            <w:tab/>
          </w:r>
          <w:r>
            <w:tab/>
          </w:r>
          <w:r>
            <w:tab/>
          </w:r>
          <w:r>
            <w:tab/>
          </w:r>
        </w:p>
        <w:p w14:paraId="06768BFC" w14:textId="57F7A98D" w:rsidR="00C27BF9" w:rsidRDefault="00C27BF9" w:rsidP="00C27BF9">
          <w:pPr>
            <w:jc w:val="both"/>
          </w:pPr>
          <w:r>
            <w:t xml:space="preserve">Student Number: </w:t>
          </w:r>
          <w:r>
            <w:tab/>
          </w:r>
          <w:r>
            <w:tab/>
          </w:r>
          <w:r>
            <w:tab/>
          </w:r>
          <w:r>
            <w:tab/>
            <w:t>s4694147</w:t>
          </w:r>
        </w:p>
        <w:p w14:paraId="53307139" w14:textId="04746842" w:rsidR="00C27BF9" w:rsidRDefault="00C27BF9" w:rsidP="00C27BF9">
          <w:pPr>
            <w:jc w:val="both"/>
          </w:pPr>
        </w:p>
        <w:p w14:paraId="00D06992" w14:textId="4C629CAB" w:rsidR="00C27BF9" w:rsidRDefault="00C27BF9" w:rsidP="00C27BF9">
          <w:pPr>
            <w:jc w:val="both"/>
          </w:pPr>
          <w:r>
            <w:t>University:</w:t>
          </w:r>
          <w:r>
            <w:tab/>
          </w:r>
          <w:r>
            <w:tab/>
          </w:r>
          <w:r>
            <w:tab/>
          </w:r>
          <w:r>
            <w:tab/>
          </w:r>
          <w:r>
            <w:tab/>
            <w:t>Radboud University</w:t>
          </w:r>
        </w:p>
        <w:p w14:paraId="7E211925" w14:textId="2C6D1651" w:rsidR="00C27BF9" w:rsidRDefault="00C27BF9" w:rsidP="00C27BF9">
          <w:pPr>
            <w:jc w:val="both"/>
          </w:pPr>
          <w:r>
            <w:tab/>
          </w:r>
          <w:r>
            <w:tab/>
          </w:r>
          <w:r>
            <w:tab/>
          </w:r>
          <w:r>
            <w:tab/>
          </w:r>
          <w:r>
            <w:tab/>
          </w:r>
          <w:r>
            <w:tab/>
            <w:t>Nijmegen School of Management</w:t>
          </w:r>
        </w:p>
        <w:p w14:paraId="5BA25DB9" w14:textId="2E4F5F00" w:rsidR="00C27BF9" w:rsidRDefault="00C27BF9" w:rsidP="00C27BF9">
          <w:pPr>
            <w:jc w:val="both"/>
          </w:pPr>
          <w:r>
            <w:tab/>
          </w:r>
          <w:r>
            <w:tab/>
          </w:r>
          <w:r>
            <w:tab/>
          </w:r>
          <w:r>
            <w:tab/>
          </w:r>
          <w:r>
            <w:tab/>
          </w:r>
          <w:r>
            <w:tab/>
            <w:t>Postbus 9108</w:t>
          </w:r>
        </w:p>
        <w:p w14:paraId="35FC3D25" w14:textId="13FE3964" w:rsidR="00C27BF9" w:rsidRDefault="00C27BF9" w:rsidP="00C27BF9">
          <w:pPr>
            <w:jc w:val="both"/>
          </w:pPr>
          <w:r>
            <w:tab/>
          </w:r>
          <w:r>
            <w:tab/>
          </w:r>
          <w:r>
            <w:tab/>
          </w:r>
          <w:r>
            <w:tab/>
          </w:r>
          <w:r>
            <w:tab/>
          </w:r>
          <w:r>
            <w:tab/>
            <w:t>6500 HK Nijmegen</w:t>
          </w:r>
        </w:p>
        <w:p w14:paraId="0F6C3EF9" w14:textId="049C9187" w:rsidR="00C27BF9" w:rsidRDefault="00C27BF9" w:rsidP="00C27BF9">
          <w:pPr>
            <w:jc w:val="both"/>
          </w:pPr>
          <w:r>
            <w:tab/>
          </w:r>
          <w:r>
            <w:tab/>
          </w:r>
          <w:r>
            <w:tab/>
          </w:r>
          <w:r>
            <w:tab/>
          </w:r>
          <w:r>
            <w:tab/>
          </w:r>
          <w:r>
            <w:tab/>
            <w:t>Netherlands</w:t>
          </w:r>
        </w:p>
        <w:p w14:paraId="01A21954" w14:textId="6FFDE096" w:rsidR="00C27BF9" w:rsidRDefault="00C27BF9" w:rsidP="00C27BF9">
          <w:pPr>
            <w:jc w:val="both"/>
          </w:pPr>
          <w:r>
            <w:tab/>
          </w:r>
          <w:r>
            <w:tab/>
          </w:r>
          <w:r>
            <w:tab/>
          </w:r>
          <w:r>
            <w:tab/>
          </w:r>
          <w:r>
            <w:tab/>
          </w:r>
          <w:r>
            <w:tab/>
            <w:t xml:space="preserve"> </w:t>
          </w:r>
        </w:p>
        <w:p w14:paraId="7CA99FFB" w14:textId="36F58B87" w:rsidR="00C27BF9" w:rsidRDefault="00C27BF9" w:rsidP="00C27BF9">
          <w:pPr>
            <w:jc w:val="both"/>
          </w:pPr>
          <w:r>
            <w:t>Supervisor:</w:t>
          </w:r>
          <w:r>
            <w:tab/>
          </w:r>
          <w:r>
            <w:tab/>
          </w:r>
          <w:r>
            <w:tab/>
          </w:r>
          <w:r>
            <w:tab/>
            <w:t>Prof. Pieter Leroy</w:t>
          </w:r>
        </w:p>
        <w:p w14:paraId="4BE0DBA2" w14:textId="62EC29D7" w:rsidR="00C27BF9" w:rsidRDefault="00C27BF9" w:rsidP="00C27BF9">
          <w:pPr>
            <w:jc w:val="both"/>
          </w:pPr>
          <w:r>
            <w:tab/>
          </w:r>
          <w:r>
            <w:tab/>
          </w:r>
          <w:r>
            <w:tab/>
          </w:r>
          <w:r>
            <w:tab/>
          </w:r>
          <w:r>
            <w:tab/>
          </w:r>
          <w:r>
            <w:tab/>
            <w:t>Professor – Environment, Radboud University</w:t>
          </w:r>
        </w:p>
        <w:p w14:paraId="5C36552A" w14:textId="2B6E1755" w:rsidR="00C27BF9" w:rsidRDefault="00C27BF9" w:rsidP="00C27BF9">
          <w:pPr>
            <w:jc w:val="both"/>
          </w:pPr>
        </w:p>
        <w:p w14:paraId="3981E102" w14:textId="2200A4C2" w:rsidR="00C27BF9" w:rsidRDefault="00C27BF9" w:rsidP="00C27BF9">
          <w:pPr>
            <w:jc w:val="both"/>
          </w:pPr>
          <w:r>
            <w:t>Internship Host Company:</w:t>
          </w:r>
          <w:r>
            <w:tab/>
          </w:r>
          <w:r>
            <w:tab/>
          </w:r>
          <w:r>
            <w:tab/>
            <w:t xml:space="preserve">Pondera Consult </w:t>
          </w:r>
        </w:p>
        <w:p w14:paraId="26B09CF5" w14:textId="523EFB5D" w:rsidR="00C27BF9" w:rsidRDefault="00C27BF9" w:rsidP="00C27BF9">
          <w:pPr>
            <w:jc w:val="both"/>
          </w:pPr>
          <w:r>
            <w:tab/>
          </w:r>
          <w:r>
            <w:tab/>
          </w:r>
          <w:r>
            <w:tab/>
          </w:r>
          <w:r>
            <w:tab/>
          </w:r>
          <w:r>
            <w:tab/>
          </w:r>
          <w:r>
            <w:tab/>
            <w:t>Postbus 579</w:t>
          </w:r>
        </w:p>
        <w:p w14:paraId="553E07AF" w14:textId="578290E3" w:rsidR="00C27BF9" w:rsidRDefault="00C27BF9" w:rsidP="00C27BF9">
          <w:pPr>
            <w:jc w:val="both"/>
          </w:pPr>
          <w:r>
            <w:tab/>
          </w:r>
          <w:r>
            <w:tab/>
          </w:r>
          <w:r>
            <w:tab/>
          </w:r>
          <w:r>
            <w:tab/>
          </w:r>
          <w:r>
            <w:tab/>
          </w:r>
          <w:r>
            <w:tab/>
            <w:t>7550 AN Hengelo (Ov.)</w:t>
          </w:r>
        </w:p>
        <w:p w14:paraId="46FD4B14" w14:textId="170AA98D" w:rsidR="00C27BF9" w:rsidRDefault="00C27BF9" w:rsidP="00C27BF9">
          <w:pPr>
            <w:jc w:val="both"/>
          </w:pPr>
          <w:r>
            <w:tab/>
          </w:r>
          <w:r>
            <w:tab/>
          </w:r>
          <w:r>
            <w:tab/>
          </w:r>
          <w:r>
            <w:tab/>
          </w:r>
          <w:r>
            <w:tab/>
          </w:r>
          <w:r>
            <w:tab/>
            <w:t>Netherlands</w:t>
          </w:r>
        </w:p>
        <w:p w14:paraId="0F173713" w14:textId="62F9A967" w:rsidR="005B24AD" w:rsidRDefault="005B24AD" w:rsidP="00C27BF9">
          <w:pPr>
            <w:jc w:val="both"/>
          </w:pPr>
          <w:r>
            <w:tab/>
          </w:r>
          <w:r>
            <w:tab/>
          </w:r>
          <w:r>
            <w:tab/>
          </w:r>
          <w:r>
            <w:tab/>
          </w:r>
          <w:r>
            <w:tab/>
          </w:r>
          <w:r>
            <w:tab/>
            <w:t>+31 (0)74 248 9940</w:t>
          </w:r>
        </w:p>
        <w:p w14:paraId="1EE4C749" w14:textId="0B595486" w:rsidR="005B24AD" w:rsidRDefault="005B24AD" w:rsidP="00C27BF9">
          <w:pPr>
            <w:jc w:val="both"/>
          </w:pPr>
          <w:r>
            <w:tab/>
          </w:r>
          <w:r>
            <w:tab/>
          </w:r>
          <w:r>
            <w:tab/>
          </w:r>
          <w:r>
            <w:tab/>
          </w:r>
          <w:r>
            <w:tab/>
          </w:r>
          <w:r>
            <w:tab/>
            <w:t>www.ponderaconsult.com</w:t>
          </w:r>
        </w:p>
        <w:p w14:paraId="48F5E602" w14:textId="1C85B2EB" w:rsidR="00C27BF9" w:rsidRDefault="00C27BF9" w:rsidP="00C27BF9">
          <w:pPr>
            <w:jc w:val="both"/>
          </w:pPr>
        </w:p>
        <w:p w14:paraId="502DB331" w14:textId="780271D6" w:rsidR="00C27BF9" w:rsidRDefault="00C27BF9" w:rsidP="00C27BF9">
          <w:pPr>
            <w:jc w:val="both"/>
          </w:pPr>
          <w:r>
            <w:t>Supervisor:</w:t>
          </w:r>
          <w:r>
            <w:tab/>
          </w:r>
          <w:r>
            <w:tab/>
          </w:r>
          <w:r>
            <w:tab/>
          </w:r>
          <w:r>
            <w:tab/>
            <w:t>Paul Janssen</w:t>
          </w:r>
        </w:p>
        <w:p w14:paraId="10D62996" w14:textId="22F81314" w:rsidR="00C27BF9" w:rsidRDefault="00C27BF9" w:rsidP="00C27BF9">
          <w:pPr>
            <w:jc w:val="both"/>
          </w:pPr>
          <w:r>
            <w:tab/>
          </w:r>
          <w:r>
            <w:tab/>
          </w:r>
          <w:r>
            <w:tab/>
          </w:r>
          <w:r>
            <w:tab/>
          </w:r>
          <w:r>
            <w:tab/>
          </w:r>
          <w:r>
            <w:tab/>
            <w:t>Sustainable Energy Adviser</w:t>
          </w:r>
        </w:p>
        <w:p w14:paraId="62D4F261" w14:textId="1E636F66" w:rsidR="00C27BF9" w:rsidRDefault="00C27BF9" w:rsidP="00C27BF9">
          <w:pPr>
            <w:jc w:val="both"/>
          </w:pPr>
        </w:p>
        <w:p w14:paraId="67B54EB4" w14:textId="7C9C83AB" w:rsidR="00C27BF9" w:rsidRDefault="0084762E" w:rsidP="00C27BF9">
          <w:pPr>
            <w:jc w:val="both"/>
          </w:pPr>
          <w:r>
            <w:t xml:space="preserve">               </w:t>
          </w:r>
        </w:p>
        <w:p w14:paraId="245900A1" w14:textId="0579D9AA" w:rsidR="00C27BF9" w:rsidRDefault="00C27BF9" w:rsidP="00C27BF9">
          <w:pPr>
            <w:jc w:val="both"/>
          </w:pPr>
        </w:p>
        <w:p w14:paraId="1A63C6AA" w14:textId="722834E5" w:rsidR="00316A51" w:rsidRDefault="0084762E" w:rsidP="0084762E">
          <w:pPr>
            <w:spacing w:after="200" w:line="276" w:lineRule="auto"/>
            <w:rPr>
              <w:b/>
              <w:bCs/>
              <w:caps/>
              <w:color w:val="696E34"/>
              <w:sz w:val="28"/>
              <w:szCs w:val="28"/>
            </w:rPr>
          </w:pPr>
          <w:r>
            <w:rPr>
              <w:noProof/>
              <w:lang w:eastAsia="ko-KR" w:bidi="ar-SA"/>
            </w:rPr>
            <w:drawing>
              <wp:inline distT="0" distB="0" distL="0" distR="0" wp14:anchorId="503E6AE8" wp14:editId="4323D1F6">
                <wp:extent cx="2070339" cy="555051"/>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79802" cy="557588"/>
                        </a:xfrm>
                        <a:prstGeom prst="rect">
                          <a:avLst/>
                        </a:prstGeom>
                      </pic:spPr>
                    </pic:pic>
                  </a:graphicData>
                </a:graphic>
              </wp:inline>
            </w:drawing>
          </w:r>
          <w:r>
            <w:rPr>
              <w:noProof/>
              <w:lang w:eastAsia="ko-KR" w:bidi="ar-SA"/>
            </w:rPr>
            <w:t xml:space="preserve">                   </w:t>
          </w:r>
          <w:r>
            <w:rPr>
              <w:noProof/>
              <w:lang w:eastAsia="ko-KR" w:bidi="ar-SA"/>
            </w:rPr>
            <w:drawing>
              <wp:inline distT="0" distB="0" distL="0" distR="0" wp14:anchorId="1599EE5B" wp14:editId="1B43887D">
                <wp:extent cx="2022040" cy="526493"/>
                <wp:effectExtent l="0" t="0" r="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053080" cy="534575"/>
                        </a:xfrm>
                        <a:prstGeom prst="rect">
                          <a:avLst/>
                        </a:prstGeom>
                      </pic:spPr>
                    </pic:pic>
                  </a:graphicData>
                </a:graphic>
              </wp:inline>
            </w:drawing>
          </w:r>
        </w:p>
        <w:p w14:paraId="02CE4162" w14:textId="217ACB4B" w:rsidR="0051451E" w:rsidRDefault="0051451E" w:rsidP="0051451E">
          <w:pPr>
            <w:spacing w:after="200" w:line="276" w:lineRule="auto"/>
            <w:rPr>
              <w:b/>
              <w:bCs/>
              <w:caps/>
              <w:color w:val="696E34"/>
              <w:sz w:val="28"/>
              <w:szCs w:val="28"/>
            </w:rPr>
          </w:pPr>
        </w:p>
        <w:p w14:paraId="7ED5CE70" w14:textId="057FE286" w:rsidR="0084762E" w:rsidRDefault="0084762E" w:rsidP="0084762E">
          <w:pPr>
            <w:jc w:val="center"/>
          </w:pPr>
          <w:r>
            <w:t xml:space="preserve">Images taken from </w:t>
          </w:r>
          <w:hyperlink r:id="rId13" w:history="1">
            <w:r w:rsidRPr="0084762E">
              <w:t>http://www.ru.nl/english/</w:t>
            </w:r>
          </w:hyperlink>
          <w:r w:rsidR="006A29ED">
            <w:t xml:space="preserve"> and</w:t>
          </w:r>
          <w:r>
            <w:t xml:space="preserve"> </w:t>
          </w:r>
          <w:r w:rsidRPr="0084762E">
            <w:t>http://ponderaconsult.com/</w:t>
          </w:r>
        </w:p>
        <w:p w14:paraId="1E6E954C" w14:textId="397F1170" w:rsidR="00011EDB" w:rsidRPr="00011EDB" w:rsidRDefault="005B24AD" w:rsidP="00981DEC">
          <w:pPr>
            <w:rPr>
              <w:b/>
              <w:bCs/>
              <w:caps/>
              <w:color w:val="696E34"/>
              <w:sz w:val="28"/>
              <w:szCs w:val="28"/>
            </w:rPr>
          </w:pPr>
          <w:r>
            <w:rPr>
              <w:b/>
              <w:bCs/>
              <w:caps/>
              <w:color w:val="696E34"/>
              <w:sz w:val="28"/>
              <w:szCs w:val="28"/>
            </w:rPr>
            <w:lastRenderedPageBreak/>
            <w:t>A</w:t>
          </w:r>
          <w:r w:rsidR="00011EDB" w:rsidRPr="00011EDB">
            <w:rPr>
              <w:b/>
              <w:bCs/>
              <w:caps/>
              <w:color w:val="696E34"/>
              <w:sz w:val="28"/>
              <w:szCs w:val="28"/>
            </w:rPr>
            <w:t>cknowledgements</w:t>
          </w:r>
        </w:p>
        <w:p w14:paraId="10B7DD6E" w14:textId="0833F355" w:rsidR="0033347F" w:rsidRDefault="005B7723" w:rsidP="00981DEC">
          <w:pPr>
            <w:spacing w:before="200" w:after="200" w:line="276" w:lineRule="auto"/>
            <w:jc w:val="both"/>
          </w:pPr>
          <w:r>
            <w:t xml:space="preserve">First, I would like to express my gratitude towards my thesis supervisor Pieter Leroy </w:t>
          </w:r>
          <w:r w:rsidR="00715734">
            <w:t xml:space="preserve">for his guidance and support throughout the research project. Furthermore, I would like to thank my internship host company, Pondera Consult, for offering me the opportunity to work alongside them, and for providing me a place to conduct my research. I would especially like to thank my supervisor Paul Janssen for the support given to me, as well as all my colleagues at Pondera Consult for their </w:t>
          </w:r>
          <w:r w:rsidR="00B572E5">
            <w:t xml:space="preserve">help and </w:t>
          </w:r>
          <w:r w:rsidR="00715734">
            <w:t xml:space="preserve">encouragement during the </w:t>
          </w:r>
          <w:r w:rsidR="00B572E5">
            <w:t>project</w:t>
          </w:r>
          <w:r w:rsidR="00715734">
            <w:t>.</w:t>
          </w:r>
          <w:r w:rsidR="00B572E5">
            <w:t xml:space="preserve"> Finally, I would also sincerely like to thank all the interviewees who took time out of their </w:t>
          </w:r>
          <w:r w:rsidR="005466F1">
            <w:t xml:space="preserve">busy </w:t>
          </w:r>
          <w:r w:rsidR="00B572E5">
            <w:t>schedules in order to meet and discuss my research</w:t>
          </w:r>
          <w:r w:rsidR="004F0BD4">
            <w:t xml:space="preserve"> and </w:t>
          </w:r>
          <w:r w:rsidR="008D6427">
            <w:t>shar</w:t>
          </w:r>
          <w:r w:rsidR="004F0BD4">
            <w:t>e their knowledge</w:t>
          </w:r>
          <w:r w:rsidR="00833E04">
            <w:t>. W</w:t>
          </w:r>
          <w:r w:rsidR="00B572E5">
            <w:t xml:space="preserve">ithout them this final document would not be possible. </w:t>
          </w:r>
        </w:p>
        <w:p w14:paraId="3D543BA7" w14:textId="7A25C19B" w:rsidR="00B572E5" w:rsidRDefault="0033347F" w:rsidP="00981DEC">
          <w:pPr>
            <w:tabs>
              <w:tab w:val="left" w:pos="709"/>
            </w:tabs>
            <w:spacing w:line="276" w:lineRule="auto"/>
            <w:ind w:hanging="141"/>
          </w:pPr>
          <w:r>
            <w:tab/>
          </w:r>
          <w:r w:rsidR="00B572E5">
            <w:t>Andrew Walker</w:t>
          </w:r>
        </w:p>
        <w:p w14:paraId="1581515F" w14:textId="626B2B53" w:rsidR="00B572E5" w:rsidRDefault="003610CE" w:rsidP="00981DEC">
          <w:pPr>
            <w:tabs>
              <w:tab w:val="left" w:pos="709"/>
            </w:tabs>
            <w:spacing w:line="276" w:lineRule="auto"/>
            <w:ind w:hanging="141"/>
          </w:pPr>
          <w:r>
            <w:tab/>
            <w:t>21</w:t>
          </w:r>
          <w:r w:rsidRPr="003610CE">
            <w:rPr>
              <w:vertAlign w:val="superscript"/>
            </w:rPr>
            <w:t>st</w:t>
          </w:r>
          <w:r w:rsidR="00B572E5">
            <w:t xml:space="preserve"> August 2017</w:t>
          </w:r>
        </w:p>
        <w:p w14:paraId="1362541D" w14:textId="48C4FD5D" w:rsidR="00011EDB" w:rsidRDefault="00011EDB" w:rsidP="00011EDB">
          <w:pPr>
            <w:spacing w:after="200" w:line="276" w:lineRule="auto"/>
            <w:ind w:left="0"/>
          </w:pPr>
          <w:r>
            <w:br w:type="page"/>
          </w:r>
          <w:bookmarkStart w:id="0" w:name="_GoBack"/>
          <w:bookmarkEnd w:id="0"/>
        </w:p>
        <w:p w14:paraId="3E41854C" w14:textId="62CDB1E3" w:rsidR="00011EDB" w:rsidRDefault="00222AF3" w:rsidP="007B6FFD">
          <w:pPr>
            <w:rPr>
              <w:b/>
              <w:bCs/>
              <w:caps/>
              <w:color w:val="696E34"/>
              <w:sz w:val="28"/>
              <w:szCs w:val="28"/>
            </w:rPr>
          </w:pPr>
          <w:r>
            <w:rPr>
              <w:b/>
              <w:bCs/>
              <w:caps/>
              <w:color w:val="696E34"/>
              <w:sz w:val="28"/>
              <w:szCs w:val="28"/>
            </w:rPr>
            <w:lastRenderedPageBreak/>
            <w:t>SUMMARY</w:t>
          </w:r>
        </w:p>
        <w:p w14:paraId="5BD9E049" w14:textId="67172307" w:rsidR="0002040D" w:rsidRDefault="00DD5009" w:rsidP="00DD5009">
          <w:pPr>
            <w:jc w:val="both"/>
          </w:pPr>
          <w:r>
            <w:t xml:space="preserve">Wind and solar energy production is becoming an increasingly large component of the Dutch energy mix, as the government aims to reduce emissions in order to transition to a sustainable, clean-energy future. </w:t>
          </w:r>
          <w:r w:rsidR="0002040D">
            <w:t xml:space="preserve">As wind and solar energy production </w:t>
          </w:r>
          <w:r>
            <w:t>increases</w:t>
          </w:r>
          <w:r w:rsidR="0002040D">
            <w:t xml:space="preserve">, so too does the need for </w:t>
          </w:r>
          <w:r w:rsidR="00F049EE">
            <w:t xml:space="preserve">further integration of </w:t>
          </w:r>
          <w:r w:rsidR="00A94000">
            <w:t>Energy Storage S</w:t>
          </w:r>
          <w:r w:rsidR="0002040D">
            <w:t>ystems (ESS) – the stochastic nature of wind and solar energy production necessitates the need for technologies such as batteries, which can store energy generated from wind and solar for use when required.</w:t>
          </w:r>
        </w:p>
        <w:p w14:paraId="20503501" w14:textId="77777777" w:rsidR="0002040D" w:rsidRDefault="0002040D" w:rsidP="0002040D">
          <w:pPr>
            <w:jc w:val="both"/>
          </w:pPr>
        </w:p>
        <w:p w14:paraId="715A2F54" w14:textId="06468491" w:rsidR="00F049EE" w:rsidRDefault="007B6FFD" w:rsidP="00F049EE">
          <w:pPr>
            <w:jc w:val="both"/>
          </w:pPr>
          <w:r>
            <w:t xml:space="preserve">This </w:t>
          </w:r>
          <w:r w:rsidR="0002040D">
            <w:t>thesis justifies the need</w:t>
          </w:r>
          <w:r w:rsidR="006F37B7">
            <w:t xml:space="preserve"> for ESS</w:t>
          </w:r>
          <w:r w:rsidR="00F049EE">
            <w:t xml:space="preserve"> and uses an adapted version</w:t>
          </w:r>
          <w:r w:rsidR="0002040D">
            <w:t xml:space="preserve"> of Transition Management theory to examine how policy instrument choice </w:t>
          </w:r>
          <w:r w:rsidR="006E06E1">
            <w:t>can facilitate (or hinder) the t</w:t>
          </w:r>
          <w:r w:rsidR="00F049EE">
            <w:t>ransition of ESS technologies in becoming</w:t>
          </w:r>
          <w:r w:rsidR="006E06E1">
            <w:t xml:space="preserve"> established technologies</w:t>
          </w:r>
          <w:r w:rsidR="006F37B7">
            <w:t xml:space="preserve"> (over a variety of scales)</w:t>
          </w:r>
          <w:r w:rsidR="006E06E1">
            <w:t xml:space="preserve"> within the Netherlands. The thesis examines how policy instruments have </w:t>
          </w:r>
          <w:r w:rsidR="0002040D">
            <w:t xml:space="preserve">allowed wind and solar energy production to </w:t>
          </w:r>
          <w:r w:rsidR="00F049EE">
            <w:t xml:space="preserve">successfully </w:t>
          </w:r>
          <w:r w:rsidR="0002040D">
            <w:t>transition from niche to commercialisation</w:t>
          </w:r>
          <w:r w:rsidR="006E06E1">
            <w:t>, and the research finds that certain policy instruments ha</w:t>
          </w:r>
          <w:r w:rsidR="00F049EE">
            <w:t>ve facilitated this transition. B</w:t>
          </w:r>
          <w:r w:rsidR="006E06E1">
            <w:t>ased upon the policy instruments examined for the purposes of this research, it was found that lessons learnt from the transition of wind and solar energy to commercialisation cannot be applied to ESS due to inherent differenc</w:t>
          </w:r>
          <w:r w:rsidR="00C92F91">
            <w:t xml:space="preserve">es </w:t>
          </w:r>
          <w:r w:rsidR="006D75C1">
            <w:t>between the sectors</w:t>
          </w:r>
          <w:r w:rsidR="006E06E1">
            <w:t xml:space="preserve">. </w:t>
          </w:r>
        </w:p>
        <w:p w14:paraId="1E6DBE05" w14:textId="77777777" w:rsidR="00F049EE" w:rsidRDefault="00F049EE" w:rsidP="00F049EE">
          <w:pPr>
            <w:jc w:val="both"/>
          </w:pPr>
        </w:p>
        <w:p w14:paraId="1A491AFA" w14:textId="6A759402" w:rsidR="00DD5009" w:rsidRDefault="00F049EE" w:rsidP="006F37B7">
          <w:pPr>
            <w:jc w:val="both"/>
          </w:pPr>
          <w:r>
            <w:t xml:space="preserve">However, based on primary data collected through a number of interviews with experts within the renewable energy and energy storage sectors, the research identifies a </w:t>
          </w:r>
          <w:r w:rsidR="00A246CF">
            <w:t>variety</w:t>
          </w:r>
          <w:r>
            <w:t xml:space="preserve"> of re-occurring themes </w:t>
          </w:r>
          <w:r w:rsidR="00E723E1">
            <w:t xml:space="preserve">for discussion </w:t>
          </w:r>
          <w:r>
            <w:t xml:space="preserve">in regards </w:t>
          </w:r>
          <w:r w:rsidR="00DD5009">
            <w:t xml:space="preserve">to </w:t>
          </w:r>
          <w:r>
            <w:t xml:space="preserve">ESS. Evidence from the interviews suggests that policy instruments are currently holding the integration of ESS back within the Netherlands, although there are some structures in place which can be seen to help facilitate the transition </w:t>
          </w:r>
          <w:r w:rsidR="00DD5009">
            <w:t>towards commercialisation</w:t>
          </w:r>
          <w:r w:rsidR="006F37B7">
            <w:t xml:space="preserve">. </w:t>
          </w:r>
          <w:r w:rsidR="00DD5009">
            <w:t>The t</w:t>
          </w:r>
          <w:r w:rsidR="00395C28">
            <w:t xml:space="preserve">hesis details these themes </w:t>
          </w:r>
          <w:r w:rsidR="00DD5009">
            <w:t xml:space="preserve">and identifies which policy and technology instruments are most suitable </w:t>
          </w:r>
          <w:r w:rsidR="00395C28">
            <w:t>in helping to facilitate the transition. The thesis</w:t>
          </w:r>
          <w:r w:rsidR="00DD5009">
            <w:t xml:space="preserve"> explains where the transition sits within the policy and technology domains, and highlights the role of policymakers and t</w:t>
          </w:r>
          <w:r w:rsidR="00395C28">
            <w:t>echnology actors in the</w:t>
          </w:r>
          <w:r w:rsidR="00DD5009">
            <w:t xml:space="preserve"> transition. </w:t>
          </w:r>
        </w:p>
        <w:p w14:paraId="5D08832E" w14:textId="77777777" w:rsidR="00DD5009" w:rsidRDefault="00DD5009" w:rsidP="00DD5009">
          <w:pPr>
            <w:jc w:val="both"/>
          </w:pPr>
        </w:p>
        <w:p w14:paraId="72A38741" w14:textId="7DF952A0" w:rsidR="00011EDB" w:rsidRDefault="00395C28" w:rsidP="00886512">
          <w:pPr>
            <w:jc w:val="both"/>
          </w:pPr>
          <w:r>
            <w:t xml:space="preserve">The thesis concludes that </w:t>
          </w:r>
          <w:r w:rsidR="00886512">
            <w:t>although</w:t>
          </w:r>
          <w:r>
            <w:t xml:space="preserve"> the</w:t>
          </w:r>
          <w:r w:rsidR="00886512">
            <w:t xml:space="preserve"> </w:t>
          </w:r>
          <w:r w:rsidR="006F37B7">
            <w:t>increa</w:t>
          </w:r>
          <w:r w:rsidR="00115D1F">
            <w:t>sed integration of ESS is required</w:t>
          </w:r>
          <w:r w:rsidR="006F37B7">
            <w:t>, it is not the ultimate</w:t>
          </w:r>
          <w:r w:rsidR="00886512">
            <w:t xml:space="preserve"> goal of the energy transition. The ultimate goal is a clean-energy future, and various options for flexibility, involving a number of different sectors, should be considered by policy and technology actors in order to achieve it.</w:t>
          </w:r>
        </w:p>
        <w:p w14:paraId="3DF439AD" w14:textId="6A8DB970" w:rsidR="00886512" w:rsidRDefault="00886512" w:rsidP="00886512">
          <w:pPr>
            <w:jc w:val="both"/>
          </w:pPr>
        </w:p>
        <w:p w14:paraId="5A0FDD72" w14:textId="60D172B1" w:rsidR="00886512" w:rsidRDefault="00886512" w:rsidP="00886512">
          <w:pPr>
            <w:jc w:val="both"/>
          </w:pPr>
        </w:p>
        <w:p w14:paraId="5E29EA48" w14:textId="535EC9CF" w:rsidR="00886512" w:rsidRDefault="00886512" w:rsidP="00886512">
          <w:pPr>
            <w:jc w:val="both"/>
          </w:pPr>
        </w:p>
        <w:p w14:paraId="7670FD83" w14:textId="52DF421F" w:rsidR="00886512" w:rsidRDefault="00886512" w:rsidP="00886512">
          <w:pPr>
            <w:jc w:val="both"/>
          </w:pPr>
        </w:p>
        <w:p w14:paraId="59F87D38" w14:textId="02B9A736" w:rsidR="00886512" w:rsidRDefault="00886512" w:rsidP="00886512">
          <w:pPr>
            <w:jc w:val="both"/>
          </w:pPr>
        </w:p>
        <w:p w14:paraId="27507665" w14:textId="656B77BA" w:rsidR="00886512" w:rsidRDefault="00886512" w:rsidP="00886512">
          <w:pPr>
            <w:jc w:val="both"/>
          </w:pPr>
        </w:p>
        <w:p w14:paraId="66DCFFC3" w14:textId="65D2A40B" w:rsidR="00886512" w:rsidRDefault="00886512" w:rsidP="00886512">
          <w:pPr>
            <w:jc w:val="both"/>
          </w:pPr>
        </w:p>
        <w:p w14:paraId="5CEC29DD" w14:textId="32E44A76" w:rsidR="00886512" w:rsidRDefault="00886512" w:rsidP="00886512">
          <w:pPr>
            <w:jc w:val="both"/>
          </w:pPr>
        </w:p>
        <w:p w14:paraId="7B095C51" w14:textId="5956A013" w:rsidR="00886512" w:rsidRDefault="00886512" w:rsidP="00886512">
          <w:pPr>
            <w:jc w:val="both"/>
          </w:pPr>
        </w:p>
        <w:p w14:paraId="6B47EE16" w14:textId="15676839" w:rsidR="00886512" w:rsidRDefault="00886512" w:rsidP="00886512">
          <w:pPr>
            <w:jc w:val="both"/>
          </w:pPr>
        </w:p>
        <w:p w14:paraId="3B161E63" w14:textId="563FBFF6" w:rsidR="00886512" w:rsidRDefault="00886512" w:rsidP="00886512">
          <w:pPr>
            <w:jc w:val="both"/>
          </w:pPr>
        </w:p>
        <w:p w14:paraId="66B435DA" w14:textId="35555488" w:rsidR="00886512" w:rsidRDefault="00886512" w:rsidP="00886512">
          <w:pPr>
            <w:jc w:val="both"/>
          </w:pPr>
        </w:p>
        <w:p w14:paraId="2598BC2D" w14:textId="728A7BE6" w:rsidR="00886512" w:rsidRDefault="00886512" w:rsidP="00886512">
          <w:pPr>
            <w:jc w:val="both"/>
          </w:pPr>
        </w:p>
        <w:p w14:paraId="45C0184C" w14:textId="77777777" w:rsidR="00886512" w:rsidRDefault="00886512" w:rsidP="00886512">
          <w:pPr>
            <w:jc w:val="both"/>
          </w:pPr>
        </w:p>
        <w:p w14:paraId="66B9C14B" w14:textId="7F39429E" w:rsidR="00770C64" w:rsidRDefault="00011EDB" w:rsidP="00770C64">
          <w:r w:rsidRPr="00011EDB">
            <w:rPr>
              <w:b/>
              <w:bCs/>
              <w:caps/>
              <w:color w:val="696E34"/>
              <w:sz w:val="28"/>
              <w:szCs w:val="28"/>
            </w:rPr>
            <w:lastRenderedPageBreak/>
            <w:t>Table of Contents</w:t>
          </w:r>
        </w:p>
        <w:sdt>
          <w:sdtPr>
            <w:rPr>
              <w:b w:val="0"/>
              <w:color w:val="auto"/>
              <w:szCs w:val="22"/>
            </w:rPr>
            <w:id w:val="-1616517115"/>
            <w:docPartObj>
              <w:docPartGallery w:val="Table of Contents"/>
              <w:docPartUnique/>
            </w:docPartObj>
          </w:sdtPr>
          <w:sdtEndPr/>
          <w:sdtContent>
            <w:p w14:paraId="20DC2742" w14:textId="4AA23633" w:rsidR="005676F6" w:rsidRDefault="005676F6" w:rsidP="007213AD">
              <w:pPr>
                <w:pStyle w:val="Kaderkop"/>
                <w:spacing w:before="200"/>
              </w:pPr>
              <w:r>
                <w:t>LIST OF FIGURES</w:t>
              </w:r>
              <w:r>
                <w:tab/>
              </w:r>
              <w:r>
                <w:tab/>
              </w:r>
              <w:r>
                <w:tab/>
              </w:r>
              <w:r>
                <w:tab/>
              </w:r>
              <w:r>
                <w:tab/>
              </w:r>
              <w:r>
                <w:tab/>
              </w:r>
              <w:r>
                <w:tab/>
              </w:r>
              <w:r>
                <w:tab/>
              </w:r>
              <w:r>
                <w:tab/>
                <w:t xml:space="preserve">      v</w:t>
              </w:r>
            </w:p>
            <w:p w14:paraId="5757C86D" w14:textId="56E79D31" w:rsidR="005676F6" w:rsidRDefault="005676F6" w:rsidP="007213AD">
              <w:pPr>
                <w:pStyle w:val="Kaderkop"/>
              </w:pPr>
              <w:r>
                <w:t>LIST OF ACRONYMS AND ABREVIATIONS</w:t>
              </w:r>
              <w:r>
                <w:tab/>
              </w:r>
              <w:r>
                <w:tab/>
              </w:r>
              <w:r>
                <w:tab/>
              </w:r>
              <w:r>
                <w:tab/>
              </w:r>
              <w:r>
                <w:tab/>
              </w:r>
              <w:r>
                <w:tab/>
                <w:t xml:space="preserve">     vi</w:t>
              </w:r>
            </w:p>
            <w:p w14:paraId="62C5498B" w14:textId="15401AFB" w:rsidR="005676F6" w:rsidRPr="005676F6" w:rsidRDefault="005676F6" w:rsidP="005676F6">
              <w:r>
                <w:tab/>
              </w:r>
            </w:p>
            <w:p w14:paraId="42FDFD53" w14:textId="70C8C581" w:rsidR="007F406C" w:rsidRDefault="00770C64" w:rsidP="007F406C">
              <w:pPr>
                <w:pStyle w:val="TOC1"/>
                <w:rPr>
                  <w:rFonts w:asciiTheme="minorHAnsi" w:hAnsiTheme="minorHAnsi" w:cstheme="minorBidi"/>
                  <w:noProof/>
                  <w:color w:val="auto"/>
                  <w:sz w:val="22"/>
                  <w:lang w:eastAsia="ko-KR" w:bidi="ar-SA"/>
                </w:rPr>
              </w:pPr>
              <w:r>
                <w:fldChar w:fldCharType="begin"/>
              </w:r>
              <w:r>
                <w:instrText xml:space="preserve"> TOC \o "1-2" \h \z \u </w:instrText>
              </w:r>
              <w:r>
                <w:fldChar w:fldCharType="separate"/>
              </w:r>
              <w:hyperlink w:anchor="_Toc490566964" w:history="1">
                <w:r w:rsidR="007F406C" w:rsidRPr="00C5413C">
                  <w:rPr>
                    <w:rStyle w:val="Hyperlink"/>
                    <w:noProof/>
                    <w14:scene3d>
                      <w14:camera w14:prst="orthographicFront"/>
                      <w14:lightRig w14:rig="threePt" w14:dir="t">
                        <w14:rot w14:lat="0" w14:lon="0" w14:rev="0"/>
                      </w14:lightRig>
                    </w14:scene3d>
                  </w:rPr>
                  <w:t>1</w:t>
                </w:r>
                <w:r w:rsidR="007F406C">
                  <w:rPr>
                    <w:rFonts w:asciiTheme="minorHAnsi" w:hAnsiTheme="minorHAnsi" w:cstheme="minorBidi"/>
                    <w:noProof/>
                    <w:color w:val="auto"/>
                    <w:sz w:val="22"/>
                    <w:lang w:eastAsia="ko-KR" w:bidi="ar-SA"/>
                  </w:rPr>
                  <w:tab/>
                </w:r>
                <w:r w:rsidR="007F406C" w:rsidRPr="00C5413C">
                  <w:rPr>
                    <w:rStyle w:val="Hyperlink"/>
                    <w:noProof/>
                  </w:rPr>
                  <w:t>INTRODUCTION</w:t>
                </w:r>
                <w:r w:rsidR="007F406C">
                  <w:rPr>
                    <w:noProof/>
                    <w:webHidden/>
                  </w:rPr>
                  <w:tab/>
                </w:r>
                <w:r w:rsidR="007F406C">
                  <w:rPr>
                    <w:noProof/>
                    <w:webHidden/>
                  </w:rPr>
                  <w:fldChar w:fldCharType="begin"/>
                </w:r>
                <w:r w:rsidR="007F406C">
                  <w:rPr>
                    <w:noProof/>
                    <w:webHidden/>
                  </w:rPr>
                  <w:instrText xml:space="preserve"> PAGEREF _Toc490566964 \h </w:instrText>
                </w:r>
                <w:r w:rsidR="007F406C">
                  <w:rPr>
                    <w:noProof/>
                    <w:webHidden/>
                  </w:rPr>
                </w:r>
                <w:r w:rsidR="007F406C">
                  <w:rPr>
                    <w:noProof/>
                    <w:webHidden/>
                  </w:rPr>
                  <w:fldChar w:fldCharType="separate"/>
                </w:r>
                <w:r w:rsidR="007F406C">
                  <w:rPr>
                    <w:noProof/>
                    <w:webHidden/>
                  </w:rPr>
                  <w:t>1</w:t>
                </w:r>
                <w:r w:rsidR="007F406C">
                  <w:rPr>
                    <w:noProof/>
                    <w:webHidden/>
                  </w:rPr>
                  <w:fldChar w:fldCharType="end"/>
                </w:r>
              </w:hyperlink>
            </w:p>
            <w:p w14:paraId="24EC2701" w14:textId="66CFDB3D" w:rsidR="007F406C" w:rsidRDefault="00682B7A">
              <w:pPr>
                <w:pStyle w:val="TOC2"/>
                <w:rPr>
                  <w:rFonts w:asciiTheme="minorHAnsi" w:hAnsiTheme="minorHAnsi" w:cstheme="minorBidi"/>
                  <w:noProof/>
                  <w:color w:val="auto"/>
                  <w:sz w:val="22"/>
                  <w:lang w:eastAsia="ko-KR" w:bidi="ar-SA"/>
                </w:rPr>
              </w:pPr>
              <w:hyperlink w:anchor="_Toc490566965" w:history="1">
                <w:r w:rsidR="007F406C" w:rsidRPr="00C5413C">
                  <w:rPr>
                    <w:rStyle w:val="Hyperlink"/>
                    <w:noProof/>
                    <w14:scene3d>
                      <w14:camera w14:prst="orthographicFront"/>
                      <w14:lightRig w14:rig="threePt" w14:dir="t">
                        <w14:rot w14:lat="0" w14:lon="0" w14:rev="0"/>
                      </w14:lightRig>
                    </w14:scene3d>
                  </w:rPr>
                  <w:t>1.1</w:t>
                </w:r>
                <w:r w:rsidR="007F406C">
                  <w:rPr>
                    <w:rFonts w:asciiTheme="minorHAnsi" w:hAnsiTheme="minorHAnsi" w:cstheme="minorBidi"/>
                    <w:noProof/>
                    <w:color w:val="auto"/>
                    <w:sz w:val="22"/>
                    <w:lang w:eastAsia="ko-KR" w:bidi="ar-SA"/>
                  </w:rPr>
                  <w:tab/>
                </w:r>
                <w:r w:rsidR="007F406C" w:rsidRPr="00C5413C">
                  <w:rPr>
                    <w:rStyle w:val="Hyperlink"/>
                    <w:noProof/>
                  </w:rPr>
                  <w:t>Background, Research Aims, and Objectives</w:t>
                </w:r>
                <w:r w:rsidR="007F406C">
                  <w:rPr>
                    <w:noProof/>
                    <w:webHidden/>
                  </w:rPr>
                  <w:tab/>
                </w:r>
                <w:r w:rsidR="007F406C">
                  <w:rPr>
                    <w:noProof/>
                    <w:webHidden/>
                  </w:rPr>
                  <w:fldChar w:fldCharType="begin"/>
                </w:r>
                <w:r w:rsidR="007F406C">
                  <w:rPr>
                    <w:noProof/>
                    <w:webHidden/>
                  </w:rPr>
                  <w:instrText xml:space="preserve"> PAGEREF _Toc490566965 \h </w:instrText>
                </w:r>
                <w:r w:rsidR="007F406C">
                  <w:rPr>
                    <w:noProof/>
                    <w:webHidden/>
                  </w:rPr>
                </w:r>
                <w:r w:rsidR="007F406C">
                  <w:rPr>
                    <w:noProof/>
                    <w:webHidden/>
                  </w:rPr>
                  <w:fldChar w:fldCharType="separate"/>
                </w:r>
                <w:r w:rsidR="007F406C">
                  <w:rPr>
                    <w:noProof/>
                    <w:webHidden/>
                  </w:rPr>
                  <w:t>1</w:t>
                </w:r>
                <w:r w:rsidR="007F406C">
                  <w:rPr>
                    <w:noProof/>
                    <w:webHidden/>
                  </w:rPr>
                  <w:fldChar w:fldCharType="end"/>
                </w:r>
              </w:hyperlink>
            </w:p>
            <w:p w14:paraId="12A120A4" w14:textId="23655CFA" w:rsidR="007F406C" w:rsidRDefault="00682B7A">
              <w:pPr>
                <w:pStyle w:val="TOC2"/>
                <w:rPr>
                  <w:rFonts w:asciiTheme="minorHAnsi" w:hAnsiTheme="minorHAnsi" w:cstheme="minorBidi"/>
                  <w:noProof/>
                  <w:color w:val="auto"/>
                  <w:sz w:val="22"/>
                  <w:lang w:eastAsia="ko-KR" w:bidi="ar-SA"/>
                </w:rPr>
              </w:pPr>
              <w:hyperlink w:anchor="_Toc490566966" w:history="1">
                <w:r w:rsidR="007F406C" w:rsidRPr="00C5413C">
                  <w:rPr>
                    <w:rStyle w:val="Hyperlink"/>
                    <w:noProof/>
                    <w14:scene3d>
                      <w14:camera w14:prst="orthographicFront"/>
                      <w14:lightRig w14:rig="threePt" w14:dir="t">
                        <w14:rot w14:lat="0" w14:lon="0" w14:rev="0"/>
                      </w14:lightRig>
                    </w14:scene3d>
                  </w:rPr>
                  <w:t>1.2</w:t>
                </w:r>
                <w:r w:rsidR="007F406C">
                  <w:rPr>
                    <w:rFonts w:asciiTheme="minorHAnsi" w:hAnsiTheme="minorHAnsi" w:cstheme="minorBidi"/>
                    <w:noProof/>
                    <w:color w:val="auto"/>
                    <w:sz w:val="22"/>
                    <w:lang w:eastAsia="ko-KR" w:bidi="ar-SA"/>
                  </w:rPr>
                  <w:tab/>
                </w:r>
                <w:r w:rsidR="007F406C" w:rsidRPr="00C5413C">
                  <w:rPr>
                    <w:rStyle w:val="Hyperlink"/>
                    <w:noProof/>
                  </w:rPr>
                  <w:t>Research Questions</w:t>
                </w:r>
                <w:r w:rsidR="007F406C">
                  <w:rPr>
                    <w:noProof/>
                    <w:webHidden/>
                  </w:rPr>
                  <w:tab/>
                </w:r>
                <w:r w:rsidR="007F406C">
                  <w:rPr>
                    <w:noProof/>
                    <w:webHidden/>
                  </w:rPr>
                  <w:fldChar w:fldCharType="begin"/>
                </w:r>
                <w:r w:rsidR="007F406C">
                  <w:rPr>
                    <w:noProof/>
                    <w:webHidden/>
                  </w:rPr>
                  <w:instrText xml:space="preserve"> PAGEREF _Toc490566966 \h </w:instrText>
                </w:r>
                <w:r w:rsidR="007F406C">
                  <w:rPr>
                    <w:noProof/>
                    <w:webHidden/>
                  </w:rPr>
                </w:r>
                <w:r w:rsidR="007F406C">
                  <w:rPr>
                    <w:noProof/>
                    <w:webHidden/>
                  </w:rPr>
                  <w:fldChar w:fldCharType="separate"/>
                </w:r>
                <w:r w:rsidR="007F406C">
                  <w:rPr>
                    <w:noProof/>
                    <w:webHidden/>
                  </w:rPr>
                  <w:t>2</w:t>
                </w:r>
                <w:r w:rsidR="007F406C">
                  <w:rPr>
                    <w:noProof/>
                    <w:webHidden/>
                  </w:rPr>
                  <w:fldChar w:fldCharType="end"/>
                </w:r>
              </w:hyperlink>
            </w:p>
            <w:p w14:paraId="4A6DEDCC" w14:textId="28F4F3DC" w:rsidR="007F406C" w:rsidRDefault="00682B7A">
              <w:pPr>
                <w:pStyle w:val="TOC2"/>
                <w:rPr>
                  <w:rFonts w:asciiTheme="minorHAnsi" w:hAnsiTheme="minorHAnsi" w:cstheme="minorBidi"/>
                  <w:noProof/>
                  <w:color w:val="auto"/>
                  <w:sz w:val="22"/>
                  <w:lang w:eastAsia="ko-KR" w:bidi="ar-SA"/>
                </w:rPr>
              </w:pPr>
              <w:hyperlink w:anchor="_Toc490566967" w:history="1">
                <w:r w:rsidR="007F406C" w:rsidRPr="00C5413C">
                  <w:rPr>
                    <w:rStyle w:val="Hyperlink"/>
                    <w:noProof/>
                    <w14:scene3d>
                      <w14:camera w14:prst="orthographicFront"/>
                      <w14:lightRig w14:rig="threePt" w14:dir="t">
                        <w14:rot w14:lat="0" w14:lon="0" w14:rev="0"/>
                      </w14:lightRig>
                    </w14:scene3d>
                  </w:rPr>
                  <w:t>1.3</w:t>
                </w:r>
                <w:r w:rsidR="007F406C">
                  <w:rPr>
                    <w:rFonts w:asciiTheme="minorHAnsi" w:hAnsiTheme="minorHAnsi" w:cstheme="minorBidi"/>
                    <w:noProof/>
                    <w:color w:val="auto"/>
                    <w:sz w:val="22"/>
                    <w:lang w:eastAsia="ko-KR" w:bidi="ar-SA"/>
                  </w:rPr>
                  <w:tab/>
                </w:r>
                <w:r w:rsidR="007F406C" w:rsidRPr="00C5413C">
                  <w:rPr>
                    <w:rStyle w:val="Hyperlink"/>
                    <w:noProof/>
                  </w:rPr>
                  <w:t>Theoretical Framework</w:t>
                </w:r>
                <w:r w:rsidR="007F406C">
                  <w:rPr>
                    <w:noProof/>
                    <w:webHidden/>
                  </w:rPr>
                  <w:tab/>
                </w:r>
                <w:r w:rsidR="007F406C">
                  <w:rPr>
                    <w:noProof/>
                    <w:webHidden/>
                  </w:rPr>
                  <w:fldChar w:fldCharType="begin"/>
                </w:r>
                <w:r w:rsidR="007F406C">
                  <w:rPr>
                    <w:noProof/>
                    <w:webHidden/>
                  </w:rPr>
                  <w:instrText xml:space="preserve"> PAGEREF _Toc490566967 \h </w:instrText>
                </w:r>
                <w:r w:rsidR="007F406C">
                  <w:rPr>
                    <w:noProof/>
                    <w:webHidden/>
                  </w:rPr>
                </w:r>
                <w:r w:rsidR="007F406C">
                  <w:rPr>
                    <w:noProof/>
                    <w:webHidden/>
                  </w:rPr>
                  <w:fldChar w:fldCharType="separate"/>
                </w:r>
                <w:r w:rsidR="007F406C">
                  <w:rPr>
                    <w:noProof/>
                    <w:webHidden/>
                  </w:rPr>
                  <w:t>2</w:t>
                </w:r>
                <w:r w:rsidR="007F406C">
                  <w:rPr>
                    <w:noProof/>
                    <w:webHidden/>
                  </w:rPr>
                  <w:fldChar w:fldCharType="end"/>
                </w:r>
              </w:hyperlink>
            </w:p>
            <w:p w14:paraId="76488A1E" w14:textId="443E784A" w:rsidR="007F406C" w:rsidRDefault="00682B7A">
              <w:pPr>
                <w:pStyle w:val="TOC2"/>
                <w:rPr>
                  <w:rFonts w:asciiTheme="minorHAnsi" w:hAnsiTheme="minorHAnsi" w:cstheme="minorBidi"/>
                  <w:noProof/>
                  <w:color w:val="auto"/>
                  <w:sz w:val="22"/>
                  <w:lang w:eastAsia="ko-KR" w:bidi="ar-SA"/>
                </w:rPr>
              </w:pPr>
              <w:hyperlink w:anchor="_Toc490566968" w:history="1">
                <w:r w:rsidR="007F406C" w:rsidRPr="00C5413C">
                  <w:rPr>
                    <w:rStyle w:val="Hyperlink"/>
                    <w:noProof/>
                    <w14:scene3d>
                      <w14:camera w14:prst="orthographicFront"/>
                      <w14:lightRig w14:rig="threePt" w14:dir="t">
                        <w14:rot w14:lat="0" w14:lon="0" w14:rev="0"/>
                      </w14:lightRig>
                    </w14:scene3d>
                  </w:rPr>
                  <w:t>1.4</w:t>
                </w:r>
                <w:r w:rsidR="007F406C">
                  <w:rPr>
                    <w:rFonts w:asciiTheme="minorHAnsi" w:hAnsiTheme="minorHAnsi" w:cstheme="minorBidi"/>
                    <w:noProof/>
                    <w:color w:val="auto"/>
                    <w:sz w:val="22"/>
                    <w:lang w:eastAsia="ko-KR" w:bidi="ar-SA"/>
                  </w:rPr>
                  <w:tab/>
                </w:r>
                <w:r w:rsidR="007F406C" w:rsidRPr="00C5413C">
                  <w:rPr>
                    <w:rStyle w:val="Hyperlink"/>
                    <w:noProof/>
                  </w:rPr>
                  <w:t>Research Approach, Methodology, and Design</w:t>
                </w:r>
                <w:r w:rsidR="007F406C">
                  <w:rPr>
                    <w:noProof/>
                    <w:webHidden/>
                  </w:rPr>
                  <w:tab/>
                </w:r>
                <w:r w:rsidR="007F406C">
                  <w:rPr>
                    <w:noProof/>
                    <w:webHidden/>
                  </w:rPr>
                  <w:fldChar w:fldCharType="begin"/>
                </w:r>
                <w:r w:rsidR="007F406C">
                  <w:rPr>
                    <w:noProof/>
                    <w:webHidden/>
                  </w:rPr>
                  <w:instrText xml:space="preserve"> PAGEREF _Toc490566968 \h </w:instrText>
                </w:r>
                <w:r w:rsidR="007F406C">
                  <w:rPr>
                    <w:noProof/>
                    <w:webHidden/>
                  </w:rPr>
                </w:r>
                <w:r w:rsidR="007F406C">
                  <w:rPr>
                    <w:noProof/>
                    <w:webHidden/>
                  </w:rPr>
                  <w:fldChar w:fldCharType="separate"/>
                </w:r>
                <w:r w:rsidR="007F406C">
                  <w:rPr>
                    <w:noProof/>
                    <w:webHidden/>
                  </w:rPr>
                  <w:t>3</w:t>
                </w:r>
                <w:r w:rsidR="007F406C">
                  <w:rPr>
                    <w:noProof/>
                    <w:webHidden/>
                  </w:rPr>
                  <w:fldChar w:fldCharType="end"/>
                </w:r>
              </w:hyperlink>
            </w:p>
            <w:p w14:paraId="57E78706" w14:textId="379B43D0" w:rsidR="007F406C" w:rsidRDefault="00682B7A" w:rsidP="007F406C">
              <w:pPr>
                <w:pStyle w:val="TOC1"/>
                <w:rPr>
                  <w:rFonts w:asciiTheme="minorHAnsi" w:hAnsiTheme="minorHAnsi" w:cstheme="minorBidi"/>
                  <w:noProof/>
                  <w:color w:val="auto"/>
                  <w:sz w:val="22"/>
                  <w:lang w:eastAsia="ko-KR" w:bidi="ar-SA"/>
                </w:rPr>
              </w:pPr>
              <w:hyperlink w:anchor="_Toc490566969" w:history="1">
                <w:r w:rsidR="007F406C" w:rsidRPr="00C5413C">
                  <w:rPr>
                    <w:rStyle w:val="Hyperlink"/>
                    <w:noProof/>
                    <w14:scene3d>
                      <w14:camera w14:prst="orthographicFront"/>
                      <w14:lightRig w14:rig="threePt" w14:dir="t">
                        <w14:rot w14:lat="0" w14:lon="0" w14:rev="0"/>
                      </w14:lightRig>
                    </w14:scene3d>
                  </w:rPr>
                  <w:t>2</w:t>
                </w:r>
                <w:r w:rsidR="007F406C">
                  <w:rPr>
                    <w:rFonts w:asciiTheme="minorHAnsi" w:hAnsiTheme="minorHAnsi" w:cstheme="minorBidi"/>
                    <w:noProof/>
                    <w:color w:val="auto"/>
                    <w:sz w:val="22"/>
                    <w:lang w:eastAsia="ko-KR" w:bidi="ar-SA"/>
                  </w:rPr>
                  <w:tab/>
                </w:r>
                <w:r w:rsidR="007F406C" w:rsidRPr="00C5413C">
                  <w:rPr>
                    <w:rStyle w:val="Hyperlink"/>
                    <w:noProof/>
                  </w:rPr>
                  <w:t>CLIMATE CHANGE, RENEWABLE ENERGY SOURCES, AND THE NEED FOR ENERGY STORAGE</w:t>
                </w:r>
                <w:r w:rsidR="007F406C">
                  <w:rPr>
                    <w:noProof/>
                    <w:webHidden/>
                  </w:rPr>
                  <w:tab/>
                </w:r>
                <w:r w:rsidR="007F406C">
                  <w:rPr>
                    <w:noProof/>
                    <w:webHidden/>
                  </w:rPr>
                  <w:fldChar w:fldCharType="begin"/>
                </w:r>
                <w:r w:rsidR="007F406C">
                  <w:rPr>
                    <w:noProof/>
                    <w:webHidden/>
                  </w:rPr>
                  <w:instrText xml:space="preserve"> PAGEREF _Toc490566969 \h </w:instrText>
                </w:r>
                <w:r w:rsidR="007F406C">
                  <w:rPr>
                    <w:noProof/>
                    <w:webHidden/>
                  </w:rPr>
                </w:r>
                <w:r w:rsidR="007F406C">
                  <w:rPr>
                    <w:noProof/>
                    <w:webHidden/>
                  </w:rPr>
                  <w:fldChar w:fldCharType="separate"/>
                </w:r>
                <w:r w:rsidR="007F406C">
                  <w:rPr>
                    <w:noProof/>
                    <w:webHidden/>
                  </w:rPr>
                  <w:t>3</w:t>
                </w:r>
                <w:r w:rsidR="007F406C">
                  <w:rPr>
                    <w:noProof/>
                    <w:webHidden/>
                  </w:rPr>
                  <w:fldChar w:fldCharType="end"/>
                </w:r>
              </w:hyperlink>
            </w:p>
            <w:p w14:paraId="6833E132" w14:textId="687AB566" w:rsidR="007F406C" w:rsidRDefault="00682B7A" w:rsidP="007F406C">
              <w:pPr>
                <w:pStyle w:val="TOC1"/>
                <w:rPr>
                  <w:rFonts w:asciiTheme="minorHAnsi" w:hAnsiTheme="minorHAnsi" w:cstheme="minorBidi"/>
                  <w:noProof/>
                  <w:color w:val="auto"/>
                  <w:sz w:val="22"/>
                  <w:lang w:eastAsia="ko-KR" w:bidi="ar-SA"/>
                </w:rPr>
              </w:pPr>
              <w:hyperlink w:anchor="_Toc490566970" w:history="1">
                <w:r w:rsidR="007F406C" w:rsidRPr="00C5413C">
                  <w:rPr>
                    <w:rStyle w:val="Hyperlink"/>
                    <w:noProof/>
                    <w14:scene3d>
                      <w14:camera w14:prst="orthographicFront"/>
                      <w14:lightRig w14:rig="threePt" w14:dir="t">
                        <w14:rot w14:lat="0" w14:lon="0" w14:rev="0"/>
                      </w14:lightRig>
                    </w14:scene3d>
                  </w:rPr>
                  <w:t>3</w:t>
                </w:r>
                <w:r w:rsidR="007F406C">
                  <w:rPr>
                    <w:rFonts w:asciiTheme="minorHAnsi" w:hAnsiTheme="minorHAnsi" w:cstheme="minorBidi"/>
                    <w:noProof/>
                    <w:color w:val="auto"/>
                    <w:sz w:val="22"/>
                    <w:lang w:eastAsia="ko-KR" w:bidi="ar-SA"/>
                  </w:rPr>
                  <w:tab/>
                </w:r>
                <w:r w:rsidR="007F406C" w:rsidRPr="00C5413C">
                  <w:rPr>
                    <w:rStyle w:val="Hyperlink"/>
                    <w:noProof/>
                  </w:rPr>
                  <w:t>LITERATURE REVIEW AND THEORETICAL FRAMEWORK</w:t>
                </w:r>
                <w:r w:rsidR="007F406C">
                  <w:rPr>
                    <w:noProof/>
                    <w:webHidden/>
                  </w:rPr>
                  <w:tab/>
                </w:r>
                <w:r w:rsidR="007F406C">
                  <w:rPr>
                    <w:noProof/>
                    <w:webHidden/>
                  </w:rPr>
                  <w:fldChar w:fldCharType="begin"/>
                </w:r>
                <w:r w:rsidR="007F406C">
                  <w:rPr>
                    <w:noProof/>
                    <w:webHidden/>
                  </w:rPr>
                  <w:instrText xml:space="preserve"> PAGEREF _Toc490566970 \h </w:instrText>
                </w:r>
                <w:r w:rsidR="007F406C">
                  <w:rPr>
                    <w:noProof/>
                    <w:webHidden/>
                  </w:rPr>
                </w:r>
                <w:r w:rsidR="007F406C">
                  <w:rPr>
                    <w:noProof/>
                    <w:webHidden/>
                  </w:rPr>
                  <w:fldChar w:fldCharType="separate"/>
                </w:r>
                <w:r w:rsidR="007F406C">
                  <w:rPr>
                    <w:noProof/>
                    <w:webHidden/>
                  </w:rPr>
                  <w:t>7</w:t>
                </w:r>
                <w:r w:rsidR="007F406C">
                  <w:rPr>
                    <w:noProof/>
                    <w:webHidden/>
                  </w:rPr>
                  <w:fldChar w:fldCharType="end"/>
                </w:r>
              </w:hyperlink>
            </w:p>
            <w:p w14:paraId="29532A36" w14:textId="0A2B5C7F" w:rsidR="007F406C" w:rsidRDefault="00682B7A">
              <w:pPr>
                <w:pStyle w:val="TOC2"/>
                <w:rPr>
                  <w:rFonts w:asciiTheme="minorHAnsi" w:hAnsiTheme="minorHAnsi" w:cstheme="minorBidi"/>
                  <w:noProof/>
                  <w:color w:val="auto"/>
                  <w:sz w:val="22"/>
                  <w:lang w:eastAsia="ko-KR" w:bidi="ar-SA"/>
                </w:rPr>
              </w:pPr>
              <w:hyperlink w:anchor="_Toc490566971" w:history="1">
                <w:r w:rsidR="007F406C" w:rsidRPr="00C5413C">
                  <w:rPr>
                    <w:rStyle w:val="Hyperlink"/>
                    <w:noProof/>
                    <w14:scene3d>
                      <w14:camera w14:prst="orthographicFront"/>
                      <w14:lightRig w14:rig="threePt" w14:dir="t">
                        <w14:rot w14:lat="0" w14:lon="0" w14:rev="0"/>
                      </w14:lightRig>
                    </w14:scene3d>
                  </w:rPr>
                  <w:t>3.1</w:t>
                </w:r>
                <w:r w:rsidR="007F406C">
                  <w:rPr>
                    <w:rFonts w:asciiTheme="minorHAnsi" w:hAnsiTheme="minorHAnsi" w:cstheme="minorBidi"/>
                    <w:noProof/>
                    <w:color w:val="auto"/>
                    <w:sz w:val="22"/>
                    <w:lang w:eastAsia="ko-KR" w:bidi="ar-SA"/>
                  </w:rPr>
                  <w:tab/>
                </w:r>
                <w:r w:rsidR="007F406C" w:rsidRPr="00C5413C">
                  <w:rPr>
                    <w:rStyle w:val="Hyperlink"/>
                    <w:noProof/>
                  </w:rPr>
                  <w:t>Introduction</w:t>
                </w:r>
                <w:r w:rsidR="007F406C">
                  <w:rPr>
                    <w:noProof/>
                    <w:webHidden/>
                  </w:rPr>
                  <w:tab/>
                </w:r>
                <w:r w:rsidR="007F406C">
                  <w:rPr>
                    <w:noProof/>
                    <w:webHidden/>
                  </w:rPr>
                  <w:fldChar w:fldCharType="begin"/>
                </w:r>
                <w:r w:rsidR="007F406C">
                  <w:rPr>
                    <w:noProof/>
                    <w:webHidden/>
                  </w:rPr>
                  <w:instrText xml:space="preserve"> PAGEREF _Toc490566971 \h </w:instrText>
                </w:r>
                <w:r w:rsidR="007F406C">
                  <w:rPr>
                    <w:noProof/>
                    <w:webHidden/>
                  </w:rPr>
                </w:r>
                <w:r w:rsidR="007F406C">
                  <w:rPr>
                    <w:noProof/>
                    <w:webHidden/>
                  </w:rPr>
                  <w:fldChar w:fldCharType="separate"/>
                </w:r>
                <w:r w:rsidR="007F406C">
                  <w:rPr>
                    <w:noProof/>
                    <w:webHidden/>
                  </w:rPr>
                  <w:t>7</w:t>
                </w:r>
                <w:r w:rsidR="007F406C">
                  <w:rPr>
                    <w:noProof/>
                    <w:webHidden/>
                  </w:rPr>
                  <w:fldChar w:fldCharType="end"/>
                </w:r>
              </w:hyperlink>
            </w:p>
            <w:p w14:paraId="7687146F" w14:textId="01651EA5" w:rsidR="007F406C" w:rsidRDefault="00682B7A">
              <w:pPr>
                <w:pStyle w:val="TOC2"/>
                <w:rPr>
                  <w:rFonts w:asciiTheme="minorHAnsi" w:hAnsiTheme="minorHAnsi" w:cstheme="minorBidi"/>
                  <w:noProof/>
                  <w:color w:val="auto"/>
                  <w:sz w:val="22"/>
                  <w:lang w:eastAsia="ko-KR" w:bidi="ar-SA"/>
                </w:rPr>
              </w:pPr>
              <w:hyperlink w:anchor="_Toc490566972" w:history="1">
                <w:r w:rsidR="007F406C" w:rsidRPr="00C5413C">
                  <w:rPr>
                    <w:rStyle w:val="Hyperlink"/>
                    <w:noProof/>
                    <w14:scene3d>
                      <w14:camera w14:prst="orthographicFront"/>
                      <w14:lightRig w14:rig="threePt" w14:dir="t">
                        <w14:rot w14:lat="0" w14:lon="0" w14:rev="0"/>
                      </w14:lightRig>
                    </w14:scene3d>
                  </w:rPr>
                  <w:t>3.2</w:t>
                </w:r>
                <w:r w:rsidR="007F406C">
                  <w:rPr>
                    <w:rFonts w:asciiTheme="minorHAnsi" w:hAnsiTheme="minorHAnsi" w:cstheme="minorBidi"/>
                    <w:noProof/>
                    <w:color w:val="auto"/>
                    <w:sz w:val="22"/>
                    <w:lang w:eastAsia="ko-KR" w:bidi="ar-SA"/>
                  </w:rPr>
                  <w:tab/>
                </w:r>
                <w:r w:rsidR="007F406C" w:rsidRPr="00C5413C">
                  <w:rPr>
                    <w:rStyle w:val="Hyperlink"/>
                    <w:noProof/>
                  </w:rPr>
                  <w:t>Transitions and Transition Management</w:t>
                </w:r>
                <w:r w:rsidR="007F406C">
                  <w:rPr>
                    <w:noProof/>
                    <w:webHidden/>
                  </w:rPr>
                  <w:tab/>
                </w:r>
                <w:r w:rsidR="007F406C">
                  <w:rPr>
                    <w:noProof/>
                    <w:webHidden/>
                  </w:rPr>
                  <w:fldChar w:fldCharType="begin"/>
                </w:r>
                <w:r w:rsidR="007F406C">
                  <w:rPr>
                    <w:noProof/>
                    <w:webHidden/>
                  </w:rPr>
                  <w:instrText xml:space="preserve"> PAGEREF _Toc490566972 \h </w:instrText>
                </w:r>
                <w:r w:rsidR="007F406C">
                  <w:rPr>
                    <w:noProof/>
                    <w:webHidden/>
                  </w:rPr>
                </w:r>
                <w:r w:rsidR="007F406C">
                  <w:rPr>
                    <w:noProof/>
                    <w:webHidden/>
                  </w:rPr>
                  <w:fldChar w:fldCharType="separate"/>
                </w:r>
                <w:r w:rsidR="007F406C">
                  <w:rPr>
                    <w:noProof/>
                    <w:webHidden/>
                  </w:rPr>
                  <w:t>7</w:t>
                </w:r>
                <w:r w:rsidR="007F406C">
                  <w:rPr>
                    <w:noProof/>
                    <w:webHidden/>
                  </w:rPr>
                  <w:fldChar w:fldCharType="end"/>
                </w:r>
              </w:hyperlink>
            </w:p>
            <w:p w14:paraId="3727D6B8" w14:textId="199D9A80" w:rsidR="007F406C" w:rsidRDefault="00682B7A">
              <w:pPr>
                <w:pStyle w:val="TOC2"/>
                <w:rPr>
                  <w:rFonts w:asciiTheme="minorHAnsi" w:hAnsiTheme="minorHAnsi" w:cstheme="minorBidi"/>
                  <w:noProof/>
                  <w:color w:val="auto"/>
                  <w:sz w:val="22"/>
                  <w:lang w:eastAsia="ko-KR" w:bidi="ar-SA"/>
                </w:rPr>
              </w:pPr>
              <w:hyperlink w:anchor="_Toc490566973" w:history="1">
                <w:r w:rsidR="007F406C" w:rsidRPr="00C5413C">
                  <w:rPr>
                    <w:rStyle w:val="Hyperlink"/>
                    <w:noProof/>
                    <w14:scene3d>
                      <w14:camera w14:prst="orthographicFront"/>
                      <w14:lightRig w14:rig="threePt" w14:dir="t">
                        <w14:rot w14:lat="0" w14:lon="0" w14:rev="0"/>
                      </w14:lightRig>
                    </w14:scene3d>
                  </w:rPr>
                  <w:t>3.3</w:t>
                </w:r>
                <w:r w:rsidR="007F406C">
                  <w:rPr>
                    <w:rFonts w:asciiTheme="minorHAnsi" w:hAnsiTheme="minorHAnsi" w:cstheme="minorBidi"/>
                    <w:noProof/>
                    <w:color w:val="auto"/>
                    <w:sz w:val="22"/>
                    <w:lang w:eastAsia="ko-KR" w:bidi="ar-SA"/>
                  </w:rPr>
                  <w:tab/>
                </w:r>
                <w:r w:rsidR="007F406C" w:rsidRPr="00C5413C">
                  <w:rPr>
                    <w:rStyle w:val="Hyperlink"/>
                    <w:noProof/>
                  </w:rPr>
                  <w:t>Instrument Choice Theory</w:t>
                </w:r>
                <w:r w:rsidR="007F406C">
                  <w:rPr>
                    <w:noProof/>
                    <w:webHidden/>
                  </w:rPr>
                  <w:tab/>
                </w:r>
                <w:r w:rsidR="007F406C">
                  <w:rPr>
                    <w:noProof/>
                    <w:webHidden/>
                  </w:rPr>
                  <w:fldChar w:fldCharType="begin"/>
                </w:r>
                <w:r w:rsidR="007F406C">
                  <w:rPr>
                    <w:noProof/>
                    <w:webHidden/>
                  </w:rPr>
                  <w:instrText xml:space="preserve"> PAGEREF _Toc490566973 \h </w:instrText>
                </w:r>
                <w:r w:rsidR="007F406C">
                  <w:rPr>
                    <w:noProof/>
                    <w:webHidden/>
                  </w:rPr>
                </w:r>
                <w:r w:rsidR="007F406C">
                  <w:rPr>
                    <w:noProof/>
                    <w:webHidden/>
                  </w:rPr>
                  <w:fldChar w:fldCharType="separate"/>
                </w:r>
                <w:r w:rsidR="007F406C">
                  <w:rPr>
                    <w:noProof/>
                    <w:webHidden/>
                  </w:rPr>
                  <w:t>11</w:t>
                </w:r>
                <w:r w:rsidR="007F406C">
                  <w:rPr>
                    <w:noProof/>
                    <w:webHidden/>
                  </w:rPr>
                  <w:fldChar w:fldCharType="end"/>
                </w:r>
              </w:hyperlink>
            </w:p>
            <w:p w14:paraId="0E651602" w14:textId="2F04F548" w:rsidR="007F406C" w:rsidRDefault="00682B7A">
              <w:pPr>
                <w:pStyle w:val="TOC2"/>
                <w:rPr>
                  <w:rFonts w:asciiTheme="minorHAnsi" w:hAnsiTheme="minorHAnsi" w:cstheme="minorBidi"/>
                  <w:noProof/>
                  <w:color w:val="auto"/>
                  <w:sz w:val="22"/>
                  <w:lang w:eastAsia="ko-KR" w:bidi="ar-SA"/>
                </w:rPr>
              </w:pPr>
              <w:hyperlink w:anchor="_Toc490566974" w:history="1">
                <w:r w:rsidR="007F406C" w:rsidRPr="00C5413C">
                  <w:rPr>
                    <w:rStyle w:val="Hyperlink"/>
                    <w:noProof/>
                    <w14:scene3d>
                      <w14:camera w14:prst="orthographicFront"/>
                      <w14:lightRig w14:rig="threePt" w14:dir="t">
                        <w14:rot w14:lat="0" w14:lon="0" w14:rev="0"/>
                      </w14:lightRig>
                    </w14:scene3d>
                  </w:rPr>
                  <w:t>3.4</w:t>
                </w:r>
                <w:r w:rsidR="007F406C">
                  <w:rPr>
                    <w:rFonts w:asciiTheme="minorHAnsi" w:hAnsiTheme="minorHAnsi" w:cstheme="minorBidi"/>
                    <w:noProof/>
                    <w:color w:val="auto"/>
                    <w:sz w:val="22"/>
                    <w:lang w:eastAsia="ko-KR" w:bidi="ar-SA"/>
                  </w:rPr>
                  <w:tab/>
                </w:r>
                <w:r w:rsidR="007F406C" w:rsidRPr="00C5413C">
                  <w:rPr>
                    <w:rStyle w:val="Hyperlink"/>
                    <w:noProof/>
                  </w:rPr>
                  <w:t>Theoretical Framework</w:t>
                </w:r>
                <w:r w:rsidR="007F406C">
                  <w:rPr>
                    <w:noProof/>
                    <w:webHidden/>
                  </w:rPr>
                  <w:tab/>
                </w:r>
                <w:r w:rsidR="007F406C">
                  <w:rPr>
                    <w:noProof/>
                    <w:webHidden/>
                  </w:rPr>
                  <w:fldChar w:fldCharType="begin"/>
                </w:r>
                <w:r w:rsidR="007F406C">
                  <w:rPr>
                    <w:noProof/>
                    <w:webHidden/>
                  </w:rPr>
                  <w:instrText xml:space="preserve"> PAGEREF _Toc490566974 \h </w:instrText>
                </w:r>
                <w:r w:rsidR="007F406C">
                  <w:rPr>
                    <w:noProof/>
                    <w:webHidden/>
                  </w:rPr>
                </w:r>
                <w:r w:rsidR="007F406C">
                  <w:rPr>
                    <w:noProof/>
                    <w:webHidden/>
                  </w:rPr>
                  <w:fldChar w:fldCharType="separate"/>
                </w:r>
                <w:r w:rsidR="007F406C">
                  <w:rPr>
                    <w:noProof/>
                    <w:webHidden/>
                  </w:rPr>
                  <w:t>14</w:t>
                </w:r>
                <w:r w:rsidR="007F406C">
                  <w:rPr>
                    <w:noProof/>
                    <w:webHidden/>
                  </w:rPr>
                  <w:fldChar w:fldCharType="end"/>
                </w:r>
              </w:hyperlink>
            </w:p>
            <w:p w14:paraId="5709F0F0" w14:textId="21BE9B58" w:rsidR="007F406C" w:rsidRDefault="00682B7A" w:rsidP="007F406C">
              <w:pPr>
                <w:pStyle w:val="TOC1"/>
                <w:rPr>
                  <w:rFonts w:asciiTheme="minorHAnsi" w:hAnsiTheme="minorHAnsi" w:cstheme="minorBidi"/>
                  <w:noProof/>
                  <w:color w:val="auto"/>
                  <w:sz w:val="22"/>
                  <w:lang w:eastAsia="ko-KR" w:bidi="ar-SA"/>
                </w:rPr>
              </w:pPr>
              <w:hyperlink w:anchor="_Toc490566975" w:history="1">
                <w:r w:rsidR="007F406C" w:rsidRPr="00C5413C">
                  <w:rPr>
                    <w:rStyle w:val="Hyperlink"/>
                    <w:noProof/>
                    <w14:scene3d>
                      <w14:camera w14:prst="orthographicFront"/>
                      <w14:lightRig w14:rig="threePt" w14:dir="t">
                        <w14:rot w14:lat="0" w14:lon="0" w14:rev="0"/>
                      </w14:lightRig>
                    </w14:scene3d>
                  </w:rPr>
                  <w:t>4</w:t>
                </w:r>
                <w:r w:rsidR="007F406C">
                  <w:rPr>
                    <w:rFonts w:asciiTheme="minorHAnsi" w:hAnsiTheme="minorHAnsi" w:cstheme="minorBidi"/>
                    <w:noProof/>
                    <w:color w:val="auto"/>
                    <w:sz w:val="22"/>
                    <w:lang w:eastAsia="ko-KR" w:bidi="ar-SA"/>
                  </w:rPr>
                  <w:tab/>
                </w:r>
                <w:r w:rsidR="007F406C" w:rsidRPr="00C5413C">
                  <w:rPr>
                    <w:rStyle w:val="Hyperlink"/>
                    <w:noProof/>
                  </w:rPr>
                  <w:t>RESEARCH APPROACH, METHODOLOGY, AND DESIGN</w:t>
                </w:r>
                <w:r w:rsidR="007F406C">
                  <w:rPr>
                    <w:noProof/>
                    <w:webHidden/>
                  </w:rPr>
                  <w:tab/>
                </w:r>
                <w:r w:rsidR="007F406C">
                  <w:rPr>
                    <w:noProof/>
                    <w:webHidden/>
                  </w:rPr>
                  <w:fldChar w:fldCharType="begin"/>
                </w:r>
                <w:r w:rsidR="007F406C">
                  <w:rPr>
                    <w:noProof/>
                    <w:webHidden/>
                  </w:rPr>
                  <w:instrText xml:space="preserve"> PAGEREF _Toc490566975 \h </w:instrText>
                </w:r>
                <w:r w:rsidR="007F406C">
                  <w:rPr>
                    <w:noProof/>
                    <w:webHidden/>
                  </w:rPr>
                </w:r>
                <w:r w:rsidR="007F406C">
                  <w:rPr>
                    <w:noProof/>
                    <w:webHidden/>
                  </w:rPr>
                  <w:fldChar w:fldCharType="separate"/>
                </w:r>
                <w:r w:rsidR="007F406C">
                  <w:rPr>
                    <w:noProof/>
                    <w:webHidden/>
                  </w:rPr>
                  <w:t>17</w:t>
                </w:r>
                <w:r w:rsidR="007F406C">
                  <w:rPr>
                    <w:noProof/>
                    <w:webHidden/>
                  </w:rPr>
                  <w:fldChar w:fldCharType="end"/>
                </w:r>
              </w:hyperlink>
            </w:p>
            <w:p w14:paraId="336D1974" w14:textId="25090782" w:rsidR="007F406C" w:rsidRDefault="00682B7A">
              <w:pPr>
                <w:pStyle w:val="TOC2"/>
                <w:rPr>
                  <w:rFonts w:asciiTheme="minorHAnsi" w:hAnsiTheme="minorHAnsi" w:cstheme="minorBidi"/>
                  <w:noProof/>
                  <w:color w:val="auto"/>
                  <w:sz w:val="22"/>
                  <w:lang w:eastAsia="ko-KR" w:bidi="ar-SA"/>
                </w:rPr>
              </w:pPr>
              <w:hyperlink w:anchor="_Toc490566976" w:history="1">
                <w:r w:rsidR="007F406C" w:rsidRPr="00C5413C">
                  <w:rPr>
                    <w:rStyle w:val="Hyperlink"/>
                    <w:noProof/>
                    <w14:scene3d>
                      <w14:camera w14:prst="orthographicFront"/>
                      <w14:lightRig w14:rig="threePt" w14:dir="t">
                        <w14:rot w14:lat="0" w14:lon="0" w14:rev="0"/>
                      </w14:lightRig>
                    </w14:scene3d>
                  </w:rPr>
                  <w:t>4.1</w:t>
                </w:r>
                <w:r w:rsidR="007F406C">
                  <w:rPr>
                    <w:rFonts w:asciiTheme="minorHAnsi" w:hAnsiTheme="minorHAnsi" w:cstheme="minorBidi"/>
                    <w:noProof/>
                    <w:color w:val="auto"/>
                    <w:sz w:val="22"/>
                    <w:lang w:eastAsia="ko-KR" w:bidi="ar-SA"/>
                  </w:rPr>
                  <w:tab/>
                </w:r>
                <w:r w:rsidR="007F406C" w:rsidRPr="00C5413C">
                  <w:rPr>
                    <w:rStyle w:val="Hyperlink"/>
                    <w:noProof/>
                  </w:rPr>
                  <w:t>Introduction</w:t>
                </w:r>
                <w:r w:rsidR="007F406C">
                  <w:rPr>
                    <w:noProof/>
                    <w:webHidden/>
                  </w:rPr>
                  <w:tab/>
                </w:r>
                <w:r w:rsidR="007F406C">
                  <w:rPr>
                    <w:noProof/>
                    <w:webHidden/>
                  </w:rPr>
                  <w:fldChar w:fldCharType="begin"/>
                </w:r>
                <w:r w:rsidR="007F406C">
                  <w:rPr>
                    <w:noProof/>
                    <w:webHidden/>
                  </w:rPr>
                  <w:instrText xml:space="preserve"> PAGEREF _Toc490566976 \h </w:instrText>
                </w:r>
                <w:r w:rsidR="007F406C">
                  <w:rPr>
                    <w:noProof/>
                    <w:webHidden/>
                  </w:rPr>
                </w:r>
                <w:r w:rsidR="007F406C">
                  <w:rPr>
                    <w:noProof/>
                    <w:webHidden/>
                  </w:rPr>
                  <w:fldChar w:fldCharType="separate"/>
                </w:r>
                <w:r w:rsidR="007F406C">
                  <w:rPr>
                    <w:noProof/>
                    <w:webHidden/>
                  </w:rPr>
                  <w:t>17</w:t>
                </w:r>
                <w:r w:rsidR="007F406C">
                  <w:rPr>
                    <w:noProof/>
                    <w:webHidden/>
                  </w:rPr>
                  <w:fldChar w:fldCharType="end"/>
                </w:r>
              </w:hyperlink>
            </w:p>
            <w:p w14:paraId="7B76510D" w14:textId="0FE7B421" w:rsidR="007F406C" w:rsidRDefault="00682B7A">
              <w:pPr>
                <w:pStyle w:val="TOC2"/>
                <w:rPr>
                  <w:rFonts w:asciiTheme="minorHAnsi" w:hAnsiTheme="minorHAnsi" w:cstheme="minorBidi"/>
                  <w:noProof/>
                  <w:color w:val="auto"/>
                  <w:sz w:val="22"/>
                  <w:lang w:eastAsia="ko-KR" w:bidi="ar-SA"/>
                </w:rPr>
              </w:pPr>
              <w:hyperlink w:anchor="_Toc490566977" w:history="1">
                <w:r w:rsidR="007F406C" w:rsidRPr="00C5413C">
                  <w:rPr>
                    <w:rStyle w:val="Hyperlink"/>
                    <w:noProof/>
                    <w14:scene3d>
                      <w14:camera w14:prst="orthographicFront"/>
                      <w14:lightRig w14:rig="threePt" w14:dir="t">
                        <w14:rot w14:lat="0" w14:lon="0" w14:rev="0"/>
                      </w14:lightRig>
                    </w14:scene3d>
                  </w:rPr>
                  <w:t>4.2</w:t>
                </w:r>
                <w:r w:rsidR="007F406C">
                  <w:rPr>
                    <w:rFonts w:asciiTheme="minorHAnsi" w:hAnsiTheme="minorHAnsi" w:cstheme="minorBidi"/>
                    <w:noProof/>
                    <w:color w:val="auto"/>
                    <w:sz w:val="22"/>
                    <w:lang w:eastAsia="ko-KR" w:bidi="ar-SA"/>
                  </w:rPr>
                  <w:tab/>
                </w:r>
                <w:r w:rsidR="007F406C" w:rsidRPr="00C5413C">
                  <w:rPr>
                    <w:rStyle w:val="Hyperlink"/>
                    <w:noProof/>
                  </w:rPr>
                  <w:t>Research Aim</w:t>
                </w:r>
                <w:r w:rsidR="007F406C">
                  <w:rPr>
                    <w:noProof/>
                    <w:webHidden/>
                  </w:rPr>
                  <w:tab/>
                </w:r>
                <w:r w:rsidR="007F406C">
                  <w:rPr>
                    <w:noProof/>
                    <w:webHidden/>
                  </w:rPr>
                  <w:fldChar w:fldCharType="begin"/>
                </w:r>
                <w:r w:rsidR="007F406C">
                  <w:rPr>
                    <w:noProof/>
                    <w:webHidden/>
                  </w:rPr>
                  <w:instrText xml:space="preserve"> PAGEREF _Toc490566977 \h </w:instrText>
                </w:r>
                <w:r w:rsidR="007F406C">
                  <w:rPr>
                    <w:noProof/>
                    <w:webHidden/>
                  </w:rPr>
                </w:r>
                <w:r w:rsidR="007F406C">
                  <w:rPr>
                    <w:noProof/>
                    <w:webHidden/>
                  </w:rPr>
                  <w:fldChar w:fldCharType="separate"/>
                </w:r>
                <w:r w:rsidR="007F406C">
                  <w:rPr>
                    <w:noProof/>
                    <w:webHidden/>
                  </w:rPr>
                  <w:t>17</w:t>
                </w:r>
                <w:r w:rsidR="007F406C">
                  <w:rPr>
                    <w:noProof/>
                    <w:webHidden/>
                  </w:rPr>
                  <w:fldChar w:fldCharType="end"/>
                </w:r>
              </w:hyperlink>
            </w:p>
            <w:p w14:paraId="05105EBB" w14:textId="1F141378" w:rsidR="007F406C" w:rsidRDefault="00682B7A">
              <w:pPr>
                <w:pStyle w:val="TOC2"/>
                <w:rPr>
                  <w:rFonts w:asciiTheme="minorHAnsi" w:hAnsiTheme="minorHAnsi" w:cstheme="minorBidi"/>
                  <w:noProof/>
                  <w:color w:val="auto"/>
                  <w:sz w:val="22"/>
                  <w:lang w:eastAsia="ko-KR" w:bidi="ar-SA"/>
                </w:rPr>
              </w:pPr>
              <w:hyperlink w:anchor="_Toc490566978" w:history="1">
                <w:r w:rsidR="007F406C" w:rsidRPr="00C5413C">
                  <w:rPr>
                    <w:rStyle w:val="Hyperlink"/>
                    <w:noProof/>
                    <w14:scene3d>
                      <w14:camera w14:prst="orthographicFront"/>
                      <w14:lightRig w14:rig="threePt" w14:dir="t">
                        <w14:rot w14:lat="0" w14:lon="0" w14:rev="0"/>
                      </w14:lightRig>
                    </w14:scene3d>
                  </w:rPr>
                  <w:t>4.3</w:t>
                </w:r>
                <w:r w:rsidR="007F406C">
                  <w:rPr>
                    <w:rFonts w:asciiTheme="minorHAnsi" w:hAnsiTheme="minorHAnsi" w:cstheme="minorBidi"/>
                    <w:noProof/>
                    <w:color w:val="auto"/>
                    <w:sz w:val="22"/>
                    <w:lang w:eastAsia="ko-KR" w:bidi="ar-SA"/>
                  </w:rPr>
                  <w:tab/>
                </w:r>
                <w:r w:rsidR="007F406C" w:rsidRPr="00C5413C">
                  <w:rPr>
                    <w:rStyle w:val="Hyperlink"/>
                    <w:noProof/>
                  </w:rPr>
                  <w:t>Assumptions</w:t>
                </w:r>
                <w:r w:rsidR="007F406C">
                  <w:rPr>
                    <w:noProof/>
                    <w:webHidden/>
                  </w:rPr>
                  <w:tab/>
                </w:r>
                <w:r w:rsidR="007F406C">
                  <w:rPr>
                    <w:noProof/>
                    <w:webHidden/>
                  </w:rPr>
                  <w:fldChar w:fldCharType="begin"/>
                </w:r>
                <w:r w:rsidR="007F406C">
                  <w:rPr>
                    <w:noProof/>
                    <w:webHidden/>
                  </w:rPr>
                  <w:instrText xml:space="preserve"> PAGEREF _Toc490566978 \h </w:instrText>
                </w:r>
                <w:r w:rsidR="007F406C">
                  <w:rPr>
                    <w:noProof/>
                    <w:webHidden/>
                  </w:rPr>
                </w:r>
                <w:r w:rsidR="007F406C">
                  <w:rPr>
                    <w:noProof/>
                    <w:webHidden/>
                  </w:rPr>
                  <w:fldChar w:fldCharType="separate"/>
                </w:r>
                <w:r w:rsidR="007F406C">
                  <w:rPr>
                    <w:noProof/>
                    <w:webHidden/>
                  </w:rPr>
                  <w:t>18</w:t>
                </w:r>
                <w:r w:rsidR="007F406C">
                  <w:rPr>
                    <w:noProof/>
                    <w:webHidden/>
                  </w:rPr>
                  <w:fldChar w:fldCharType="end"/>
                </w:r>
              </w:hyperlink>
            </w:p>
            <w:p w14:paraId="600EDAE9" w14:textId="12C0F70F" w:rsidR="007F406C" w:rsidRDefault="00682B7A">
              <w:pPr>
                <w:pStyle w:val="TOC2"/>
                <w:rPr>
                  <w:rFonts w:asciiTheme="minorHAnsi" w:hAnsiTheme="minorHAnsi" w:cstheme="minorBidi"/>
                  <w:noProof/>
                  <w:color w:val="auto"/>
                  <w:sz w:val="22"/>
                  <w:lang w:eastAsia="ko-KR" w:bidi="ar-SA"/>
                </w:rPr>
              </w:pPr>
              <w:hyperlink w:anchor="_Toc490566979" w:history="1">
                <w:r w:rsidR="007F406C" w:rsidRPr="00C5413C">
                  <w:rPr>
                    <w:rStyle w:val="Hyperlink"/>
                    <w:noProof/>
                    <w14:scene3d>
                      <w14:camera w14:prst="orthographicFront"/>
                      <w14:lightRig w14:rig="threePt" w14:dir="t">
                        <w14:rot w14:lat="0" w14:lon="0" w14:rev="0"/>
                      </w14:lightRig>
                    </w14:scene3d>
                  </w:rPr>
                  <w:t>4.4</w:t>
                </w:r>
                <w:r w:rsidR="007F406C">
                  <w:rPr>
                    <w:rFonts w:asciiTheme="minorHAnsi" w:hAnsiTheme="minorHAnsi" w:cstheme="minorBidi"/>
                    <w:noProof/>
                    <w:color w:val="auto"/>
                    <w:sz w:val="22"/>
                    <w:lang w:eastAsia="ko-KR" w:bidi="ar-SA"/>
                  </w:rPr>
                  <w:tab/>
                </w:r>
                <w:r w:rsidR="007F406C" w:rsidRPr="00C5413C">
                  <w:rPr>
                    <w:rStyle w:val="Hyperlink"/>
                    <w:noProof/>
                  </w:rPr>
                  <w:t>Research Questions</w:t>
                </w:r>
                <w:r w:rsidR="007F406C">
                  <w:rPr>
                    <w:noProof/>
                    <w:webHidden/>
                  </w:rPr>
                  <w:tab/>
                </w:r>
                <w:r w:rsidR="007F406C">
                  <w:rPr>
                    <w:noProof/>
                    <w:webHidden/>
                  </w:rPr>
                  <w:fldChar w:fldCharType="begin"/>
                </w:r>
                <w:r w:rsidR="007F406C">
                  <w:rPr>
                    <w:noProof/>
                    <w:webHidden/>
                  </w:rPr>
                  <w:instrText xml:space="preserve"> PAGEREF _Toc490566979 \h </w:instrText>
                </w:r>
                <w:r w:rsidR="007F406C">
                  <w:rPr>
                    <w:noProof/>
                    <w:webHidden/>
                  </w:rPr>
                </w:r>
                <w:r w:rsidR="007F406C">
                  <w:rPr>
                    <w:noProof/>
                    <w:webHidden/>
                  </w:rPr>
                  <w:fldChar w:fldCharType="separate"/>
                </w:r>
                <w:r w:rsidR="007F406C">
                  <w:rPr>
                    <w:noProof/>
                    <w:webHidden/>
                  </w:rPr>
                  <w:t>18</w:t>
                </w:r>
                <w:r w:rsidR="007F406C">
                  <w:rPr>
                    <w:noProof/>
                    <w:webHidden/>
                  </w:rPr>
                  <w:fldChar w:fldCharType="end"/>
                </w:r>
              </w:hyperlink>
            </w:p>
            <w:p w14:paraId="34F11894" w14:textId="6E655F25" w:rsidR="007F406C" w:rsidRDefault="00682B7A">
              <w:pPr>
                <w:pStyle w:val="TOC2"/>
                <w:rPr>
                  <w:rFonts w:asciiTheme="minorHAnsi" w:hAnsiTheme="minorHAnsi" w:cstheme="minorBidi"/>
                  <w:noProof/>
                  <w:color w:val="auto"/>
                  <w:sz w:val="22"/>
                  <w:lang w:eastAsia="ko-KR" w:bidi="ar-SA"/>
                </w:rPr>
              </w:pPr>
              <w:hyperlink w:anchor="_Toc490566980" w:history="1">
                <w:r w:rsidR="007F406C" w:rsidRPr="00C5413C">
                  <w:rPr>
                    <w:rStyle w:val="Hyperlink"/>
                    <w:noProof/>
                    <w14:scene3d>
                      <w14:camera w14:prst="orthographicFront"/>
                      <w14:lightRig w14:rig="threePt" w14:dir="t">
                        <w14:rot w14:lat="0" w14:lon="0" w14:rev="0"/>
                      </w14:lightRig>
                    </w14:scene3d>
                  </w:rPr>
                  <w:t>4.5</w:t>
                </w:r>
                <w:r w:rsidR="007F406C">
                  <w:rPr>
                    <w:rFonts w:asciiTheme="minorHAnsi" w:hAnsiTheme="minorHAnsi" w:cstheme="minorBidi"/>
                    <w:noProof/>
                    <w:color w:val="auto"/>
                    <w:sz w:val="22"/>
                    <w:lang w:eastAsia="ko-KR" w:bidi="ar-SA"/>
                  </w:rPr>
                  <w:tab/>
                </w:r>
                <w:r w:rsidR="007F406C" w:rsidRPr="00C5413C">
                  <w:rPr>
                    <w:rStyle w:val="Hyperlink"/>
                    <w:noProof/>
                  </w:rPr>
                  <w:t>Methodology</w:t>
                </w:r>
                <w:r w:rsidR="007F406C">
                  <w:rPr>
                    <w:noProof/>
                    <w:webHidden/>
                  </w:rPr>
                  <w:tab/>
                </w:r>
                <w:r w:rsidR="007F406C">
                  <w:rPr>
                    <w:noProof/>
                    <w:webHidden/>
                  </w:rPr>
                  <w:fldChar w:fldCharType="begin"/>
                </w:r>
                <w:r w:rsidR="007F406C">
                  <w:rPr>
                    <w:noProof/>
                    <w:webHidden/>
                  </w:rPr>
                  <w:instrText xml:space="preserve"> PAGEREF _Toc490566980 \h </w:instrText>
                </w:r>
                <w:r w:rsidR="007F406C">
                  <w:rPr>
                    <w:noProof/>
                    <w:webHidden/>
                  </w:rPr>
                </w:r>
                <w:r w:rsidR="007F406C">
                  <w:rPr>
                    <w:noProof/>
                    <w:webHidden/>
                  </w:rPr>
                  <w:fldChar w:fldCharType="separate"/>
                </w:r>
                <w:r w:rsidR="007F406C">
                  <w:rPr>
                    <w:noProof/>
                    <w:webHidden/>
                  </w:rPr>
                  <w:t>19</w:t>
                </w:r>
                <w:r w:rsidR="007F406C">
                  <w:rPr>
                    <w:noProof/>
                    <w:webHidden/>
                  </w:rPr>
                  <w:fldChar w:fldCharType="end"/>
                </w:r>
              </w:hyperlink>
            </w:p>
            <w:p w14:paraId="2048A9E1" w14:textId="7AABDA6F" w:rsidR="007F406C" w:rsidRDefault="00682B7A" w:rsidP="007F406C">
              <w:pPr>
                <w:pStyle w:val="TOC1"/>
                <w:rPr>
                  <w:rFonts w:asciiTheme="minorHAnsi" w:hAnsiTheme="minorHAnsi" w:cstheme="minorBidi"/>
                  <w:noProof/>
                  <w:color w:val="auto"/>
                  <w:sz w:val="22"/>
                  <w:lang w:eastAsia="ko-KR" w:bidi="ar-SA"/>
                </w:rPr>
              </w:pPr>
              <w:hyperlink w:anchor="_Toc490566981" w:history="1">
                <w:r w:rsidR="007F406C" w:rsidRPr="00C5413C">
                  <w:rPr>
                    <w:rStyle w:val="Hyperlink"/>
                    <w:noProof/>
                    <w14:scene3d>
                      <w14:camera w14:prst="orthographicFront"/>
                      <w14:lightRig w14:rig="threePt" w14:dir="t">
                        <w14:rot w14:lat="0" w14:lon="0" w14:rev="0"/>
                      </w14:lightRig>
                    </w14:scene3d>
                  </w:rPr>
                  <w:t>5</w:t>
                </w:r>
                <w:r w:rsidR="007F406C">
                  <w:rPr>
                    <w:rFonts w:asciiTheme="minorHAnsi" w:hAnsiTheme="minorHAnsi" w:cstheme="minorBidi"/>
                    <w:noProof/>
                    <w:color w:val="auto"/>
                    <w:sz w:val="22"/>
                    <w:lang w:eastAsia="ko-KR" w:bidi="ar-SA"/>
                  </w:rPr>
                  <w:tab/>
                </w:r>
                <w:r w:rsidR="007F406C" w:rsidRPr="00C5413C">
                  <w:rPr>
                    <w:rStyle w:val="Hyperlink"/>
                    <w:noProof/>
                  </w:rPr>
                  <w:t>TECHNICAL ASPECTS</w:t>
                </w:r>
                <w:r w:rsidR="007F406C">
                  <w:rPr>
                    <w:noProof/>
                    <w:webHidden/>
                  </w:rPr>
                  <w:tab/>
                </w:r>
                <w:r w:rsidR="007F406C">
                  <w:rPr>
                    <w:noProof/>
                    <w:webHidden/>
                  </w:rPr>
                  <w:fldChar w:fldCharType="begin"/>
                </w:r>
                <w:r w:rsidR="007F406C">
                  <w:rPr>
                    <w:noProof/>
                    <w:webHidden/>
                  </w:rPr>
                  <w:instrText xml:space="preserve"> PAGEREF _Toc490566981 \h </w:instrText>
                </w:r>
                <w:r w:rsidR="007F406C">
                  <w:rPr>
                    <w:noProof/>
                    <w:webHidden/>
                  </w:rPr>
                </w:r>
                <w:r w:rsidR="007F406C">
                  <w:rPr>
                    <w:noProof/>
                    <w:webHidden/>
                  </w:rPr>
                  <w:fldChar w:fldCharType="separate"/>
                </w:r>
                <w:r w:rsidR="007F406C">
                  <w:rPr>
                    <w:noProof/>
                    <w:webHidden/>
                  </w:rPr>
                  <w:t>23</w:t>
                </w:r>
                <w:r w:rsidR="007F406C">
                  <w:rPr>
                    <w:noProof/>
                    <w:webHidden/>
                  </w:rPr>
                  <w:fldChar w:fldCharType="end"/>
                </w:r>
              </w:hyperlink>
            </w:p>
            <w:p w14:paraId="1EA9D47D" w14:textId="6ACAAFC0" w:rsidR="007F406C" w:rsidRDefault="00682B7A">
              <w:pPr>
                <w:pStyle w:val="TOC2"/>
                <w:rPr>
                  <w:rFonts w:asciiTheme="minorHAnsi" w:hAnsiTheme="minorHAnsi" w:cstheme="minorBidi"/>
                  <w:noProof/>
                  <w:color w:val="auto"/>
                  <w:sz w:val="22"/>
                  <w:lang w:eastAsia="ko-KR" w:bidi="ar-SA"/>
                </w:rPr>
              </w:pPr>
              <w:hyperlink w:anchor="_Toc490566982" w:history="1">
                <w:r w:rsidR="007F406C" w:rsidRPr="00C5413C">
                  <w:rPr>
                    <w:rStyle w:val="Hyperlink"/>
                    <w:noProof/>
                    <w14:scene3d>
                      <w14:camera w14:prst="orthographicFront"/>
                      <w14:lightRig w14:rig="threePt" w14:dir="t">
                        <w14:rot w14:lat="0" w14:lon="0" w14:rev="0"/>
                      </w14:lightRig>
                    </w14:scene3d>
                  </w:rPr>
                  <w:t>5.1</w:t>
                </w:r>
                <w:r w:rsidR="007F406C">
                  <w:rPr>
                    <w:rFonts w:asciiTheme="minorHAnsi" w:hAnsiTheme="minorHAnsi" w:cstheme="minorBidi"/>
                    <w:noProof/>
                    <w:color w:val="auto"/>
                    <w:sz w:val="22"/>
                    <w:lang w:eastAsia="ko-KR" w:bidi="ar-SA"/>
                  </w:rPr>
                  <w:tab/>
                </w:r>
                <w:r w:rsidR="007F406C" w:rsidRPr="00C5413C">
                  <w:rPr>
                    <w:rStyle w:val="Hyperlink"/>
                    <w:noProof/>
                  </w:rPr>
                  <w:t>Introduction</w:t>
                </w:r>
                <w:r w:rsidR="007F406C">
                  <w:rPr>
                    <w:noProof/>
                    <w:webHidden/>
                  </w:rPr>
                  <w:tab/>
                </w:r>
                <w:r w:rsidR="007F406C">
                  <w:rPr>
                    <w:noProof/>
                    <w:webHidden/>
                  </w:rPr>
                  <w:fldChar w:fldCharType="begin"/>
                </w:r>
                <w:r w:rsidR="007F406C">
                  <w:rPr>
                    <w:noProof/>
                    <w:webHidden/>
                  </w:rPr>
                  <w:instrText xml:space="preserve"> PAGEREF _Toc490566982 \h </w:instrText>
                </w:r>
                <w:r w:rsidR="007F406C">
                  <w:rPr>
                    <w:noProof/>
                    <w:webHidden/>
                  </w:rPr>
                </w:r>
                <w:r w:rsidR="007F406C">
                  <w:rPr>
                    <w:noProof/>
                    <w:webHidden/>
                  </w:rPr>
                  <w:fldChar w:fldCharType="separate"/>
                </w:r>
                <w:r w:rsidR="007F406C">
                  <w:rPr>
                    <w:noProof/>
                    <w:webHidden/>
                  </w:rPr>
                  <w:t>23</w:t>
                </w:r>
                <w:r w:rsidR="007F406C">
                  <w:rPr>
                    <w:noProof/>
                    <w:webHidden/>
                  </w:rPr>
                  <w:fldChar w:fldCharType="end"/>
                </w:r>
              </w:hyperlink>
            </w:p>
            <w:p w14:paraId="74497847" w14:textId="7D886F59" w:rsidR="007F406C" w:rsidRDefault="00682B7A">
              <w:pPr>
                <w:pStyle w:val="TOC2"/>
                <w:rPr>
                  <w:rFonts w:asciiTheme="minorHAnsi" w:hAnsiTheme="minorHAnsi" w:cstheme="minorBidi"/>
                  <w:noProof/>
                  <w:color w:val="auto"/>
                  <w:sz w:val="22"/>
                  <w:lang w:eastAsia="ko-KR" w:bidi="ar-SA"/>
                </w:rPr>
              </w:pPr>
              <w:hyperlink w:anchor="_Toc490566983" w:history="1">
                <w:r w:rsidR="007F406C" w:rsidRPr="00C5413C">
                  <w:rPr>
                    <w:rStyle w:val="Hyperlink"/>
                    <w:noProof/>
                    <w14:scene3d>
                      <w14:camera w14:prst="orthographicFront"/>
                      <w14:lightRig w14:rig="threePt" w14:dir="t">
                        <w14:rot w14:lat="0" w14:lon="0" w14:rev="0"/>
                      </w14:lightRig>
                    </w14:scene3d>
                  </w:rPr>
                  <w:t>5.2</w:t>
                </w:r>
                <w:r w:rsidR="007F406C">
                  <w:rPr>
                    <w:rFonts w:asciiTheme="minorHAnsi" w:hAnsiTheme="minorHAnsi" w:cstheme="minorBidi"/>
                    <w:noProof/>
                    <w:color w:val="auto"/>
                    <w:sz w:val="22"/>
                    <w:lang w:eastAsia="ko-KR" w:bidi="ar-SA"/>
                  </w:rPr>
                  <w:tab/>
                </w:r>
                <w:r w:rsidR="007F406C" w:rsidRPr="00C5413C">
                  <w:rPr>
                    <w:rStyle w:val="Hyperlink"/>
                    <w:noProof/>
                  </w:rPr>
                  <w:t>Renewable energy sources</w:t>
                </w:r>
                <w:r w:rsidR="007F406C">
                  <w:rPr>
                    <w:noProof/>
                    <w:webHidden/>
                  </w:rPr>
                  <w:tab/>
                </w:r>
                <w:r w:rsidR="007F406C">
                  <w:rPr>
                    <w:noProof/>
                    <w:webHidden/>
                  </w:rPr>
                  <w:fldChar w:fldCharType="begin"/>
                </w:r>
                <w:r w:rsidR="007F406C">
                  <w:rPr>
                    <w:noProof/>
                    <w:webHidden/>
                  </w:rPr>
                  <w:instrText xml:space="preserve"> PAGEREF _Toc490566983 \h </w:instrText>
                </w:r>
                <w:r w:rsidR="007F406C">
                  <w:rPr>
                    <w:noProof/>
                    <w:webHidden/>
                  </w:rPr>
                </w:r>
                <w:r w:rsidR="007F406C">
                  <w:rPr>
                    <w:noProof/>
                    <w:webHidden/>
                  </w:rPr>
                  <w:fldChar w:fldCharType="separate"/>
                </w:r>
                <w:r w:rsidR="007F406C">
                  <w:rPr>
                    <w:noProof/>
                    <w:webHidden/>
                  </w:rPr>
                  <w:t>23</w:t>
                </w:r>
                <w:r w:rsidR="007F406C">
                  <w:rPr>
                    <w:noProof/>
                    <w:webHidden/>
                  </w:rPr>
                  <w:fldChar w:fldCharType="end"/>
                </w:r>
              </w:hyperlink>
            </w:p>
            <w:p w14:paraId="419836D3" w14:textId="0682D7C4" w:rsidR="007F406C" w:rsidRDefault="00682B7A">
              <w:pPr>
                <w:pStyle w:val="TOC2"/>
                <w:rPr>
                  <w:rFonts w:asciiTheme="minorHAnsi" w:hAnsiTheme="minorHAnsi" w:cstheme="minorBidi"/>
                  <w:noProof/>
                  <w:color w:val="auto"/>
                  <w:sz w:val="22"/>
                  <w:lang w:eastAsia="ko-KR" w:bidi="ar-SA"/>
                </w:rPr>
              </w:pPr>
              <w:hyperlink w:anchor="_Toc490566984" w:history="1">
                <w:r w:rsidR="007F406C" w:rsidRPr="00C5413C">
                  <w:rPr>
                    <w:rStyle w:val="Hyperlink"/>
                    <w:noProof/>
                    <w14:scene3d>
                      <w14:camera w14:prst="orthographicFront"/>
                      <w14:lightRig w14:rig="threePt" w14:dir="t">
                        <w14:rot w14:lat="0" w14:lon="0" w14:rev="0"/>
                      </w14:lightRig>
                    </w14:scene3d>
                  </w:rPr>
                  <w:t>5.3</w:t>
                </w:r>
                <w:r w:rsidR="007F406C">
                  <w:rPr>
                    <w:rFonts w:asciiTheme="minorHAnsi" w:hAnsiTheme="minorHAnsi" w:cstheme="minorBidi"/>
                    <w:noProof/>
                    <w:color w:val="auto"/>
                    <w:sz w:val="22"/>
                    <w:lang w:eastAsia="ko-KR" w:bidi="ar-SA"/>
                  </w:rPr>
                  <w:tab/>
                </w:r>
                <w:r w:rsidR="007F406C" w:rsidRPr="00C5413C">
                  <w:rPr>
                    <w:rStyle w:val="Hyperlink"/>
                    <w:noProof/>
                  </w:rPr>
                  <w:t>Electricity Generation, Transmission, and Distribution</w:t>
                </w:r>
                <w:r w:rsidR="007F406C">
                  <w:rPr>
                    <w:noProof/>
                    <w:webHidden/>
                  </w:rPr>
                  <w:tab/>
                </w:r>
                <w:r w:rsidR="007F406C">
                  <w:rPr>
                    <w:noProof/>
                    <w:webHidden/>
                  </w:rPr>
                  <w:fldChar w:fldCharType="begin"/>
                </w:r>
                <w:r w:rsidR="007F406C">
                  <w:rPr>
                    <w:noProof/>
                    <w:webHidden/>
                  </w:rPr>
                  <w:instrText xml:space="preserve"> PAGEREF _Toc490566984 \h </w:instrText>
                </w:r>
                <w:r w:rsidR="007F406C">
                  <w:rPr>
                    <w:noProof/>
                    <w:webHidden/>
                  </w:rPr>
                </w:r>
                <w:r w:rsidR="007F406C">
                  <w:rPr>
                    <w:noProof/>
                    <w:webHidden/>
                  </w:rPr>
                  <w:fldChar w:fldCharType="separate"/>
                </w:r>
                <w:r w:rsidR="007F406C">
                  <w:rPr>
                    <w:noProof/>
                    <w:webHidden/>
                  </w:rPr>
                  <w:t>25</w:t>
                </w:r>
                <w:r w:rsidR="007F406C">
                  <w:rPr>
                    <w:noProof/>
                    <w:webHidden/>
                  </w:rPr>
                  <w:fldChar w:fldCharType="end"/>
                </w:r>
              </w:hyperlink>
            </w:p>
            <w:p w14:paraId="077C2063" w14:textId="47D31663" w:rsidR="007F406C" w:rsidRDefault="00682B7A">
              <w:pPr>
                <w:pStyle w:val="TOC2"/>
                <w:rPr>
                  <w:rFonts w:asciiTheme="minorHAnsi" w:hAnsiTheme="minorHAnsi" w:cstheme="minorBidi"/>
                  <w:noProof/>
                  <w:color w:val="auto"/>
                  <w:sz w:val="22"/>
                  <w:lang w:eastAsia="ko-KR" w:bidi="ar-SA"/>
                </w:rPr>
              </w:pPr>
              <w:hyperlink w:anchor="_Toc490566985" w:history="1">
                <w:r w:rsidR="007F406C" w:rsidRPr="00C5413C">
                  <w:rPr>
                    <w:rStyle w:val="Hyperlink"/>
                    <w:noProof/>
                    <w14:scene3d>
                      <w14:camera w14:prst="orthographicFront"/>
                      <w14:lightRig w14:rig="threePt" w14:dir="t">
                        <w14:rot w14:lat="0" w14:lon="0" w14:rev="0"/>
                      </w14:lightRig>
                    </w14:scene3d>
                  </w:rPr>
                  <w:t>5.4</w:t>
                </w:r>
                <w:r w:rsidR="007F406C">
                  <w:rPr>
                    <w:rFonts w:asciiTheme="minorHAnsi" w:hAnsiTheme="minorHAnsi" w:cstheme="minorBidi"/>
                    <w:noProof/>
                    <w:color w:val="auto"/>
                    <w:sz w:val="22"/>
                    <w:lang w:eastAsia="ko-KR" w:bidi="ar-SA"/>
                  </w:rPr>
                  <w:tab/>
                </w:r>
                <w:r w:rsidR="007F406C" w:rsidRPr="00C5413C">
                  <w:rPr>
                    <w:rStyle w:val="Hyperlink"/>
                    <w:noProof/>
                  </w:rPr>
                  <w:t>Energy Storage Systems</w:t>
                </w:r>
                <w:r w:rsidR="007F406C">
                  <w:rPr>
                    <w:noProof/>
                    <w:webHidden/>
                  </w:rPr>
                  <w:tab/>
                </w:r>
                <w:r w:rsidR="007F406C">
                  <w:rPr>
                    <w:noProof/>
                    <w:webHidden/>
                  </w:rPr>
                  <w:fldChar w:fldCharType="begin"/>
                </w:r>
                <w:r w:rsidR="007F406C">
                  <w:rPr>
                    <w:noProof/>
                    <w:webHidden/>
                  </w:rPr>
                  <w:instrText xml:space="preserve"> PAGEREF _Toc490566985 \h </w:instrText>
                </w:r>
                <w:r w:rsidR="007F406C">
                  <w:rPr>
                    <w:noProof/>
                    <w:webHidden/>
                  </w:rPr>
                </w:r>
                <w:r w:rsidR="007F406C">
                  <w:rPr>
                    <w:noProof/>
                    <w:webHidden/>
                  </w:rPr>
                  <w:fldChar w:fldCharType="separate"/>
                </w:r>
                <w:r w:rsidR="007F406C">
                  <w:rPr>
                    <w:noProof/>
                    <w:webHidden/>
                  </w:rPr>
                  <w:t>26</w:t>
                </w:r>
                <w:r w:rsidR="007F406C">
                  <w:rPr>
                    <w:noProof/>
                    <w:webHidden/>
                  </w:rPr>
                  <w:fldChar w:fldCharType="end"/>
                </w:r>
              </w:hyperlink>
            </w:p>
            <w:p w14:paraId="3FF32060" w14:textId="0E2C8311" w:rsidR="007F406C" w:rsidRDefault="00682B7A" w:rsidP="007F406C">
              <w:pPr>
                <w:pStyle w:val="TOC1"/>
                <w:rPr>
                  <w:rFonts w:asciiTheme="minorHAnsi" w:hAnsiTheme="minorHAnsi" w:cstheme="minorBidi"/>
                  <w:noProof/>
                  <w:color w:val="auto"/>
                  <w:sz w:val="22"/>
                  <w:lang w:eastAsia="ko-KR" w:bidi="ar-SA"/>
                </w:rPr>
              </w:pPr>
              <w:hyperlink w:anchor="_Toc490566986" w:history="1">
                <w:r w:rsidR="007F406C" w:rsidRPr="00C5413C">
                  <w:rPr>
                    <w:rStyle w:val="Hyperlink"/>
                    <w:noProof/>
                    <w14:scene3d>
                      <w14:camera w14:prst="orthographicFront"/>
                      <w14:lightRig w14:rig="threePt" w14:dir="t">
                        <w14:rot w14:lat="0" w14:lon="0" w14:rev="0"/>
                      </w14:lightRig>
                    </w14:scene3d>
                  </w:rPr>
                  <w:t>6</w:t>
                </w:r>
                <w:r w:rsidR="007F406C">
                  <w:rPr>
                    <w:rFonts w:asciiTheme="minorHAnsi" w:hAnsiTheme="minorHAnsi" w:cstheme="minorBidi"/>
                    <w:noProof/>
                    <w:color w:val="auto"/>
                    <w:sz w:val="22"/>
                    <w:lang w:eastAsia="ko-KR" w:bidi="ar-SA"/>
                  </w:rPr>
                  <w:tab/>
                </w:r>
                <w:r w:rsidR="007F406C" w:rsidRPr="00C5413C">
                  <w:rPr>
                    <w:rStyle w:val="Hyperlink"/>
                    <w:noProof/>
                  </w:rPr>
                  <w:t>RESULTS AND DISCUSSION</w:t>
                </w:r>
                <w:r w:rsidR="007F406C">
                  <w:rPr>
                    <w:noProof/>
                    <w:webHidden/>
                  </w:rPr>
                  <w:tab/>
                </w:r>
                <w:r w:rsidR="007F406C">
                  <w:rPr>
                    <w:noProof/>
                    <w:webHidden/>
                  </w:rPr>
                  <w:fldChar w:fldCharType="begin"/>
                </w:r>
                <w:r w:rsidR="007F406C">
                  <w:rPr>
                    <w:noProof/>
                    <w:webHidden/>
                  </w:rPr>
                  <w:instrText xml:space="preserve"> PAGEREF _Toc490566986 \h </w:instrText>
                </w:r>
                <w:r w:rsidR="007F406C">
                  <w:rPr>
                    <w:noProof/>
                    <w:webHidden/>
                  </w:rPr>
                </w:r>
                <w:r w:rsidR="007F406C">
                  <w:rPr>
                    <w:noProof/>
                    <w:webHidden/>
                  </w:rPr>
                  <w:fldChar w:fldCharType="separate"/>
                </w:r>
                <w:r w:rsidR="007F406C">
                  <w:rPr>
                    <w:noProof/>
                    <w:webHidden/>
                  </w:rPr>
                  <w:t>27</w:t>
                </w:r>
                <w:r w:rsidR="007F406C">
                  <w:rPr>
                    <w:noProof/>
                    <w:webHidden/>
                  </w:rPr>
                  <w:fldChar w:fldCharType="end"/>
                </w:r>
              </w:hyperlink>
            </w:p>
            <w:p w14:paraId="6D2DD55E" w14:textId="1BEF8DF4" w:rsidR="007F406C" w:rsidRDefault="00682B7A">
              <w:pPr>
                <w:pStyle w:val="TOC2"/>
                <w:rPr>
                  <w:rFonts w:asciiTheme="minorHAnsi" w:hAnsiTheme="minorHAnsi" w:cstheme="minorBidi"/>
                  <w:noProof/>
                  <w:color w:val="auto"/>
                  <w:sz w:val="22"/>
                  <w:lang w:eastAsia="ko-KR" w:bidi="ar-SA"/>
                </w:rPr>
              </w:pPr>
              <w:hyperlink w:anchor="_Toc490566987" w:history="1">
                <w:r w:rsidR="007F406C" w:rsidRPr="00C5413C">
                  <w:rPr>
                    <w:rStyle w:val="Hyperlink"/>
                    <w:noProof/>
                    <w14:scene3d>
                      <w14:camera w14:prst="orthographicFront"/>
                      <w14:lightRig w14:rig="threePt" w14:dir="t">
                        <w14:rot w14:lat="0" w14:lon="0" w14:rev="0"/>
                      </w14:lightRig>
                    </w14:scene3d>
                  </w:rPr>
                  <w:t>6.1</w:t>
                </w:r>
                <w:r w:rsidR="007F406C">
                  <w:rPr>
                    <w:rFonts w:asciiTheme="minorHAnsi" w:hAnsiTheme="minorHAnsi" w:cstheme="minorBidi"/>
                    <w:noProof/>
                    <w:color w:val="auto"/>
                    <w:sz w:val="22"/>
                    <w:lang w:eastAsia="ko-KR" w:bidi="ar-SA"/>
                  </w:rPr>
                  <w:tab/>
                </w:r>
                <w:r w:rsidR="007F406C" w:rsidRPr="00C5413C">
                  <w:rPr>
                    <w:rStyle w:val="Hyperlink"/>
                    <w:noProof/>
                  </w:rPr>
                  <w:t>Introduction</w:t>
                </w:r>
                <w:r w:rsidR="007F406C">
                  <w:rPr>
                    <w:noProof/>
                    <w:webHidden/>
                  </w:rPr>
                  <w:tab/>
                </w:r>
                <w:r w:rsidR="007F406C">
                  <w:rPr>
                    <w:noProof/>
                    <w:webHidden/>
                  </w:rPr>
                  <w:fldChar w:fldCharType="begin"/>
                </w:r>
                <w:r w:rsidR="007F406C">
                  <w:rPr>
                    <w:noProof/>
                    <w:webHidden/>
                  </w:rPr>
                  <w:instrText xml:space="preserve"> PAGEREF _Toc490566987 \h </w:instrText>
                </w:r>
                <w:r w:rsidR="007F406C">
                  <w:rPr>
                    <w:noProof/>
                    <w:webHidden/>
                  </w:rPr>
                </w:r>
                <w:r w:rsidR="007F406C">
                  <w:rPr>
                    <w:noProof/>
                    <w:webHidden/>
                  </w:rPr>
                  <w:fldChar w:fldCharType="separate"/>
                </w:r>
                <w:r w:rsidR="007F406C">
                  <w:rPr>
                    <w:noProof/>
                    <w:webHidden/>
                  </w:rPr>
                  <w:t>27</w:t>
                </w:r>
                <w:r w:rsidR="007F406C">
                  <w:rPr>
                    <w:noProof/>
                    <w:webHidden/>
                  </w:rPr>
                  <w:fldChar w:fldCharType="end"/>
                </w:r>
              </w:hyperlink>
            </w:p>
            <w:p w14:paraId="125F76D4" w14:textId="13B8C082" w:rsidR="007F406C" w:rsidRDefault="00682B7A">
              <w:pPr>
                <w:pStyle w:val="TOC2"/>
                <w:rPr>
                  <w:rFonts w:asciiTheme="minorHAnsi" w:hAnsiTheme="minorHAnsi" w:cstheme="minorBidi"/>
                  <w:noProof/>
                  <w:color w:val="auto"/>
                  <w:sz w:val="22"/>
                  <w:lang w:eastAsia="ko-KR" w:bidi="ar-SA"/>
                </w:rPr>
              </w:pPr>
              <w:hyperlink w:anchor="_Toc490566988" w:history="1">
                <w:r w:rsidR="007F406C" w:rsidRPr="00C5413C">
                  <w:rPr>
                    <w:rStyle w:val="Hyperlink"/>
                    <w:noProof/>
                    <w14:scene3d>
                      <w14:camera w14:prst="orthographicFront"/>
                      <w14:lightRig w14:rig="threePt" w14:dir="t">
                        <w14:rot w14:lat="0" w14:lon="0" w14:rev="0"/>
                      </w14:lightRig>
                    </w14:scene3d>
                  </w:rPr>
                  <w:t>6.2</w:t>
                </w:r>
                <w:r w:rsidR="007F406C">
                  <w:rPr>
                    <w:rFonts w:asciiTheme="minorHAnsi" w:hAnsiTheme="minorHAnsi" w:cstheme="minorBidi"/>
                    <w:noProof/>
                    <w:color w:val="auto"/>
                    <w:sz w:val="22"/>
                    <w:lang w:eastAsia="ko-KR" w:bidi="ar-SA"/>
                  </w:rPr>
                  <w:tab/>
                </w:r>
                <w:r w:rsidR="007F406C" w:rsidRPr="00C5413C">
                  <w:rPr>
                    <w:rStyle w:val="Hyperlink"/>
                    <w:noProof/>
                  </w:rPr>
                  <w:t>Results</w:t>
                </w:r>
                <w:r w:rsidR="007F406C">
                  <w:rPr>
                    <w:noProof/>
                    <w:webHidden/>
                  </w:rPr>
                  <w:tab/>
                </w:r>
                <w:r w:rsidR="007F406C">
                  <w:rPr>
                    <w:noProof/>
                    <w:webHidden/>
                  </w:rPr>
                  <w:fldChar w:fldCharType="begin"/>
                </w:r>
                <w:r w:rsidR="007F406C">
                  <w:rPr>
                    <w:noProof/>
                    <w:webHidden/>
                  </w:rPr>
                  <w:instrText xml:space="preserve"> PAGEREF _Toc490566988 \h </w:instrText>
                </w:r>
                <w:r w:rsidR="007F406C">
                  <w:rPr>
                    <w:noProof/>
                    <w:webHidden/>
                  </w:rPr>
                </w:r>
                <w:r w:rsidR="007F406C">
                  <w:rPr>
                    <w:noProof/>
                    <w:webHidden/>
                  </w:rPr>
                  <w:fldChar w:fldCharType="separate"/>
                </w:r>
                <w:r w:rsidR="007F406C">
                  <w:rPr>
                    <w:noProof/>
                    <w:webHidden/>
                  </w:rPr>
                  <w:t>27</w:t>
                </w:r>
                <w:r w:rsidR="007F406C">
                  <w:rPr>
                    <w:noProof/>
                    <w:webHidden/>
                  </w:rPr>
                  <w:fldChar w:fldCharType="end"/>
                </w:r>
              </w:hyperlink>
            </w:p>
            <w:p w14:paraId="735E6A45" w14:textId="7406F95F" w:rsidR="007F406C" w:rsidRDefault="00682B7A">
              <w:pPr>
                <w:pStyle w:val="TOC2"/>
                <w:rPr>
                  <w:rFonts w:asciiTheme="minorHAnsi" w:hAnsiTheme="minorHAnsi" w:cstheme="minorBidi"/>
                  <w:noProof/>
                  <w:color w:val="auto"/>
                  <w:sz w:val="22"/>
                  <w:lang w:eastAsia="ko-KR" w:bidi="ar-SA"/>
                </w:rPr>
              </w:pPr>
              <w:hyperlink w:anchor="_Toc490566989" w:history="1">
                <w:r w:rsidR="007F406C" w:rsidRPr="00C5413C">
                  <w:rPr>
                    <w:rStyle w:val="Hyperlink"/>
                    <w:noProof/>
                    <w:lang w:eastAsia="ko-KR"/>
                    <w14:scene3d>
                      <w14:camera w14:prst="orthographicFront"/>
                      <w14:lightRig w14:rig="threePt" w14:dir="t">
                        <w14:rot w14:lat="0" w14:lon="0" w14:rev="0"/>
                      </w14:lightRig>
                    </w14:scene3d>
                  </w:rPr>
                  <w:t>6.3</w:t>
                </w:r>
                <w:r w:rsidR="007F406C">
                  <w:rPr>
                    <w:rFonts w:asciiTheme="minorHAnsi" w:hAnsiTheme="minorHAnsi" w:cstheme="minorBidi"/>
                    <w:noProof/>
                    <w:color w:val="auto"/>
                    <w:sz w:val="22"/>
                    <w:lang w:eastAsia="ko-KR" w:bidi="ar-SA"/>
                  </w:rPr>
                  <w:tab/>
                </w:r>
                <w:r w:rsidR="007F406C" w:rsidRPr="00C5413C">
                  <w:rPr>
                    <w:rStyle w:val="Hyperlink"/>
                    <w:noProof/>
                    <w:lang w:eastAsia="ko-KR"/>
                  </w:rPr>
                  <w:t>Discussion and Recommendations</w:t>
                </w:r>
                <w:r w:rsidR="007F406C">
                  <w:rPr>
                    <w:noProof/>
                    <w:webHidden/>
                  </w:rPr>
                  <w:tab/>
                </w:r>
                <w:r w:rsidR="007F406C">
                  <w:rPr>
                    <w:noProof/>
                    <w:webHidden/>
                  </w:rPr>
                  <w:fldChar w:fldCharType="begin"/>
                </w:r>
                <w:r w:rsidR="007F406C">
                  <w:rPr>
                    <w:noProof/>
                    <w:webHidden/>
                  </w:rPr>
                  <w:instrText xml:space="preserve"> PAGEREF _Toc490566989 \h </w:instrText>
                </w:r>
                <w:r w:rsidR="007F406C">
                  <w:rPr>
                    <w:noProof/>
                    <w:webHidden/>
                  </w:rPr>
                </w:r>
                <w:r w:rsidR="007F406C">
                  <w:rPr>
                    <w:noProof/>
                    <w:webHidden/>
                  </w:rPr>
                  <w:fldChar w:fldCharType="separate"/>
                </w:r>
                <w:r w:rsidR="007F406C">
                  <w:rPr>
                    <w:noProof/>
                    <w:webHidden/>
                  </w:rPr>
                  <w:t>39</w:t>
                </w:r>
                <w:r w:rsidR="007F406C">
                  <w:rPr>
                    <w:noProof/>
                    <w:webHidden/>
                  </w:rPr>
                  <w:fldChar w:fldCharType="end"/>
                </w:r>
              </w:hyperlink>
            </w:p>
            <w:p w14:paraId="081FCF4F" w14:textId="0025ADA1" w:rsidR="007F406C" w:rsidRDefault="00682B7A">
              <w:pPr>
                <w:pStyle w:val="TOC2"/>
                <w:rPr>
                  <w:rFonts w:asciiTheme="minorHAnsi" w:hAnsiTheme="minorHAnsi" w:cstheme="minorBidi"/>
                  <w:noProof/>
                  <w:color w:val="auto"/>
                  <w:sz w:val="22"/>
                  <w:lang w:eastAsia="ko-KR" w:bidi="ar-SA"/>
                </w:rPr>
              </w:pPr>
              <w:hyperlink w:anchor="_Toc490566990" w:history="1">
                <w:r w:rsidR="007F406C" w:rsidRPr="00C5413C">
                  <w:rPr>
                    <w:rStyle w:val="Hyperlink"/>
                    <w:noProof/>
                    <w14:scene3d>
                      <w14:camera w14:prst="orthographicFront"/>
                      <w14:lightRig w14:rig="threePt" w14:dir="t">
                        <w14:rot w14:lat="0" w14:lon="0" w14:rev="0"/>
                      </w14:lightRig>
                    </w14:scene3d>
                  </w:rPr>
                  <w:t>6.4</w:t>
                </w:r>
                <w:r w:rsidR="007F406C">
                  <w:rPr>
                    <w:rFonts w:asciiTheme="minorHAnsi" w:hAnsiTheme="minorHAnsi" w:cstheme="minorBidi"/>
                    <w:noProof/>
                    <w:color w:val="auto"/>
                    <w:sz w:val="22"/>
                    <w:lang w:eastAsia="ko-KR" w:bidi="ar-SA"/>
                  </w:rPr>
                  <w:tab/>
                </w:r>
                <w:r w:rsidR="007F406C" w:rsidRPr="00C5413C">
                  <w:rPr>
                    <w:rStyle w:val="Hyperlink"/>
                    <w:noProof/>
                  </w:rPr>
                  <w:t>Limitations of the Research</w:t>
                </w:r>
                <w:r w:rsidR="007F406C">
                  <w:rPr>
                    <w:noProof/>
                    <w:webHidden/>
                  </w:rPr>
                  <w:tab/>
                </w:r>
                <w:r w:rsidR="007F406C">
                  <w:rPr>
                    <w:noProof/>
                    <w:webHidden/>
                  </w:rPr>
                  <w:fldChar w:fldCharType="begin"/>
                </w:r>
                <w:r w:rsidR="007F406C">
                  <w:rPr>
                    <w:noProof/>
                    <w:webHidden/>
                  </w:rPr>
                  <w:instrText xml:space="preserve"> PAGEREF _Toc490566990 \h </w:instrText>
                </w:r>
                <w:r w:rsidR="007F406C">
                  <w:rPr>
                    <w:noProof/>
                    <w:webHidden/>
                  </w:rPr>
                </w:r>
                <w:r w:rsidR="007F406C">
                  <w:rPr>
                    <w:noProof/>
                    <w:webHidden/>
                  </w:rPr>
                  <w:fldChar w:fldCharType="separate"/>
                </w:r>
                <w:r w:rsidR="007F406C">
                  <w:rPr>
                    <w:noProof/>
                    <w:webHidden/>
                  </w:rPr>
                  <w:t>44</w:t>
                </w:r>
                <w:r w:rsidR="007F406C">
                  <w:rPr>
                    <w:noProof/>
                    <w:webHidden/>
                  </w:rPr>
                  <w:fldChar w:fldCharType="end"/>
                </w:r>
              </w:hyperlink>
            </w:p>
            <w:p w14:paraId="4760AF17" w14:textId="38CBE33C" w:rsidR="007F406C" w:rsidRDefault="00682B7A" w:rsidP="007F406C">
              <w:pPr>
                <w:pStyle w:val="TOC1"/>
                <w:rPr>
                  <w:rFonts w:asciiTheme="minorHAnsi" w:hAnsiTheme="minorHAnsi" w:cstheme="minorBidi"/>
                  <w:noProof/>
                  <w:color w:val="auto"/>
                  <w:sz w:val="22"/>
                  <w:lang w:eastAsia="ko-KR" w:bidi="ar-SA"/>
                </w:rPr>
              </w:pPr>
              <w:hyperlink w:anchor="_Toc490566991" w:history="1">
                <w:r w:rsidR="007F406C" w:rsidRPr="00C5413C">
                  <w:rPr>
                    <w:rStyle w:val="Hyperlink"/>
                    <w:noProof/>
                    <w14:scene3d>
                      <w14:camera w14:prst="orthographicFront"/>
                      <w14:lightRig w14:rig="threePt" w14:dir="t">
                        <w14:rot w14:lat="0" w14:lon="0" w14:rev="0"/>
                      </w14:lightRig>
                    </w14:scene3d>
                  </w:rPr>
                  <w:t>7</w:t>
                </w:r>
                <w:r w:rsidR="007F406C">
                  <w:rPr>
                    <w:rFonts w:asciiTheme="minorHAnsi" w:hAnsiTheme="minorHAnsi" w:cstheme="minorBidi"/>
                    <w:noProof/>
                    <w:color w:val="auto"/>
                    <w:sz w:val="22"/>
                    <w:lang w:eastAsia="ko-KR" w:bidi="ar-SA"/>
                  </w:rPr>
                  <w:tab/>
                </w:r>
                <w:r w:rsidR="007F406C" w:rsidRPr="00C5413C">
                  <w:rPr>
                    <w:rStyle w:val="Hyperlink"/>
                    <w:noProof/>
                  </w:rPr>
                  <w:t>CONCLUSION</w:t>
                </w:r>
                <w:r w:rsidR="007F406C">
                  <w:rPr>
                    <w:noProof/>
                    <w:webHidden/>
                  </w:rPr>
                  <w:tab/>
                </w:r>
                <w:r w:rsidR="007F406C">
                  <w:rPr>
                    <w:noProof/>
                    <w:webHidden/>
                  </w:rPr>
                  <w:fldChar w:fldCharType="begin"/>
                </w:r>
                <w:r w:rsidR="007F406C">
                  <w:rPr>
                    <w:noProof/>
                    <w:webHidden/>
                  </w:rPr>
                  <w:instrText xml:space="preserve"> PAGEREF _Toc490566991 \h </w:instrText>
                </w:r>
                <w:r w:rsidR="007F406C">
                  <w:rPr>
                    <w:noProof/>
                    <w:webHidden/>
                  </w:rPr>
                </w:r>
                <w:r w:rsidR="007F406C">
                  <w:rPr>
                    <w:noProof/>
                    <w:webHidden/>
                  </w:rPr>
                  <w:fldChar w:fldCharType="separate"/>
                </w:r>
                <w:r w:rsidR="007F406C">
                  <w:rPr>
                    <w:noProof/>
                    <w:webHidden/>
                  </w:rPr>
                  <w:t>45</w:t>
                </w:r>
                <w:r w:rsidR="007F406C">
                  <w:rPr>
                    <w:noProof/>
                    <w:webHidden/>
                  </w:rPr>
                  <w:fldChar w:fldCharType="end"/>
                </w:r>
              </w:hyperlink>
            </w:p>
            <w:p w14:paraId="0FFE73A9" w14:textId="77777777" w:rsidR="007F406C" w:rsidRDefault="007F406C" w:rsidP="007F406C">
              <w:pPr>
                <w:pStyle w:val="TOC1"/>
                <w:rPr>
                  <w:rStyle w:val="Hyperlink"/>
                  <w:noProof/>
                </w:rPr>
              </w:pPr>
            </w:p>
            <w:p w14:paraId="6329D155" w14:textId="3B4638D1" w:rsidR="007F406C" w:rsidRDefault="00682B7A" w:rsidP="007F406C">
              <w:pPr>
                <w:pStyle w:val="TOC1"/>
                <w:rPr>
                  <w:rFonts w:asciiTheme="minorHAnsi" w:hAnsiTheme="minorHAnsi" w:cstheme="minorBidi"/>
                  <w:noProof/>
                  <w:color w:val="auto"/>
                  <w:sz w:val="22"/>
                  <w:lang w:eastAsia="ko-KR" w:bidi="ar-SA"/>
                </w:rPr>
              </w:pPr>
              <w:hyperlink w:anchor="_Toc490566992" w:history="1">
                <w:r w:rsidR="007F406C" w:rsidRPr="00C5413C">
                  <w:rPr>
                    <w:rStyle w:val="Hyperlink"/>
                    <w:noProof/>
                  </w:rPr>
                  <w:t>REFERENCE LIST</w:t>
                </w:r>
                <w:r w:rsidR="007F406C">
                  <w:rPr>
                    <w:noProof/>
                    <w:webHidden/>
                  </w:rPr>
                  <w:tab/>
                </w:r>
                <w:r w:rsidR="007F406C">
                  <w:rPr>
                    <w:noProof/>
                    <w:webHidden/>
                  </w:rPr>
                  <w:fldChar w:fldCharType="begin"/>
                </w:r>
                <w:r w:rsidR="007F406C">
                  <w:rPr>
                    <w:noProof/>
                    <w:webHidden/>
                  </w:rPr>
                  <w:instrText xml:space="preserve"> PAGEREF _Toc490566992 \h </w:instrText>
                </w:r>
                <w:r w:rsidR="007F406C">
                  <w:rPr>
                    <w:noProof/>
                    <w:webHidden/>
                  </w:rPr>
                </w:r>
                <w:r w:rsidR="007F406C">
                  <w:rPr>
                    <w:noProof/>
                    <w:webHidden/>
                  </w:rPr>
                  <w:fldChar w:fldCharType="separate"/>
                </w:r>
                <w:r w:rsidR="007F406C">
                  <w:rPr>
                    <w:noProof/>
                    <w:webHidden/>
                  </w:rPr>
                  <w:t>47</w:t>
                </w:r>
                <w:r w:rsidR="007F406C">
                  <w:rPr>
                    <w:noProof/>
                    <w:webHidden/>
                  </w:rPr>
                  <w:fldChar w:fldCharType="end"/>
                </w:r>
              </w:hyperlink>
            </w:p>
            <w:p w14:paraId="12839DE7" w14:textId="37D92B6F" w:rsidR="005676F6" w:rsidRPr="007F406C" w:rsidRDefault="00770C64" w:rsidP="007F406C">
              <w:pPr>
                <w:ind w:left="0"/>
                <w:rPr>
                  <w:b/>
                  <w:bCs/>
                  <w:noProof/>
                </w:rPr>
              </w:pPr>
              <w:r>
                <w:rPr>
                  <w:b/>
                  <w:bCs/>
                  <w:noProof/>
                </w:rPr>
                <w:fldChar w:fldCharType="end"/>
              </w:r>
              <w:r w:rsidR="005676F6" w:rsidRPr="007F406C">
                <w:rPr>
                  <w:rStyle w:val="KaderkopChar"/>
                </w:rPr>
                <w:t>APPENDICES</w:t>
              </w:r>
              <w:r w:rsidR="005676F6">
                <w:rPr>
                  <w:noProof/>
                </w:rPr>
                <w:tab/>
              </w:r>
              <w:r w:rsidR="005676F6">
                <w:rPr>
                  <w:noProof/>
                </w:rPr>
                <w:tab/>
              </w:r>
              <w:r w:rsidR="005676F6">
                <w:rPr>
                  <w:noProof/>
                </w:rPr>
                <w:tab/>
              </w:r>
              <w:r w:rsidR="005676F6">
                <w:rPr>
                  <w:noProof/>
                </w:rPr>
                <w:tab/>
              </w:r>
              <w:r w:rsidR="002A1991">
                <w:rPr>
                  <w:noProof/>
                </w:rPr>
                <w:tab/>
              </w:r>
              <w:r w:rsidR="002A1991">
                <w:rPr>
                  <w:noProof/>
                </w:rPr>
                <w:tab/>
              </w:r>
              <w:r w:rsidR="002A1991">
                <w:rPr>
                  <w:noProof/>
                </w:rPr>
                <w:tab/>
              </w:r>
              <w:r w:rsidR="002A1991">
                <w:rPr>
                  <w:noProof/>
                </w:rPr>
                <w:tab/>
              </w:r>
              <w:r w:rsidR="002A1991">
                <w:rPr>
                  <w:noProof/>
                </w:rPr>
                <w:tab/>
              </w:r>
              <w:r w:rsidR="005676F6">
                <w:rPr>
                  <w:noProof/>
                </w:rPr>
                <w:tab/>
              </w:r>
              <w:r w:rsidR="007F406C">
                <w:rPr>
                  <w:noProof/>
                </w:rPr>
                <w:t xml:space="preserve">    </w:t>
              </w:r>
              <w:r w:rsidR="005A16A9">
                <w:rPr>
                  <w:rStyle w:val="KaderkopChar"/>
                </w:rPr>
                <w:t>52</w:t>
              </w:r>
            </w:p>
            <w:p w14:paraId="1007E7A3" w14:textId="71F877A7" w:rsidR="00770C64" w:rsidRPr="00526627" w:rsidRDefault="00682B7A" w:rsidP="00526627"/>
          </w:sdtContent>
        </w:sdt>
        <w:p w14:paraId="6FC257E6" w14:textId="3967B89E" w:rsidR="00360544" w:rsidRDefault="00011EDB" w:rsidP="00770C64">
          <w:pPr>
            <w:spacing w:after="200" w:line="276" w:lineRule="auto"/>
            <w:rPr>
              <w:b/>
              <w:bCs/>
              <w:caps/>
              <w:color w:val="696E34"/>
              <w:sz w:val="28"/>
              <w:szCs w:val="28"/>
            </w:rPr>
          </w:pPr>
          <w:r w:rsidRPr="00011EDB">
            <w:rPr>
              <w:b/>
              <w:bCs/>
              <w:caps/>
              <w:color w:val="696E34"/>
              <w:sz w:val="28"/>
              <w:szCs w:val="28"/>
            </w:rPr>
            <w:t>List of Figures</w:t>
          </w:r>
        </w:p>
        <w:p w14:paraId="4A273884" w14:textId="77777777" w:rsidR="00360544" w:rsidRDefault="00360544" w:rsidP="00011EDB">
          <w:pPr>
            <w:rPr>
              <w:b/>
              <w:bCs/>
              <w:caps/>
              <w:color w:val="696E34"/>
              <w:sz w:val="28"/>
              <w:szCs w:val="28"/>
            </w:rPr>
          </w:pPr>
        </w:p>
        <w:p w14:paraId="4AEC0FFA" w14:textId="04CDC9C4" w:rsidR="00C841D8" w:rsidRDefault="00360544">
          <w:pPr>
            <w:pStyle w:val="TableofFigures"/>
            <w:tabs>
              <w:tab w:val="right" w:leader="dot" w:pos="8210"/>
            </w:tabs>
            <w:rPr>
              <w:rFonts w:asciiTheme="minorHAnsi" w:hAnsiTheme="minorHAnsi" w:cstheme="minorBidi"/>
              <w:b w:val="0"/>
              <w:noProof/>
              <w:color w:val="auto"/>
              <w:sz w:val="22"/>
              <w:lang w:eastAsia="ko-KR" w:bidi="ar-SA"/>
            </w:rPr>
          </w:pPr>
          <w:r>
            <w:fldChar w:fldCharType="begin"/>
          </w:r>
          <w:r>
            <w:instrText xml:space="preserve"> TOC \h \z \c "Figure" </w:instrText>
          </w:r>
          <w:r>
            <w:fldChar w:fldCharType="separate"/>
          </w:r>
          <w:hyperlink w:anchor="_Toc491071344" w:history="1">
            <w:r w:rsidR="00C841D8" w:rsidRPr="00230596">
              <w:rPr>
                <w:rStyle w:val="Hyperlink"/>
                <w:noProof/>
              </w:rPr>
              <w:t>Figure 1 - Share of renewables in electricity production (including hydro) by geopolitical region (Source: Enerdata, 2017)</w:t>
            </w:r>
            <w:r w:rsidR="00C841D8">
              <w:rPr>
                <w:noProof/>
                <w:webHidden/>
              </w:rPr>
              <w:tab/>
            </w:r>
            <w:r w:rsidR="00C841D8">
              <w:rPr>
                <w:noProof/>
                <w:webHidden/>
              </w:rPr>
              <w:fldChar w:fldCharType="begin"/>
            </w:r>
            <w:r w:rsidR="00C841D8">
              <w:rPr>
                <w:noProof/>
                <w:webHidden/>
              </w:rPr>
              <w:instrText xml:space="preserve"> PAGEREF _Toc491071344 \h </w:instrText>
            </w:r>
            <w:r w:rsidR="00C841D8">
              <w:rPr>
                <w:noProof/>
                <w:webHidden/>
              </w:rPr>
            </w:r>
            <w:r w:rsidR="00C841D8">
              <w:rPr>
                <w:noProof/>
                <w:webHidden/>
              </w:rPr>
              <w:fldChar w:fldCharType="separate"/>
            </w:r>
            <w:r w:rsidR="00C841D8">
              <w:rPr>
                <w:noProof/>
                <w:webHidden/>
              </w:rPr>
              <w:t>5</w:t>
            </w:r>
            <w:r w:rsidR="00C841D8">
              <w:rPr>
                <w:noProof/>
                <w:webHidden/>
              </w:rPr>
              <w:fldChar w:fldCharType="end"/>
            </w:r>
          </w:hyperlink>
        </w:p>
        <w:p w14:paraId="5D2DD3D8" w14:textId="0724D69D"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45" w:history="1">
            <w:r w:rsidR="00C841D8" w:rsidRPr="00230596">
              <w:rPr>
                <w:rStyle w:val="Hyperlink"/>
                <w:noProof/>
              </w:rPr>
              <w:t>Figure 2 - Different stages of a transition at different system levels (Source: Rotmans et al. 2000 cited in Loorbach and Rotmans, n.d.)</w:t>
            </w:r>
            <w:r w:rsidR="00C841D8">
              <w:rPr>
                <w:noProof/>
                <w:webHidden/>
              </w:rPr>
              <w:tab/>
            </w:r>
            <w:r w:rsidR="00C841D8">
              <w:rPr>
                <w:noProof/>
                <w:webHidden/>
              </w:rPr>
              <w:fldChar w:fldCharType="begin"/>
            </w:r>
            <w:r w:rsidR="00C841D8">
              <w:rPr>
                <w:noProof/>
                <w:webHidden/>
              </w:rPr>
              <w:instrText xml:space="preserve"> PAGEREF _Toc491071345 \h </w:instrText>
            </w:r>
            <w:r w:rsidR="00C841D8">
              <w:rPr>
                <w:noProof/>
                <w:webHidden/>
              </w:rPr>
            </w:r>
            <w:r w:rsidR="00C841D8">
              <w:rPr>
                <w:noProof/>
                <w:webHidden/>
              </w:rPr>
              <w:fldChar w:fldCharType="separate"/>
            </w:r>
            <w:r w:rsidR="00C841D8">
              <w:rPr>
                <w:noProof/>
                <w:webHidden/>
              </w:rPr>
              <w:t>8</w:t>
            </w:r>
            <w:r w:rsidR="00C841D8">
              <w:rPr>
                <w:noProof/>
                <w:webHidden/>
              </w:rPr>
              <w:fldChar w:fldCharType="end"/>
            </w:r>
          </w:hyperlink>
        </w:p>
        <w:p w14:paraId="4224E022" w14:textId="0429376B"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46" w:history="1">
            <w:r w:rsidR="00C841D8" w:rsidRPr="00230596">
              <w:rPr>
                <w:rStyle w:val="Hyperlink"/>
                <w:noProof/>
              </w:rPr>
              <w:t>Figure 3 - Multi-level perspective on transitions (Source: Geels and Schot, 2007 adapted from Geels, 2002)</w:t>
            </w:r>
            <w:r w:rsidR="00C841D8">
              <w:rPr>
                <w:noProof/>
                <w:webHidden/>
              </w:rPr>
              <w:tab/>
            </w:r>
            <w:r w:rsidR="00C841D8">
              <w:rPr>
                <w:noProof/>
                <w:webHidden/>
              </w:rPr>
              <w:fldChar w:fldCharType="begin"/>
            </w:r>
            <w:r w:rsidR="00C841D8">
              <w:rPr>
                <w:noProof/>
                <w:webHidden/>
              </w:rPr>
              <w:instrText xml:space="preserve"> PAGEREF _Toc491071346 \h </w:instrText>
            </w:r>
            <w:r w:rsidR="00C841D8">
              <w:rPr>
                <w:noProof/>
                <w:webHidden/>
              </w:rPr>
            </w:r>
            <w:r w:rsidR="00C841D8">
              <w:rPr>
                <w:noProof/>
                <w:webHidden/>
              </w:rPr>
              <w:fldChar w:fldCharType="separate"/>
            </w:r>
            <w:r w:rsidR="00C841D8">
              <w:rPr>
                <w:noProof/>
                <w:webHidden/>
              </w:rPr>
              <w:t>9</w:t>
            </w:r>
            <w:r w:rsidR="00C841D8">
              <w:rPr>
                <w:noProof/>
                <w:webHidden/>
              </w:rPr>
              <w:fldChar w:fldCharType="end"/>
            </w:r>
          </w:hyperlink>
        </w:p>
        <w:p w14:paraId="1BB749F3" w14:textId="09C537DE"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47" w:history="1">
            <w:r w:rsidR="00C841D8" w:rsidRPr="00230596">
              <w:rPr>
                <w:rStyle w:val="Hyperlink"/>
                <w:noProof/>
              </w:rPr>
              <w:t>Figure 4 - From niche dynamics to regime shift (Source: Schot and Geels, 2008, adapted from Weber et al. 1999)</w:t>
            </w:r>
            <w:r w:rsidR="00C841D8">
              <w:rPr>
                <w:noProof/>
                <w:webHidden/>
              </w:rPr>
              <w:tab/>
            </w:r>
            <w:r w:rsidR="00C841D8">
              <w:rPr>
                <w:noProof/>
                <w:webHidden/>
              </w:rPr>
              <w:fldChar w:fldCharType="begin"/>
            </w:r>
            <w:r w:rsidR="00C841D8">
              <w:rPr>
                <w:noProof/>
                <w:webHidden/>
              </w:rPr>
              <w:instrText xml:space="preserve"> PAGEREF _Toc491071347 \h </w:instrText>
            </w:r>
            <w:r w:rsidR="00C841D8">
              <w:rPr>
                <w:noProof/>
                <w:webHidden/>
              </w:rPr>
            </w:r>
            <w:r w:rsidR="00C841D8">
              <w:rPr>
                <w:noProof/>
                <w:webHidden/>
              </w:rPr>
              <w:fldChar w:fldCharType="separate"/>
            </w:r>
            <w:r w:rsidR="00C841D8">
              <w:rPr>
                <w:noProof/>
                <w:webHidden/>
              </w:rPr>
              <w:t>10</w:t>
            </w:r>
            <w:r w:rsidR="00C841D8">
              <w:rPr>
                <w:noProof/>
                <w:webHidden/>
              </w:rPr>
              <w:fldChar w:fldCharType="end"/>
            </w:r>
          </w:hyperlink>
        </w:p>
        <w:p w14:paraId="619CC1B2" w14:textId="3933528A"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48" w:history="1">
            <w:r w:rsidR="00C841D8" w:rsidRPr="00230596">
              <w:rPr>
                <w:rStyle w:val="Hyperlink"/>
                <w:noProof/>
              </w:rPr>
              <w:t>Figure 5 - Current policy processes versus transition management processes (Source: Loorbach and Rotmans, n.d.)</w:t>
            </w:r>
            <w:r w:rsidR="00C841D8">
              <w:rPr>
                <w:noProof/>
                <w:webHidden/>
              </w:rPr>
              <w:tab/>
            </w:r>
            <w:r w:rsidR="00C841D8">
              <w:rPr>
                <w:noProof/>
                <w:webHidden/>
              </w:rPr>
              <w:fldChar w:fldCharType="begin"/>
            </w:r>
            <w:r w:rsidR="00C841D8">
              <w:rPr>
                <w:noProof/>
                <w:webHidden/>
              </w:rPr>
              <w:instrText xml:space="preserve"> PAGEREF _Toc491071348 \h </w:instrText>
            </w:r>
            <w:r w:rsidR="00C841D8">
              <w:rPr>
                <w:noProof/>
                <w:webHidden/>
              </w:rPr>
            </w:r>
            <w:r w:rsidR="00C841D8">
              <w:rPr>
                <w:noProof/>
                <w:webHidden/>
              </w:rPr>
              <w:fldChar w:fldCharType="separate"/>
            </w:r>
            <w:r w:rsidR="00C841D8">
              <w:rPr>
                <w:noProof/>
                <w:webHidden/>
              </w:rPr>
              <w:t>11</w:t>
            </w:r>
            <w:r w:rsidR="00C841D8">
              <w:rPr>
                <w:noProof/>
                <w:webHidden/>
              </w:rPr>
              <w:fldChar w:fldCharType="end"/>
            </w:r>
          </w:hyperlink>
        </w:p>
        <w:p w14:paraId="55BFC25F" w14:textId="2ACE28C0"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49" w:history="1">
            <w:r w:rsidR="00C841D8" w:rsidRPr="00230596">
              <w:rPr>
                <w:rStyle w:val="Hyperlink"/>
                <w:noProof/>
              </w:rPr>
              <w:t>Figure 6 - Areas of focus (Source: adapted from Geels, 2002)</w:t>
            </w:r>
            <w:r w:rsidR="00C841D8">
              <w:rPr>
                <w:noProof/>
                <w:webHidden/>
              </w:rPr>
              <w:tab/>
            </w:r>
            <w:r w:rsidR="00C841D8">
              <w:rPr>
                <w:noProof/>
                <w:webHidden/>
              </w:rPr>
              <w:fldChar w:fldCharType="begin"/>
            </w:r>
            <w:r w:rsidR="00C841D8">
              <w:rPr>
                <w:noProof/>
                <w:webHidden/>
              </w:rPr>
              <w:instrText xml:space="preserve"> PAGEREF _Toc491071349 \h </w:instrText>
            </w:r>
            <w:r w:rsidR="00C841D8">
              <w:rPr>
                <w:noProof/>
                <w:webHidden/>
              </w:rPr>
            </w:r>
            <w:r w:rsidR="00C841D8">
              <w:rPr>
                <w:noProof/>
                <w:webHidden/>
              </w:rPr>
              <w:fldChar w:fldCharType="separate"/>
            </w:r>
            <w:r w:rsidR="00C841D8">
              <w:rPr>
                <w:noProof/>
                <w:webHidden/>
              </w:rPr>
              <w:t>16</w:t>
            </w:r>
            <w:r w:rsidR="00C841D8">
              <w:rPr>
                <w:noProof/>
                <w:webHidden/>
              </w:rPr>
              <w:fldChar w:fldCharType="end"/>
            </w:r>
          </w:hyperlink>
        </w:p>
        <w:p w14:paraId="3890A841" w14:textId="0F5AA649"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50" w:history="1">
            <w:r w:rsidR="00C841D8" w:rsidRPr="00230596">
              <w:rPr>
                <w:rStyle w:val="Hyperlink"/>
                <w:noProof/>
              </w:rPr>
              <w:t>Figure 7 - Instrument Choice Theory influencing policy (Source: adapted from Geels, 2002)</w:t>
            </w:r>
            <w:r w:rsidR="00C841D8">
              <w:rPr>
                <w:noProof/>
                <w:webHidden/>
              </w:rPr>
              <w:tab/>
            </w:r>
            <w:r w:rsidR="00C841D8">
              <w:rPr>
                <w:noProof/>
                <w:webHidden/>
              </w:rPr>
              <w:fldChar w:fldCharType="begin"/>
            </w:r>
            <w:r w:rsidR="00C841D8">
              <w:rPr>
                <w:noProof/>
                <w:webHidden/>
              </w:rPr>
              <w:instrText xml:space="preserve"> PAGEREF _Toc491071350 \h </w:instrText>
            </w:r>
            <w:r w:rsidR="00C841D8">
              <w:rPr>
                <w:noProof/>
                <w:webHidden/>
              </w:rPr>
            </w:r>
            <w:r w:rsidR="00C841D8">
              <w:rPr>
                <w:noProof/>
                <w:webHidden/>
              </w:rPr>
              <w:fldChar w:fldCharType="separate"/>
            </w:r>
            <w:r w:rsidR="00C841D8">
              <w:rPr>
                <w:noProof/>
                <w:webHidden/>
              </w:rPr>
              <w:t>16</w:t>
            </w:r>
            <w:r w:rsidR="00C841D8">
              <w:rPr>
                <w:noProof/>
                <w:webHidden/>
              </w:rPr>
              <w:fldChar w:fldCharType="end"/>
            </w:r>
          </w:hyperlink>
        </w:p>
        <w:p w14:paraId="2093951D" w14:textId="3A51F7C0"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51" w:history="1">
            <w:r w:rsidR="00C841D8" w:rsidRPr="00230596">
              <w:rPr>
                <w:rStyle w:val="Hyperlink"/>
                <w:noProof/>
              </w:rPr>
              <w:t>Figure 8 - Classification of ESS technologies (Source: adapted from Zhao, et al., 2015)</w:t>
            </w:r>
            <w:r w:rsidR="00C841D8">
              <w:rPr>
                <w:noProof/>
                <w:webHidden/>
              </w:rPr>
              <w:tab/>
            </w:r>
            <w:r w:rsidR="00C841D8">
              <w:rPr>
                <w:noProof/>
                <w:webHidden/>
              </w:rPr>
              <w:fldChar w:fldCharType="begin"/>
            </w:r>
            <w:r w:rsidR="00C841D8">
              <w:rPr>
                <w:noProof/>
                <w:webHidden/>
              </w:rPr>
              <w:instrText xml:space="preserve"> PAGEREF _Toc491071351 \h </w:instrText>
            </w:r>
            <w:r w:rsidR="00C841D8">
              <w:rPr>
                <w:noProof/>
                <w:webHidden/>
              </w:rPr>
            </w:r>
            <w:r w:rsidR="00C841D8">
              <w:rPr>
                <w:noProof/>
                <w:webHidden/>
              </w:rPr>
              <w:fldChar w:fldCharType="separate"/>
            </w:r>
            <w:r w:rsidR="00C841D8">
              <w:rPr>
                <w:noProof/>
                <w:webHidden/>
              </w:rPr>
              <w:t>26</w:t>
            </w:r>
            <w:r w:rsidR="00C841D8">
              <w:rPr>
                <w:noProof/>
                <w:webHidden/>
              </w:rPr>
              <w:fldChar w:fldCharType="end"/>
            </w:r>
          </w:hyperlink>
        </w:p>
        <w:p w14:paraId="58CC48A9" w14:textId="51BE0592"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52" w:history="1">
            <w:r w:rsidR="00C841D8" w:rsidRPr="00230596">
              <w:rPr>
                <w:rStyle w:val="Hyperlink"/>
                <w:noProof/>
              </w:rPr>
              <w:t>Figure 9 - Wind and Solar PV Energy Production in the Netherlands (Source: IEA, 2016b)</w:t>
            </w:r>
            <w:r w:rsidR="00C841D8">
              <w:rPr>
                <w:noProof/>
                <w:webHidden/>
              </w:rPr>
              <w:tab/>
            </w:r>
            <w:r w:rsidR="00C841D8">
              <w:rPr>
                <w:noProof/>
                <w:webHidden/>
              </w:rPr>
              <w:fldChar w:fldCharType="begin"/>
            </w:r>
            <w:r w:rsidR="00C841D8">
              <w:rPr>
                <w:noProof/>
                <w:webHidden/>
              </w:rPr>
              <w:instrText xml:space="preserve"> PAGEREF _Toc491071352 \h </w:instrText>
            </w:r>
            <w:r w:rsidR="00C841D8">
              <w:rPr>
                <w:noProof/>
                <w:webHidden/>
              </w:rPr>
            </w:r>
            <w:r w:rsidR="00C841D8">
              <w:rPr>
                <w:noProof/>
                <w:webHidden/>
              </w:rPr>
              <w:fldChar w:fldCharType="separate"/>
            </w:r>
            <w:r w:rsidR="00C841D8">
              <w:rPr>
                <w:noProof/>
                <w:webHidden/>
              </w:rPr>
              <w:t>27</w:t>
            </w:r>
            <w:r w:rsidR="00C841D8">
              <w:rPr>
                <w:noProof/>
                <w:webHidden/>
              </w:rPr>
              <w:fldChar w:fldCharType="end"/>
            </w:r>
          </w:hyperlink>
        </w:p>
        <w:p w14:paraId="300C4E0B" w14:textId="00D338CA"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53" w:history="1">
            <w:r w:rsidR="00C841D8" w:rsidRPr="00230596">
              <w:rPr>
                <w:rStyle w:val="Hyperlink"/>
                <w:noProof/>
              </w:rPr>
              <w:t>Figure 10 - Wind Energy Production in the Netherlands (Source: IEA, 2016b)</w:t>
            </w:r>
            <w:r w:rsidR="00C841D8">
              <w:rPr>
                <w:noProof/>
                <w:webHidden/>
              </w:rPr>
              <w:tab/>
            </w:r>
            <w:r w:rsidR="00C841D8">
              <w:rPr>
                <w:noProof/>
                <w:webHidden/>
              </w:rPr>
              <w:fldChar w:fldCharType="begin"/>
            </w:r>
            <w:r w:rsidR="00C841D8">
              <w:rPr>
                <w:noProof/>
                <w:webHidden/>
              </w:rPr>
              <w:instrText xml:space="preserve"> PAGEREF _Toc491071353 \h </w:instrText>
            </w:r>
            <w:r w:rsidR="00C841D8">
              <w:rPr>
                <w:noProof/>
                <w:webHidden/>
              </w:rPr>
            </w:r>
            <w:r w:rsidR="00C841D8">
              <w:rPr>
                <w:noProof/>
                <w:webHidden/>
              </w:rPr>
              <w:fldChar w:fldCharType="separate"/>
            </w:r>
            <w:r w:rsidR="00C841D8">
              <w:rPr>
                <w:noProof/>
                <w:webHidden/>
              </w:rPr>
              <w:t>28</w:t>
            </w:r>
            <w:r w:rsidR="00C841D8">
              <w:rPr>
                <w:noProof/>
                <w:webHidden/>
              </w:rPr>
              <w:fldChar w:fldCharType="end"/>
            </w:r>
          </w:hyperlink>
        </w:p>
        <w:p w14:paraId="631ABCE2" w14:textId="62142820" w:rsidR="00C841D8" w:rsidRDefault="00682B7A">
          <w:pPr>
            <w:pStyle w:val="TableofFigures"/>
            <w:tabs>
              <w:tab w:val="right" w:leader="dot" w:pos="8210"/>
            </w:tabs>
            <w:rPr>
              <w:rFonts w:asciiTheme="minorHAnsi" w:hAnsiTheme="minorHAnsi" w:cstheme="minorBidi"/>
              <w:b w:val="0"/>
              <w:noProof/>
              <w:color w:val="auto"/>
              <w:sz w:val="22"/>
              <w:lang w:eastAsia="ko-KR" w:bidi="ar-SA"/>
            </w:rPr>
          </w:pPr>
          <w:hyperlink w:anchor="_Toc491071354" w:history="1">
            <w:r w:rsidR="00C841D8" w:rsidRPr="00230596">
              <w:rPr>
                <w:rStyle w:val="Hyperlink"/>
                <w:noProof/>
              </w:rPr>
              <w:t>Figure 11 - Solar PV Energy Production in the Netherlands (Source: IEA, 2016b)</w:t>
            </w:r>
            <w:r w:rsidR="00C841D8">
              <w:rPr>
                <w:noProof/>
                <w:webHidden/>
              </w:rPr>
              <w:tab/>
            </w:r>
            <w:r w:rsidR="00C841D8">
              <w:rPr>
                <w:noProof/>
                <w:webHidden/>
              </w:rPr>
              <w:fldChar w:fldCharType="begin"/>
            </w:r>
            <w:r w:rsidR="00C841D8">
              <w:rPr>
                <w:noProof/>
                <w:webHidden/>
              </w:rPr>
              <w:instrText xml:space="preserve"> PAGEREF _Toc491071354 \h </w:instrText>
            </w:r>
            <w:r w:rsidR="00C841D8">
              <w:rPr>
                <w:noProof/>
                <w:webHidden/>
              </w:rPr>
            </w:r>
            <w:r w:rsidR="00C841D8">
              <w:rPr>
                <w:noProof/>
                <w:webHidden/>
              </w:rPr>
              <w:fldChar w:fldCharType="separate"/>
            </w:r>
            <w:r w:rsidR="00C841D8">
              <w:rPr>
                <w:noProof/>
                <w:webHidden/>
              </w:rPr>
              <w:t>28</w:t>
            </w:r>
            <w:r w:rsidR="00C841D8">
              <w:rPr>
                <w:noProof/>
                <w:webHidden/>
              </w:rPr>
              <w:fldChar w:fldCharType="end"/>
            </w:r>
          </w:hyperlink>
        </w:p>
        <w:p w14:paraId="3647EFF1" w14:textId="145CE5E4" w:rsidR="00011EDB" w:rsidRDefault="00360544" w:rsidP="00011EDB">
          <w:r>
            <w:fldChar w:fldCharType="end"/>
          </w:r>
          <w:r w:rsidR="00011EDB">
            <w:br w:type="page"/>
          </w:r>
        </w:p>
        <w:p w14:paraId="00CCD2F0" w14:textId="77777777" w:rsidR="00011EDB" w:rsidRPr="00011EDB" w:rsidRDefault="00011EDB" w:rsidP="00011EDB">
          <w:pPr>
            <w:rPr>
              <w:b/>
              <w:bCs/>
              <w:caps/>
              <w:color w:val="696E34"/>
              <w:sz w:val="28"/>
              <w:szCs w:val="28"/>
            </w:rPr>
          </w:pPr>
          <w:r w:rsidRPr="00011EDB">
            <w:rPr>
              <w:b/>
              <w:bCs/>
              <w:caps/>
              <w:color w:val="696E34"/>
              <w:sz w:val="28"/>
              <w:szCs w:val="28"/>
            </w:rPr>
            <w:lastRenderedPageBreak/>
            <w:t>List of Acronyms and Abbreviations</w:t>
          </w:r>
        </w:p>
        <w:p w14:paraId="380270ED" w14:textId="77777777" w:rsidR="00011EDB" w:rsidRDefault="00011EDB" w:rsidP="00011EDB">
          <w:pPr>
            <w:spacing w:after="200" w:line="276" w:lineRule="auto"/>
            <w:ind w:left="0"/>
          </w:pPr>
        </w:p>
        <w:tbl>
          <w:tblPr>
            <w:tblStyle w:val="Tabellen"/>
            <w:tblW w:w="0" w:type="auto"/>
            <w:tblInd w:w="567" w:type="dxa"/>
            <w:tblLook w:val="04A0" w:firstRow="1" w:lastRow="0" w:firstColumn="1" w:lastColumn="0" w:noHBand="0" w:noVBand="1"/>
          </w:tblPr>
          <w:tblGrid>
            <w:gridCol w:w="3839"/>
            <w:gridCol w:w="3804"/>
          </w:tblGrid>
          <w:tr w:rsidR="00360544" w14:paraId="3F4B166B" w14:textId="77777777" w:rsidTr="00770C6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927" w:type="dxa"/>
              </w:tcPr>
              <w:p w14:paraId="3FD3C4A6" w14:textId="77777777" w:rsidR="00360544" w:rsidRDefault="00360544" w:rsidP="00770C64">
                <w:pPr>
                  <w:ind w:left="0"/>
                </w:pPr>
                <w:r>
                  <w:t>Acronym or Abbreviation</w:t>
                </w:r>
              </w:p>
            </w:tc>
            <w:tc>
              <w:tcPr>
                <w:tcW w:w="3891" w:type="dxa"/>
              </w:tcPr>
              <w:p w14:paraId="3A2BD9B0" w14:textId="77777777" w:rsidR="00360544" w:rsidRDefault="00360544" w:rsidP="00770C64">
                <w:pPr>
                  <w:ind w:left="0"/>
                  <w:cnfStyle w:val="100000000000" w:firstRow="1" w:lastRow="0" w:firstColumn="0" w:lastColumn="0" w:oddVBand="0" w:evenVBand="0" w:oddHBand="0" w:evenHBand="0" w:firstRowFirstColumn="0" w:firstRowLastColumn="0" w:lastRowFirstColumn="0" w:lastRowLastColumn="0"/>
                </w:pPr>
                <w:r>
                  <w:t>Meaning</w:t>
                </w:r>
              </w:p>
            </w:tc>
          </w:tr>
          <w:tr w:rsidR="00360544" w:rsidRPr="009C7379" w14:paraId="089CF22C"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tcPr>
              <w:p w14:paraId="3EA7ECC6"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Pr>
                    <w:rFonts w:ascii="Helvit" w:eastAsia="Times New Roman" w:hAnsi="Helvit" w:cs="Times New Roman"/>
                    <w:color w:val="000000"/>
                    <w:szCs w:val="18"/>
                    <w:lang w:eastAsia="ko-KR" w:bidi="ar-SA"/>
                  </w:rPr>
                  <w:t>CBS</w:t>
                </w:r>
              </w:p>
            </w:tc>
            <w:tc>
              <w:tcPr>
                <w:tcW w:w="3891" w:type="dxa"/>
                <w:noWrap/>
              </w:tcPr>
              <w:p w14:paraId="4B3342F8" w14:textId="77777777" w:rsidR="00360544" w:rsidRPr="00513878"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i/>
                    <w:color w:val="000000"/>
                    <w:szCs w:val="18"/>
                    <w:lang w:eastAsia="ko-KR" w:bidi="ar-SA"/>
                  </w:rPr>
                </w:pPr>
                <w:r w:rsidRPr="00513878">
                  <w:rPr>
                    <w:rFonts w:ascii="Helvit" w:eastAsia="Times New Roman" w:hAnsi="Helvit" w:cs="Times New Roman"/>
                    <w:i/>
                    <w:color w:val="000000"/>
                    <w:szCs w:val="18"/>
                    <w:lang w:eastAsia="ko-KR" w:bidi="ar-SA"/>
                  </w:rPr>
                  <w:t>Centraal Bureau voor de Statistiek</w:t>
                </w:r>
                <w:r>
                  <w:rPr>
                    <w:rFonts w:ascii="Helvit" w:eastAsia="Times New Roman" w:hAnsi="Helvit" w:cs="Times New Roman"/>
                    <w:i/>
                    <w:color w:val="000000"/>
                    <w:szCs w:val="18"/>
                    <w:lang w:eastAsia="ko-KR" w:bidi="ar-SA"/>
                  </w:rPr>
                  <w:t xml:space="preserve"> </w:t>
                </w:r>
                <w:r>
                  <w:rPr>
                    <w:rFonts w:ascii="Helvit" w:eastAsia="Times New Roman" w:hAnsi="Helvit" w:cs="Times New Roman"/>
                    <w:color w:val="000000"/>
                    <w:szCs w:val="18"/>
                    <w:lang w:eastAsia="ko-KR" w:bidi="ar-SA"/>
                  </w:rPr>
                  <w:t>(</w:t>
                </w:r>
                <w:r>
                  <w:rPr>
                    <w:rStyle w:val="st"/>
                  </w:rPr>
                  <w:t>Central Agency for Statistics)</w:t>
                </w:r>
              </w:p>
            </w:tc>
          </w:tr>
          <w:tr w:rsidR="00360544" w:rsidRPr="009C7379" w14:paraId="21D0B970"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tcPr>
              <w:p w14:paraId="08033FC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CO</w:t>
                </w:r>
                <w:r w:rsidRPr="009C7379">
                  <w:rPr>
                    <w:rFonts w:ascii="Helvit" w:eastAsia="Times New Roman" w:hAnsi="Helvit" w:cs="Times New Roman"/>
                    <w:color w:val="000000"/>
                    <w:szCs w:val="18"/>
                    <w:vertAlign w:val="subscript"/>
                    <w:lang w:eastAsia="ko-KR" w:bidi="ar-SA"/>
                  </w:rPr>
                  <w:t>2</w:t>
                </w:r>
              </w:p>
            </w:tc>
            <w:tc>
              <w:tcPr>
                <w:tcW w:w="3891" w:type="dxa"/>
                <w:noWrap/>
              </w:tcPr>
              <w:p w14:paraId="7FB36FB0"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Carbon Dioxide</w:t>
                </w:r>
              </w:p>
            </w:tc>
          </w:tr>
          <w:tr w:rsidR="00360544" w:rsidRPr="009C7379" w14:paraId="65319639"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F66B2F6"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CAES</w:t>
                </w:r>
              </w:p>
            </w:tc>
            <w:tc>
              <w:tcPr>
                <w:tcW w:w="3891" w:type="dxa"/>
                <w:noWrap/>
                <w:hideMark/>
              </w:tcPr>
              <w:p w14:paraId="01EC66D4"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Compressed Air Energy Storage</w:t>
                </w:r>
              </w:p>
            </w:tc>
          </w:tr>
          <w:tr w:rsidR="00360544" w:rsidRPr="009C7379" w14:paraId="7B1D8EF0"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A5D064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DC</w:t>
                </w:r>
              </w:p>
            </w:tc>
            <w:tc>
              <w:tcPr>
                <w:tcW w:w="3891" w:type="dxa"/>
                <w:noWrap/>
                <w:hideMark/>
              </w:tcPr>
              <w:p w14:paraId="1DC71FD9"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Direct Current</w:t>
                </w:r>
              </w:p>
            </w:tc>
          </w:tr>
          <w:tr w:rsidR="00360544" w:rsidRPr="009C7379" w14:paraId="7C4D7144"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801757D"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DSO</w:t>
                </w:r>
              </w:p>
            </w:tc>
            <w:tc>
              <w:tcPr>
                <w:tcW w:w="3891" w:type="dxa"/>
                <w:noWrap/>
                <w:hideMark/>
              </w:tcPr>
              <w:p w14:paraId="2B051042" w14:textId="2E9A7217" w:rsidR="00360544" w:rsidRPr="009C7379" w:rsidRDefault="002C4718"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Pr>
                    <w:rFonts w:ascii="Helvit" w:eastAsia="Times New Roman" w:hAnsi="Helvit" w:cs="Times New Roman"/>
                    <w:color w:val="000000"/>
                    <w:szCs w:val="18"/>
                    <w:lang w:eastAsia="ko-KR" w:bidi="ar-SA"/>
                  </w:rPr>
                  <w:t>Distribution System</w:t>
                </w:r>
                <w:r w:rsidR="00360544" w:rsidRPr="009C7379">
                  <w:rPr>
                    <w:rFonts w:ascii="Helvit" w:eastAsia="Times New Roman" w:hAnsi="Helvit" w:cs="Times New Roman"/>
                    <w:color w:val="000000"/>
                    <w:szCs w:val="18"/>
                    <w:lang w:eastAsia="ko-KR" w:bidi="ar-SA"/>
                  </w:rPr>
                  <w:t xml:space="preserve"> Operator</w:t>
                </w:r>
              </w:p>
            </w:tc>
          </w:tr>
          <w:tr w:rsidR="00360544" w:rsidRPr="009C7379" w14:paraId="212ECB4D"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1FF2DDF"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EV</w:t>
                </w:r>
              </w:p>
            </w:tc>
            <w:tc>
              <w:tcPr>
                <w:tcW w:w="3891" w:type="dxa"/>
                <w:noWrap/>
                <w:hideMark/>
              </w:tcPr>
              <w:p w14:paraId="758F9AB3"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eastAsia="Times New Roman" w:cs="Helvetica"/>
                    <w:color w:val="000000"/>
                    <w:szCs w:val="18"/>
                    <w:lang w:eastAsia="ko-KR" w:bidi="ar-SA"/>
                  </w:rPr>
                </w:pPr>
                <w:r w:rsidRPr="009C7379">
                  <w:rPr>
                    <w:rFonts w:eastAsia="Times New Roman" w:cs="Helvetica"/>
                    <w:color w:val="000000"/>
                    <w:szCs w:val="18"/>
                    <w:lang w:eastAsia="ko-KR" w:bidi="ar-SA"/>
                  </w:rPr>
                  <w:t>Electric Vehicle</w:t>
                </w:r>
              </w:p>
            </w:tc>
          </w:tr>
          <w:tr w:rsidR="00360544" w:rsidRPr="009C7379" w14:paraId="64F38E2D"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B3A0FA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ECN</w:t>
                </w:r>
              </w:p>
            </w:tc>
            <w:tc>
              <w:tcPr>
                <w:tcW w:w="3891" w:type="dxa"/>
                <w:noWrap/>
                <w:hideMark/>
              </w:tcPr>
              <w:p w14:paraId="1D767858"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 xml:space="preserve">Energieonderzoek Centrum Nederland </w:t>
                </w:r>
                <w:r w:rsidRPr="009C7379">
                  <w:rPr>
                    <w:rFonts w:ascii="Helvit" w:eastAsia="Times New Roman" w:hAnsi="Helvit" w:cs="Times New Roman"/>
                    <w:color w:val="000000"/>
                    <w:szCs w:val="18"/>
                    <w:lang w:eastAsia="ko-KR" w:bidi="ar-SA"/>
                  </w:rPr>
                  <w:t>(Energy Research Centre of the Netherlands)</w:t>
                </w:r>
              </w:p>
            </w:tc>
          </w:tr>
          <w:tr w:rsidR="00360544" w:rsidRPr="009C7379" w14:paraId="56DC0798"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EA235C0"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ESS</w:t>
                </w:r>
              </w:p>
            </w:tc>
            <w:tc>
              <w:tcPr>
                <w:tcW w:w="3891" w:type="dxa"/>
                <w:noWrap/>
                <w:hideMark/>
              </w:tcPr>
              <w:p w14:paraId="5FF50C0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Energy Storage System</w:t>
                </w:r>
              </w:p>
            </w:tc>
          </w:tr>
          <w:tr w:rsidR="00360544" w:rsidRPr="009C7379" w14:paraId="0BB0AD33"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21C26E3"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EPA</w:t>
                </w:r>
              </w:p>
            </w:tc>
            <w:tc>
              <w:tcPr>
                <w:tcW w:w="3891" w:type="dxa"/>
                <w:noWrap/>
                <w:hideMark/>
              </w:tcPr>
              <w:p w14:paraId="1D0CB60C"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Environmental Protection Agency </w:t>
                </w:r>
              </w:p>
            </w:tc>
          </w:tr>
          <w:tr w:rsidR="00360544" w:rsidRPr="009C7379" w14:paraId="4F6DBA59"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3F131E8"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EASE</w:t>
                </w:r>
              </w:p>
            </w:tc>
            <w:tc>
              <w:tcPr>
                <w:tcW w:w="3891" w:type="dxa"/>
                <w:noWrap/>
                <w:hideMark/>
              </w:tcPr>
              <w:p w14:paraId="2714437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European Association for Storage of Energy</w:t>
                </w:r>
              </w:p>
            </w:tc>
          </w:tr>
          <w:tr w:rsidR="00360544" w:rsidRPr="009C7379" w14:paraId="681C31CE"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F92BB0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EERA</w:t>
                </w:r>
              </w:p>
            </w:tc>
            <w:tc>
              <w:tcPr>
                <w:tcW w:w="3891" w:type="dxa"/>
                <w:noWrap/>
                <w:hideMark/>
              </w:tcPr>
              <w:p w14:paraId="7B1ECFF0"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European Energy Research Alliance</w:t>
                </w:r>
              </w:p>
            </w:tc>
          </w:tr>
          <w:tr w:rsidR="00360544" w:rsidRPr="009C7379" w14:paraId="23540769"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CAFA359"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EU</w:t>
                </w:r>
              </w:p>
            </w:tc>
            <w:tc>
              <w:tcPr>
                <w:tcW w:w="3891" w:type="dxa"/>
                <w:noWrap/>
                <w:hideMark/>
              </w:tcPr>
              <w:p w14:paraId="191A5C4F"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European Union</w:t>
                </w:r>
              </w:p>
            </w:tc>
          </w:tr>
          <w:tr w:rsidR="00360544" w:rsidRPr="009C7379" w14:paraId="18CB411E"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9AD1046"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FiT</w:t>
                </w:r>
              </w:p>
            </w:tc>
            <w:tc>
              <w:tcPr>
                <w:tcW w:w="3891" w:type="dxa"/>
                <w:noWrap/>
                <w:hideMark/>
              </w:tcPr>
              <w:p w14:paraId="2F56320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Feed-in Tariff</w:t>
                </w:r>
              </w:p>
            </w:tc>
          </w:tr>
          <w:tr w:rsidR="00360544" w:rsidRPr="009C7379" w14:paraId="2D10462B"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88DE34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FCR</w:t>
                </w:r>
              </w:p>
            </w:tc>
            <w:tc>
              <w:tcPr>
                <w:tcW w:w="3891" w:type="dxa"/>
                <w:noWrap/>
                <w:hideMark/>
              </w:tcPr>
              <w:p w14:paraId="06560526"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Frequency Control Reserve</w:t>
                </w:r>
              </w:p>
            </w:tc>
          </w:tr>
          <w:tr w:rsidR="00360544" w:rsidRPr="009C7379" w14:paraId="3A70F5FE"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4609E69"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GW</w:t>
                </w:r>
              </w:p>
            </w:tc>
            <w:tc>
              <w:tcPr>
                <w:tcW w:w="3891" w:type="dxa"/>
                <w:noWrap/>
                <w:hideMark/>
              </w:tcPr>
              <w:p w14:paraId="69AA0439"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Gigawatt</w:t>
                </w:r>
              </w:p>
            </w:tc>
          </w:tr>
          <w:tr w:rsidR="00360544" w:rsidRPr="009C7379" w14:paraId="3F19F606"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A99F1B5"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GW</w:t>
                </w:r>
                <w:r w:rsidRPr="009C7379">
                  <w:rPr>
                    <w:rFonts w:ascii="Helvit" w:eastAsia="Times New Roman" w:hAnsi="Helvit" w:cs="Times New Roman"/>
                    <w:color w:val="000000"/>
                    <w:szCs w:val="18"/>
                    <w:vertAlign w:val="subscript"/>
                    <w:lang w:eastAsia="ko-KR" w:bidi="ar-SA"/>
                  </w:rPr>
                  <w:t>e</w:t>
                </w:r>
              </w:p>
            </w:tc>
            <w:tc>
              <w:tcPr>
                <w:tcW w:w="3891" w:type="dxa"/>
                <w:noWrap/>
                <w:hideMark/>
              </w:tcPr>
              <w:p w14:paraId="1EDA7DD4"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Gigawatt electrical</w:t>
                </w:r>
              </w:p>
            </w:tc>
          </w:tr>
          <w:tr w:rsidR="00360544" w:rsidRPr="009C7379" w14:paraId="1460EA9F"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2000D0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GWyr</w:t>
                </w:r>
              </w:p>
            </w:tc>
            <w:tc>
              <w:tcPr>
                <w:tcW w:w="3891" w:type="dxa"/>
                <w:noWrap/>
                <w:hideMark/>
              </w:tcPr>
              <w:p w14:paraId="36FFF4D9"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Gigawatt-year</w:t>
                </w:r>
              </w:p>
            </w:tc>
          </w:tr>
          <w:tr w:rsidR="00360544" w:rsidRPr="009C7379" w14:paraId="273C17E0"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5159BAB"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GHG</w:t>
                </w:r>
              </w:p>
            </w:tc>
            <w:tc>
              <w:tcPr>
                <w:tcW w:w="3891" w:type="dxa"/>
                <w:noWrap/>
                <w:hideMark/>
              </w:tcPr>
              <w:p w14:paraId="0901DB06"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Greenhouse Gas</w:t>
                </w:r>
              </w:p>
            </w:tc>
          </w:tr>
          <w:tr w:rsidR="00360544" w:rsidRPr="009C7379" w14:paraId="19CF1977"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76CA3AC"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HV</w:t>
                </w:r>
              </w:p>
            </w:tc>
            <w:tc>
              <w:tcPr>
                <w:tcW w:w="3891" w:type="dxa"/>
                <w:noWrap/>
                <w:hideMark/>
              </w:tcPr>
              <w:p w14:paraId="2DCFD946"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High Voltage</w:t>
                </w:r>
              </w:p>
            </w:tc>
          </w:tr>
          <w:tr w:rsidR="00360544" w:rsidRPr="009C7379" w14:paraId="2EDB5E0E"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910A533"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H</w:t>
                </w:r>
              </w:p>
            </w:tc>
            <w:tc>
              <w:tcPr>
                <w:tcW w:w="3891" w:type="dxa"/>
                <w:noWrap/>
                <w:hideMark/>
              </w:tcPr>
              <w:p w14:paraId="4E9E6D7E"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Hydrogen</w:t>
                </w:r>
              </w:p>
            </w:tc>
          </w:tr>
          <w:tr w:rsidR="00360544" w:rsidRPr="009C7379" w14:paraId="53870437"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0B40C6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ICT</w:t>
                </w:r>
              </w:p>
            </w:tc>
            <w:tc>
              <w:tcPr>
                <w:tcW w:w="3891" w:type="dxa"/>
                <w:noWrap/>
                <w:hideMark/>
              </w:tcPr>
              <w:p w14:paraId="064D035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Instrument Choice Theory</w:t>
                </w:r>
              </w:p>
            </w:tc>
          </w:tr>
          <w:tr w:rsidR="00360544" w:rsidRPr="009C7379" w14:paraId="19C56F0B"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DB98E5D"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IPCC</w:t>
                </w:r>
              </w:p>
            </w:tc>
            <w:tc>
              <w:tcPr>
                <w:tcW w:w="3891" w:type="dxa"/>
                <w:noWrap/>
                <w:hideMark/>
              </w:tcPr>
              <w:p w14:paraId="52978490"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Intergovernmental Panel on Climate Change </w:t>
                </w:r>
              </w:p>
            </w:tc>
          </w:tr>
          <w:tr w:rsidR="00360544" w:rsidRPr="009C7379" w14:paraId="7D21813C"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641AD98"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IEA</w:t>
                </w:r>
              </w:p>
            </w:tc>
            <w:tc>
              <w:tcPr>
                <w:tcW w:w="3891" w:type="dxa"/>
                <w:noWrap/>
                <w:hideMark/>
              </w:tcPr>
              <w:p w14:paraId="60AD8DB0"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International Energy Agency </w:t>
                </w:r>
              </w:p>
            </w:tc>
          </w:tr>
          <w:tr w:rsidR="00360544" w:rsidRPr="009C7379" w14:paraId="5410487E"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967D50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kV</w:t>
                </w:r>
              </w:p>
            </w:tc>
            <w:tc>
              <w:tcPr>
                <w:tcW w:w="3891" w:type="dxa"/>
                <w:noWrap/>
                <w:hideMark/>
              </w:tcPr>
              <w:p w14:paraId="6F636B17"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Kilovolt</w:t>
                </w:r>
              </w:p>
            </w:tc>
          </w:tr>
          <w:tr w:rsidR="00360544" w:rsidRPr="009C7379" w14:paraId="748E76A3"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FB9DC6C"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kWh</w:t>
                </w:r>
              </w:p>
            </w:tc>
            <w:tc>
              <w:tcPr>
                <w:tcW w:w="3891" w:type="dxa"/>
                <w:noWrap/>
                <w:hideMark/>
              </w:tcPr>
              <w:p w14:paraId="6849DC1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Kilowatt-hour</w:t>
                </w:r>
              </w:p>
            </w:tc>
          </w:tr>
          <w:tr w:rsidR="008E6555" w:rsidRPr="009C7379" w14:paraId="159968F3"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tcPr>
              <w:p w14:paraId="1F945987" w14:textId="18329B8A" w:rsidR="008E6555" w:rsidRPr="009C7379" w:rsidRDefault="008E6555" w:rsidP="00770C64">
                <w:pPr>
                  <w:spacing w:line="240" w:lineRule="auto"/>
                  <w:ind w:left="0"/>
                  <w:rPr>
                    <w:rFonts w:ascii="Helvit" w:eastAsia="Times New Roman" w:hAnsi="Helvit" w:cs="Times New Roman"/>
                    <w:color w:val="000000"/>
                    <w:szCs w:val="18"/>
                    <w:lang w:eastAsia="ko-KR" w:bidi="ar-SA"/>
                  </w:rPr>
                </w:pPr>
                <w:r>
                  <w:rPr>
                    <w:rFonts w:ascii="Helvit" w:eastAsia="Times New Roman" w:hAnsi="Helvit" w:cs="Times New Roman"/>
                    <w:color w:val="000000"/>
                    <w:szCs w:val="18"/>
                    <w:lang w:eastAsia="ko-KR" w:bidi="ar-SA"/>
                  </w:rPr>
                  <w:t>Li-ion</w:t>
                </w:r>
              </w:p>
            </w:tc>
            <w:tc>
              <w:tcPr>
                <w:tcW w:w="3891" w:type="dxa"/>
                <w:noWrap/>
              </w:tcPr>
              <w:p w14:paraId="193B5E32" w14:textId="6E9148C1" w:rsidR="008E6555" w:rsidRPr="009C7379" w:rsidRDefault="008E6555"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Pr>
                    <w:rFonts w:ascii="Helvit" w:eastAsia="Times New Roman" w:hAnsi="Helvit" w:cs="Times New Roman"/>
                    <w:color w:val="000000"/>
                    <w:szCs w:val="18"/>
                    <w:lang w:eastAsia="ko-KR" w:bidi="ar-SA"/>
                  </w:rPr>
                  <w:t>Lithium-ion</w:t>
                </w:r>
              </w:p>
            </w:tc>
          </w:tr>
          <w:tr w:rsidR="00360544" w:rsidRPr="009C7379" w14:paraId="5AF7E255"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86A4234"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LV</w:t>
                </w:r>
              </w:p>
            </w:tc>
            <w:tc>
              <w:tcPr>
                <w:tcW w:w="3891" w:type="dxa"/>
                <w:noWrap/>
                <w:hideMark/>
              </w:tcPr>
              <w:p w14:paraId="3F7A8973"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Low Voltage</w:t>
                </w:r>
              </w:p>
            </w:tc>
          </w:tr>
          <w:tr w:rsidR="00360544" w:rsidRPr="009C7379" w14:paraId="2BBE3593"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2B2C3BF"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MV</w:t>
                </w:r>
              </w:p>
            </w:tc>
            <w:tc>
              <w:tcPr>
                <w:tcW w:w="3891" w:type="dxa"/>
                <w:noWrap/>
                <w:hideMark/>
              </w:tcPr>
              <w:p w14:paraId="4F0C73AB"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Medium Voltage</w:t>
                </w:r>
              </w:p>
            </w:tc>
          </w:tr>
          <w:tr w:rsidR="00360544" w:rsidRPr="009C7379" w14:paraId="71171195"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B1A02B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MW </w:t>
                </w:r>
              </w:p>
            </w:tc>
            <w:tc>
              <w:tcPr>
                <w:tcW w:w="3891" w:type="dxa"/>
                <w:noWrap/>
                <w:hideMark/>
              </w:tcPr>
              <w:p w14:paraId="6FE64CA4"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Megawatt</w:t>
                </w:r>
              </w:p>
            </w:tc>
          </w:tr>
          <w:tr w:rsidR="00360544" w:rsidRPr="009C7379" w14:paraId="39AE08AA"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D0A7173"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CH</w:t>
                </w:r>
                <w:r w:rsidRPr="009C7379">
                  <w:rPr>
                    <w:rFonts w:ascii="Helvit" w:eastAsia="Times New Roman" w:hAnsi="Helvit" w:cs="Times New Roman"/>
                    <w:color w:val="000000"/>
                    <w:szCs w:val="18"/>
                    <w:vertAlign w:val="subscript"/>
                    <w:lang w:eastAsia="ko-KR" w:bidi="ar-SA"/>
                  </w:rPr>
                  <w:t>4</w:t>
                </w:r>
              </w:p>
            </w:tc>
            <w:tc>
              <w:tcPr>
                <w:tcW w:w="3891" w:type="dxa"/>
                <w:noWrap/>
                <w:hideMark/>
              </w:tcPr>
              <w:p w14:paraId="34AF070B"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Methane</w:t>
                </w:r>
              </w:p>
            </w:tc>
          </w:tr>
          <w:tr w:rsidR="00360544" w:rsidRPr="009C7379" w14:paraId="05C78BE7"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48F292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lastRenderedPageBreak/>
                  <w:t>MEP</w:t>
                </w:r>
              </w:p>
            </w:tc>
            <w:tc>
              <w:tcPr>
                <w:tcW w:w="3891" w:type="dxa"/>
                <w:noWrap/>
                <w:hideMark/>
              </w:tcPr>
              <w:p w14:paraId="632B0E11"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 xml:space="preserve">Mileukwaliteit Electriciteitsproductie </w:t>
                </w:r>
                <w:r w:rsidRPr="009C7379">
                  <w:rPr>
                    <w:rFonts w:ascii="Helvit" w:eastAsia="Times New Roman" w:hAnsi="Helvit" w:cs="Times New Roman"/>
                    <w:color w:val="000000"/>
                    <w:szCs w:val="18"/>
                    <w:lang w:eastAsia="ko-KR" w:bidi="ar-SA"/>
                  </w:rPr>
                  <w:t>(Environmental Quality of Electricity Production)</w:t>
                </w:r>
              </w:p>
            </w:tc>
          </w:tr>
          <w:tr w:rsidR="00360544" w:rsidRPr="009C7379" w14:paraId="6E7432AA"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34EDBB5"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EZ</w:t>
                </w:r>
              </w:p>
            </w:tc>
            <w:tc>
              <w:tcPr>
                <w:tcW w:w="3891" w:type="dxa"/>
                <w:noWrap/>
                <w:hideMark/>
              </w:tcPr>
              <w:p w14:paraId="134F90D7"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 xml:space="preserve">Ministerie van Economische Zaken </w:t>
                </w:r>
                <w:r w:rsidRPr="009C7379">
                  <w:rPr>
                    <w:rFonts w:ascii="Helvit" w:eastAsia="Times New Roman" w:hAnsi="Helvit" w:cs="Times New Roman"/>
                    <w:color w:val="000000"/>
                    <w:szCs w:val="18"/>
                    <w:lang w:eastAsia="ko-KR" w:bidi="ar-SA"/>
                  </w:rPr>
                  <w:t>(Ministry of Economic Affairs)</w:t>
                </w:r>
              </w:p>
            </w:tc>
          </w:tr>
          <w:tr w:rsidR="00360544" w:rsidRPr="009C7379" w14:paraId="5C576553"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AC88430"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MLP</w:t>
                </w:r>
              </w:p>
            </w:tc>
            <w:tc>
              <w:tcPr>
                <w:tcW w:w="3891" w:type="dxa"/>
                <w:noWrap/>
                <w:hideMark/>
              </w:tcPr>
              <w:p w14:paraId="79841CF2"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Multi-level Perspective</w:t>
                </w:r>
              </w:p>
            </w:tc>
          </w:tr>
          <w:tr w:rsidR="00360544" w:rsidRPr="009C7379" w14:paraId="578D28E1"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FD71345"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N</w:t>
                </w:r>
                <w:r w:rsidRPr="009C7379">
                  <w:rPr>
                    <w:rFonts w:ascii="Helvit" w:eastAsia="Times New Roman" w:hAnsi="Helvit" w:cs="Times New Roman"/>
                    <w:color w:val="000000"/>
                    <w:szCs w:val="18"/>
                    <w:vertAlign w:val="subscript"/>
                    <w:lang w:eastAsia="ko-KR" w:bidi="ar-SA"/>
                  </w:rPr>
                  <w:t>2</w:t>
                </w:r>
                <w:r w:rsidRPr="009C7379">
                  <w:rPr>
                    <w:rFonts w:ascii="Helvit" w:eastAsia="Times New Roman" w:hAnsi="Helvit" w:cs="Times New Roman"/>
                    <w:color w:val="000000"/>
                    <w:szCs w:val="18"/>
                    <w:lang w:eastAsia="ko-KR" w:bidi="ar-SA"/>
                  </w:rPr>
                  <w:t>0</w:t>
                </w:r>
              </w:p>
            </w:tc>
            <w:tc>
              <w:tcPr>
                <w:tcW w:w="3891" w:type="dxa"/>
                <w:noWrap/>
                <w:hideMark/>
              </w:tcPr>
              <w:p w14:paraId="190B0A0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Nitrous Oxide</w:t>
                </w:r>
              </w:p>
            </w:tc>
          </w:tr>
          <w:tr w:rsidR="00360544" w:rsidRPr="009C7379" w14:paraId="6FC587D6"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D66144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OG</w:t>
                </w:r>
              </w:p>
            </w:tc>
            <w:tc>
              <w:tcPr>
                <w:tcW w:w="3891" w:type="dxa"/>
                <w:noWrap/>
                <w:hideMark/>
              </w:tcPr>
              <w:p w14:paraId="3023FD9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Operational Goal</w:t>
                </w:r>
              </w:p>
            </w:tc>
          </w:tr>
          <w:tr w:rsidR="00360544" w:rsidRPr="009C7379" w14:paraId="31E8A489"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7F91D19"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w:t>
                </w:r>
              </w:p>
            </w:tc>
            <w:tc>
              <w:tcPr>
                <w:tcW w:w="3891" w:type="dxa"/>
                <w:noWrap/>
                <w:hideMark/>
              </w:tcPr>
              <w:p w14:paraId="7ADE0166"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Oxygen</w:t>
                </w:r>
              </w:p>
            </w:tc>
          </w:tr>
          <w:tr w:rsidR="00360544" w:rsidRPr="009C7379" w14:paraId="6626D639"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4FCE69F"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w:t>
                </w:r>
                <w:r w:rsidRPr="009C7379">
                  <w:rPr>
                    <w:rFonts w:ascii="Helvit" w:eastAsia="Times New Roman" w:hAnsi="Helvit" w:cs="Times New Roman"/>
                    <w:color w:val="000000"/>
                    <w:szCs w:val="18"/>
                    <w:vertAlign w:val="subscript"/>
                    <w:lang w:eastAsia="ko-KR" w:bidi="ar-SA"/>
                  </w:rPr>
                  <w:t>3</w:t>
                </w:r>
              </w:p>
            </w:tc>
            <w:tc>
              <w:tcPr>
                <w:tcW w:w="3891" w:type="dxa"/>
                <w:noWrap/>
                <w:hideMark/>
              </w:tcPr>
              <w:p w14:paraId="35284D36"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Ozone</w:t>
                </w:r>
              </w:p>
            </w:tc>
          </w:tr>
          <w:tr w:rsidR="00360544" w:rsidRPr="009C7379" w14:paraId="7C0DA136"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AF53F17"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PV</w:t>
                </w:r>
              </w:p>
            </w:tc>
            <w:tc>
              <w:tcPr>
                <w:tcW w:w="3891" w:type="dxa"/>
                <w:noWrap/>
                <w:hideMark/>
              </w:tcPr>
              <w:p w14:paraId="2D825542"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Photovoltaic</w:t>
                </w:r>
              </w:p>
            </w:tc>
          </w:tr>
          <w:tr w:rsidR="00360544" w:rsidRPr="009C7379" w14:paraId="025763EB"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1EE8576"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PBL</w:t>
                </w:r>
              </w:p>
            </w:tc>
            <w:tc>
              <w:tcPr>
                <w:tcW w:w="3891" w:type="dxa"/>
                <w:noWrap/>
                <w:hideMark/>
              </w:tcPr>
              <w:p w14:paraId="2682C8A0"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Planbureau voor de Leefomgeving</w:t>
                </w:r>
              </w:p>
            </w:tc>
          </w:tr>
          <w:tr w:rsidR="00360544" w:rsidRPr="009C7379" w14:paraId="58A0256A"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DA0CDE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PCR</w:t>
                </w:r>
              </w:p>
            </w:tc>
            <w:tc>
              <w:tcPr>
                <w:tcW w:w="3891" w:type="dxa"/>
                <w:noWrap/>
                <w:hideMark/>
              </w:tcPr>
              <w:p w14:paraId="4D0875E8"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Primary Control Reserve</w:t>
                </w:r>
              </w:p>
            </w:tc>
          </w:tr>
          <w:tr w:rsidR="00360544" w:rsidRPr="009C7379" w14:paraId="5935603D"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2C82F13"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PPP</w:t>
                </w:r>
              </w:p>
            </w:tc>
            <w:tc>
              <w:tcPr>
                <w:tcW w:w="3891" w:type="dxa"/>
                <w:noWrap/>
                <w:hideMark/>
              </w:tcPr>
              <w:p w14:paraId="24C29E08"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Public-private Partnership</w:t>
                </w:r>
              </w:p>
            </w:tc>
          </w:tr>
          <w:tr w:rsidR="00360544" w:rsidRPr="009C7379" w14:paraId="2EA94F66"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FB9DB00"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PHS</w:t>
                </w:r>
              </w:p>
            </w:tc>
            <w:tc>
              <w:tcPr>
                <w:tcW w:w="3891" w:type="dxa"/>
                <w:noWrap/>
                <w:hideMark/>
              </w:tcPr>
              <w:p w14:paraId="48137CD8"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Pumped-hydro Storage</w:t>
                </w:r>
              </w:p>
            </w:tc>
          </w:tr>
          <w:tr w:rsidR="00360544" w:rsidRPr="009C7379" w14:paraId="6614A727"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057C93B"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RES</w:t>
                </w:r>
              </w:p>
            </w:tc>
            <w:tc>
              <w:tcPr>
                <w:tcW w:w="3891" w:type="dxa"/>
                <w:noWrap/>
                <w:hideMark/>
              </w:tcPr>
              <w:p w14:paraId="32CFB9B8"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Renewable Energy Sources</w:t>
                </w:r>
              </w:p>
            </w:tc>
          </w:tr>
          <w:tr w:rsidR="00360544" w:rsidRPr="009C7379" w14:paraId="5AE4FAD2"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15D5EC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R&amp;D </w:t>
                </w:r>
              </w:p>
            </w:tc>
            <w:tc>
              <w:tcPr>
                <w:tcW w:w="3891" w:type="dxa"/>
                <w:noWrap/>
                <w:hideMark/>
              </w:tcPr>
              <w:p w14:paraId="360AE44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Research and Development</w:t>
                </w:r>
              </w:p>
            </w:tc>
          </w:tr>
          <w:tr w:rsidR="00360544" w:rsidRPr="009C7379" w14:paraId="740ACD9C"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D772182"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SER</w:t>
                </w:r>
              </w:p>
            </w:tc>
            <w:tc>
              <w:tcPr>
                <w:tcW w:w="3891" w:type="dxa"/>
                <w:noWrap/>
                <w:hideMark/>
              </w:tcPr>
              <w:p w14:paraId="7E4D3C2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 xml:space="preserve">Sociaal-Economische Raad </w:t>
                </w:r>
                <w:r w:rsidRPr="009C7379">
                  <w:rPr>
                    <w:rFonts w:ascii="Helvit" w:eastAsia="Times New Roman" w:hAnsi="Helvit" w:cs="Times New Roman"/>
                    <w:color w:val="000000"/>
                    <w:szCs w:val="18"/>
                    <w:lang w:eastAsia="ko-KR" w:bidi="ar-SA"/>
                  </w:rPr>
                  <w:t>(Social and Economic Council)</w:t>
                </w:r>
              </w:p>
            </w:tc>
          </w:tr>
          <w:tr w:rsidR="00360544" w:rsidRPr="009C7379" w14:paraId="0933317C"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D7EC14C"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SDE</w:t>
                </w:r>
              </w:p>
            </w:tc>
            <w:tc>
              <w:tcPr>
                <w:tcW w:w="3891" w:type="dxa"/>
                <w:noWrap/>
                <w:hideMark/>
              </w:tcPr>
              <w:p w14:paraId="62CA628A"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i/>
                    <w:iCs/>
                    <w:color w:val="000000"/>
                    <w:szCs w:val="18"/>
                    <w:lang w:eastAsia="ko-KR" w:bidi="ar-SA"/>
                  </w:rPr>
                </w:pPr>
                <w:r w:rsidRPr="009C7379">
                  <w:rPr>
                    <w:rFonts w:ascii="Helvit" w:eastAsia="Times New Roman" w:hAnsi="Helvit" w:cs="Times New Roman"/>
                    <w:i/>
                    <w:iCs/>
                    <w:color w:val="000000"/>
                    <w:szCs w:val="18"/>
                    <w:lang w:eastAsia="ko-KR" w:bidi="ar-SA"/>
                  </w:rPr>
                  <w:t xml:space="preserve">Stimulering Duurzame Energieproductie </w:t>
                </w:r>
                <w:r w:rsidRPr="009C7379">
                  <w:rPr>
                    <w:rFonts w:ascii="Helvit" w:eastAsia="Times New Roman" w:hAnsi="Helvit" w:cs="Times New Roman"/>
                    <w:color w:val="000000"/>
                    <w:szCs w:val="18"/>
                    <w:lang w:eastAsia="ko-KR" w:bidi="ar-SA"/>
                  </w:rPr>
                  <w:t>(Stimulation of Sustainable Energy Production)</w:t>
                </w:r>
              </w:p>
            </w:tc>
          </w:tr>
          <w:tr w:rsidR="00360544" w:rsidRPr="009C7379" w14:paraId="4DA74770"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BFE245D"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SNM</w:t>
                </w:r>
              </w:p>
            </w:tc>
            <w:tc>
              <w:tcPr>
                <w:tcW w:w="3891" w:type="dxa"/>
                <w:noWrap/>
                <w:hideMark/>
              </w:tcPr>
              <w:p w14:paraId="2FC5ADBF"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Strategic Niche Management</w:t>
                </w:r>
              </w:p>
            </w:tc>
          </w:tr>
          <w:tr w:rsidR="00360544" w:rsidRPr="009C7379" w14:paraId="35900989"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256C5F5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SMES</w:t>
                </w:r>
              </w:p>
            </w:tc>
            <w:tc>
              <w:tcPr>
                <w:tcW w:w="3891" w:type="dxa"/>
                <w:noWrap/>
                <w:hideMark/>
              </w:tcPr>
              <w:p w14:paraId="49935E28"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Super-conducting Magnetic Energy Storage </w:t>
                </w:r>
              </w:p>
            </w:tc>
          </w:tr>
          <w:tr w:rsidR="00360544" w:rsidRPr="009C7379" w14:paraId="686F19D1"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1CAA0E9"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TWh</w:t>
                </w:r>
              </w:p>
            </w:tc>
            <w:tc>
              <w:tcPr>
                <w:tcW w:w="3891" w:type="dxa"/>
                <w:noWrap/>
                <w:hideMark/>
              </w:tcPr>
              <w:p w14:paraId="058C0A2D"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Terawatt hour</w:t>
                </w:r>
              </w:p>
            </w:tc>
          </w:tr>
          <w:tr w:rsidR="00360544" w:rsidRPr="009C7379" w14:paraId="6A9786F1"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93E4CFB"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TPES</w:t>
                </w:r>
              </w:p>
            </w:tc>
            <w:tc>
              <w:tcPr>
                <w:tcW w:w="3891" w:type="dxa"/>
                <w:noWrap/>
                <w:hideMark/>
              </w:tcPr>
              <w:p w14:paraId="361BFBC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Total Primary Energy Supply</w:t>
                </w:r>
              </w:p>
            </w:tc>
          </w:tr>
          <w:tr w:rsidR="00360544" w:rsidRPr="009C7379" w14:paraId="05E27436"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220B07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TM</w:t>
                </w:r>
              </w:p>
            </w:tc>
            <w:tc>
              <w:tcPr>
                <w:tcW w:w="3891" w:type="dxa"/>
                <w:noWrap/>
                <w:hideMark/>
              </w:tcPr>
              <w:p w14:paraId="4B1F2BDC"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Transition Management</w:t>
                </w:r>
              </w:p>
            </w:tc>
          </w:tr>
          <w:tr w:rsidR="00360544" w:rsidRPr="009C7379" w14:paraId="082130BD"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5B90F490"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TSO</w:t>
                </w:r>
              </w:p>
            </w:tc>
            <w:tc>
              <w:tcPr>
                <w:tcW w:w="3891" w:type="dxa"/>
                <w:noWrap/>
                <w:hideMark/>
              </w:tcPr>
              <w:p w14:paraId="630313F3" w14:textId="7E7C02FA"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Transmission S</w:t>
                </w:r>
                <w:r w:rsidR="00ED682C">
                  <w:rPr>
                    <w:rFonts w:ascii="Helvit" w:eastAsia="Times New Roman" w:hAnsi="Helvit" w:cs="Times New Roman"/>
                    <w:color w:val="000000"/>
                    <w:szCs w:val="18"/>
                    <w:lang w:eastAsia="ko-KR" w:bidi="ar-SA"/>
                  </w:rPr>
                  <w:t>ystem</w:t>
                </w:r>
                <w:r w:rsidRPr="009C7379">
                  <w:rPr>
                    <w:rFonts w:ascii="Helvit" w:eastAsia="Times New Roman" w:hAnsi="Helvit" w:cs="Times New Roman"/>
                    <w:color w:val="000000"/>
                    <w:szCs w:val="18"/>
                    <w:lang w:eastAsia="ko-KR" w:bidi="ar-SA"/>
                  </w:rPr>
                  <w:t xml:space="preserve"> Operator</w:t>
                </w:r>
              </w:p>
            </w:tc>
          </w:tr>
          <w:tr w:rsidR="00360544" w:rsidRPr="009C7379" w14:paraId="51980265"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C5785DE"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UNDP</w:t>
                </w:r>
              </w:p>
            </w:tc>
            <w:tc>
              <w:tcPr>
                <w:tcW w:w="3891" w:type="dxa"/>
                <w:noWrap/>
                <w:hideMark/>
              </w:tcPr>
              <w:p w14:paraId="44B7933A"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United Nations Development Programme</w:t>
                </w:r>
              </w:p>
            </w:tc>
          </w:tr>
          <w:tr w:rsidR="00360544" w:rsidRPr="009C7379" w14:paraId="47C2E9C2"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4FA0ACDD"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UNFCCC</w:t>
                </w:r>
              </w:p>
            </w:tc>
            <w:tc>
              <w:tcPr>
                <w:tcW w:w="3891" w:type="dxa"/>
                <w:noWrap/>
                <w:hideMark/>
              </w:tcPr>
              <w:p w14:paraId="621481C2"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United Nations Framework Convention on Climate Change </w:t>
                </w:r>
              </w:p>
            </w:tc>
          </w:tr>
          <w:tr w:rsidR="00360544" w:rsidRPr="009C7379" w14:paraId="381919FB"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1B8EA21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US</w:t>
                </w:r>
              </w:p>
            </w:tc>
            <w:tc>
              <w:tcPr>
                <w:tcW w:w="3891" w:type="dxa"/>
                <w:noWrap/>
                <w:hideMark/>
              </w:tcPr>
              <w:p w14:paraId="49ED8521"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United States</w:t>
                </w:r>
              </w:p>
            </w:tc>
          </w:tr>
          <w:tr w:rsidR="00360544" w:rsidRPr="009C7379" w14:paraId="42988409"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3606879A"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VAT</w:t>
                </w:r>
              </w:p>
            </w:tc>
            <w:tc>
              <w:tcPr>
                <w:tcW w:w="3891" w:type="dxa"/>
                <w:noWrap/>
                <w:hideMark/>
              </w:tcPr>
              <w:p w14:paraId="338CFB7C"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Value Added Tax</w:t>
                </w:r>
              </w:p>
            </w:tc>
          </w:tr>
          <w:tr w:rsidR="00360544" w:rsidRPr="009C7379" w14:paraId="32C29315"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700E2BC0"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H</w:t>
                </w:r>
                <w:r w:rsidRPr="009C7379">
                  <w:rPr>
                    <w:rFonts w:ascii="Helvit" w:eastAsia="Times New Roman" w:hAnsi="Helvit" w:cs="Times New Roman"/>
                    <w:color w:val="000000"/>
                    <w:szCs w:val="18"/>
                    <w:vertAlign w:val="subscript"/>
                    <w:lang w:eastAsia="ko-KR" w:bidi="ar-SA"/>
                  </w:rPr>
                  <w:t>2</w:t>
                </w:r>
                <w:r w:rsidRPr="009C7379">
                  <w:rPr>
                    <w:rFonts w:ascii="Helvit" w:eastAsia="Times New Roman" w:hAnsi="Helvit" w:cs="Times New Roman"/>
                    <w:color w:val="000000"/>
                    <w:szCs w:val="18"/>
                    <w:lang w:eastAsia="ko-KR" w:bidi="ar-SA"/>
                  </w:rPr>
                  <w:t>O</w:t>
                </w:r>
              </w:p>
            </w:tc>
            <w:tc>
              <w:tcPr>
                <w:tcW w:w="3891" w:type="dxa"/>
                <w:noWrap/>
                <w:hideMark/>
              </w:tcPr>
              <w:p w14:paraId="6AB166D3"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Water</w:t>
                </w:r>
              </w:p>
            </w:tc>
          </w:tr>
          <w:tr w:rsidR="00360544" w:rsidRPr="009C7379" w14:paraId="38FAEE34" w14:textId="77777777" w:rsidTr="00770C64">
            <w:trPr>
              <w:cnfStyle w:val="000000010000" w:firstRow="0" w:lastRow="0" w:firstColumn="0" w:lastColumn="0" w:oddVBand="0" w:evenVBand="0" w:oddHBand="0" w:evenHBand="1"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6D914BB7"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WCED</w:t>
                </w:r>
              </w:p>
            </w:tc>
            <w:tc>
              <w:tcPr>
                <w:tcW w:w="3891" w:type="dxa"/>
                <w:noWrap/>
                <w:hideMark/>
              </w:tcPr>
              <w:p w14:paraId="7A12A96F" w14:textId="77777777" w:rsidR="00360544" w:rsidRPr="009C7379" w:rsidRDefault="00360544" w:rsidP="00770C64">
                <w:pPr>
                  <w:spacing w:line="240" w:lineRule="auto"/>
                  <w:ind w:left="0"/>
                  <w:cnfStyle w:val="000000010000" w:firstRow="0" w:lastRow="0" w:firstColumn="0" w:lastColumn="0" w:oddVBand="0" w:evenVBand="0" w:oddHBand="0" w:evenHBand="1"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 xml:space="preserve">World Commission on Environment and Development </w:t>
                </w:r>
              </w:p>
            </w:tc>
          </w:tr>
          <w:tr w:rsidR="00360544" w:rsidRPr="009C7379" w14:paraId="2CBF5E98" w14:textId="77777777" w:rsidTr="00770C6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927" w:type="dxa"/>
                <w:noWrap/>
                <w:hideMark/>
              </w:tcPr>
              <w:p w14:paraId="0D910381" w14:textId="77777777" w:rsidR="00360544" w:rsidRPr="009C7379" w:rsidRDefault="00360544" w:rsidP="00770C64">
                <w:pPr>
                  <w:spacing w:line="240" w:lineRule="auto"/>
                  <w:ind w:left="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WEO</w:t>
                </w:r>
              </w:p>
            </w:tc>
            <w:tc>
              <w:tcPr>
                <w:tcW w:w="3891" w:type="dxa"/>
                <w:noWrap/>
                <w:hideMark/>
              </w:tcPr>
              <w:p w14:paraId="0F4031B3" w14:textId="77777777" w:rsidR="00360544" w:rsidRPr="009C7379" w:rsidRDefault="00360544" w:rsidP="00770C64">
                <w:pPr>
                  <w:spacing w:line="240" w:lineRule="auto"/>
                  <w:ind w:left="0"/>
                  <w:cnfStyle w:val="000000100000" w:firstRow="0" w:lastRow="0" w:firstColumn="0" w:lastColumn="0" w:oddVBand="0" w:evenVBand="0" w:oddHBand="1" w:evenHBand="0" w:firstRowFirstColumn="0" w:firstRowLastColumn="0" w:lastRowFirstColumn="0" w:lastRowLastColumn="0"/>
                  <w:rPr>
                    <w:rFonts w:ascii="Helvit" w:eastAsia="Times New Roman" w:hAnsi="Helvit" w:cs="Times New Roman"/>
                    <w:color w:val="000000"/>
                    <w:szCs w:val="18"/>
                    <w:lang w:eastAsia="ko-KR" w:bidi="ar-SA"/>
                  </w:rPr>
                </w:pPr>
                <w:r w:rsidRPr="009C7379">
                  <w:rPr>
                    <w:rFonts w:ascii="Helvit" w:eastAsia="Times New Roman" w:hAnsi="Helvit" w:cs="Times New Roman"/>
                    <w:color w:val="000000"/>
                    <w:szCs w:val="18"/>
                    <w:lang w:eastAsia="ko-KR" w:bidi="ar-SA"/>
                  </w:rPr>
                  <w:t>World Economic Outlook</w:t>
                </w:r>
              </w:p>
            </w:tc>
          </w:tr>
        </w:tbl>
        <w:p w14:paraId="5C2C0FBF" w14:textId="3D2E2F54" w:rsidR="005163B1" w:rsidRDefault="005163B1" w:rsidP="00011EDB">
          <w:pPr>
            <w:spacing w:after="200" w:line="276" w:lineRule="auto"/>
            <w:ind w:left="0"/>
            <w:sectPr w:rsidR="005163B1" w:rsidSect="005163B1">
              <w:footnotePr>
                <w:numRestart w:val="eachSect"/>
              </w:footnotePr>
              <w:pgSz w:w="11906" w:h="16838" w:code="9"/>
              <w:pgMar w:top="2268" w:right="1418" w:bottom="1843" w:left="2268" w:header="709" w:footer="709" w:gutter="0"/>
              <w:pgNumType w:fmt="lowerRoman" w:start="1"/>
              <w:cols w:space="708"/>
              <w:titlePg/>
              <w:docGrid w:linePitch="360"/>
            </w:sectPr>
          </w:pPr>
        </w:p>
        <w:p w14:paraId="1F7B17F6" w14:textId="27073FEC" w:rsidR="00011EDB" w:rsidRPr="00337FF5" w:rsidRDefault="00682B7A" w:rsidP="00011EDB">
          <w:pPr>
            <w:spacing w:after="200" w:line="276" w:lineRule="auto"/>
            <w:ind w:left="0"/>
          </w:pPr>
        </w:p>
      </w:sdtContent>
    </w:sdt>
    <w:p w14:paraId="5A24E3EA" w14:textId="6CB93B86" w:rsidR="00554CE2" w:rsidRPr="00BF7E3D" w:rsidRDefault="00554CE2" w:rsidP="00671B0F">
      <w:pPr>
        <w:pStyle w:val="Heading1"/>
        <w:numPr>
          <w:ilvl w:val="0"/>
          <w:numId w:val="5"/>
        </w:numPr>
      </w:pPr>
      <w:bookmarkStart w:id="1" w:name="_Toc490566964"/>
      <w:r w:rsidRPr="00BF7E3D">
        <w:t>INTRODUCTION</w:t>
      </w:r>
      <w:bookmarkEnd w:id="1"/>
    </w:p>
    <w:p w14:paraId="54486CDC" w14:textId="77777777" w:rsidR="00554CE2" w:rsidRPr="007E5F9F" w:rsidRDefault="00554CE2" w:rsidP="00671B0F">
      <w:pPr>
        <w:pStyle w:val="Heading2"/>
        <w:numPr>
          <w:ilvl w:val="1"/>
          <w:numId w:val="5"/>
        </w:numPr>
      </w:pPr>
      <w:bookmarkStart w:id="2" w:name="_Toc490566965"/>
      <w:r w:rsidRPr="007E5F9F">
        <w:t>Background, Research Aims, and Objectives</w:t>
      </w:r>
      <w:bookmarkEnd w:id="2"/>
    </w:p>
    <w:p w14:paraId="7985207D" w14:textId="7F5FB853" w:rsidR="00554CE2" w:rsidRDefault="0061324B" w:rsidP="00554CE2">
      <w:pPr>
        <w:jc w:val="both"/>
      </w:pPr>
      <w:r>
        <w:t>C</w:t>
      </w:r>
      <w:r w:rsidR="00554CE2">
        <w:t xml:space="preserve">onventional energy sources – such as coal, oil, and natural gas – are used in a variety of industries: oil-refining, petrochemical, iron and steel, agriculture, transport, and power generation </w:t>
      </w:r>
      <w:sdt>
        <w:sdtPr>
          <w:id w:val="1750083441"/>
          <w:citation/>
        </w:sdtPr>
        <w:sdtEndPr/>
        <w:sdtContent>
          <w:r w:rsidR="00554CE2">
            <w:fldChar w:fldCharType="begin"/>
          </w:r>
          <w:r w:rsidR="00554CE2">
            <w:instrText xml:space="preserve"> CITATION Ano17 \l 2057 </w:instrText>
          </w:r>
          <w:r w:rsidR="00554CE2">
            <w:fldChar w:fldCharType="separate"/>
          </w:r>
          <w:r w:rsidR="00554CE2">
            <w:rPr>
              <w:noProof/>
            </w:rPr>
            <w:t>(Honoré, 2017)</w:t>
          </w:r>
          <w:r w:rsidR="00554CE2">
            <w:fldChar w:fldCharType="end"/>
          </w:r>
        </w:sdtContent>
      </w:sdt>
      <w:r w:rsidR="00554CE2">
        <w:t>. The use of these conventional energy sources has led to increasing concerns over climate change and sustainability. As a result, recent decades have</w:t>
      </w:r>
      <w:r w:rsidR="00367114">
        <w:t xml:space="preserve"> seen international agreements – such as the 1997 Kyoto Protocol which commits</w:t>
      </w:r>
      <w:r w:rsidR="00554CE2">
        <w:t xml:space="preserve"> its signatories to reduce greenhouse gas emissions</w:t>
      </w:r>
      <w:r w:rsidR="00367114">
        <w:t xml:space="preserve"> – </w:t>
      </w:r>
      <w:r w:rsidR="00554CE2">
        <w:t xml:space="preserve"> and the increased adoption of technologies which can generate electricity from renewable energy sources (RES)</w:t>
      </w:r>
      <w:r w:rsidR="000E5DA6">
        <w:t xml:space="preserve"> – </w:t>
      </w:r>
      <w:r w:rsidR="00554CE2">
        <w:t>such as wind and solar. Indeed, various measures, including financial and regulatory, have been undertaken in the Netherlands to facilitate the integration of RES into the country’s energy mix. However, whereas conventional forms of energy are dispatchable</w:t>
      </w:r>
      <w:r w:rsidR="002B0320">
        <w:t xml:space="preserve"> – </w:t>
      </w:r>
      <w:r w:rsidR="004802ED">
        <w:t xml:space="preserve">the </w:t>
      </w:r>
      <w:r w:rsidR="002233EB">
        <w:t>generating plants can be turned on or off, at the request of the power grid operators or plant owner, to adjust power output</w:t>
      </w:r>
      <w:r w:rsidR="002B0320">
        <w:t xml:space="preserve"> supplied to the grid on demand – </w:t>
      </w:r>
      <w:r w:rsidR="00554CE2">
        <w:t xml:space="preserve"> </w:t>
      </w:r>
      <w:r w:rsidR="002B0320">
        <w:t xml:space="preserve">many RES are non-dispatchable and </w:t>
      </w:r>
      <w:r w:rsidR="00554CE2">
        <w:t>cannot adjust power output to meet changing demand. The stochastic nature of wind and solar energy production, for example, means it is almost certain that there will be fluctuations in energy supplied from these sources and power networks are likely to experience difficulties in meeting demand due to daily and seasonal variations. Energy Storage System (ESS) technologies have the potential to overcome the issues of meeting energy supply and demand by capturing energy which is produced when conditions for renewable energy are good but demand is low. The captured energy can be stored and converted to electrical energy when required.</w:t>
      </w:r>
    </w:p>
    <w:p w14:paraId="033C632F" w14:textId="77777777" w:rsidR="00554CE2" w:rsidRDefault="00554CE2" w:rsidP="00554CE2">
      <w:pPr>
        <w:jc w:val="both"/>
      </w:pPr>
    </w:p>
    <w:p w14:paraId="3EB5BAA5" w14:textId="088DF757" w:rsidR="00554CE2" w:rsidRDefault="00554CE2" w:rsidP="00554CE2">
      <w:pPr>
        <w:jc w:val="both"/>
      </w:pPr>
      <w:r>
        <w:rPr>
          <w:noProof/>
        </w:rPr>
        <w:t>Zhao, et al. (2015, p545</w:t>
      </w:r>
      <w:r w:rsidRPr="00473A82">
        <w:rPr>
          <w:noProof/>
        </w:rPr>
        <w:t>)</w:t>
      </w:r>
      <w:r>
        <w:rPr>
          <w:noProof/>
        </w:rPr>
        <w:t xml:space="preserve"> </w:t>
      </w:r>
      <w:r>
        <w:t>state that “recent development and advances in ESS and power electronic technologies have made the application of energy storage technologies a viable solution for modern power application”. However, although advances have been made and certain ESS technologies could be considered technologically mature – such as lithium-ion</w:t>
      </w:r>
      <w:r w:rsidR="00784AFD">
        <w:t xml:space="preserve"> (Li-ion)</w:t>
      </w:r>
      <w:r>
        <w:t xml:space="preserve"> batteries – overall, ESS technologies are less technologically mature than renewable energy production technologies. Indeed, as of 2015, </w:t>
      </w:r>
      <w:r>
        <w:rPr>
          <w:noProof/>
        </w:rPr>
        <w:t>14% of Dutch electricty generation was from a RES (6% biofuels and waste; 1% solar; 7% wind) (IEA, 2016</w:t>
      </w:r>
      <w:r w:rsidR="0073491E">
        <w:rPr>
          <w:noProof/>
        </w:rPr>
        <w:t>a</w:t>
      </w:r>
      <w:r>
        <w:rPr>
          <w:noProof/>
        </w:rPr>
        <w:t xml:space="preserve">), but there are currently only a handful of projects in the Netherlands which utilise an ESS, outside of the </w:t>
      </w:r>
      <w:r w:rsidR="00E626F4">
        <w:rPr>
          <w:noProof/>
        </w:rPr>
        <w:t>mobility sector</w:t>
      </w:r>
      <w:r>
        <w:rPr>
          <w:noProof/>
        </w:rPr>
        <w:t xml:space="preserve">. Although certain other renewable energy sources, such as geothermal, could be considered to be </w:t>
      </w:r>
      <w:r w:rsidRPr="00473A82">
        <w:rPr>
          <w:noProof/>
        </w:rPr>
        <w:t>only at the early</w:t>
      </w:r>
      <w:r>
        <w:rPr>
          <w:noProof/>
        </w:rPr>
        <w:t xml:space="preserve"> stages of development within the Netherlands, </w:t>
      </w:r>
      <w:r>
        <w:t>the assumption is made that energy production from biomass, solar, and wind is no longer considered a ‘niche’ industry</w:t>
      </w:r>
      <w:r>
        <w:rPr>
          <w:noProof/>
        </w:rPr>
        <w:t xml:space="preserve">. </w:t>
      </w:r>
      <w:r>
        <w:t>On the contrary, ESS integration with RES is still considered, in general, to be at early stages of development</w:t>
      </w:r>
      <w:r w:rsidR="008F0091">
        <w:t>. T</w:t>
      </w:r>
      <w:r w:rsidR="000E115D">
        <w:t xml:space="preserve">hese assumptions will be discussed further in Section </w:t>
      </w:r>
      <w:r w:rsidR="000E115D">
        <w:fldChar w:fldCharType="begin"/>
      </w:r>
      <w:r w:rsidR="000E115D">
        <w:instrText xml:space="preserve"> REF _Ref478373003 \r \h </w:instrText>
      </w:r>
      <w:r w:rsidR="000E115D">
        <w:fldChar w:fldCharType="separate"/>
      </w:r>
      <w:r w:rsidR="000E115D">
        <w:t>4.3</w:t>
      </w:r>
      <w:r w:rsidR="000E115D">
        <w:fldChar w:fldCharType="end"/>
      </w:r>
      <w:r w:rsidR="000E115D">
        <w:t>.</w:t>
      </w:r>
    </w:p>
    <w:p w14:paraId="5CC62B1A" w14:textId="77777777" w:rsidR="00554CE2" w:rsidRDefault="00554CE2" w:rsidP="00554CE2">
      <w:pPr>
        <w:jc w:val="both"/>
      </w:pPr>
    </w:p>
    <w:p w14:paraId="39706926" w14:textId="45A59800" w:rsidR="00554CE2" w:rsidRDefault="00130769" w:rsidP="00554CE2">
      <w:pPr>
        <w:jc w:val="both"/>
      </w:pPr>
      <w:r>
        <w:t>Dutch g</w:t>
      </w:r>
      <w:r w:rsidR="00554CE2">
        <w:t xml:space="preserve">overnment predictions see the share of wind and solar in the country’s electricity generation mix continue to grow in the period to 2030 </w:t>
      </w:r>
      <w:r w:rsidR="00554CE2">
        <w:rPr>
          <w:noProof/>
        </w:rPr>
        <w:t>(IEA, 2014)</w:t>
      </w:r>
      <w:r>
        <w:t>, and e</w:t>
      </w:r>
      <w:r w:rsidR="00554CE2">
        <w:t>nergy storage will be vital for a clean-energy future based on renewable energy sources due to their inherent intermittency</w:t>
      </w:r>
      <w:r w:rsidR="00554CE2" w:rsidRPr="001A56DF">
        <w:t>. This</w:t>
      </w:r>
      <w:r w:rsidR="00554CE2" w:rsidRPr="00C762D1">
        <w:rPr>
          <w:color w:val="FF0000"/>
        </w:rPr>
        <w:t xml:space="preserve"> </w:t>
      </w:r>
      <w:r w:rsidR="00554CE2">
        <w:t>thesis examines the role that policy instruments can pl</w:t>
      </w:r>
      <w:r w:rsidR="00BF2AA8">
        <w:t>ay in facilitating (or hindering)</w:t>
      </w:r>
      <w:r w:rsidR="00554CE2">
        <w:t xml:space="preserve"> the further integration of ESS alongside RES in the Netherlands. The overarching </w:t>
      </w:r>
      <w:r w:rsidR="00554CE2" w:rsidRPr="001A56DF">
        <w:t>aim</w:t>
      </w:r>
      <w:r w:rsidR="00554CE2" w:rsidRPr="00C762D1">
        <w:rPr>
          <w:color w:val="FF0000"/>
        </w:rPr>
        <w:t xml:space="preserve"> </w:t>
      </w:r>
      <w:r w:rsidR="00554CE2">
        <w:t xml:space="preserve">of the research is to provide insight into the role that ESS technologies might play in the future, over several different levels – from domestic storage such as ‘behind-the-meter’ battery systems, through </w:t>
      </w:r>
      <w:r w:rsidR="00554CE2">
        <w:lastRenderedPageBreak/>
        <w:t xml:space="preserve">distributed storage, for example at wind farms, to centralised utility-scale storage facilities such as pumped-hydro storage (PHS) facilities. Furthermore, by examining which policy instruments were previously chosen by policymakers to facilitate (or hinder) the transition of renewable energy production to commercialisation, the lessons learnt can be used to recommend policy instrument choices to support the anticipated – and crucial – integration and utilisation of ESS alongside RES. </w:t>
      </w:r>
    </w:p>
    <w:p w14:paraId="287EB571" w14:textId="77777777" w:rsidR="00554CE2" w:rsidRDefault="00554CE2" w:rsidP="00554CE2">
      <w:pPr>
        <w:jc w:val="both"/>
      </w:pPr>
    </w:p>
    <w:p w14:paraId="7523A397" w14:textId="4704BAD4" w:rsidR="008F0091" w:rsidRDefault="00554CE2" w:rsidP="00554CE2">
      <w:pPr>
        <w:jc w:val="both"/>
      </w:pPr>
      <w:r>
        <w:t xml:space="preserve">This introductory section will continue by briefly introducing the research questions, theoretical framework, and methods used to collect and analysis the research data. Section </w:t>
      </w:r>
      <w:r>
        <w:fldChar w:fldCharType="begin"/>
      </w:r>
      <w:r>
        <w:instrText xml:space="preserve"> REF _Ref478028252 \r \h </w:instrText>
      </w:r>
      <w:r>
        <w:fldChar w:fldCharType="separate"/>
      </w:r>
      <w:r>
        <w:t>2</w:t>
      </w:r>
      <w:r>
        <w:fldChar w:fldCharType="end"/>
      </w:r>
      <w:r>
        <w:t xml:space="preserve"> will discuss climate change and why it is happening. It will explain and justify the need for a reduction in </w:t>
      </w:r>
      <w:r w:rsidR="00480400">
        <w:t>carbon dioxide (</w:t>
      </w:r>
      <w:r>
        <w:t>CO</w:t>
      </w:r>
      <w:r>
        <w:rPr>
          <w:vertAlign w:val="subscript"/>
        </w:rPr>
        <w:t>2</w:t>
      </w:r>
      <w:r w:rsidR="00480400">
        <w:t>)</w:t>
      </w:r>
      <w:r>
        <w:t xml:space="preserve"> emissions, the need for sustainable development, and the associated need</w:t>
      </w:r>
      <w:r w:rsidR="00480400">
        <w:t xml:space="preserve"> for ESS</w:t>
      </w:r>
      <w:r>
        <w:t xml:space="preserve"> technologies. Section </w:t>
      </w:r>
      <w:r>
        <w:fldChar w:fldCharType="begin"/>
      </w:r>
      <w:r>
        <w:instrText xml:space="preserve"> REF _Ref478387290 \r \h </w:instrText>
      </w:r>
      <w:r>
        <w:fldChar w:fldCharType="separate"/>
      </w:r>
      <w:r>
        <w:t>3</w:t>
      </w:r>
      <w:r>
        <w:fldChar w:fldCharType="end"/>
      </w:r>
      <w:r>
        <w:t xml:space="preserve"> is a review of relevant literature in relation to transitions, Transition Management (TM) theory, and Instrument Choice Theory (ICT). Section </w:t>
      </w:r>
      <w:r>
        <w:fldChar w:fldCharType="begin"/>
      </w:r>
      <w:r>
        <w:instrText xml:space="preserve"> REF _Ref478387379 \r \h </w:instrText>
      </w:r>
      <w:r>
        <w:fldChar w:fldCharType="separate"/>
      </w:r>
      <w:r>
        <w:t>4</w:t>
      </w:r>
      <w:r>
        <w:fldChar w:fldCharType="end"/>
      </w:r>
      <w:r w:rsidR="005E4A8E">
        <w:t xml:space="preserve"> describes the research approach</w:t>
      </w:r>
      <w:r>
        <w:t xml:space="preserve">, methodology, and design. Section </w:t>
      </w:r>
      <w:r>
        <w:fldChar w:fldCharType="begin"/>
      </w:r>
      <w:r>
        <w:instrText xml:space="preserve"> REF _Ref478387405 \r \h </w:instrText>
      </w:r>
      <w:r>
        <w:fldChar w:fldCharType="separate"/>
      </w:r>
      <w:r>
        <w:t>5</w:t>
      </w:r>
      <w:r>
        <w:fldChar w:fldCharType="end"/>
      </w:r>
      <w:r>
        <w:t xml:space="preserve"> introduces the different types of renewable energy sources and ESS technologies, and briefly describes the processes of electricity generation, transmission, and distribution. </w:t>
      </w:r>
      <w:r w:rsidR="000E115D">
        <w:t xml:space="preserve">Section </w:t>
      </w:r>
      <w:r w:rsidR="000E115D">
        <w:fldChar w:fldCharType="begin"/>
      </w:r>
      <w:r w:rsidR="000E115D">
        <w:instrText xml:space="preserve"> REF _Ref487034020 \r \h </w:instrText>
      </w:r>
      <w:r w:rsidR="000E115D">
        <w:fldChar w:fldCharType="separate"/>
      </w:r>
      <w:r w:rsidR="000E115D">
        <w:t>6</w:t>
      </w:r>
      <w:r w:rsidR="000E115D">
        <w:fldChar w:fldCharType="end"/>
      </w:r>
      <w:r w:rsidR="000E115D">
        <w:t xml:space="preserve"> presents the results of </w:t>
      </w:r>
      <w:r w:rsidR="005E4A8E">
        <w:t xml:space="preserve">the study, addresses the </w:t>
      </w:r>
      <w:r w:rsidR="000E115D">
        <w:t>research questions</w:t>
      </w:r>
      <w:r w:rsidR="005E4A8E">
        <w:t>, and identifies the limitations of the research</w:t>
      </w:r>
      <w:r w:rsidR="000E115D">
        <w:t xml:space="preserve">. Section </w:t>
      </w:r>
      <w:r w:rsidR="000E115D">
        <w:fldChar w:fldCharType="begin"/>
      </w:r>
      <w:r w:rsidR="000E115D">
        <w:instrText xml:space="preserve"> REF _Ref486845228 \r \h </w:instrText>
      </w:r>
      <w:r w:rsidR="000E115D">
        <w:fldChar w:fldCharType="separate"/>
      </w:r>
      <w:r w:rsidR="000E115D">
        <w:t>7</w:t>
      </w:r>
      <w:r w:rsidR="000E115D">
        <w:fldChar w:fldCharType="end"/>
      </w:r>
      <w:r w:rsidR="000E115D">
        <w:t xml:space="preserve"> concludes with a summary of the </w:t>
      </w:r>
      <w:r w:rsidR="005E4A8E">
        <w:t>research</w:t>
      </w:r>
      <w:r w:rsidR="000E115D">
        <w:t xml:space="preserve">. </w:t>
      </w:r>
    </w:p>
    <w:p w14:paraId="77C2D445" w14:textId="77777777" w:rsidR="00770C64" w:rsidRDefault="00770C64" w:rsidP="00554CE2">
      <w:pPr>
        <w:jc w:val="both"/>
      </w:pPr>
    </w:p>
    <w:p w14:paraId="41BAA3CD" w14:textId="77777777" w:rsidR="00554CE2" w:rsidRPr="007E5F9F" w:rsidRDefault="00554CE2" w:rsidP="00671B0F">
      <w:pPr>
        <w:pStyle w:val="Heading2"/>
        <w:numPr>
          <w:ilvl w:val="1"/>
          <w:numId w:val="5"/>
        </w:numPr>
      </w:pPr>
      <w:bookmarkStart w:id="3" w:name="_Ref484011165"/>
      <w:bookmarkStart w:id="4" w:name="_Toc490566966"/>
      <w:r w:rsidRPr="007E5F9F">
        <w:t>Research Questions</w:t>
      </w:r>
      <w:bookmarkEnd w:id="3"/>
      <w:bookmarkEnd w:id="4"/>
    </w:p>
    <w:p w14:paraId="302AC006" w14:textId="0B752305" w:rsidR="00554CE2" w:rsidRDefault="00554CE2" w:rsidP="00554CE2">
      <w:pPr>
        <w:rPr>
          <w:i/>
        </w:rPr>
      </w:pPr>
      <w:r>
        <w:t xml:space="preserve">The main research question is: </w:t>
      </w:r>
      <w:r w:rsidR="00DD1675">
        <w:rPr>
          <w:i/>
        </w:rPr>
        <w:t>how can</w:t>
      </w:r>
      <w:r>
        <w:rPr>
          <w:i/>
        </w:rPr>
        <w:t xml:space="preserve"> ESS technologies transition from niche to become established technologies at the regime level?</w:t>
      </w:r>
    </w:p>
    <w:p w14:paraId="731563C5" w14:textId="77777777" w:rsidR="00554CE2" w:rsidRDefault="00554CE2" w:rsidP="00554CE2">
      <w:pPr>
        <w:rPr>
          <w:i/>
        </w:rPr>
      </w:pPr>
    </w:p>
    <w:p w14:paraId="16A1623F" w14:textId="77777777" w:rsidR="00554CE2" w:rsidRDefault="00554CE2" w:rsidP="00554CE2">
      <w:r>
        <w:t>The sub-questions are:</w:t>
      </w:r>
    </w:p>
    <w:p w14:paraId="4842D118" w14:textId="77777777" w:rsidR="00554CE2" w:rsidRDefault="00554CE2" w:rsidP="00554CE2"/>
    <w:p w14:paraId="465C6720" w14:textId="77777777" w:rsidR="00554CE2" w:rsidRDefault="00554CE2" w:rsidP="00554CE2">
      <w:pPr>
        <w:pStyle w:val="Nummeringlijst"/>
        <w:spacing w:after="160"/>
        <w:jc w:val="both"/>
        <w:rPr>
          <w:i/>
        </w:rPr>
      </w:pPr>
      <w:r>
        <w:rPr>
          <w:i/>
        </w:rPr>
        <w:t xml:space="preserve">What role did different policy instruments play in the transition of renewable energy production (across different scales from domestic to large-scale) from niche to commercial adoption and diffusion in the Netherlands? </w:t>
      </w:r>
    </w:p>
    <w:p w14:paraId="61ED158F" w14:textId="77777777" w:rsidR="00554CE2" w:rsidRDefault="00554CE2" w:rsidP="00554CE2">
      <w:pPr>
        <w:pStyle w:val="Nummeringlijst"/>
        <w:numPr>
          <w:ilvl w:val="0"/>
          <w:numId w:val="0"/>
        </w:numPr>
        <w:ind w:left="924"/>
        <w:jc w:val="both"/>
      </w:pPr>
    </w:p>
    <w:p w14:paraId="5F60EE1B" w14:textId="77777777" w:rsidR="00554CE2" w:rsidRPr="00A26F6A" w:rsidRDefault="00554CE2" w:rsidP="00554CE2">
      <w:pPr>
        <w:pStyle w:val="Nummeringlijst"/>
        <w:jc w:val="both"/>
        <w:rPr>
          <w:i/>
        </w:rPr>
      </w:pPr>
      <w:r w:rsidRPr="00A26F6A">
        <w:rPr>
          <w:i/>
        </w:rPr>
        <w:t>What role do different policy instruments play in the ongoing integration of ESS with renewable energy production (across different scales from domestic to large-scale) in the Netherlands?</w:t>
      </w:r>
    </w:p>
    <w:p w14:paraId="249B75E0" w14:textId="77777777" w:rsidR="00554CE2" w:rsidRDefault="00554CE2" w:rsidP="00554CE2">
      <w:pPr>
        <w:pStyle w:val="Nummeringlijst"/>
        <w:numPr>
          <w:ilvl w:val="0"/>
          <w:numId w:val="0"/>
        </w:numPr>
        <w:jc w:val="both"/>
      </w:pPr>
    </w:p>
    <w:p w14:paraId="7B05D3B6" w14:textId="52363B57" w:rsidR="00554CE2" w:rsidRDefault="00554CE2" w:rsidP="00554CE2">
      <w:pPr>
        <w:pStyle w:val="Nummeringlijst"/>
        <w:spacing w:after="160"/>
        <w:jc w:val="both"/>
      </w:pPr>
      <w:r>
        <w:rPr>
          <w:i/>
        </w:rPr>
        <w:t>H</w:t>
      </w:r>
      <w:r w:rsidR="002F4AF1">
        <w:rPr>
          <w:i/>
        </w:rPr>
        <w:t>ow can the lessons learnt from S</w:t>
      </w:r>
      <w:r>
        <w:rPr>
          <w:i/>
        </w:rPr>
        <w:t>ub-questions 1 and 2 be utilised to support the evolution of ESS from niche to become commercially adopted and integrated with renewable energy production (across different scales from domestic to large-scale) in the Netherlands?</w:t>
      </w:r>
    </w:p>
    <w:p w14:paraId="2997D5F2" w14:textId="77777777" w:rsidR="00554CE2" w:rsidRDefault="00554CE2" w:rsidP="00554CE2"/>
    <w:p w14:paraId="40F75CE3" w14:textId="77777777" w:rsidR="00554CE2" w:rsidRPr="007E5F9F" w:rsidRDefault="00554CE2" w:rsidP="00671B0F">
      <w:pPr>
        <w:pStyle w:val="Heading2"/>
        <w:numPr>
          <w:ilvl w:val="1"/>
          <w:numId w:val="5"/>
        </w:numPr>
      </w:pPr>
      <w:bookmarkStart w:id="5" w:name="_Ref486931073"/>
      <w:bookmarkStart w:id="6" w:name="_Toc490566967"/>
      <w:r w:rsidRPr="007E5F9F">
        <w:t>Theoretical Framework</w:t>
      </w:r>
      <w:bookmarkEnd w:id="5"/>
      <w:bookmarkEnd w:id="6"/>
    </w:p>
    <w:p w14:paraId="6CB33E3D" w14:textId="402D2DAA" w:rsidR="00554CE2" w:rsidRDefault="00554CE2" w:rsidP="00554CE2">
      <w:pPr>
        <w:jc w:val="both"/>
      </w:pPr>
      <w:r>
        <w:t>To answer the research questions</w:t>
      </w:r>
      <w:r w:rsidR="002B1AEE">
        <w:t>,</w:t>
      </w:r>
      <w:r>
        <w:t xml:space="preserve"> this thesis utilises a theoretical framework based on Transition Management (TM) and Instrument Choice Theory (ICT). TM can, in theory, be used to manage complex societal systems which contain many different actors and domains over different levels – from niche level, through regime, up to landscape.</w:t>
      </w:r>
      <w:r w:rsidR="008F0091">
        <w:t xml:space="preserve"> These levels will be discussed further in Section </w:t>
      </w:r>
      <w:r w:rsidR="008F0091">
        <w:fldChar w:fldCharType="begin"/>
      </w:r>
      <w:r w:rsidR="008F0091">
        <w:instrText xml:space="preserve"> REF _Ref478047511 \r \h </w:instrText>
      </w:r>
      <w:r w:rsidR="008F0091">
        <w:fldChar w:fldCharType="separate"/>
      </w:r>
      <w:r w:rsidR="008F0091">
        <w:t>3.2</w:t>
      </w:r>
      <w:r w:rsidR="008F0091">
        <w:fldChar w:fldCharType="end"/>
      </w:r>
      <w:r w:rsidR="008F0091">
        <w:t xml:space="preserve">. TM was </w:t>
      </w:r>
      <w:r>
        <w:t xml:space="preserve">chosen as it can be used to show how renewable energy production technologies have made the transition, and to provide knowledge and insights into how a similar transition can happen with ESS technologies. ICT helps explain why certain policy instruments </w:t>
      </w:r>
      <w:r>
        <w:lastRenderedPageBreak/>
        <w:t>were utilised in the transition of renewable energy production technologies, and can provide recommendations to facilitate the transition of ESS technologies to become more integrated. The framework is discussed further in Section</w:t>
      </w:r>
      <w:r w:rsidR="00EC1A2C">
        <w:t xml:space="preserve"> </w:t>
      </w:r>
      <w:r w:rsidR="00EC1A2C">
        <w:fldChar w:fldCharType="begin"/>
      </w:r>
      <w:r w:rsidR="00EC1A2C">
        <w:instrText xml:space="preserve"> REF _Ref484011179 \r \h </w:instrText>
      </w:r>
      <w:r w:rsidR="00EC1A2C">
        <w:fldChar w:fldCharType="separate"/>
      </w:r>
      <w:r w:rsidR="00EC1A2C">
        <w:t>3.4</w:t>
      </w:r>
      <w:r w:rsidR="00EC1A2C">
        <w:fldChar w:fldCharType="end"/>
      </w:r>
      <w:r>
        <w:t xml:space="preserve">. </w:t>
      </w:r>
    </w:p>
    <w:p w14:paraId="336798D5" w14:textId="77777777" w:rsidR="00554CE2" w:rsidRDefault="00554CE2" w:rsidP="00554CE2">
      <w:pPr>
        <w:ind w:left="0"/>
      </w:pPr>
    </w:p>
    <w:p w14:paraId="285EE1CC" w14:textId="7D97FBEB" w:rsidR="00554CE2" w:rsidRPr="007E5F9F" w:rsidRDefault="00554CE2" w:rsidP="00671B0F">
      <w:pPr>
        <w:pStyle w:val="Heading2"/>
        <w:numPr>
          <w:ilvl w:val="1"/>
          <w:numId w:val="5"/>
        </w:numPr>
      </w:pPr>
      <w:bookmarkStart w:id="7" w:name="_Toc490566968"/>
      <w:r w:rsidRPr="007E5F9F">
        <w:t xml:space="preserve">Research </w:t>
      </w:r>
      <w:r w:rsidR="00FD0884">
        <w:t>Approach, Methodology, and Design</w:t>
      </w:r>
      <w:bookmarkEnd w:id="7"/>
    </w:p>
    <w:p w14:paraId="19988860" w14:textId="226BC952" w:rsidR="00374208" w:rsidRDefault="00FD0884" w:rsidP="00206709">
      <w:pPr>
        <w:jc w:val="both"/>
      </w:pPr>
      <w:r>
        <w:t>Before undertaking the research, the research aim needed to be defined and a number of assumptions had to be made</w:t>
      </w:r>
      <w:r w:rsidR="00206709">
        <w:t>, in order to ensure that the scope of the research was not beyond manageable within the timeframe for the study</w:t>
      </w:r>
      <w:r>
        <w:t>. Based on the overall aim and these assumptions, a re</w:t>
      </w:r>
      <w:r w:rsidR="00EC1A2C">
        <w:t>formulated</w:t>
      </w:r>
      <w:r>
        <w:t xml:space="preserve"> set of research sub-questions was </w:t>
      </w:r>
      <w:r w:rsidR="00EC1A2C">
        <w:t>created which can be seen in Section</w:t>
      </w:r>
      <w:r w:rsidR="00BF0627">
        <w:t xml:space="preserve"> </w:t>
      </w:r>
      <w:r w:rsidR="00BF0627">
        <w:fldChar w:fldCharType="begin"/>
      </w:r>
      <w:r w:rsidR="00BF0627">
        <w:instrText xml:space="preserve"> REF _Ref487034670 \r \h </w:instrText>
      </w:r>
      <w:r w:rsidR="00BF0627">
        <w:fldChar w:fldCharType="separate"/>
      </w:r>
      <w:r w:rsidR="00BF0627">
        <w:t>4.4</w:t>
      </w:r>
      <w:r w:rsidR="00BF0627">
        <w:fldChar w:fldCharType="end"/>
      </w:r>
      <w:r>
        <w:t xml:space="preserve">. A research approach based upon semi-structured interviews with a variety of </w:t>
      </w:r>
      <w:r w:rsidR="00EC1A2C">
        <w:t xml:space="preserve">actors from different sectors – but involved in the fields RES and ESS – was then developed in order to answer the questions. A robust methodology explaining the </w:t>
      </w:r>
      <w:r w:rsidR="00206709">
        <w:t>reasons for the approach taken, as well as advantages, disadvantages and</w:t>
      </w:r>
      <w:r w:rsidR="00EC1A2C">
        <w:t xml:space="preserve"> points for consideration</w:t>
      </w:r>
      <w:r w:rsidR="00206709">
        <w:t xml:space="preserve"> or of note</w:t>
      </w:r>
      <w:r w:rsidR="00EC1A2C">
        <w:t xml:space="preserve">, is described in Section </w:t>
      </w:r>
      <w:r w:rsidR="00EC1A2C">
        <w:fldChar w:fldCharType="begin"/>
      </w:r>
      <w:r w:rsidR="00EC1A2C">
        <w:instrText xml:space="preserve"> REF _Ref487034758 \r \h </w:instrText>
      </w:r>
      <w:r w:rsidR="00EC1A2C">
        <w:fldChar w:fldCharType="separate"/>
      </w:r>
      <w:r w:rsidR="00EC1A2C">
        <w:t>4.5</w:t>
      </w:r>
      <w:r w:rsidR="00EC1A2C">
        <w:fldChar w:fldCharType="end"/>
      </w:r>
      <w:r w:rsidR="00374208">
        <w:t>.</w:t>
      </w:r>
      <w:r w:rsidR="00255FBE">
        <w:t xml:space="preserve"> </w:t>
      </w:r>
    </w:p>
    <w:p w14:paraId="6CEA7DE3" w14:textId="77777777" w:rsidR="00FD0884" w:rsidRDefault="00FD0884" w:rsidP="00554CE2"/>
    <w:p w14:paraId="73E9437B" w14:textId="6D841801" w:rsidR="00554CE2" w:rsidRDefault="00554CE2" w:rsidP="00671B0F">
      <w:pPr>
        <w:pStyle w:val="Heading1"/>
        <w:numPr>
          <w:ilvl w:val="0"/>
          <w:numId w:val="5"/>
        </w:numPr>
      </w:pPr>
      <w:bookmarkStart w:id="8" w:name="_Ref478028252"/>
      <w:bookmarkStart w:id="9" w:name="_Toc490566969"/>
      <w:r>
        <w:t>CLIMATE CHANGE, RENEWABLE ENERGY SOURCES, AND THE NEED FOR ENERGY STORAGE</w:t>
      </w:r>
      <w:bookmarkEnd w:id="8"/>
      <w:bookmarkEnd w:id="9"/>
    </w:p>
    <w:p w14:paraId="56CEA85D" w14:textId="77777777" w:rsidR="00554CE2" w:rsidRDefault="00554CE2" w:rsidP="00554CE2">
      <w:pPr>
        <w:jc w:val="both"/>
      </w:pPr>
      <w:r>
        <w:t>The production and use of conventional energy sources such as coal, oil, and natural gas have a range of environmental impacts, including air pollution, acid deposition, and resource depletion. However, probably the most important environmental problem associated with such</w:t>
      </w:r>
      <w:r w:rsidRPr="00DB7FBF">
        <w:t xml:space="preserve"> </w:t>
      </w:r>
      <w:r>
        <w:t xml:space="preserve">energy production and use is climate change </w:t>
      </w:r>
      <w:sdt>
        <w:sdtPr>
          <w:id w:val="-210881190"/>
          <w:citation/>
        </w:sdtPr>
        <w:sdtEndPr/>
        <w:sdtContent>
          <w:r>
            <w:fldChar w:fldCharType="begin"/>
          </w:r>
          <w:r>
            <w:instrText xml:space="preserve"> CITATION Blo07 \l 2057 </w:instrText>
          </w:r>
          <w:r>
            <w:fldChar w:fldCharType="separate"/>
          </w:r>
          <w:r>
            <w:rPr>
              <w:noProof/>
            </w:rPr>
            <w:t>(Blok, 2007)</w:t>
          </w:r>
          <w:r>
            <w:rPr>
              <w:noProof/>
            </w:rPr>
            <w:fldChar w:fldCharType="end"/>
          </w:r>
        </w:sdtContent>
      </w:sdt>
      <w:r>
        <w:t xml:space="preserve">. Recent decades have seen unprecedented changes to the climate system, causing impacts on natural and human systems on all continents and across all the oceans. It is widely accepted that humans are influencing the climate system, and anthropogenic emissions of greenhouse gases (GHGs) have increased since the pre-industrial era </w:t>
      </w:r>
      <w:r>
        <w:rPr>
          <w:noProof/>
        </w:rPr>
        <w:t xml:space="preserve">(IPCC, 2014). </w:t>
      </w:r>
    </w:p>
    <w:p w14:paraId="511DDA2A" w14:textId="77777777" w:rsidR="00554CE2" w:rsidRDefault="00554CE2" w:rsidP="00554CE2">
      <w:pPr>
        <w:jc w:val="both"/>
      </w:pPr>
    </w:p>
    <w:p w14:paraId="01476A0F" w14:textId="5B3073F4" w:rsidR="00554CE2" w:rsidRDefault="00554CE2" w:rsidP="00554CE2">
      <w:pPr>
        <w:jc w:val="both"/>
        <w:rPr>
          <w:noProof/>
        </w:rPr>
      </w:pPr>
      <w:r>
        <w:t>Greenhouse gases include carbon dioxide (CO</w:t>
      </w:r>
      <w:r>
        <w:rPr>
          <w:vertAlign w:val="subscript"/>
        </w:rPr>
        <w:t>2</w:t>
      </w:r>
      <w:r>
        <w:t>), water vapor (H</w:t>
      </w:r>
      <w:r>
        <w:rPr>
          <w:vertAlign w:val="subscript"/>
        </w:rPr>
        <w:t>2</w:t>
      </w:r>
      <w:r>
        <w:t>O), methane (CH</w:t>
      </w:r>
      <w:r>
        <w:rPr>
          <w:vertAlign w:val="subscript"/>
        </w:rPr>
        <w:t>4</w:t>
      </w:r>
      <w:r>
        <w:t>), nitrous oxide (N</w:t>
      </w:r>
      <w:r>
        <w:rPr>
          <w:vertAlign w:val="subscript"/>
        </w:rPr>
        <w:t>2</w:t>
      </w:r>
      <w:r>
        <w:t>O), and ozone (O</w:t>
      </w:r>
      <w:r>
        <w:rPr>
          <w:vertAlign w:val="subscript"/>
        </w:rPr>
        <w:t>3</w:t>
      </w:r>
      <w:r>
        <w:t xml:space="preserve">), as well as a number of fluorinated compounds that act as GHGs. These gases absorb infrared radiation in the Earth’s atmosphere which has been emitted from the Earth’s surface, thus trapping heat. As a result of human activities, such as the burning of fossil fuels, GHGs are entering the atmosphere at an increased rate </w:t>
      </w:r>
      <w:r>
        <w:rPr>
          <w:noProof/>
        </w:rPr>
        <w:t>(EPA, 2016).</w:t>
      </w:r>
      <w:r>
        <w:t xml:space="preserve"> As more GHGs are added to the atmosphere, more heat is trapped leading to higher air temperatures near the Earth’s surface – enhancing the so-called ‘greenhouse effect’. According to the </w:t>
      </w:r>
      <w:r>
        <w:rPr>
          <w:noProof/>
        </w:rPr>
        <w:t>Intergovernmental Panel on Climate Change (IPCC) (2014, p1)</w:t>
      </w:r>
      <w:r>
        <w:t xml:space="preserve">, the “[c]ontinued emission of greenhouse gases will cause further warming and long-lasting changes in all components of the climate system, increasing the likelihood of severe, pervasive, and irreversible impacts for people and ecosystems”. </w:t>
      </w:r>
      <w:r>
        <w:rPr>
          <w:noProof/>
        </w:rPr>
        <w:t xml:space="preserve">It is recognised that transforming socio-technical systems underpinning production and consumption patterns in sectors such as transport and energy is essential if human activities are to be brought back within ecological boundaries </w:t>
      </w:r>
      <w:sdt>
        <w:sdtPr>
          <w:rPr>
            <w:noProof/>
          </w:rPr>
          <w:id w:val="761729150"/>
          <w:citation/>
        </w:sdtPr>
        <w:sdtEndPr/>
        <w:sdtContent>
          <w:r>
            <w:rPr>
              <w:noProof/>
            </w:rPr>
            <w:fldChar w:fldCharType="begin"/>
          </w:r>
          <w:r>
            <w:rPr>
              <w:noProof/>
            </w:rPr>
            <w:instrText xml:space="preserve"> CITATION Mea09 \l 2057 </w:instrText>
          </w:r>
          <w:r>
            <w:rPr>
              <w:noProof/>
            </w:rPr>
            <w:fldChar w:fldCharType="separate"/>
          </w:r>
          <w:r>
            <w:rPr>
              <w:noProof/>
            </w:rPr>
            <w:t>(Meadowcroft, 2009)</w:t>
          </w:r>
          <w:r>
            <w:rPr>
              <w:noProof/>
            </w:rPr>
            <w:fldChar w:fldCharType="end"/>
          </w:r>
        </w:sdtContent>
      </w:sdt>
      <w:r>
        <w:rPr>
          <w:noProof/>
        </w:rPr>
        <w:t>. Possible impacts could include:</w:t>
      </w:r>
    </w:p>
    <w:p w14:paraId="2BBC6B09" w14:textId="77777777" w:rsidR="00554CE2" w:rsidRDefault="00554CE2" w:rsidP="00554CE2">
      <w:pPr>
        <w:jc w:val="both"/>
        <w:rPr>
          <w:noProof/>
        </w:rPr>
      </w:pPr>
    </w:p>
    <w:p w14:paraId="76630AD7" w14:textId="77777777" w:rsidR="00554CE2" w:rsidRDefault="00554CE2" w:rsidP="00F85B88">
      <w:pPr>
        <w:pStyle w:val="Opsomming1"/>
        <w:numPr>
          <w:ilvl w:val="0"/>
          <w:numId w:val="6"/>
        </w:numPr>
      </w:pPr>
      <w:r>
        <w:t>Droughts and water shortages, especially in regions that are already vulnerable;</w:t>
      </w:r>
    </w:p>
    <w:p w14:paraId="50A3C5E4" w14:textId="77777777" w:rsidR="00554CE2" w:rsidRDefault="00554CE2" w:rsidP="00F85B88">
      <w:pPr>
        <w:pStyle w:val="Opsomming1"/>
        <w:numPr>
          <w:ilvl w:val="0"/>
          <w:numId w:val="6"/>
        </w:numPr>
      </w:pPr>
      <w:r>
        <w:t>Regional decreases in food production;</w:t>
      </w:r>
    </w:p>
    <w:p w14:paraId="35EB8DBA" w14:textId="77777777" w:rsidR="00554CE2" w:rsidRDefault="00554CE2" w:rsidP="00F85B88">
      <w:pPr>
        <w:pStyle w:val="Opsomming1"/>
        <w:numPr>
          <w:ilvl w:val="0"/>
          <w:numId w:val="6"/>
        </w:numPr>
      </w:pPr>
      <w:r>
        <w:t>Deterioration of ecosystems that cannot adapt rapidly enough to the changing climate;</w:t>
      </w:r>
    </w:p>
    <w:p w14:paraId="28A8E081" w14:textId="77777777" w:rsidR="00554CE2" w:rsidRDefault="00554CE2" w:rsidP="00F85B88">
      <w:pPr>
        <w:pStyle w:val="Opsomming1"/>
        <w:numPr>
          <w:ilvl w:val="0"/>
          <w:numId w:val="6"/>
        </w:numPr>
      </w:pPr>
      <w:r>
        <w:t>Spread of diseases, such as malaria, to areas they did not occur before;</w:t>
      </w:r>
    </w:p>
    <w:p w14:paraId="71B976B9" w14:textId="080689E2" w:rsidR="00554CE2" w:rsidRDefault="00554CE2" w:rsidP="00F85B88">
      <w:pPr>
        <w:pStyle w:val="Opsomming1"/>
        <w:numPr>
          <w:ilvl w:val="0"/>
          <w:numId w:val="6"/>
        </w:numPr>
        <w:jc w:val="both"/>
      </w:pPr>
      <w:r>
        <w:lastRenderedPageBreak/>
        <w:t>Sea level rise, due to expansion of sea water and melti</w:t>
      </w:r>
      <w:r w:rsidR="003423D5">
        <w:t xml:space="preserve">ng of icepack and glaciers; </w:t>
      </w:r>
    </w:p>
    <w:p w14:paraId="730C8A72" w14:textId="77777777" w:rsidR="00554CE2" w:rsidRDefault="00554CE2" w:rsidP="00F85B88">
      <w:pPr>
        <w:pStyle w:val="Opsomming1"/>
        <w:numPr>
          <w:ilvl w:val="0"/>
          <w:numId w:val="6"/>
        </w:numPr>
      </w:pPr>
      <w:r>
        <w:t xml:space="preserve">An increase of extreme weather events, such as hurricanes </w:t>
      </w:r>
      <w:sdt>
        <w:sdtPr>
          <w:id w:val="713624549"/>
          <w:citation/>
        </w:sdtPr>
        <w:sdtEndPr/>
        <w:sdtContent>
          <w:r>
            <w:fldChar w:fldCharType="begin"/>
          </w:r>
          <w:r>
            <w:instrText xml:space="preserve"> CITATION Blo07 \l 2057 </w:instrText>
          </w:r>
          <w:r>
            <w:fldChar w:fldCharType="separate"/>
          </w:r>
          <w:r>
            <w:rPr>
              <w:noProof/>
            </w:rPr>
            <w:t>(Blok, 2007)</w:t>
          </w:r>
          <w:r>
            <w:rPr>
              <w:noProof/>
            </w:rPr>
            <w:fldChar w:fldCharType="end"/>
          </w:r>
        </w:sdtContent>
      </w:sdt>
      <w:r>
        <w:t>.</w:t>
      </w:r>
    </w:p>
    <w:p w14:paraId="43281F57" w14:textId="77777777" w:rsidR="00554CE2" w:rsidRDefault="00554CE2" w:rsidP="00554CE2">
      <w:pPr>
        <w:pStyle w:val="Opsomming1"/>
        <w:numPr>
          <w:ilvl w:val="0"/>
          <w:numId w:val="0"/>
        </w:numPr>
        <w:ind w:left="927" w:hanging="360"/>
      </w:pPr>
    </w:p>
    <w:p w14:paraId="7547240B" w14:textId="105346C4" w:rsidR="00554CE2" w:rsidRDefault="00554CE2" w:rsidP="00554CE2">
      <w:pPr>
        <w:jc w:val="both"/>
      </w:pPr>
      <w:r>
        <w:t xml:space="preserve">Carbon dioxide is the major anthropogenic contributor to climate change because it is emitted in much greater amounts than other GHGs </w:t>
      </w:r>
      <w:r>
        <w:rPr>
          <w:noProof/>
        </w:rPr>
        <w:t>(</w:t>
      </w:r>
      <w:r w:rsidR="000D5C16">
        <w:rPr>
          <w:noProof/>
        </w:rPr>
        <w:t>The Berkeley Atmospheric CO</w:t>
      </w:r>
      <w:r w:rsidR="000D5C16">
        <w:rPr>
          <w:noProof/>
          <w:vertAlign w:val="subscript"/>
        </w:rPr>
        <w:t>2</w:t>
      </w:r>
      <w:r w:rsidR="000D5C16">
        <w:rPr>
          <w:noProof/>
        </w:rPr>
        <w:t xml:space="preserve"> Observation Network</w:t>
      </w:r>
      <w:r>
        <w:rPr>
          <w:noProof/>
        </w:rPr>
        <w:t>, 2017).</w:t>
      </w:r>
      <w:r>
        <w:t xml:space="preserve"> CO</w:t>
      </w:r>
      <w:r>
        <w:rPr>
          <w:vertAlign w:val="subscript"/>
        </w:rPr>
        <w:t>2</w:t>
      </w:r>
      <w:r>
        <w:t xml:space="preserve"> emissions should therefore be reduced, and international climate policy largely reflects this viewpoint. For example, the 1992 U</w:t>
      </w:r>
      <w:r w:rsidR="00480400">
        <w:t xml:space="preserve">nited </w:t>
      </w:r>
      <w:r>
        <w:t>N</w:t>
      </w:r>
      <w:r w:rsidR="00480400">
        <w:t>ations</w:t>
      </w:r>
      <w:r>
        <w:t xml:space="preserve"> Framework Convention on Climate Change (UNFCCC) noted the adverse effects of climate change and stated its determination to protect the climate system by stabilising GHG concentrations at a level that would prevent dangerous anthropogenic interference with the climate system. Other important agreements i</w:t>
      </w:r>
      <w:r w:rsidR="00276C7F">
        <w:t xml:space="preserve">nclude the 1997 Kyoto Protocol – </w:t>
      </w:r>
      <w:r>
        <w:t>which committed its Parties by setting internationally bind</w:t>
      </w:r>
      <w:r w:rsidR="00276C7F">
        <w:t xml:space="preserve">ing emission reduction targets – </w:t>
      </w:r>
      <w:r>
        <w:t xml:space="preserve">and the 2015 Paris Agreement. The Paris Agreement is considered important, as, for the first time, it brings all nations into a common cause to undertake ambitious efforts to combat climate change and adapt to its effects, with enhanced support to assist developing countries to do so. Its central aim is “to strengthen the global response to the threat of climate change by keeping a global temperature rise this century well below 2 degrees Celsius above pre-industrial levels and to pursue efforts to limit the temperature increase even further to 1.5 degrees Celsius” </w:t>
      </w:r>
      <w:r>
        <w:rPr>
          <w:noProof/>
        </w:rPr>
        <w:t>(UN, 2017)</w:t>
      </w:r>
      <w:r>
        <w:t xml:space="preserve"> Furthermore, the 1992 Rio Declaration on Environment and Development recognised the need for sustainable development – defined by the World Commission on Environment and Development (WCED) </w:t>
      </w:r>
      <w:r>
        <w:rPr>
          <w:noProof/>
        </w:rPr>
        <w:t>(1987)</w:t>
      </w:r>
      <w:r>
        <w:t xml:space="preserve"> as “development that meets the needs of present generations without compromising the ability of future generations to meet their own needs”</w:t>
      </w:r>
      <w:r w:rsidR="0053473F">
        <w:t>.</w:t>
      </w:r>
      <w:r>
        <w:t xml:space="preserve"> Current conventional energy systems can be considered unsustainable – resource depletion, climate change, and other environmental impacts may seriously affect the possibility of future generations to meet their own needs </w:t>
      </w:r>
      <w:sdt>
        <w:sdtPr>
          <w:id w:val="976871856"/>
          <w:citation/>
        </w:sdtPr>
        <w:sdtEndPr/>
        <w:sdtContent>
          <w:r>
            <w:fldChar w:fldCharType="begin"/>
          </w:r>
          <w:r>
            <w:instrText xml:space="preserve"> CITATION Blo07 \l 2057 </w:instrText>
          </w:r>
          <w:r>
            <w:fldChar w:fldCharType="separate"/>
          </w:r>
          <w:r>
            <w:rPr>
              <w:noProof/>
            </w:rPr>
            <w:t>(Blok, 2007)</w:t>
          </w:r>
          <w:r>
            <w:rPr>
              <w:noProof/>
            </w:rPr>
            <w:fldChar w:fldCharType="end"/>
          </w:r>
        </w:sdtContent>
      </w:sdt>
      <w:r>
        <w:t>. Therefore, to achieve sustainable energy policies, the World Energy Assessmen</w:t>
      </w:r>
      <w:r w:rsidR="00A246CF">
        <w:t xml:space="preserve">t </w:t>
      </w:r>
      <w:r>
        <w:rPr>
          <w:noProof/>
        </w:rPr>
        <w:t>(UNDP, 2000</w:t>
      </w:r>
      <w:r w:rsidR="004802ED">
        <w:rPr>
          <w:noProof/>
        </w:rPr>
        <w:t>, p34</w:t>
      </w:r>
      <w:r>
        <w:rPr>
          <w:noProof/>
        </w:rPr>
        <w:t>)</w:t>
      </w:r>
      <w:r>
        <w:t xml:space="preserve"> recommends a number of aims:</w:t>
      </w:r>
    </w:p>
    <w:p w14:paraId="453EB939" w14:textId="77777777" w:rsidR="00554CE2" w:rsidRDefault="00554CE2" w:rsidP="00554CE2">
      <w:pPr>
        <w:pStyle w:val="Opsomming1"/>
        <w:numPr>
          <w:ilvl w:val="0"/>
          <w:numId w:val="0"/>
        </w:numPr>
        <w:ind w:left="567"/>
        <w:jc w:val="both"/>
      </w:pPr>
    </w:p>
    <w:p w14:paraId="1254AA09" w14:textId="77777777" w:rsidR="00554CE2" w:rsidRDefault="00554CE2" w:rsidP="00F85B88">
      <w:pPr>
        <w:pStyle w:val="Opsomming1"/>
        <w:numPr>
          <w:ilvl w:val="0"/>
          <w:numId w:val="6"/>
        </w:numPr>
        <w:jc w:val="both"/>
      </w:pPr>
      <w:r>
        <w:t>The delivery of affordable, modern energy supplies – including gaseous and liquid fuels, electricity, and more efficient end use technologies;</w:t>
      </w:r>
    </w:p>
    <w:p w14:paraId="550BC514" w14:textId="77777777" w:rsidR="00554CE2" w:rsidRDefault="00554CE2" w:rsidP="00F85B88">
      <w:pPr>
        <w:pStyle w:val="Opsomming1"/>
        <w:numPr>
          <w:ilvl w:val="0"/>
          <w:numId w:val="6"/>
        </w:numPr>
      </w:pPr>
      <w:r>
        <w:t>Improving energy efficiency;</w:t>
      </w:r>
    </w:p>
    <w:p w14:paraId="3F9477BE" w14:textId="2C90638E" w:rsidR="00554CE2" w:rsidRDefault="00554CE2" w:rsidP="00F85B88">
      <w:pPr>
        <w:pStyle w:val="Opsomming1"/>
        <w:numPr>
          <w:ilvl w:val="0"/>
          <w:numId w:val="6"/>
        </w:numPr>
      </w:pPr>
      <w:r>
        <w:t>Further integration of renewable energy sources;</w:t>
      </w:r>
      <w:r w:rsidR="003423D5">
        <w:t xml:space="preserve"> </w:t>
      </w:r>
    </w:p>
    <w:p w14:paraId="3DC287F2" w14:textId="77777777" w:rsidR="00554CE2" w:rsidRDefault="00554CE2" w:rsidP="00F85B88">
      <w:pPr>
        <w:pStyle w:val="Opsomming1"/>
        <w:numPr>
          <w:ilvl w:val="0"/>
          <w:numId w:val="6"/>
        </w:numPr>
      </w:pPr>
      <w:r>
        <w:t xml:space="preserve">The use of advanced energy technologies. </w:t>
      </w:r>
    </w:p>
    <w:p w14:paraId="6AE6132C" w14:textId="77777777" w:rsidR="00554CE2" w:rsidRDefault="00554CE2" w:rsidP="00554CE2">
      <w:pPr>
        <w:pStyle w:val="Opsomming1"/>
        <w:numPr>
          <w:ilvl w:val="0"/>
          <w:numId w:val="0"/>
        </w:numPr>
      </w:pPr>
    </w:p>
    <w:p w14:paraId="177A6B09" w14:textId="77777777" w:rsidR="00554CE2" w:rsidRDefault="00554CE2" w:rsidP="00554CE2">
      <w:pPr>
        <w:pStyle w:val="Opsomming1"/>
        <w:numPr>
          <w:ilvl w:val="0"/>
          <w:numId w:val="0"/>
        </w:numPr>
        <w:ind w:left="567"/>
        <w:jc w:val="both"/>
      </w:pPr>
      <w:r>
        <w:t>Furthermore, the Assessment identifies key strategies and policies for achieving both economic growth and sustainable development. They include:</w:t>
      </w:r>
    </w:p>
    <w:p w14:paraId="4E68E90C" w14:textId="77777777" w:rsidR="00554CE2" w:rsidRDefault="00554CE2" w:rsidP="00554CE2">
      <w:pPr>
        <w:pStyle w:val="Opsomming1"/>
        <w:numPr>
          <w:ilvl w:val="0"/>
          <w:numId w:val="0"/>
        </w:numPr>
        <w:ind w:left="567"/>
      </w:pPr>
    </w:p>
    <w:p w14:paraId="29C154B7" w14:textId="77777777" w:rsidR="00554CE2" w:rsidRDefault="00554CE2" w:rsidP="00F85B88">
      <w:pPr>
        <w:pStyle w:val="Opsomming1"/>
        <w:numPr>
          <w:ilvl w:val="0"/>
          <w:numId w:val="6"/>
        </w:numPr>
        <w:jc w:val="both"/>
      </w:pPr>
      <w:r>
        <w:t>Setting the right framework conditions – including continued market reforms, consistent regulations, and targeted policies – to encourage competition in energy markets, reduce the cost of energy services to end users, and protect important public benefits;</w:t>
      </w:r>
    </w:p>
    <w:p w14:paraId="78DBC4C6" w14:textId="77777777" w:rsidR="00554CE2" w:rsidRDefault="00554CE2" w:rsidP="00F85B88">
      <w:pPr>
        <w:pStyle w:val="Opsomming1"/>
        <w:numPr>
          <w:ilvl w:val="0"/>
          <w:numId w:val="6"/>
        </w:numPr>
        <w:jc w:val="both"/>
      </w:pPr>
      <w:r>
        <w:t>Sending accurate price signals, including phasing out subsidies to conventional energy and internalising externalities;</w:t>
      </w:r>
    </w:p>
    <w:p w14:paraId="2218C708" w14:textId="77777777" w:rsidR="00554CE2" w:rsidRDefault="00554CE2" w:rsidP="00F85B88">
      <w:pPr>
        <w:pStyle w:val="Opsomming1"/>
        <w:numPr>
          <w:ilvl w:val="0"/>
          <w:numId w:val="6"/>
        </w:numPr>
        <w:jc w:val="both"/>
      </w:pPr>
      <w:r>
        <w:t xml:space="preserve">Removing obstacles or providing incentives, as needed, to encourage greater energy efficiency and the development and diffusion to wider markets of new sustainable energy technologies </w:t>
      </w:r>
      <w:r>
        <w:rPr>
          <w:noProof/>
        </w:rPr>
        <w:t>(UNDP, 2000)</w:t>
      </w:r>
      <w:r>
        <w:t xml:space="preserve">. </w:t>
      </w:r>
    </w:p>
    <w:p w14:paraId="2B985559" w14:textId="77777777" w:rsidR="00554CE2" w:rsidRDefault="00554CE2" w:rsidP="00554CE2">
      <w:pPr>
        <w:pStyle w:val="Opsomming1"/>
        <w:numPr>
          <w:ilvl w:val="0"/>
          <w:numId w:val="0"/>
        </w:numPr>
        <w:ind w:left="927"/>
      </w:pPr>
    </w:p>
    <w:p w14:paraId="0E0F1033" w14:textId="56EDDED0" w:rsidR="00554CE2" w:rsidRDefault="00554CE2" w:rsidP="00554CE2">
      <w:pPr>
        <w:jc w:val="both"/>
      </w:pPr>
      <w:r>
        <w:lastRenderedPageBreak/>
        <w:t>It is therefore recognised that the application of certain strategies to promote the use of renewable energy sources, as opposed to conventional sources, could help reduce CO</w:t>
      </w:r>
      <w:r>
        <w:rPr>
          <w:vertAlign w:val="subscript"/>
        </w:rPr>
        <w:t>2</w:t>
      </w:r>
      <w:r>
        <w:t xml:space="preserve"> emissions in line with international targets and promote sustainable development. Various market and non-market instruments </w:t>
      </w:r>
      <w:r w:rsidR="0053473F">
        <w:t xml:space="preserve">(which are discussed further in Section </w:t>
      </w:r>
      <w:r w:rsidR="0053473F">
        <w:fldChar w:fldCharType="begin"/>
      </w:r>
      <w:r w:rsidR="0053473F">
        <w:instrText xml:space="preserve"> REF _Ref478047891 \r \h </w:instrText>
      </w:r>
      <w:r w:rsidR="0053473F">
        <w:fldChar w:fldCharType="separate"/>
      </w:r>
      <w:r w:rsidR="0053473F">
        <w:t>3.3</w:t>
      </w:r>
      <w:r w:rsidR="0053473F">
        <w:fldChar w:fldCharType="end"/>
      </w:r>
      <w:r w:rsidR="0053473F">
        <w:t xml:space="preserve">) </w:t>
      </w:r>
      <w:r>
        <w:t xml:space="preserve">have been used around the world, to promote the integration of renewable energy sources and recent years have seen changes in the consumption of energy resources. According to the World Energy Council’s </w:t>
      </w:r>
      <w:r>
        <w:rPr>
          <w:i/>
          <w:iCs/>
        </w:rPr>
        <w:t xml:space="preserve">World Energy Resources </w:t>
      </w:r>
      <w:r>
        <w:rPr>
          <w:iCs/>
        </w:rPr>
        <w:t>Report</w:t>
      </w:r>
      <w:r>
        <w:t xml:space="preserve"> (2016), the period since the millennium has seen growth of unconventional resources and improvements in technological evolution for all forms of energy resources. The share of renewables in electricity production can be seen in </w:t>
      </w:r>
      <w:r>
        <w:fldChar w:fldCharType="begin"/>
      </w:r>
      <w:r>
        <w:instrText xml:space="preserve"> REF _Ref478392218 \h </w:instrText>
      </w:r>
      <w:r>
        <w:fldChar w:fldCharType="separate"/>
      </w:r>
      <w:r>
        <w:t xml:space="preserve">Figure </w:t>
      </w:r>
      <w:r>
        <w:rPr>
          <w:noProof/>
        </w:rPr>
        <w:t>1</w:t>
      </w:r>
      <w:r>
        <w:fldChar w:fldCharType="end"/>
      </w:r>
      <w:r>
        <w:t xml:space="preserve">. </w:t>
      </w:r>
    </w:p>
    <w:p w14:paraId="72ED3856" w14:textId="77777777" w:rsidR="00554CE2" w:rsidRDefault="00554CE2" w:rsidP="00554CE2">
      <w:pPr>
        <w:jc w:val="both"/>
      </w:pPr>
    </w:p>
    <w:p w14:paraId="119723D8" w14:textId="77777777" w:rsidR="00554CE2" w:rsidRDefault="00554CE2" w:rsidP="00554CE2">
      <w:pPr>
        <w:keepNext/>
        <w:jc w:val="both"/>
      </w:pPr>
      <w:r>
        <w:rPr>
          <w:noProof/>
          <w:lang w:eastAsia="ko-KR" w:bidi="ar-SA"/>
        </w:rPr>
        <w:drawing>
          <wp:inline distT="0" distB="0" distL="0" distR="0" wp14:anchorId="129B36F9" wp14:editId="6798ACB8">
            <wp:extent cx="4895850" cy="2260600"/>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4895850" cy="2260600"/>
                    </a:xfrm>
                    <a:prstGeom prst="rect">
                      <a:avLst/>
                    </a:prstGeom>
                    <a:noFill/>
                    <a:ln w="9525">
                      <a:noFill/>
                      <a:miter lim="800000"/>
                      <a:headEnd/>
                      <a:tailEnd/>
                    </a:ln>
                  </pic:spPr>
                </pic:pic>
              </a:graphicData>
            </a:graphic>
          </wp:inline>
        </w:drawing>
      </w:r>
    </w:p>
    <w:p w14:paraId="6E46DED2" w14:textId="1DCAB101" w:rsidR="00554CE2" w:rsidRDefault="00554CE2" w:rsidP="00554CE2">
      <w:pPr>
        <w:pStyle w:val="Caption"/>
        <w:jc w:val="both"/>
      </w:pPr>
      <w:bookmarkStart w:id="10" w:name="_Ref478392218"/>
      <w:bookmarkStart w:id="11" w:name="_Toc491071344"/>
      <w:r>
        <w:t xml:space="preserve">Figure </w:t>
      </w:r>
      <w:r>
        <w:fldChar w:fldCharType="begin"/>
      </w:r>
      <w:r>
        <w:instrText xml:space="preserve"> SEQ Figure \* ARABIC </w:instrText>
      </w:r>
      <w:r>
        <w:fldChar w:fldCharType="separate"/>
      </w:r>
      <w:r w:rsidR="00C62C0B">
        <w:rPr>
          <w:noProof/>
        </w:rPr>
        <w:t>1</w:t>
      </w:r>
      <w:r>
        <w:rPr>
          <w:noProof/>
        </w:rPr>
        <w:fldChar w:fldCharType="end"/>
      </w:r>
      <w:bookmarkEnd w:id="10"/>
      <w:r>
        <w:t xml:space="preserve"> - Share of renewables in electricity production (including hydro) by </w:t>
      </w:r>
      <w:r w:rsidR="003B4B6F">
        <w:t xml:space="preserve">geopolitical </w:t>
      </w:r>
      <w:r>
        <w:t xml:space="preserve">region (Source: </w:t>
      </w:r>
      <w:r w:rsidR="00480400">
        <w:rPr>
          <w:noProof/>
        </w:rPr>
        <w:t>Enerdata, 2017)</w:t>
      </w:r>
      <w:bookmarkEnd w:id="11"/>
    </w:p>
    <w:p w14:paraId="2FDF17D3" w14:textId="77777777" w:rsidR="00554CE2" w:rsidRDefault="00554CE2" w:rsidP="00554CE2">
      <w:pPr>
        <w:jc w:val="both"/>
      </w:pPr>
    </w:p>
    <w:p w14:paraId="1CA1C51C" w14:textId="77777777" w:rsidR="00554CE2" w:rsidRDefault="00554CE2" w:rsidP="00554CE2">
      <w:pPr>
        <w:jc w:val="both"/>
      </w:pPr>
      <w:r>
        <w:t xml:space="preserve">However, the increased integration of renewable energy sources into the energy mix is not without issues. For example, one problem with non-dispatchable renewable energy sources is that of intermittency – there may be no supply at times of high energy demand, or too much supply when there is low demand. Indeed, the electric power system must be able to maintain a near real-time balance between generation and load to function properly. However, this can be difficult due to the constant fluctuation of generators and loads: short-term variability results from the random turning on and off of millions of individual loads; longer-term variability results from changing daily and seasonal load patterns, or from random events such as changing weather patterns. </w:t>
      </w:r>
    </w:p>
    <w:p w14:paraId="05137348" w14:textId="77777777" w:rsidR="00554CE2" w:rsidRDefault="00554CE2" w:rsidP="00554CE2">
      <w:pPr>
        <w:jc w:val="both"/>
      </w:pPr>
    </w:p>
    <w:p w14:paraId="563A35CC" w14:textId="16214DF7" w:rsidR="00554CE2" w:rsidRDefault="00554CE2" w:rsidP="00554CE2">
      <w:pPr>
        <w:jc w:val="both"/>
      </w:pPr>
      <w:r>
        <w:t xml:space="preserve">Historically, balancing the supply and demand fed into the power grid has primarily been achieved by power plants which are fired by easily storable fossil fuels </w:t>
      </w:r>
      <w:sdt>
        <w:sdtPr>
          <w:id w:val="1615630322"/>
          <w:citation/>
        </w:sdtPr>
        <w:sdtEndPr/>
        <w:sdtContent>
          <w:r>
            <w:fldChar w:fldCharType="begin"/>
          </w:r>
          <w:r>
            <w:instrText xml:space="preserve"> CITATION Don14 \l 2057 </w:instrText>
          </w:r>
          <w:r>
            <w:fldChar w:fldCharType="separate"/>
          </w:r>
          <w:r>
            <w:t>(Donadei &amp; Schneider, 2014)</w:t>
          </w:r>
          <w:r>
            <w:fldChar w:fldCharType="end"/>
          </w:r>
        </w:sdtContent>
      </w:sdt>
      <w:r>
        <w:t xml:space="preserve">. However, as renewable energy sources become more widely used in place of fossil fuels, it is important to seek more effective methods of storing energy and using it on demand. Energy storage system technologies are recognised as having the potential to overcome the issues of meeting energy supply and demand, by storing energy in a certain state (for example thermal or chemical energy), depending on the technology used, and converting it to electrical energy when required </w:t>
      </w:r>
      <w:r w:rsidR="00CF4340">
        <w:rPr>
          <w:noProof/>
        </w:rPr>
        <w:t>(Luo, et al., 2015)</w:t>
      </w:r>
      <w:r>
        <w:t>.</w:t>
      </w:r>
    </w:p>
    <w:p w14:paraId="122EA622" w14:textId="77777777" w:rsidR="00554CE2" w:rsidRDefault="00554CE2" w:rsidP="00554CE2">
      <w:pPr>
        <w:jc w:val="both"/>
      </w:pPr>
    </w:p>
    <w:p w14:paraId="22A823B8" w14:textId="4745AA71" w:rsidR="00554CE2" w:rsidRPr="005E3E0B" w:rsidRDefault="00554CE2" w:rsidP="005E3E0B">
      <w:pPr>
        <w:jc w:val="both"/>
      </w:pPr>
      <w:r>
        <w:t xml:space="preserve">There are diverse applications for energy storage, with wide variations of storage and delivery requirements – based on principles of energy versus power. If short discharge periods are </w:t>
      </w:r>
      <w:r w:rsidRPr="00250A64">
        <w:lastRenderedPageBreak/>
        <w:t>required,</w:t>
      </w:r>
      <w:r w:rsidRPr="00175B22">
        <w:rPr>
          <w:color w:val="FF0000"/>
        </w:rPr>
        <w:t xml:space="preserve"> </w:t>
      </w:r>
      <w:r>
        <w:t xml:space="preserve">devices that can deliver high power are needed, for example in overcoming fluctuations in the output of a wind turbine. Conversely, if there is no energy generation, for example on a windless day, a device that can store large amounts of energy and release it over a long period of time might be required (Hall &amp; Bain, 2008). Furthermore, ESS technologies can be applied at different levels, ranging from energy generation, transmission, and distribution up to the customer or load site </w:t>
      </w:r>
      <w:r w:rsidR="00D44672">
        <w:rPr>
          <w:noProof/>
        </w:rPr>
        <w:t>(EASE-EERA, 2017)</w:t>
      </w:r>
      <w:r>
        <w:t xml:space="preserve">. </w:t>
      </w:r>
      <w:r w:rsidR="0053473F">
        <w:t xml:space="preserve">An explanation of these levels is given in Section </w:t>
      </w:r>
      <w:r w:rsidR="0053473F">
        <w:fldChar w:fldCharType="begin"/>
      </w:r>
      <w:r w:rsidR="0053473F">
        <w:instrText xml:space="preserve"> REF _Ref478385306 \r \h </w:instrText>
      </w:r>
      <w:r w:rsidR="0053473F">
        <w:fldChar w:fldCharType="separate"/>
      </w:r>
      <w:r w:rsidR="0053473F">
        <w:t>5.3</w:t>
      </w:r>
      <w:r w:rsidR="0053473F">
        <w:fldChar w:fldCharType="end"/>
      </w:r>
      <w:r w:rsidR="0053473F">
        <w:t>.</w:t>
      </w:r>
      <w:r w:rsidR="005F5AE2">
        <w:t xml:space="preserve"> Indeed, ESS</w:t>
      </w:r>
      <w:r>
        <w:t xml:space="preserve"> can perform a number of functions over these different levels,</w:t>
      </w:r>
      <w:r w:rsidR="005E3E0B">
        <w:t xml:space="preserve"> including: arbitrage, provision of</w:t>
      </w:r>
      <w:r>
        <w:t xml:space="preserve"> ancillary services, transmission support, and end-user peak shaving</w:t>
      </w:r>
      <w:r w:rsidR="00386952">
        <w:t xml:space="preserve">. </w:t>
      </w:r>
      <w:r w:rsidR="005E3E0B">
        <w:t>At the macro-level, energy storage systems</w:t>
      </w:r>
      <w:r>
        <w:t xml:space="preserve"> can manage the uncertainty associated with certain methods of renewable energy production and can increase system operation efficiency, enhance power absorption, achieve fuel cost savings, and reduce CO</w:t>
      </w:r>
      <w:r>
        <w:rPr>
          <w:vertAlign w:val="subscript"/>
        </w:rPr>
        <w:t>2</w:t>
      </w:r>
      <w:r>
        <w:t xml:space="preserve"> emissions </w:t>
      </w:r>
      <w:r w:rsidR="001E4A38">
        <w:rPr>
          <w:noProof/>
        </w:rPr>
        <w:t>(Zhao, et al., 2015)</w:t>
      </w:r>
      <w:r w:rsidR="00C23E1F">
        <w:rPr>
          <w:noProof/>
        </w:rPr>
        <w:t>.</w:t>
      </w:r>
    </w:p>
    <w:p w14:paraId="276F1A9E" w14:textId="77777777" w:rsidR="00554CE2" w:rsidRDefault="00554CE2" w:rsidP="00554CE2">
      <w:pPr>
        <w:jc w:val="both"/>
      </w:pPr>
    </w:p>
    <w:p w14:paraId="6C5CF1E4" w14:textId="77777777" w:rsidR="00554CE2" w:rsidRDefault="00554CE2" w:rsidP="00554CE2">
      <w:pPr>
        <w:jc w:val="both"/>
      </w:pPr>
      <w:r>
        <w:t xml:space="preserve">Energy storage is therefore vital for a clean-energy future based on renewable energy sources – a future which is envisaged by the Dutch Government. The </w:t>
      </w:r>
      <w:r>
        <w:rPr>
          <w:i/>
          <w:iCs/>
        </w:rPr>
        <w:t>Transition to sustainable energy</w:t>
      </w:r>
      <w:r>
        <w:t xml:space="preserve"> report by the Ministry of Economic Affairs of the Netherlands </w:t>
      </w:r>
      <w:r>
        <w:rPr>
          <w:noProof/>
        </w:rPr>
        <w:t>(2016)</w:t>
      </w:r>
      <w:r>
        <w:t xml:space="preserve"> presents the vision of the energy system of the Netherlands, focussing on the phase after 2023. The key issue of the report is how to achieve a CO</w:t>
      </w:r>
      <w:r>
        <w:rPr>
          <w:vertAlign w:val="subscript"/>
        </w:rPr>
        <w:t>2</w:t>
      </w:r>
      <w:r>
        <w:t xml:space="preserve"> neutral energy supply by 2050, and there are three main principles of transition: 1) focus on CO</w:t>
      </w:r>
      <w:r>
        <w:rPr>
          <w:vertAlign w:val="subscript"/>
        </w:rPr>
        <w:t>2</w:t>
      </w:r>
      <w:r>
        <w:t xml:space="preserve"> reduction; 2) make the most of the economic opportunities that the energy transition offers; and 3) integrate energy in spatial planning policy. The report states that the reliance on fossil fuels will decrease and the market is transitioning towards renewables, although natural gas will continue to play an important role for some time. It states that innovative solutions will be needed and the Dutch cabinet will promote innovation. The report states the transition will result in a sharp increase in the use of low-CO</w:t>
      </w:r>
      <w:r>
        <w:rPr>
          <w:vertAlign w:val="subscript"/>
        </w:rPr>
        <w:t>2</w:t>
      </w:r>
      <w:r>
        <w:t xml:space="preserve"> electricity sources, such as the sun, wind, and water which means that both the demand and the supply will need to become more flexible. It also states that current market and regulatory policies provide a strong starting point for guaranteeing a reliable electricity supply. </w:t>
      </w:r>
    </w:p>
    <w:p w14:paraId="44B8B782" w14:textId="77777777" w:rsidR="00554CE2" w:rsidRDefault="00554CE2" w:rsidP="00554CE2">
      <w:pPr>
        <w:spacing w:line="360" w:lineRule="auto"/>
        <w:jc w:val="both"/>
      </w:pPr>
    </w:p>
    <w:p w14:paraId="7D64BD7B" w14:textId="2B16D66C" w:rsidR="00554CE2" w:rsidRDefault="00554CE2" w:rsidP="00554CE2">
      <w:pPr>
        <w:jc w:val="both"/>
      </w:pPr>
      <w:r>
        <w:t xml:space="preserve">In addition, </w:t>
      </w:r>
      <w:r w:rsidRPr="00386952">
        <w:t xml:space="preserve">the </w:t>
      </w:r>
      <w:r w:rsidRPr="00386952">
        <w:rPr>
          <w:i/>
          <w:iCs/>
        </w:rPr>
        <w:t>Energy Storage Roadmap NL 2030</w:t>
      </w:r>
      <w:r w:rsidRPr="00386952">
        <w:t xml:space="preserve"> report</w:t>
      </w:r>
      <w:r>
        <w:t xml:space="preserve"> </w:t>
      </w:r>
      <w:sdt>
        <w:sdtPr>
          <w:id w:val="-1002960435"/>
          <w:citation/>
        </w:sdtPr>
        <w:sdtEndPr/>
        <w:sdtContent>
          <w:r>
            <w:fldChar w:fldCharType="begin"/>
          </w:r>
          <w:r>
            <w:instrText xml:space="preserve"> CITATION DNV15 \l 2057 </w:instrText>
          </w:r>
          <w:r>
            <w:fldChar w:fldCharType="separate"/>
          </w:r>
          <w:r>
            <w:rPr>
              <w:noProof/>
            </w:rPr>
            <w:t>(DNV GL, 2015)</w:t>
          </w:r>
          <w:r>
            <w:rPr>
              <w:noProof/>
            </w:rPr>
            <w:fldChar w:fldCharType="end"/>
          </w:r>
        </w:sdtContent>
      </w:sdt>
      <w:r>
        <w:t xml:space="preserve"> notes three trends in the current European energy sector which form the basis of the energy transition: 1) decentralisation; 2) the ‘Europeanization’ of energy; 3) an increase in the amount of sustainable energy projects that have been implemented. Facilitating the transition requires extra flexibility in the supply and demand of energy and one method of doing this </w:t>
      </w:r>
      <w:r w:rsidR="00933DCE">
        <w:t>is through energy storage. The R</w:t>
      </w:r>
      <w:r>
        <w:t>oadmap aims to set out the desired future role of energy storage in the Netherlands and draw up an action plan for implementation. It identifies ser</w:t>
      </w:r>
      <w:r w:rsidR="00F656A2">
        <w:t>vices which can be provided through</w:t>
      </w:r>
      <w:r>
        <w:t xml:space="preserve"> </w:t>
      </w:r>
      <w:r w:rsidR="00F656A2">
        <w:t>ESS</w:t>
      </w:r>
      <w:r>
        <w:t xml:space="preserve"> and provides a scenario and economic analysis of these services. It also analyses the current situation and identifies that there is no viable business case for the wholesale market at the current time. According to the report, this is because technologies are still too expensive and the current market model and legislative framework form barriers to the storage market at the moment. However, market research conducted together with Dutch businesses and knowledge institutes concludes that there are opportunities for the Netherlands to develop a role as a provider of storage capacity and the report recommends several concrete steps to increase flexibility. Finally, it makes two recommendations for action for a 2030 deadline: stimulation and support of research and development, and the removal of barriers in the legislation and market model and adaption of legislation to the desired situation. </w:t>
      </w:r>
    </w:p>
    <w:p w14:paraId="1CC60DEC" w14:textId="77777777" w:rsidR="00554CE2" w:rsidRDefault="00554CE2" w:rsidP="00554CE2"/>
    <w:p w14:paraId="7510E27C" w14:textId="45AF9A15" w:rsidR="00554CE2" w:rsidRDefault="00554CE2" w:rsidP="00554CE2">
      <w:pPr>
        <w:autoSpaceDE w:val="0"/>
        <w:autoSpaceDN w:val="0"/>
        <w:adjustRightInd w:val="0"/>
        <w:jc w:val="both"/>
      </w:pPr>
      <w:r>
        <w:t xml:space="preserve">Furthermore, </w:t>
      </w:r>
      <w:r>
        <w:rPr>
          <w:i/>
          <w:iCs/>
        </w:rPr>
        <w:t>The Delft Plan</w:t>
      </w:r>
      <w:r>
        <w:t xml:space="preserve"> </w:t>
      </w:r>
      <w:sdt>
        <w:sdtPr>
          <w:id w:val="1032391718"/>
          <w:citation/>
        </w:sdtPr>
        <w:sdtEndPr/>
        <w:sdtContent>
          <w:r>
            <w:fldChar w:fldCharType="begin"/>
          </w:r>
          <w:r>
            <w:instrText xml:space="preserve"> CITATION Del15 \l 2057 </w:instrText>
          </w:r>
          <w:r>
            <w:fldChar w:fldCharType="separate"/>
          </w:r>
          <w:r>
            <w:rPr>
              <w:noProof/>
            </w:rPr>
            <w:t>(Delft University of Technology, 2015)</w:t>
          </w:r>
          <w:r>
            <w:rPr>
              <w:noProof/>
            </w:rPr>
            <w:fldChar w:fldCharType="end"/>
          </w:r>
        </w:sdtContent>
      </w:sdt>
      <w:r>
        <w:t xml:space="preserve"> presents an outline of the role the Netherlands can play in making plans with regard energy in Europe in 2050, and in the </w:t>
      </w:r>
      <w:r>
        <w:lastRenderedPageBreak/>
        <w:t>realisation of a well-functioning internal energy market and towards the transition towards a CO</w:t>
      </w:r>
      <w:r>
        <w:rPr>
          <w:vertAlign w:val="subscript"/>
        </w:rPr>
        <w:t>2</w:t>
      </w:r>
      <w:r>
        <w:t>-neutral energy supply. The plan states that it provides direction and perspective to policy, market players, academia and other stakeholders, focusing on no-regret steps. The plan will help transform the Netherlands into Europe’s ‘Energy Gateway’, and details why the Netherland’s natural strengths can allow it to do this. It states that the energy market is undergoing major development and how there is a shift towards decentralised energy production. According to the report, there will need to be effective innovation agendas in the future, with technical innovation combined with economic and other system studies. The plan introduces a variety of stakeholders (financers, government, Dutch E</w:t>
      </w:r>
      <w:r w:rsidR="00363D40">
        <w:t xml:space="preserve">uropean </w:t>
      </w:r>
      <w:r>
        <w:t>U</w:t>
      </w:r>
      <w:r w:rsidR="00363D40">
        <w:t>nion (EU)</w:t>
      </w:r>
      <w:r>
        <w:t xml:space="preserve"> presidency) and suggests how their roles might change in the future; for example, when the market takes a different direction. It states that it will be important to invest in energy storage (amongst other scientific areas), and suggests a number of steps of how the Netherlands can become the Energy Gateway.</w:t>
      </w:r>
    </w:p>
    <w:p w14:paraId="23CDA164" w14:textId="77777777" w:rsidR="00554CE2" w:rsidRDefault="00554CE2" w:rsidP="00554CE2">
      <w:pPr>
        <w:autoSpaceDE w:val="0"/>
        <w:autoSpaceDN w:val="0"/>
        <w:adjustRightInd w:val="0"/>
        <w:jc w:val="both"/>
      </w:pPr>
    </w:p>
    <w:p w14:paraId="4F464325" w14:textId="6BBB658F" w:rsidR="00DC6D12" w:rsidRDefault="00554CE2" w:rsidP="00554CE2">
      <w:pPr>
        <w:pStyle w:val="Opsomming1"/>
        <w:numPr>
          <w:ilvl w:val="0"/>
          <w:numId w:val="0"/>
        </w:numPr>
        <w:ind w:left="567"/>
        <w:jc w:val="both"/>
      </w:pPr>
      <w:r>
        <w:t xml:space="preserve">The amount of electricity generated from renewable energy sources is predicted to grow in the Netherlands (IEA, 2014), </w:t>
      </w:r>
      <w:r w:rsidR="0053473F" w:rsidRPr="008F6566">
        <w:t>and</w:t>
      </w:r>
      <w:r w:rsidR="00906811">
        <w:t xml:space="preserve">, in the </w:t>
      </w:r>
      <w:r w:rsidR="008F6566" w:rsidRPr="008F6566">
        <w:rPr>
          <w:i/>
        </w:rPr>
        <w:t>Energieakkord voor duurzame groei</w:t>
      </w:r>
      <w:r w:rsidR="008F6566" w:rsidRPr="008F6566">
        <w:t xml:space="preserve"> (The Energy Agreement on Sustainable Growth), the Dutch government committed to reaching the</w:t>
      </w:r>
      <w:r w:rsidR="0053473F" w:rsidRPr="008F6566">
        <w:t xml:space="preserve"> objective of </w:t>
      </w:r>
      <w:r w:rsidR="008F6566" w:rsidRPr="008F6566">
        <w:t>a 14% share of energy generated from a renewable source by 2020, in accordance with EU regulations</w:t>
      </w:r>
      <w:r w:rsidR="008F6566">
        <w:t xml:space="preserve"> </w:t>
      </w:r>
      <w:r w:rsidR="005F5AE2">
        <w:rPr>
          <w:noProof/>
        </w:rPr>
        <w:t>(Social and Economic Council</w:t>
      </w:r>
      <w:r w:rsidR="008F6566">
        <w:rPr>
          <w:noProof/>
        </w:rPr>
        <w:t>, 2013)</w:t>
      </w:r>
      <w:r w:rsidR="008F6566">
        <w:t xml:space="preserve">. </w:t>
      </w:r>
    </w:p>
    <w:p w14:paraId="1BB5C7C2" w14:textId="77777777" w:rsidR="00DC6D12" w:rsidRDefault="00DC6D12" w:rsidP="00554CE2">
      <w:pPr>
        <w:pStyle w:val="Opsomming1"/>
        <w:numPr>
          <w:ilvl w:val="0"/>
          <w:numId w:val="0"/>
        </w:numPr>
        <w:ind w:left="567"/>
        <w:jc w:val="both"/>
      </w:pPr>
    </w:p>
    <w:p w14:paraId="1C98A018" w14:textId="4D20A948" w:rsidR="00554CE2" w:rsidRDefault="008F6566" w:rsidP="00DC6D12">
      <w:pPr>
        <w:pStyle w:val="Opsomming1"/>
        <w:numPr>
          <w:ilvl w:val="0"/>
          <w:numId w:val="0"/>
        </w:numPr>
        <w:ind w:left="567"/>
        <w:jc w:val="both"/>
      </w:pPr>
      <w:r>
        <w:t>T</w:t>
      </w:r>
      <w:r w:rsidR="00554CE2">
        <w:t>his section has provi</w:t>
      </w:r>
      <w:r w:rsidR="005E183B">
        <w:t xml:space="preserve">ded evidence that there is </w:t>
      </w:r>
      <w:r w:rsidR="00554CE2">
        <w:t>role to play for ESS technologies, with market and regulatory instruments playing an important part. The research undertaken for this thesis therefore has societal relevance and can provide information on how ESS technologies can be integrated alongside RES. This can be achieved by investigating the decisions behind instrument choice and applying Transition Management theory. These theories will be discussed in the literature review in the following section.</w:t>
      </w:r>
    </w:p>
    <w:p w14:paraId="2642861F" w14:textId="77777777" w:rsidR="00554CE2" w:rsidRDefault="00554CE2" w:rsidP="00554CE2">
      <w:pPr>
        <w:jc w:val="both"/>
      </w:pPr>
    </w:p>
    <w:p w14:paraId="61201F16" w14:textId="77777777" w:rsidR="00554CE2" w:rsidRDefault="00554CE2" w:rsidP="00671B0F">
      <w:pPr>
        <w:pStyle w:val="Heading1"/>
        <w:numPr>
          <w:ilvl w:val="0"/>
          <w:numId w:val="5"/>
        </w:numPr>
      </w:pPr>
      <w:bookmarkStart w:id="12" w:name="_Ref478387290"/>
      <w:bookmarkStart w:id="13" w:name="_Toc490566970"/>
      <w:r>
        <w:t>LITERATURE REVIEW</w:t>
      </w:r>
      <w:bookmarkEnd w:id="12"/>
      <w:r>
        <w:t xml:space="preserve"> AND THEORETICAL FRAMEWORK</w:t>
      </w:r>
      <w:bookmarkEnd w:id="13"/>
    </w:p>
    <w:p w14:paraId="2855884E" w14:textId="77777777" w:rsidR="00554CE2" w:rsidRPr="007E5F9F" w:rsidRDefault="00554CE2" w:rsidP="00671B0F">
      <w:pPr>
        <w:pStyle w:val="Heading2"/>
        <w:numPr>
          <w:ilvl w:val="1"/>
          <w:numId w:val="5"/>
        </w:numPr>
      </w:pPr>
      <w:bookmarkStart w:id="14" w:name="_Toc490566971"/>
      <w:r w:rsidRPr="007E5F9F">
        <w:t>Introduction</w:t>
      </w:r>
      <w:bookmarkEnd w:id="14"/>
    </w:p>
    <w:p w14:paraId="745ACEBB" w14:textId="0095A9B0" w:rsidR="00554CE2" w:rsidRDefault="00554CE2" w:rsidP="00554CE2">
      <w:pPr>
        <w:jc w:val="both"/>
      </w:pPr>
      <w:r>
        <w:t xml:space="preserve">This section will outline the theoretical background necessary to conduct the research. Section </w:t>
      </w:r>
      <w:r>
        <w:fldChar w:fldCharType="begin"/>
      </w:r>
      <w:r>
        <w:instrText xml:space="preserve"> REF _Ref478047511 \r \h </w:instrText>
      </w:r>
      <w:r>
        <w:fldChar w:fldCharType="separate"/>
      </w:r>
      <w:r>
        <w:t>3.2</w:t>
      </w:r>
      <w:r>
        <w:fldChar w:fldCharType="end"/>
      </w:r>
      <w:r>
        <w:t xml:space="preserve"> will introduce the theory behind transitions, and introduce the Strategic Niche Management</w:t>
      </w:r>
      <w:r w:rsidR="00363D40">
        <w:t xml:space="preserve"> (SNM)</w:t>
      </w:r>
      <w:r>
        <w:t xml:space="preserve"> and Transition Management theories. Section </w:t>
      </w:r>
      <w:r>
        <w:fldChar w:fldCharType="begin"/>
      </w:r>
      <w:r>
        <w:instrText xml:space="preserve"> REF _Ref478047891 \r \h </w:instrText>
      </w:r>
      <w:r>
        <w:fldChar w:fldCharType="separate"/>
      </w:r>
      <w:r>
        <w:t>3.3</w:t>
      </w:r>
      <w:r>
        <w:fldChar w:fldCharType="end"/>
      </w:r>
      <w:r>
        <w:t xml:space="preserve"> will then discuss Instrument Choice Theory before Section </w:t>
      </w:r>
      <w:r>
        <w:fldChar w:fldCharType="begin"/>
      </w:r>
      <w:r>
        <w:instrText xml:space="preserve"> REF _Ref483921463 \r \h </w:instrText>
      </w:r>
      <w:r>
        <w:fldChar w:fldCharType="separate"/>
      </w:r>
      <w:r>
        <w:t>3.4</w:t>
      </w:r>
      <w:r>
        <w:fldChar w:fldCharType="end"/>
      </w:r>
      <w:r w:rsidRPr="00C0284F">
        <w:t xml:space="preserve"> </w:t>
      </w:r>
      <w:r>
        <w:t xml:space="preserve">explains why these theories were chosen as a framework for the research. Section </w:t>
      </w:r>
      <w:r>
        <w:fldChar w:fldCharType="begin"/>
      </w:r>
      <w:r>
        <w:instrText xml:space="preserve"> REF _Ref483921463 \r \h </w:instrText>
      </w:r>
      <w:r>
        <w:fldChar w:fldCharType="separate"/>
      </w:r>
      <w:r>
        <w:t>3.4</w:t>
      </w:r>
      <w:r>
        <w:fldChar w:fldCharType="end"/>
      </w:r>
      <w:r>
        <w:t xml:space="preserve"> also identifies the most important focus areas and concepts which allow the final analysis to be undertaken. </w:t>
      </w:r>
    </w:p>
    <w:p w14:paraId="5AB9D730" w14:textId="77777777" w:rsidR="00554CE2" w:rsidRDefault="00554CE2" w:rsidP="00554CE2">
      <w:pPr>
        <w:jc w:val="both"/>
      </w:pPr>
    </w:p>
    <w:p w14:paraId="26814500" w14:textId="77777777" w:rsidR="00554CE2" w:rsidRPr="007E5F9F" w:rsidRDefault="00554CE2" w:rsidP="00671B0F">
      <w:pPr>
        <w:pStyle w:val="Heading2"/>
        <w:numPr>
          <w:ilvl w:val="1"/>
          <w:numId w:val="5"/>
        </w:numPr>
      </w:pPr>
      <w:bookmarkStart w:id="15" w:name="_Ref478047511"/>
      <w:bookmarkStart w:id="16" w:name="_Toc490566972"/>
      <w:r w:rsidRPr="007E5F9F">
        <w:t>Transitions and Transition Management</w:t>
      </w:r>
      <w:bookmarkEnd w:id="15"/>
      <w:bookmarkEnd w:id="16"/>
    </w:p>
    <w:p w14:paraId="4840CE71" w14:textId="77777777" w:rsidR="00554CE2" w:rsidRDefault="00554CE2" w:rsidP="00554CE2">
      <w:pPr>
        <w:jc w:val="both"/>
      </w:pPr>
      <w:r>
        <w:t xml:space="preserve">The three reports regarding Dutch energy policy discussed in Section </w:t>
      </w:r>
      <w:r>
        <w:fldChar w:fldCharType="begin"/>
      </w:r>
      <w:r>
        <w:instrText xml:space="preserve"> REF _Ref478028252 \r \h </w:instrText>
      </w:r>
      <w:r>
        <w:fldChar w:fldCharType="separate"/>
      </w:r>
      <w:r>
        <w:t>2</w:t>
      </w:r>
      <w:r>
        <w:fldChar w:fldCharType="end"/>
      </w:r>
      <w:r>
        <w:t xml:space="preserve"> all specifically contained the word ‘transition’. In general terms, a transition can be defined as “a long-term process of change during which a society or a subsystem of society fundamentally changes” (Rotmans, et al., 2000, Rotmans, et al., 2001 cited in Loorbach &amp; Rotmans, n.d., p2). All three reports are concerned with how the Netherlands can transition to a low-carbon future. In other words, the reports are concerned with how the Netherlands can make fundamental changes within the energy sector. </w:t>
      </w:r>
    </w:p>
    <w:p w14:paraId="793C9CCA" w14:textId="77777777" w:rsidR="00554CE2" w:rsidRDefault="00554CE2" w:rsidP="00554CE2">
      <w:pPr>
        <w:jc w:val="both"/>
      </w:pPr>
    </w:p>
    <w:p w14:paraId="2557E620" w14:textId="77777777" w:rsidR="00554CE2" w:rsidRDefault="00554CE2" w:rsidP="00554CE2">
      <w:pPr>
        <w:jc w:val="both"/>
      </w:pPr>
      <w:r>
        <w:t xml:space="preserve">Loorbach &amp; Rotmans (n.d.) discuss two concepts of transitions: multi-phase and multi-level. The multi-phase concept indicates that transition paths are non-linear and take place over several stages (as seen in </w:t>
      </w:r>
      <w:r>
        <w:fldChar w:fldCharType="begin"/>
      </w:r>
      <w:r>
        <w:instrText xml:space="preserve"> REF _Ref478549064 \h </w:instrText>
      </w:r>
      <w:r>
        <w:fldChar w:fldCharType="separate"/>
      </w:r>
      <w:r>
        <w:t xml:space="preserve">Figure </w:t>
      </w:r>
      <w:r>
        <w:rPr>
          <w:noProof/>
        </w:rPr>
        <w:t>2</w:t>
      </w:r>
      <w:r>
        <w:fldChar w:fldCharType="end"/>
      </w:r>
      <w:r>
        <w:t>):</w:t>
      </w:r>
    </w:p>
    <w:p w14:paraId="38240D1A" w14:textId="77777777" w:rsidR="00554CE2" w:rsidRDefault="00554CE2" w:rsidP="00554CE2">
      <w:pPr>
        <w:jc w:val="both"/>
      </w:pPr>
    </w:p>
    <w:p w14:paraId="5A17701E" w14:textId="2572E393" w:rsidR="00554CE2" w:rsidRDefault="00554CE2" w:rsidP="00F85B88">
      <w:pPr>
        <w:pStyle w:val="Nummeringlijst"/>
        <w:numPr>
          <w:ilvl w:val="0"/>
          <w:numId w:val="7"/>
        </w:numPr>
        <w:jc w:val="both"/>
      </w:pPr>
      <w:r>
        <w:t>A pre-development stage where there is very little visible change at the systems level but a large amount of experime</w:t>
      </w:r>
      <w:r w:rsidR="003423D5">
        <w:t>ntation at the individual level;</w:t>
      </w:r>
    </w:p>
    <w:p w14:paraId="5035084A" w14:textId="29F2A6D4" w:rsidR="00554CE2" w:rsidRDefault="00554CE2" w:rsidP="00554CE2">
      <w:pPr>
        <w:pStyle w:val="Nummeringlijst"/>
        <w:jc w:val="both"/>
      </w:pPr>
      <w:r>
        <w:t>A take-off phases where the process of change starts to build up and the state of the system begins to shift because of different reinf</w:t>
      </w:r>
      <w:r w:rsidR="003423D5">
        <w:t>orcing innovations or surprises;</w:t>
      </w:r>
    </w:p>
    <w:p w14:paraId="1D8BCD1C" w14:textId="680F7874" w:rsidR="00554CE2" w:rsidRDefault="00554CE2" w:rsidP="00554CE2">
      <w:pPr>
        <w:pStyle w:val="Nummeringlijst"/>
        <w:jc w:val="both"/>
      </w:pPr>
      <w:r>
        <w:t>An acceleration phase in which structural changes occur in a visible way through an accumulation and implementation of socio-cultural, economic, ecolog</w:t>
      </w:r>
      <w:r w:rsidR="003423D5">
        <w:t>ical, and institutional changes;</w:t>
      </w:r>
    </w:p>
    <w:p w14:paraId="174876ED" w14:textId="77777777" w:rsidR="00554CE2" w:rsidRDefault="00554CE2" w:rsidP="00554CE2">
      <w:pPr>
        <w:pStyle w:val="Nummeringlijst"/>
        <w:jc w:val="both"/>
      </w:pPr>
      <w:r>
        <w:t xml:space="preserve">A stabilisation phase where the speed of societal change decreases and a new dynamic equilibrium is reached </w:t>
      </w:r>
      <w:sdt>
        <w:sdtPr>
          <w:id w:val="35319251"/>
          <w:citation/>
        </w:sdtPr>
        <w:sdtEndPr/>
        <w:sdtContent>
          <w:r>
            <w:fldChar w:fldCharType="begin"/>
          </w:r>
          <w:r>
            <w:instrText xml:space="preserve"> CITATION Loond \l 2057 </w:instrText>
          </w:r>
          <w:r>
            <w:fldChar w:fldCharType="separate"/>
          </w:r>
          <w:r>
            <w:t>(Loorbach &amp; Rotmans, n.d.)</w:t>
          </w:r>
          <w:r>
            <w:fldChar w:fldCharType="end"/>
          </w:r>
        </w:sdtContent>
      </w:sdt>
      <w:r>
        <w:t>.</w:t>
      </w:r>
    </w:p>
    <w:p w14:paraId="52072E13" w14:textId="77777777" w:rsidR="00554CE2" w:rsidRDefault="00554CE2" w:rsidP="00554CE2">
      <w:pPr>
        <w:pStyle w:val="Nummeringlijst"/>
        <w:numPr>
          <w:ilvl w:val="0"/>
          <w:numId w:val="0"/>
        </w:numPr>
        <w:ind w:left="924"/>
      </w:pPr>
    </w:p>
    <w:p w14:paraId="787F6FC8" w14:textId="77777777" w:rsidR="00554CE2" w:rsidRDefault="00554CE2" w:rsidP="00554CE2">
      <w:pPr>
        <w:pStyle w:val="Nummeringlijst"/>
        <w:keepNext/>
        <w:numPr>
          <w:ilvl w:val="0"/>
          <w:numId w:val="0"/>
        </w:numPr>
        <w:ind w:left="924" w:hanging="357"/>
      </w:pPr>
      <w:r>
        <w:rPr>
          <w:noProof/>
          <w:lang w:eastAsia="ko-KR" w:bidi="ar-SA"/>
        </w:rPr>
        <w:drawing>
          <wp:inline distT="0" distB="0" distL="0" distR="0" wp14:anchorId="67270CDF" wp14:editId="6025B4C8">
            <wp:extent cx="4826000" cy="2279650"/>
            <wp:effectExtent l="19050" t="0" r="0" b="0"/>
            <wp:docPr id="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srcRect/>
                    <a:stretch>
                      <a:fillRect/>
                    </a:stretch>
                  </pic:blipFill>
                  <pic:spPr bwMode="auto">
                    <a:xfrm>
                      <a:off x="0" y="0"/>
                      <a:ext cx="4826000" cy="2279650"/>
                    </a:xfrm>
                    <a:prstGeom prst="rect">
                      <a:avLst/>
                    </a:prstGeom>
                    <a:noFill/>
                    <a:ln w="9525">
                      <a:noFill/>
                      <a:miter lim="800000"/>
                      <a:headEnd/>
                      <a:tailEnd/>
                    </a:ln>
                  </pic:spPr>
                </pic:pic>
              </a:graphicData>
            </a:graphic>
          </wp:inline>
        </w:drawing>
      </w:r>
    </w:p>
    <w:p w14:paraId="4BF0468A" w14:textId="0780579C" w:rsidR="00554CE2" w:rsidRDefault="00554CE2" w:rsidP="00554CE2">
      <w:pPr>
        <w:pStyle w:val="Caption"/>
      </w:pPr>
      <w:bookmarkStart w:id="17" w:name="_Ref478549064"/>
      <w:bookmarkStart w:id="18" w:name="_Toc491071345"/>
      <w:r>
        <w:t xml:space="preserve">Figure </w:t>
      </w:r>
      <w:r>
        <w:fldChar w:fldCharType="begin"/>
      </w:r>
      <w:r>
        <w:instrText xml:space="preserve"> SEQ Figure \* ARABIC </w:instrText>
      </w:r>
      <w:r>
        <w:fldChar w:fldCharType="separate"/>
      </w:r>
      <w:r w:rsidR="00C62C0B">
        <w:rPr>
          <w:noProof/>
        </w:rPr>
        <w:t>2</w:t>
      </w:r>
      <w:r>
        <w:rPr>
          <w:noProof/>
        </w:rPr>
        <w:fldChar w:fldCharType="end"/>
      </w:r>
      <w:bookmarkEnd w:id="17"/>
      <w:r>
        <w:t xml:space="preserve"> - Different stages of a transition at different system levels (Source: Rotmans et al. 2000 cited in Loorbach and Rotmans, n.d.)</w:t>
      </w:r>
      <w:bookmarkEnd w:id="18"/>
    </w:p>
    <w:p w14:paraId="5BCEF1C6" w14:textId="77777777" w:rsidR="00554CE2" w:rsidRDefault="00554CE2" w:rsidP="00554CE2">
      <w:pPr>
        <w:ind w:left="0"/>
        <w:jc w:val="both"/>
      </w:pPr>
    </w:p>
    <w:p w14:paraId="2D1E2A5F" w14:textId="2DEB4F73" w:rsidR="00554CE2" w:rsidRDefault="00554CE2" w:rsidP="00554CE2">
      <w:pPr>
        <w:jc w:val="both"/>
      </w:pPr>
      <w:r>
        <w:t xml:space="preserve">A second concept of transitions is a three-level analytical hierarchy of ‘niche’, ‘regime’, and ‘landscape’ levels (Meadowcroft, 2009). This multi-level perspective (MLP) understands transitions as outcomes of alignments between developments over the three levels </w:t>
      </w:r>
      <w:sdt>
        <w:sdtPr>
          <w:id w:val="-254289224"/>
          <w:citation/>
        </w:sdtPr>
        <w:sdtEndPr/>
        <w:sdtContent>
          <w:r>
            <w:fldChar w:fldCharType="begin"/>
          </w:r>
          <w:r>
            <w:instrText xml:space="preserve"> CITATION Gee07 \l 2057 </w:instrText>
          </w:r>
          <w:r>
            <w:fldChar w:fldCharType="separate"/>
          </w:r>
          <w:r>
            <w:t>(Geels &amp; Schot, 2007)</w:t>
          </w:r>
          <w:r>
            <w:fldChar w:fldCharType="end"/>
          </w:r>
        </w:sdtContent>
      </w:sdt>
      <w:r>
        <w:t xml:space="preserve">. According to </w:t>
      </w:r>
      <w:r w:rsidR="00D222E0">
        <w:t>Loorbach and Rotmans (n.d.)</w:t>
      </w:r>
      <w:r>
        <w:t xml:space="preserve">, slow changes in society determine the macro-level societal landscape. At the meso-level are social norms, interests, rules and belief systems that underlie companies’, organisations’, and institutions’ strategies and political institutions’ policies. Individual actors, technologies, and local practices operate at the micro-level </w:t>
      </w:r>
      <w:sdt>
        <w:sdtPr>
          <w:id w:val="787007474"/>
          <w:citation/>
        </w:sdtPr>
        <w:sdtEndPr/>
        <w:sdtContent>
          <w:r>
            <w:fldChar w:fldCharType="begin"/>
          </w:r>
          <w:r>
            <w:instrText xml:space="preserve"> CITATION Loond \l 2057 </w:instrText>
          </w:r>
          <w:r>
            <w:fldChar w:fldCharType="separate"/>
          </w:r>
          <w:r>
            <w:t>(Loorbach &amp; Rotmans, n.d.)</w:t>
          </w:r>
          <w:r>
            <w:fldChar w:fldCharType="end"/>
          </w:r>
        </w:sdtContent>
      </w:sdt>
      <w:r>
        <w:t xml:space="preserve">. At the micro-level, ‘technological niches’ are formed and radical novelties emerge. These niches are spaces where radical new ideas are tried out and further developed, while sheltered from mainstream competition </w:t>
      </w:r>
      <w:sdt>
        <w:sdtPr>
          <w:id w:val="2022811709"/>
          <w:citation/>
        </w:sdtPr>
        <w:sdtEndPr/>
        <w:sdtContent>
          <w:r>
            <w:fldChar w:fldCharType="begin"/>
          </w:r>
          <w:r>
            <w:instrText xml:space="preserve"> CITATION Sch08 \l 2057 </w:instrText>
          </w:r>
          <w:r>
            <w:fldChar w:fldCharType="separate"/>
          </w:r>
          <w:r>
            <w:t>(Schot &amp; Geels, 2008)</w:t>
          </w:r>
          <w:r>
            <w:fldChar w:fldCharType="end"/>
          </w:r>
        </w:sdtContent>
      </w:sdt>
      <w:r>
        <w:t xml:space="preserve">. Niches can put pressure on the regime level causing it to change, and, over time (often decades), new regimes influence the socio-technical landscape, as shown in </w:t>
      </w:r>
      <w:r>
        <w:fldChar w:fldCharType="begin"/>
      </w:r>
      <w:r>
        <w:instrText xml:space="preserve"> REF _Ref478394521 \h </w:instrText>
      </w:r>
      <w:r>
        <w:fldChar w:fldCharType="separate"/>
      </w:r>
      <w:r>
        <w:t xml:space="preserve">Figure </w:t>
      </w:r>
      <w:r>
        <w:rPr>
          <w:noProof/>
        </w:rPr>
        <w:t>3</w:t>
      </w:r>
      <w:r>
        <w:fldChar w:fldCharType="end"/>
      </w:r>
      <w:r>
        <w:t xml:space="preserve">: </w:t>
      </w:r>
    </w:p>
    <w:p w14:paraId="794C587F" w14:textId="77777777" w:rsidR="00554CE2" w:rsidRDefault="00554CE2" w:rsidP="00554CE2">
      <w:pPr>
        <w:jc w:val="both"/>
      </w:pPr>
    </w:p>
    <w:p w14:paraId="00EC061D" w14:textId="77777777" w:rsidR="00554CE2" w:rsidRDefault="00554CE2" w:rsidP="00554CE2">
      <w:pPr>
        <w:jc w:val="both"/>
      </w:pPr>
    </w:p>
    <w:p w14:paraId="79B33151" w14:textId="77777777" w:rsidR="00554CE2" w:rsidRDefault="00554CE2" w:rsidP="00554CE2">
      <w:pPr>
        <w:keepNext/>
        <w:ind w:left="0"/>
        <w:jc w:val="center"/>
      </w:pPr>
      <w:r>
        <w:rPr>
          <w:noProof/>
          <w:lang w:eastAsia="ko-KR" w:bidi="ar-SA"/>
        </w:rPr>
        <w:lastRenderedPageBreak/>
        <w:drawing>
          <wp:inline distT="0" distB="0" distL="0" distR="0" wp14:anchorId="21953A78" wp14:editId="74F0D0F4">
            <wp:extent cx="4578350" cy="4140200"/>
            <wp:effectExtent l="1905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4578350" cy="4140200"/>
                    </a:xfrm>
                    <a:prstGeom prst="rect">
                      <a:avLst/>
                    </a:prstGeom>
                    <a:noFill/>
                    <a:ln w="9525">
                      <a:noFill/>
                      <a:miter lim="800000"/>
                      <a:headEnd/>
                      <a:tailEnd/>
                    </a:ln>
                  </pic:spPr>
                </pic:pic>
              </a:graphicData>
            </a:graphic>
          </wp:inline>
        </w:drawing>
      </w:r>
    </w:p>
    <w:p w14:paraId="6A77E5C3" w14:textId="709014CE" w:rsidR="00554CE2" w:rsidRDefault="00554CE2" w:rsidP="00554CE2">
      <w:pPr>
        <w:pStyle w:val="Caption"/>
        <w:jc w:val="both"/>
      </w:pPr>
      <w:bookmarkStart w:id="19" w:name="_Ref478394521"/>
      <w:bookmarkStart w:id="20" w:name="_Toc491071346"/>
      <w:r>
        <w:t xml:space="preserve">Figure </w:t>
      </w:r>
      <w:r>
        <w:fldChar w:fldCharType="begin"/>
      </w:r>
      <w:r>
        <w:instrText xml:space="preserve"> SEQ Figure \* ARABIC </w:instrText>
      </w:r>
      <w:r>
        <w:fldChar w:fldCharType="separate"/>
      </w:r>
      <w:r w:rsidR="00C62C0B">
        <w:rPr>
          <w:noProof/>
        </w:rPr>
        <w:t>3</w:t>
      </w:r>
      <w:r>
        <w:rPr>
          <w:noProof/>
        </w:rPr>
        <w:fldChar w:fldCharType="end"/>
      </w:r>
      <w:bookmarkEnd w:id="19"/>
      <w:r>
        <w:t xml:space="preserve"> - Multi-level perspective on transitions (</w:t>
      </w:r>
      <w:r w:rsidR="00360544">
        <w:t xml:space="preserve">Source: </w:t>
      </w:r>
      <w:r>
        <w:t>Geels and Schot, 2007 adapted from Geels, 2002)</w:t>
      </w:r>
      <w:bookmarkEnd w:id="20"/>
    </w:p>
    <w:p w14:paraId="14B66074" w14:textId="77777777" w:rsidR="00554CE2" w:rsidRDefault="00554CE2" w:rsidP="00554CE2">
      <w:pPr>
        <w:jc w:val="both"/>
      </w:pPr>
    </w:p>
    <w:p w14:paraId="339F0A39" w14:textId="7CD7B823" w:rsidR="00554CE2" w:rsidRDefault="00363D40" w:rsidP="00554CE2">
      <w:pPr>
        <w:jc w:val="both"/>
      </w:pPr>
      <w:r>
        <w:t>Strategic Niche Management</w:t>
      </w:r>
      <w:r w:rsidR="00554CE2">
        <w:t xml:space="preserve"> expands on the concept of niches. SNM is an approach which suggests that “sustainable innovation journeys can be facilitated by creating technological niches, i.e. protected spaces that allow nurturing and experimentation with the co-evolution of technology, user practices, and regulatory structures” </w:t>
      </w:r>
      <w:r w:rsidR="00A16C46">
        <w:t>(Schot &amp; Geels, 2008, p537)</w:t>
      </w:r>
      <w:r w:rsidR="00554CE2">
        <w:t>. Schot and Geels (2008</w:t>
      </w:r>
      <w:r w:rsidR="00C010D5">
        <w:t>, p539</w:t>
      </w:r>
      <w:r w:rsidR="00554CE2">
        <w:t>) note that techno</w:t>
      </w:r>
      <w:r w:rsidR="00C010D5">
        <w:t>logical niches are “spaces in which</w:t>
      </w:r>
      <w:r w:rsidR="00554CE2">
        <w:t xml:space="preserve"> radical novelties are tried out and developed further, while they are sheltered from mainstream competition”. Raven (2005</w:t>
      </w:r>
      <w:r w:rsidR="00FA76E1">
        <w:t>, p9</w:t>
      </w:r>
      <w:r w:rsidR="00554CE2">
        <w:t xml:space="preserve">) states that in SNM “technological niches are the breeding ground for radical innovation”. Technological niches, which can be constructed by various actors including policymakers, users, and societal groups, may also jumpstart the development of ‘market niches’ – niches in which technology design and user demands have become stabilised (Schot and Geels, 2008). SNM theory defines success in terms of transformation of a technological niche into a market niche and eventually a regime shift (Schot and Geels, 2008 p.540), as shown in </w:t>
      </w:r>
      <w:r w:rsidR="00554CE2">
        <w:fldChar w:fldCharType="begin"/>
      </w:r>
      <w:r w:rsidR="00554CE2">
        <w:instrText xml:space="preserve"> REF _Ref478549157 \h </w:instrText>
      </w:r>
      <w:r w:rsidR="00554CE2">
        <w:fldChar w:fldCharType="separate"/>
      </w:r>
      <w:r w:rsidR="00554CE2">
        <w:t xml:space="preserve">Figure </w:t>
      </w:r>
      <w:r w:rsidR="00554CE2">
        <w:rPr>
          <w:noProof/>
        </w:rPr>
        <w:t>4</w:t>
      </w:r>
      <w:r w:rsidR="00554CE2">
        <w:fldChar w:fldCharType="end"/>
      </w:r>
      <w:r w:rsidR="00554CE2">
        <w:t>:</w:t>
      </w:r>
    </w:p>
    <w:p w14:paraId="7757FC81" w14:textId="77777777" w:rsidR="00554CE2" w:rsidRDefault="00554CE2" w:rsidP="00554CE2">
      <w:pPr>
        <w:jc w:val="both"/>
      </w:pPr>
    </w:p>
    <w:p w14:paraId="057ECBDD" w14:textId="77777777" w:rsidR="00554CE2" w:rsidRDefault="00554CE2" w:rsidP="00554CE2">
      <w:pPr>
        <w:keepNext/>
        <w:jc w:val="both"/>
      </w:pPr>
      <w:r>
        <w:rPr>
          <w:noProof/>
          <w:lang w:eastAsia="ko-KR" w:bidi="ar-SA"/>
        </w:rPr>
        <w:lastRenderedPageBreak/>
        <w:drawing>
          <wp:inline distT="0" distB="0" distL="0" distR="0" wp14:anchorId="558D05CB" wp14:editId="1E241EFB">
            <wp:extent cx="4781550" cy="2000250"/>
            <wp:effectExtent l="19050" t="0" r="0" b="0"/>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a:stretch>
                      <a:fillRect/>
                    </a:stretch>
                  </pic:blipFill>
                  <pic:spPr bwMode="auto">
                    <a:xfrm>
                      <a:off x="0" y="0"/>
                      <a:ext cx="4781550" cy="2000250"/>
                    </a:xfrm>
                    <a:prstGeom prst="rect">
                      <a:avLst/>
                    </a:prstGeom>
                    <a:noFill/>
                    <a:ln w="9525">
                      <a:noFill/>
                      <a:miter lim="800000"/>
                      <a:headEnd/>
                      <a:tailEnd/>
                    </a:ln>
                  </pic:spPr>
                </pic:pic>
              </a:graphicData>
            </a:graphic>
          </wp:inline>
        </w:drawing>
      </w:r>
    </w:p>
    <w:p w14:paraId="6C5F9F72" w14:textId="2F2B4CD9" w:rsidR="00554CE2" w:rsidRDefault="00554CE2" w:rsidP="00554CE2">
      <w:pPr>
        <w:pStyle w:val="Caption"/>
        <w:jc w:val="both"/>
      </w:pPr>
      <w:bookmarkStart w:id="21" w:name="_Ref478549157"/>
      <w:bookmarkStart w:id="22" w:name="_Toc491071347"/>
      <w:r>
        <w:t xml:space="preserve">Figure </w:t>
      </w:r>
      <w:r>
        <w:fldChar w:fldCharType="begin"/>
      </w:r>
      <w:r>
        <w:instrText xml:space="preserve"> SEQ Figure \* ARABIC </w:instrText>
      </w:r>
      <w:r>
        <w:fldChar w:fldCharType="separate"/>
      </w:r>
      <w:r w:rsidR="00C62C0B">
        <w:rPr>
          <w:noProof/>
        </w:rPr>
        <w:t>4</w:t>
      </w:r>
      <w:r>
        <w:rPr>
          <w:noProof/>
        </w:rPr>
        <w:fldChar w:fldCharType="end"/>
      </w:r>
      <w:bookmarkEnd w:id="21"/>
      <w:r>
        <w:t xml:space="preserve"> - From niche dynamics to regime shift (</w:t>
      </w:r>
      <w:r w:rsidR="00360544">
        <w:t xml:space="preserve">Source: </w:t>
      </w:r>
      <w:r>
        <w:t>Schot and Geels, 2008, adapted from Weber et al. 1999)</w:t>
      </w:r>
      <w:bookmarkEnd w:id="22"/>
    </w:p>
    <w:p w14:paraId="2B74C12A" w14:textId="77777777" w:rsidR="00554CE2" w:rsidRDefault="00554CE2" w:rsidP="00554CE2">
      <w:pPr>
        <w:jc w:val="both"/>
      </w:pPr>
    </w:p>
    <w:p w14:paraId="39233FB3" w14:textId="68D7D7A0" w:rsidR="00554CE2" w:rsidRDefault="00554CE2" w:rsidP="00554CE2">
      <w:pPr>
        <w:jc w:val="both"/>
      </w:pPr>
      <w:r>
        <w:t>Ho</w:t>
      </w:r>
      <w:r w:rsidR="00FB10D5">
        <w:t>wever, a number of criticisms have been</w:t>
      </w:r>
      <w:r>
        <w:t xml:space="preserve"> laid at SNM. For example, SNM takes a technology as a starting point, and often follows a technology push approach. Technology-forcing policy can be risky; instruments such as standards may be used, but technology may not be suitably developed for it to be able to attain the measures set. Therefore, policy implementation may have to be postponed or may fail (Krozer, 2008). An alternative approach to help policymakers guide transitions along pathways which are desirable t</w:t>
      </w:r>
      <w:r w:rsidR="001C1ED6">
        <w:t>o them is Transition M</w:t>
      </w:r>
      <w:r w:rsidR="00363D40">
        <w:t>anagement</w:t>
      </w:r>
      <w:r>
        <w:t>. TM offers broad possibilities for innovation, with Kemp and Rotmans (2005</w:t>
      </w:r>
      <w:r w:rsidR="009E52C8">
        <w:t>,</w:t>
      </w:r>
      <w:r>
        <w:t xml:space="preserve"> cited in Meadowcroft, 2009, p325) describing it as “a deliberate attempt to bring about structural change in a stepwise manner”. </w:t>
      </w:r>
    </w:p>
    <w:p w14:paraId="184F8EE5" w14:textId="77777777" w:rsidR="00554CE2" w:rsidRDefault="00554CE2" w:rsidP="00554CE2">
      <w:pPr>
        <w:jc w:val="both"/>
      </w:pPr>
    </w:p>
    <w:p w14:paraId="3F29AB00" w14:textId="22D275D2" w:rsidR="00554CE2" w:rsidRPr="00A91902" w:rsidRDefault="00554CE2" w:rsidP="00554CE2">
      <w:pPr>
        <w:jc w:val="both"/>
      </w:pPr>
      <w:r>
        <w:t>Transition management, in contrast to SNM, tak</w:t>
      </w:r>
      <w:r w:rsidR="005A4965">
        <w:t xml:space="preserve">es a societal problem – in the </w:t>
      </w:r>
      <w:r>
        <w:t xml:space="preserve">case </w:t>
      </w:r>
      <w:r w:rsidR="005A4965">
        <w:t>of this research</w:t>
      </w:r>
      <w:r w:rsidR="004D24BE">
        <w:t>:</w:t>
      </w:r>
      <w:r w:rsidR="005A4965">
        <w:t xml:space="preserve"> </w:t>
      </w:r>
      <w:r>
        <w:t xml:space="preserve">climate </w:t>
      </w:r>
      <w:r w:rsidRPr="00A91902">
        <w:t xml:space="preserve">change – as a starting point. Indeed, Loorbach and Rotmans (n.d., p9) state that “transition management consists of a deliberate attempt to stimulate a transition towards a more sustainable future”, whilst Meadowcroft (2009) describes an emphasis on the transformation of established practices in critical societal subsystems. TM uses several methods in order to achieve its objective </w:t>
      </w:r>
      <w:sdt>
        <w:sdtPr>
          <w:id w:val="-1215578485"/>
          <w:citation/>
        </w:sdtPr>
        <w:sdtEndPr/>
        <w:sdtContent>
          <w:r w:rsidRPr="00A91902">
            <w:fldChar w:fldCharType="begin"/>
          </w:r>
          <w:r w:rsidRPr="00A91902">
            <w:instrText xml:space="preserve"> CITATION Loond \l 2057 </w:instrText>
          </w:r>
          <w:r w:rsidRPr="00A91902">
            <w:fldChar w:fldCharType="separate"/>
          </w:r>
          <w:r w:rsidRPr="00A91902">
            <w:t>(Loorbach &amp; Rotmans, n.d.)</w:t>
          </w:r>
          <w:r w:rsidRPr="00A91902">
            <w:fldChar w:fldCharType="end"/>
          </w:r>
        </w:sdtContent>
      </w:sdt>
      <w:r w:rsidRPr="00A91902">
        <w:t>. According to Loorbach and Rotmans (n.d.), TM starts from a macro-vision of sustainability, building upon bottom-up (micro) initiatives, while in the meantime influencing the meso-regime. Meadowcroft (2009, p326) sees networks of actors coming together and developing practical activities and interactive processes to facilitate sustainable development, and emphasises the linking of technological and social innovation because “both sorts of change are necessary if society is to move on to a more sustainable pathway”.</w:t>
      </w:r>
    </w:p>
    <w:p w14:paraId="3C92079A" w14:textId="77777777" w:rsidR="00554CE2" w:rsidRDefault="00554CE2" w:rsidP="00554CE2">
      <w:pPr>
        <w:jc w:val="both"/>
      </w:pPr>
    </w:p>
    <w:p w14:paraId="493A684D" w14:textId="57FB03C5" w:rsidR="00554CE2" w:rsidRDefault="00554CE2" w:rsidP="00554CE2">
      <w:pPr>
        <w:jc w:val="both"/>
      </w:pPr>
      <w:r>
        <w:t xml:space="preserve">Rotmans, et al. (2001, </w:t>
      </w:r>
      <w:r w:rsidR="001C0F33" w:rsidRPr="001C0F33">
        <w:t>p22</w:t>
      </w:r>
      <w:r>
        <w:t xml:space="preserve">) summarise TM in terms of the following characteristics: </w:t>
      </w:r>
    </w:p>
    <w:p w14:paraId="60C02524" w14:textId="77777777" w:rsidR="00554CE2" w:rsidRDefault="00554CE2" w:rsidP="00554CE2">
      <w:pPr>
        <w:jc w:val="both"/>
      </w:pPr>
    </w:p>
    <w:p w14:paraId="465DC7BF" w14:textId="07C4703F" w:rsidR="00554CE2" w:rsidRDefault="00554CE2" w:rsidP="00F85B88">
      <w:pPr>
        <w:pStyle w:val="Opsomming1"/>
        <w:numPr>
          <w:ilvl w:val="0"/>
          <w:numId w:val="6"/>
        </w:numPr>
      </w:pPr>
      <w:r>
        <w:t>Long-term thinking (at least 25 years) as framework for shaping short-term policy</w:t>
      </w:r>
      <w:r w:rsidR="003423D5">
        <w:t>;</w:t>
      </w:r>
    </w:p>
    <w:p w14:paraId="16C4B2EC" w14:textId="106F5A45" w:rsidR="00554CE2" w:rsidRDefault="00554CE2" w:rsidP="00F85B88">
      <w:pPr>
        <w:pStyle w:val="Opsomming1"/>
        <w:numPr>
          <w:ilvl w:val="0"/>
          <w:numId w:val="6"/>
        </w:numPr>
        <w:jc w:val="both"/>
      </w:pPr>
      <w:r>
        <w:t>Thinking in terms of more than one domain (multi-domain) and different actors (multi-actor) at different scale levels (multi-level)</w:t>
      </w:r>
      <w:r w:rsidR="003423D5">
        <w:t>;</w:t>
      </w:r>
    </w:p>
    <w:p w14:paraId="1310B49F" w14:textId="11194F43" w:rsidR="00554CE2" w:rsidRDefault="00554CE2" w:rsidP="00F85B88">
      <w:pPr>
        <w:pStyle w:val="Opsomming1"/>
        <w:numPr>
          <w:ilvl w:val="0"/>
          <w:numId w:val="6"/>
        </w:numPr>
        <w:jc w:val="both"/>
      </w:pPr>
      <w:r>
        <w:t>A focus on learning and a special learning philosophy (learning-</w:t>
      </w:r>
      <w:r w:rsidR="003423D5">
        <w:t>by-doing and doing-by learning);</w:t>
      </w:r>
    </w:p>
    <w:p w14:paraId="02EDE3AC" w14:textId="3D45E767" w:rsidR="00554CE2" w:rsidRDefault="00554CE2" w:rsidP="00F85B88">
      <w:pPr>
        <w:pStyle w:val="Opsomming1"/>
        <w:numPr>
          <w:ilvl w:val="0"/>
          <w:numId w:val="6"/>
        </w:numPr>
      </w:pPr>
      <w:r>
        <w:t>Trying to bring about system innovation alongside system improvement</w:t>
      </w:r>
      <w:r w:rsidR="003423D5">
        <w:t>;</w:t>
      </w:r>
    </w:p>
    <w:p w14:paraId="7B4401E4" w14:textId="77777777" w:rsidR="00554CE2" w:rsidRDefault="00554CE2" w:rsidP="00F85B88">
      <w:pPr>
        <w:pStyle w:val="Opsomming1"/>
        <w:numPr>
          <w:ilvl w:val="0"/>
          <w:numId w:val="6"/>
        </w:numPr>
      </w:pPr>
      <w:r>
        <w:t>Keeping a large number of options open (wide playing field).</w:t>
      </w:r>
    </w:p>
    <w:p w14:paraId="7B0981CF" w14:textId="77777777" w:rsidR="00554CE2" w:rsidRDefault="00554CE2" w:rsidP="00554CE2">
      <w:pPr>
        <w:jc w:val="both"/>
      </w:pPr>
    </w:p>
    <w:p w14:paraId="36C5EE64" w14:textId="77777777" w:rsidR="00554CE2" w:rsidRDefault="00554CE2" w:rsidP="00554CE2">
      <w:pPr>
        <w:jc w:val="both"/>
      </w:pPr>
      <w:r>
        <w:t xml:space="preserve">Rotmans, et al. (2001) continue to state that TM places policy in a longer-term perspective (within a time frame of 50-100 years) as opposed to current policy which aims for quick results (within a time frame of five to ten years). TM recognises that achieving quick results will not be effective in the long-term when dealing with complex social problems such as climate change. TM aims for both system optimization and system innovation, and recognises that a transition can be brought about by the gradual transformation of an existing system, instead of through the planned creation of a new system </w:t>
      </w:r>
      <w:sdt>
        <w:sdtPr>
          <w:id w:val="1211309299"/>
          <w:citation/>
        </w:sdtPr>
        <w:sdtEndPr/>
        <w:sdtContent>
          <w:r>
            <w:fldChar w:fldCharType="begin"/>
          </w:r>
          <w:r>
            <w:instrText xml:space="preserve"> CITATION Rot01 \l 2057 </w:instrText>
          </w:r>
          <w:r>
            <w:fldChar w:fldCharType="separate"/>
          </w:r>
          <w:r>
            <w:t>(Rotmans, et al., 2001)</w:t>
          </w:r>
          <w:r>
            <w:fldChar w:fldCharType="end"/>
          </w:r>
        </w:sdtContent>
      </w:sdt>
      <w:r>
        <w:t xml:space="preserve">. </w:t>
      </w:r>
    </w:p>
    <w:p w14:paraId="62574679" w14:textId="77777777" w:rsidR="00554CE2" w:rsidRDefault="00554CE2" w:rsidP="00554CE2">
      <w:pPr>
        <w:jc w:val="both"/>
      </w:pPr>
    </w:p>
    <w:p w14:paraId="4937691F" w14:textId="77777777" w:rsidR="00554CE2" w:rsidRDefault="00554CE2" w:rsidP="00554CE2">
      <w:pPr>
        <w:jc w:val="both"/>
      </w:pPr>
    </w:p>
    <w:p w14:paraId="6DC8A9F1" w14:textId="77777777" w:rsidR="00554CE2" w:rsidRDefault="00554CE2" w:rsidP="00554CE2">
      <w:pPr>
        <w:keepNext/>
        <w:jc w:val="both"/>
      </w:pPr>
      <w:r>
        <w:rPr>
          <w:noProof/>
          <w:lang w:eastAsia="ko-KR" w:bidi="ar-SA"/>
        </w:rPr>
        <w:drawing>
          <wp:inline distT="0" distB="0" distL="0" distR="0" wp14:anchorId="6AC53BAD" wp14:editId="2B8F5A67">
            <wp:extent cx="4781550" cy="2000250"/>
            <wp:effectExtent l="19050" t="0" r="0" b="0"/>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a:stretch>
                      <a:fillRect/>
                    </a:stretch>
                  </pic:blipFill>
                  <pic:spPr bwMode="auto">
                    <a:xfrm>
                      <a:off x="0" y="0"/>
                      <a:ext cx="4781550" cy="2000250"/>
                    </a:xfrm>
                    <a:prstGeom prst="rect">
                      <a:avLst/>
                    </a:prstGeom>
                    <a:noFill/>
                    <a:ln w="9525">
                      <a:noFill/>
                      <a:miter lim="800000"/>
                      <a:headEnd/>
                      <a:tailEnd/>
                    </a:ln>
                  </pic:spPr>
                </pic:pic>
              </a:graphicData>
            </a:graphic>
          </wp:inline>
        </w:drawing>
      </w:r>
    </w:p>
    <w:p w14:paraId="462C8108" w14:textId="2093CCEF" w:rsidR="00554CE2" w:rsidRDefault="00554CE2" w:rsidP="00554CE2">
      <w:pPr>
        <w:pStyle w:val="Caption"/>
        <w:jc w:val="both"/>
      </w:pPr>
      <w:bookmarkStart w:id="23" w:name="_Toc491071348"/>
      <w:r>
        <w:t xml:space="preserve">Figure </w:t>
      </w:r>
      <w:r>
        <w:fldChar w:fldCharType="begin"/>
      </w:r>
      <w:r>
        <w:instrText xml:space="preserve"> SEQ Figure \* ARABIC </w:instrText>
      </w:r>
      <w:r>
        <w:fldChar w:fldCharType="separate"/>
      </w:r>
      <w:r w:rsidR="00C62C0B">
        <w:rPr>
          <w:noProof/>
        </w:rPr>
        <w:t>5</w:t>
      </w:r>
      <w:r>
        <w:rPr>
          <w:noProof/>
        </w:rPr>
        <w:fldChar w:fldCharType="end"/>
      </w:r>
      <w:r>
        <w:t xml:space="preserve"> - Current policy processes versus transition management processes (Source: Loorbach and Rotmans, n.d.)</w:t>
      </w:r>
      <w:bookmarkEnd w:id="23"/>
    </w:p>
    <w:p w14:paraId="345EDAC3" w14:textId="77777777" w:rsidR="00554CE2" w:rsidRDefault="00554CE2" w:rsidP="00554CE2">
      <w:pPr>
        <w:jc w:val="both"/>
      </w:pPr>
    </w:p>
    <w:p w14:paraId="35FB2FED" w14:textId="7BDAA5E2" w:rsidR="00554CE2" w:rsidRDefault="00554CE2" w:rsidP="00554CE2">
      <w:pPr>
        <w:jc w:val="both"/>
        <w:rPr>
          <w:noProof/>
        </w:rPr>
      </w:pPr>
      <w:r>
        <w:rPr>
          <w:noProof/>
        </w:rPr>
        <w:t xml:space="preserve">Rotmans and Loorbach (2009) see the first stage of transition management as the stimulation of niche development at the micro level, and the attempt to interconnect niches with the same direction. This can be done by establishing and organising a transition arena – a quasi-protected area for frontrunners (niche players and change-incline regime layers). </w:t>
      </w:r>
      <w:r>
        <w:t xml:space="preserve">Furthermore, according to Rotmans, et al. (2001), governments have an important role to play. They can act as either facilitator, stimulator, controller, or director (depending on stage of the transition), and have a guiding role, particularly when an enterprise has been removed from state control. They can introduce measures to ensure a real market is created, and can help make the market more attractive to newcomers. They can create the right conditions for market processes through tax policies and can create and manage niches. </w:t>
      </w:r>
      <w:r>
        <w:rPr>
          <w:noProof/>
        </w:rPr>
        <w:t xml:space="preserve">Meadowcroft (2009), , states that TM is closely associated with policy instruments such as sector-based collective visioning exercises, or collaborative and experiment projects, but traditional policy tools such as regulation, planning, and tax-based instruments remain an essential instruments for governance of sustainable development. Indeed, there are a number of tools </w:t>
      </w:r>
      <w:r>
        <w:t>available to policymakers which are discussed in the following section.</w:t>
      </w:r>
      <w:r>
        <w:rPr>
          <w:noProof/>
        </w:rPr>
        <w:t xml:space="preserve">  </w:t>
      </w:r>
    </w:p>
    <w:p w14:paraId="006A5CB6" w14:textId="77777777" w:rsidR="00554CE2" w:rsidRDefault="00554CE2" w:rsidP="00554CE2">
      <w:pPr>
        <w:jc w:val="both"/>
      </w:pPr>
    </w:p>
    <w:p w14:paraId="0B735BC8" w14:textId="77777777" w:rsidR="00554CE2" w:rsidRPr="007E5F9F" w:rsidRDefault="00554CE2" w:rsidP="00671B0F">
      <w:pPr>
        <w:pStyle w:val="Heading2"/>
        <w:numPr>
          <w:ilvl w:val="1"/>
          <w:numId w:val="5"/>
        </w:numPr>
      </w:pPr>
      <w:bookmarkStart w:id="24" w:name="_Ref478047891"/>
      <w:bookmarkStart w:id="25" w:name="_Toc490566973"/>
      <w:r w:rsidRPr="007E5F9F">
        <w:t>Instrument Choice Theory</w:t>
      </w:r>
      <w:bookmarkEnd w:id="24"/>
      <w:bookmarkEnd w:id="25"/>
    </w:p>
    <w:p w14:paraId="6394BAD5" w14:textId="77777777" w:rsidR="00554CE2" w:rsidRDefault="00554CE2" w:rsidP="00554CE2">
      <w:pPr>
        <w:jc w:val="both"/>
      </w:pPr>
      <w:r>
        <w:t xml:space="preserve">According to Howlett, et al. (2009), when policymakers are exploring policy options, they consider not only what to do but also how to do it. To this end, policymakers utilise a variety of tools – known as policy instruments – when implementing policies. In the context of international environmental regulation, these instruments provide incentives for actors (such as producers, </w:t>
      </w:r>
      <w:r>
        <w:lastRenderedPageBreak/>
        <w:t xml:space="preserve">resource users, developers, and consumers) who cause or contribute to pollution, environmental degradation, and ecosystem stress to change their behaviour in more environmentally protective ways </w:t>
      </w:r>
      <w:sdt>
        <w:sdtPr>
          <w:id w:val="-1613584879"/>
          <w:citation/>
        </w:sdtPr>
        <w:sdtEndPr/>
        <w:sdtContent>
          <w:r>
            <w:fldChar w:fldCharType="begin"/>
          </w:r>
          <w:r>
            <w:instrText xml:space="preserve"> CITATION Ste08 \l 2057 </w:instrText>
          </w:r>
          <w:r>
            <w:fldChar w:fldCharType="separate"/>
          </w:r>
          <w:r>
            <w:t>(Stewart, 2008)</w:t>
          </w:r>
          <w:r>
            <w:fldChar w:fldCharType="end"/>
          </w:r>
        </w:sdtContent>
      </w:sdt>
      <w:r>
        <w:t xml:space="preserve">. There is a wide body of literature discussing the variety of instruments available, with a number of ways of classifying them </w:t>
      </w:r>
      <w:sdt>
        <w:sdtPr>
          <w:id w:val="-2073651786"/>
          <w:citation/>
        </w:sdtPr>
        <w:sdtEndPr/>
        <w:sdtContent>
          <w:r>
            <w:fldChar w:fldCharType="begin"/>
          </w:r>
          <w:r>
            <w:instrText xml:space="preserve"> CITATION How09 \l 2057 </w:instrText>
          </w:r>
          <w:r>
            <w:fldChar w:fldCharType="separate"/>
          </w:r>
          <w:r>
            <w:t>(Howlett, et al., 2009)</w:t>
          </w:r>
          <w:r>
            <w:fldChar w:fldCharType="end"/>
          </w:r>
        </w:sdtContent>
      </w:sdt>
      <w:r>
        <w:rPr>
          <w:rStyle w:val="FootnoteReference"/>
        </w:rPr>
        <w:footnoteReference w:id="2"/>
      </w:r>
      <w:r>
        <w:t xml:space="preserve">. This section will identify and discuss a variety of instruments available to policymakers, and describe several different methods of classification. </w:t>
      </w:r>
    </w:p>
    <w:p w14:paraId="5BD0650A" w14:textId="77777777" w:rsidR="00554CE2" w:rsidRDefault="00554CE2" w:rsidP="00554CE2">
      <w:pPr>
        <w:jc w:val="both"/>
        <w:rPr>
          <w:color w:val="FF0000"/>
        </w:rPr>
      </w:pPr>
    </w:p>
    <w:p w14:paraId="64C1291E" w14:textId="77777777" w:rsidR="00554CE2" w:rsidRDefault="00554CE2" w:rsidP="00554CE2">
      <w:pPr>
        <w:jc w:val="both"/>
      </w:pPr>
      <w:r>
        <w:t>Hepburn (2006) explains that the role of a policy instrument is to achieve a particular target which should be carefully designed to meet a sensible overarching policy objective. If the target is ill-defined then the selection of the correct instrument will be pointless. However, he states that “once objectives are agreed and suitable targets adopted, policymakers can employ command-and-control regulation, and/or economic instruments, and choose between fixing a price or a quantity</w:t>
      </w:r>
      <w:r w:rsidRPr="006012F0">
        <w:t>” (Hepburn, 2006, p.226). He</w:t>
      </w:r>
      <w:r>
        <w:t xml:space="preserve"> sees two main forms of instrument, based on price or quantity respectively: </w:t>
      </w:r>
    </w:p>
    <w:p w14:paraId="615340BC" w14:textId="77777777" w:rsidR="00554CE2" w:rsidRDefault="00554CE2" w:rsidP="00554CE2">
      <w:pPr>
        <w:jc w:val="both"/>
      </w:pPr>
    </w:p>
    <w:p w14:paraId="51E74828" w14:textId="77777777" w:rsidR="00554CE2" w:rsidRDefault="00554CE2" w:rsidP="00F85B88">
      <w:pPr>
        <w:pStyle w:val="Opsomming1"/>
        <w:numPr>
          <w:ilvl w:val="0"/>
          <w:numId w:val="6"/>
        </w:numPr>
        <w:jc w:val="both"/>
      </w:pPr>
      <w:r>
        <w:t>Economic instruments which provide explicit price signals to regulate firms and individuals (for example, through taxes or subsidies);</w:t>
      </w:r>
    </w:p>
    <w:p w14:paraId="30C81AE5" w14:textId="77777777" w:rsidR="00554CE2" w:rsidRDefault="00554CE2" w:rsidP="00F85B88">
      <w:pPr>
        <w:pStyle w:val="Opsomming1"/>
        <w:numPr>
          <w:ilvl w:val="0"/>
          <w:numId w:val="6"/>
        </w:numPr>
        <w:jc w:val="both"/>
      </w:pPr>
      <w:r>
        <w:t xml:space="preserve">Command-and-control instruments which regulate by quantities (for example, through quotas or targets) (Hepburn, 2006). </w:t>
      </w:r>
    </w:p>
    <w:p w14:paraId="07BCA068" w14:textId="77777777" w:rsidR="00554CE2" w:rsidRDefault="00554CE2" w:rsidP="00554CE2">
      <w:pPr>
        <w:pStyle w:val="Opsomming1"/>
        <w:numPr>
          <w:ilvl w:val="0"/>
          <w:numId w:val="0"/>
        </w:numPr>
        <w:ind w:left="927"/>
      </w:pPr>
    </w:p>
    <w:p w14:paraId="6A6267C2" w14:textId="7A5C5FD5" w:rsidR="00554CE2" w:rsidRDefault="00554CE2" w:rsidP="00554CE2">
      <w:pPr>
        <w:pStyle w:val="Opsomming1"/>
        <w:numPr>
          <w:ilvl w:val="0"/>
          <w:numId w:val="0"/>
        </w:numPr>
        <w:ind w:left="567"/>
        <w:jc w:val="both"/>
      </w:pPr>
      <w:r>
        <w:t xml:space="preserve">Indeed, in the context of environmental policy, many authors suggest that command-and-control and economic instruments are </w:t>
      </w:r>
      <w:r w:rsidR="009C2BBB">
        <w:t xml:space="preserve">the </w:t>
      </w:r>
      <w:r>
        <w:t xml:space="preserve">most important and </w:t>
      </w:r>
      <w:r w:rsidR="00FE15F7">
        <w:t xml:space="preserve">most </w:t>
      </w:r>
      <w:r>
        <w:t xml:space="preserve">widely-used: Meckling and Jenner (2016) state that in both Europe and the US, regulators have used a variety of environmental policy based on either price or quantity instruments; Krozer (2008) states that in relation to emissions reduction the basic choice for policymakers is between command-and-control and economic instruments; the World Economic Outlook (WEO) report (2014, cited in Verdolini &amp; Bosetti, 2017) groups the environmental policy instruments that governments use to support cleaner technologies under the banner of either economic or command-and-control. </w:t>
      </w:r>
    </w:p>
    <w:p w14:paraId="5C335D3C" w14:textId="77777777" w:rsidR="00554CE2" w:rsidRDefault="00554CE2" w:rsidP="00554CE2">
      <w:pPr>
        <w:pStyle w:val="Opsomming1"/>
        <w:numPr>
          <w:ilvl w:val="0"/>
          <w:numId w:val="0"/>
        </w:numPr>
      </w:pPr>
    </w:p>
    <w:p w14:paraId="398CA5E2" w14:textId="3F1D0700" w:rsidR="00554CE2" w:rsidRDefault="00554CE2" w:rsidP="00554CE2">
      <w:pPr>
        <w:pStyle w:val="Opsomming1"/>
        <w:numPr>
          <w:ilvl w:val="0"/>
          <w:numId w:val="0"/>
        </w:numPr>
        <w:ind w:left="567"/>
        <w:jc w:val="both"/>
      </w:pPr>
      <w:r>
        <w:t xml:space="preserve">However, other authors identify additional ways of classification. For example, </w:t>
      </w:r>
      <w:r>
        <w:rPr>
          <w:noProof/>
        </w:rPr>
        <w:t>Huber,</w:t>
      </w:r>
      <w:r w:rsidR="009E52C8">
        <w:rPr>
          <w:noProof/>
        </w:rPr>
        <w:t xml:space="preserve"> et al.  </w:t>
      </w:r>
      <w:r>
        <w:rPr>
          <w:noProof/>
        </w:rPr>
        <w:t>(1998)</w:t>
      </w:r>
      <w:r>
        <w:t xml:space="preserve"> acknowledge a difference between certain</w:t>
      </w:r>
      <w:r w:rsidR="00375A79">
        <w:t>, individual</w:t>
      </w:r>
      <w:r>
        <w:t xml:space="preserve"> economic instruments, highlighting those which </w:t>
      </w:r>
      <w:r>
        <w:rPr>
          <w:i/>
          <w:iCs/>
        </w:rPr>
        <w:t>use</w:t>
      </w:r>
      <w:r>
        <w:t xml:space="preserve"> the market (for example taxes or subsidies), and those which </w:t>
      </w:r>
      <w:r>
        <w:rPr>
          <w:i/>
          <w:iCs/>
        </w:rPr>
        <w:t>create</w:t>
      </w:r>
      <w:r>
        <w:t xml:space="preserve"> markets (for example, tradeable permits or property rights). Furthermore, Stewart (2008) describes the category of information-based approaches, which provide incentives for actors to modify their behaviour but which allow them flexibility in doing so. Blok (2007) describes this approach as a ‘communication mechanism’, which assumes that people will change their behaviour when they are better informed. However, he notes that the effect of such instruments is often limited. Hood (1986, cited in Howlett, et al., 2009) uses the term ‘nodality’ to describe these approaches, with instruments including: public information campaigns, exhortation, benchmarking and performance indicators, and commissions and inquiries. In addition, Hood (1986, cited in Howlett, et al., 2009) also identifies a number of organisation-based policy instruments which make use of the formal organisations available to the particular government utilising them. Instruments in this category include: </w:t>
      </w:r>
    </w:p>
    <w:p w14:paraId="63C495D5" w14:textId="77777777" w:rsidR="00554CE2" w:rsidRDefault="00554CE2" w:rsidP="00554CE2">
      <w:pPr>
        <w:pStyle w:val="Opsomming1"/>
        <w:numPr>
          <w:ilvl w:val="0"/>
          <w:numId w:val="0"/>
        </w:numPr>
        <w:ind w:left="567"/>
        <w:jc w:val="both"/>
      </w:pPr>
    </w:p>
    <w:p w14:paraId="07B4F834" w14:textId="77777777" w:rsidR="00554CE2" w:rsidRDefault="00554CE2" w:rsidP="00F85B88">
      <w:pPr>
        <w:pStyle w:val="Opsomming1"/>
        <w:numPr>
          <w:ilvl w:val="0"/>
          <w:numId w:val="6"/>
        </w:numPr>
        <w:ind w:left="567" w:firstLine="0"/>
        <w:jc w:val="both"/>
      </w:pPr>
      <w:r>
        <w:lastRenderedPageBreak/>
        <w:t>Direct provision of goods and services directly through government employees, funded from the public treasury;</w:t>
      </w:r>
    </w:p>
    <w:p w14:paraId="44A2A4FA" w14:textId="77777777" w:rsidR="00554CE2" w:rsidRDefault="00554CE2" w:rsidP="00F85B88">
      <w:pPr>
        <w:pStyle w:val="Opsomming1"/>
        <w:numPr>
          <w:ilvl w:val="0"/>
          <w:numId w:val="6"/>
        </w:numPr>
        <w:ind w:left="567" w:firstLine="0"/>
        <w:jc w:val="both"/>
      </w:pPr>
      <w:r>
        <w:t>Public (or state-owned) enterprises totally or partially owned by the state but with a degree of autonomy from the state;</w:t>
      </w:r>
    </w:p>
    <w:p w14:paraId="2E9FEC9A" w14:textId="77777777" w:rsidR="00554CE2" w:rsidRDefault="00554CE2" w:rsidP="00F85B88">
      <w:pPr>
        <w:pStyle w:val="Opsomming1"/>
        <w:numPr>
          <w:ilvl w:val="0"/>
          <w:numId w:val="6"/>
        </w:numPr>
        <w:ind w:left="567" w:firstLine="0"/>
        <w:jc w:val="both"/>
      </w:pPr>
      <w:r>
        <w:t>Quangos (quasi-autonomous non-government organisations) which act as quasi-independent, self-organising actors;</w:t>
      </w:r>
    </w:p>
    <w:p w14:paraId="4844AB5C" w14:textId="77777777" w:rsidR="00554CE2" w:rsidRDefault="00554CE2" w:rsidP="00F85B88">
      <w:pPr>
        <w:pStyle w:val="Opsomming1"/>
        <w:numPr>
          <w:ilvl w:val="0"/>
          <w:numId w:val="6"/>
        </w:numPr>
        <w:ind w:left="567" w:firstLine="0"/>
        <w:jc w:val="both"/>
      </w:pPr>
      <w:r>
        <w:t>Public-private partnerships (PPPs);</w:t>
      </w:r>
    </w:p>
    <w:p w14:paraId="0D6EB2FB" w14:textId="77777777" w:rsidR="00554CE2" w:rsidRDefault="00554CE2" w:rsidP="00F85B88">
      <w:pPr>
        <w:pStyle w:val="Opsomming1"/>
        <w:numPr>
          <w:ilvl w:val="0"/>
          <w:numId w:val="6"/>
        </w:numPr>
        <w:ind w:left="567" w:firstLine="0"/>
        <w:jc w:val="both"/>
      </w:pPr>
      <w:r>
        <w:t>Family, community, and voluntary organisations;</w:t>
      </w:r>
    </w:p>
    <w:p w14:paraId="6AD4F064" w14:textId="38CC3846" w:rsidR="00554CE2" w:rsidRDefault="003423D5" w:rsidP="00F85B88">
      <w:pPr>
        <w:pStyle w:val="Opsomming1"/>
        <w:numPr>
          <w:ilvl w:val="0"/>
          <w:numId w:val="6"/>
        </w:numPr>
        <w:ind w:left="567" w:firstLine="0"/>
        <w:jc w:val="both"/>
      </w:pPr>
      <w:r>
        <w:t xml:space="preserve">Market creation; </w:t>
      </w:r>
    </w:p>
    <w:p w14:paraId="061728CA" w14:textId="77777777" w:rsidR="00554CE2" w:rsidRDefault="00554CE2" w:rsidP="00F85B88">
      <w:pPr>
        <w:pStyle w:val="Opsomming1"/>
        <w:numPr>
          <w:ilvl w:val="0"/>
          <w:numId w:val="6"/>
        </w:numPr>
        <w:ind w:left="567" w:firstLine="0"/>
        <w:jc w:val="both"/>
      </w:pPr>
      <w:r>
        <w:t xml:space="preserve">Government (re)organisations through the creation of new agencies or at the reconfiguration of old ones </w:t>
      </w:r>
      <w:sdt>
        <w:sdtPr>
          <w:id w:val="-1913005313"/>
          <w:citation/>
        </w:sdtPr>
        <w:sdtEndPr/>
        <w:sdtContent>
          <w:r>
            <w:fldChar w:fldCharType="begin"/>
          </w:r>
          <w:r>
            <w:instrText xml:space="preserve"> CITATION How09 \l 2057 </w:instrText>
          </w:r>
          <w:r>
            <w:fldChar w:fldCharType="separate"/>
          </w:r>
          <w:r>
            <w:rPr>
              <w:noProof/>
            </w:rPr>
            <w:t>(Howlett, et al., 2009)</w:t>
          </w:r>
          <w:r>
            <w:rPr>
              <w:noProof/>
            </w:rPr>
            <w:fldChar w:fldCharType="end"/>
          </w:r>
        </w:sdtContent>
      </w:sdt>
      <w:r>
        <w:t>.</w:t>
      </w:r>
    </w:p>
    <w:p w14:paraId="4184759F" w14:textId="77777777" w:rsidR="00554CE2" w:rsidRDefault="00554CE2" w:rsidP="00554CE2">
      <w:pPr>
        <w:pStyle w:val="Opsomming1"/>
        <w:numPr>
          <w:ilvl w:val="0"/>
          <w:numId w:val="0"/>
        </w:numPr>
        <w:ind w:left="927" w:hanging="360"/>
        <w:jc w:val="both"/>
      </w:pPr>
    </w:p>
    <w:p w14:paraId="11A11CFF" w14:textId="6FF7E851" w:rsidR="00554CE2" w:rsidRDefault="00554CE2" w:rsidP="00554CE2">
      <w:pPr>
        <w:pStyle w:val="Opsomming1"/>
        <w:numPr>
          <w:ilvl w:val="0"/>
          <w:numId w:val="0"/>
        </w:numPr>
        <w:ind w:left="567"/>
        <w:jc w:val="both"/>
      </w:pPr>
      <w:r>
        <w:t>As this section has shown, there are a wide variety of policy instruments available for governments, of which certain instruments may be more useful for policymakers in the context of environmental regulation. Indeed, within the area of energy</w:t>
      </w:r>
      <w:r w:rsidR="00082C4A">
        <w:t>,</w:t>
      </w:r>
      <w:r>
        <w:t xml:space="preserve"> Blok (2007) identifies instruments which can be considered to improve energy efficiency, and therefore may be more relevant to the research undertaken for this thesis:</w:t>
      </w:r>
    </w:p>
    <w:p w14:paraId="7D2FDAB2" w14:textId="77777777" w:rsidR="00786AD4" w:rsidRDefault="00786AD4" w:rsidP="00554CE2">
      <w:pPr>
        <w:pStyle w:val="Opsomming1"/>
        <w:numPr>
          <w:ilvl w:val="0"/>
          <w:numId w:val="0"/>
        </w:numPr>
        <w:ind w:left="567"/>
        <w:jc w:val="both"/>
      </w:pPr>
    </w:p>
    <w:p w14:paraId="390CA17C" w14:textId="6DE42B30" w:rsidR="00554CE2" w:rsidRDefault="00554CE2" w:rsidP="00F85B88">
      <w:pPr>
        <w:pStyle w:val="Opsomming1"/>
        <w:numPr>
          <w:ilvl w:val="0"/>
          <w:numId w:val="6"/>
        </w:numPr>
      </w:pPr>
      <w:r>
        <w:t>Energy or carbon taxation</w:t>
      </w:r>
      <w:r w:rsidR="003423D5">
        <w:t>;</w:t>
      </w:r>
    </w:p>
    <w:p w14:paraId="349BD51C" w14:textId="073680EA" w:rsidR="00554CE2" w:rsidRDefault="00554CE2" w:rsidP="00F85B88">
      <w:pPr>
        <w:pStyle w:val="Opsomming1"/>
        <w:numPr>
          <w:ilvl w:val="0"/>
          <w:numId w:val="6"/>
        </w:numPr>
      </w:pPr>
      <w:r>
        <w:t>Investment subsidies or fiscal incentives</w:t>
      </w:r>
      <w:r w:rsidR="003423D5">
        <w:t>;</w:t>
      </w:r>
    </w:p>
    <w:p w14:paraId="594B5C73" w14:textId="137ECB5B" w:rsidR="00554CE2" w:rsidRDefault="00554CE2" w:rsidP="00F85B88">
      <w:pPr>
        <w:pStyle w:val="Opsomming1"/>
        <w:numPr>
          <w:ilvl w:val="0"/>
          <w:numId w:val="6"/>
        </w:numPr>
      </w:pPr>
      <w:r>
        <w:t>Emission trading</w:t>
      </w:r>
      <w:r w:rsidR="003423D5">
        <w:t>;</w:t>
      </w:r>
    </w:p>
    <w:p w14:paraId="3B269A58" w14:textId="084DC101" w:rsidR="00554CE2" w:rsidRDefault="00554CE2" w:rsidP="00F85B88">
      <w:pPr>
        <w:pStyle w:val="Opsomming1"/>
        <w:numPr>
          <w:ilvl w:val="0"/>
          <w:numId w:val="6"/>
        </w:numPr>
      </w:pPr>
      <w:r>
        <w:t>Energy efficiency standards</w:t>
      </w:r>
      <w:r w:rsidR="003423D5">
        <w:t>;</w:t>
      </w:r>
    </w:p>
    <w:p w14:paraId="52FBF164" w14:textId="5B76E412" w:rsidR="00554CE2" w:rsidRDefault="00554CE2" w:rsidP="00F85B88">
      <w:pPr>
        <w:pStyle w:val="Opsomming1"/>
        <w:numPr>
          <w:ilvl w:val="0"/>
          <w:numId w:val="6"/>
        </w:numPr>
      </w:pPr>
      <w:r>
        <w:t>Negotiated agreements</w:t>
      </w:r>
      <w:r w:rsidR="003423D5">
        <w:t>;</w:t>
      </w:r>
    </w:p>
    <w:p w14:paraId="266877D9" w14:textId="77FCDD08" w:rsidR="00554CE2" w:rsidRDefault="00554CE2" w:rsidP="00F85B88">
      <w:pPr>
        <w:pStyle w:val="Opsomming1"/>
        <w:numPr>
          <w:ilvl w:val="0"/>
          <w:numId w:val="6"/>
        </w:numPr>
      </w:pPr>
      <w:r>
        <w:t>Energy efficiency labelling</w:t>
      </w:r>
      <w:r w:rsidR="003423D5">
        <w:t>;</w:t>
      </w:r>
    </w:p>
    <w:p w14:paraId="10CA969A" w14:textId="0381600C" w:rsidR="00554CE2" w:rsidRDefault="00C230AC" w:rsidP="00F85B88">
      <w:pPr>
        <w:pStyle w:val="Opsomming1"/>
        <w:numPr>
          <w:ilvl w:val="0"/>
          <w:numId w:val="6"/>
        </w:numPr>
      </w:pPr>
      <w:r>
        <w:t>Research and Development (R&amp;D)</w:t>
      </w:r>
      <w:r w:rsidR="00554CE2">
        <w:t xml:space="preserve"> subsidies</w:t>
      </w:r>
      <w:r w:rsidR="003423D5">
        <w:t>.</w:t>
      </w:r>
    </w:p>
    <w:p w14:paraId="47005275" w14:textId="77777777" w:rsidR="00554CE2" w:rsidRDefault="00554CE2" w:rsidP="00554CE2">
      <w:pPr>
        <w:pStyle w:val="Opsomming1"/>
        <w:numPr>
          <w:ilvl w:val="0"/>
          <w:numId w:val="0"/>
        </w:numPr>
        <w:ind w:left="567"/>
      </w:pPr>
    </w:p>
    <w:p w14:paraId="72683B67" w14:textId="1C7A0B4C" w:rsidR="00554CE2" w:rsidRDefault="00554CE2" w:rsidP="00554CE2">
      <w:pPr>
        <w:pStyle w:val="Opsomming1"/>
        <w:numPr>
          <w:ilvl w:val="0"/>
          <w:numId w:val="0"/>
        </w:numPr>
        <w:ind w:left="567"/>
        <w:jc w:val="both"/>
      </w:pPr>
      <w:r>
        <w:t>Blok (2007) also identifies instruments to be used to stimulate the production of energy from renewable sources:</w:t>
      </w:r>
    </w:p>
    <w:p w14:paraId="111033D6" w14:textId="77777777" w:rsidR="00786AD4" w:rsidRDefault="00786AD4" w:rsidP="00554CE2">
      <w:pPr>
        <w:pStyle w:val="Opsomming1"/>
        <w:numPr>
          <w:ilvl w:val="0"/>
          <w:numId w:val="0"/>
        </w:numPr>
        <w:ind w:left="567"/>
        <w:jc w:val="both"/>
      </w:pPr>
    </w:p>
    <w:p w14:paraId="754D7A10" w14:textId="2E4FB251" w:rsidR="00554CE2" w:rsidRDefault="00554CE2" w:rsidP="00F85B88">
      <w:pPr>
        <w:pStyle w:val="Opsomming1"/>
        <w:numPr>
          <w:ilvl w:val="0"/>
          <w:numId w:val="6"/>
        </w:numPr>
      </w:pPr>
      <w:r>
        <w:t>Feed-in tariffs (FiTs)</w:t>
      </w:r>
      <w:r w:rsidR="003423D5">
        <w:t>;</w:t>
      </w:r>
    </w:p>
    <w:p w14:paraId="3850B1F2" w14:textId="77777777" w:rsidR="00554CE2" w:rsidRDefault="00554CE2" w:rsidP="00F85B88">
      <w:pPr>
        <w:pStyle w:val="Opsomming1"/>
        <w:numPr>
          <w:ilvl w:val="0"/>
          <w:numId w:val="6"/>
        </w:numPr>
      </w:pPr>
      <w:r>
        <w:t xml:space="preserve">Renewable energy portfolio standards. </w:t>
      </w:r>
    </w:p>
    <w:p w14:paraId="0AC76DC1" w14:textId="77777777" w:rsidR="00554CE2" w:rsidRDefault="00554CE2" w:rsidP="00554CE2">
      <w:pPr>
        <w:pStyle w:val="Opsomming1"/>
        <w:numPr>
          <w:ilvl w:val="0"/>
          <w:numId w:val="0"/>
        </w:numPr>
        <w:ind w:left="927" w:hanging="360"/>
      </w:pPr>
    </w:p>
    <w:p w14:paraId="1FCA3A9D" w14:textId="77777777" w:rsidR="00554CE2" w:rsidRDefault="00554CE2" w:rsidP="00554CE2">
      <w:pPr>
        <w:pStyle w:val="Opsomming1"/>
        <w:numPr>
          <w:ilvl w:val="0"/>
          <w:numId w:val="0"/>
        </w:numPr>
        <w:ind w:left="567"/>
        <w:jc w:val="both"/>
      </w:pPr>
      <w:r>
        <w:t>These nine instruments could be categorised as either price, quantity, or information-based, and each will now be briefly introduced.</w:t>
      </w:r>
    </w:p>
    <w:p w14:paraId="2C376709" w14:textId="77777777" w:rsidR="00554CE2" w:rsidRDefault="00554CE2" w:rsidP="00554CE2">
      <w:pPr>
        <w:pStyle w:val="Opsomming1"/>
        <w:numPr>
          <w:ilvl w:val="0"/>
          <w:numId w:val="0"/>
        </w:numPr>
        <w:ind w:left="567"/>
      </w:pPr>
    </w:p>
    <w:p w14:paraId="6478A17A" w14:textId="77777777" w:rsidR="00554CE2" w:rsidRDefault="00554CE2" w:rsidP="00554CE2">
      <w:pPr>
        <w:pStyle w:val="Opsomming1"/>
        <w:numPr>
          <w:ilvl w:val="0"/>
          <w:numId w:val="0"/>
        </w:numPr>
        <w:ind w:left="567"/>
        <w:jc w:val="both"/>
      </w:pPr>
      <w:r>
        <w:t xml:space="preserve">Blok (2007) states that energy taxes involve energy users paying a levy in addition to the market price when they purchase an energy carrier. When the levy is proportional to the carbon content of the energy carrier, the tax is known as a carbon tax. Subsidies are often provided to encourage investments in energy-efficient or renewable technology, whilst feed-in tariffs can be provided for electricity from RES that are delivered to the grid. Feed-in tariffs are normally paid via a surcharge on the electricity price and payment is dependent on performance: if no electricity is delivered, nothing is paid. Emissions trading allows an actor a certain amount of emission allowances. The actor must keep their emissions below this level, but they can buy or sell their allowances. Energy efficiency standards are generally either prescriptive or performance standards. Prescriptive standards impose requirements on specific components of equipment, whilst performance standards impose requirements on the overall level of energy use. Renewable energy portfolio </w:t>
      </w:r>
      <w:r>
        <w:lastRenderedPageBreak/>
        <w:t xml:space="preserve">standards (also known as renewable energy obligations) require that a specified amount of energy supplied is from renewable sources. Negotiated (or voluntary) agreements are agreements between governments and actors or groups of actors to limit or reduce energy use. Finally, energy efficiency labelling informs buyers or users of equipment about its energy performance </w:t>
      </w:r>
      <w:sdt>
        <w:sdtPr>
          <w:id w:val="-419496464"/>
          <w:citation/>
        </w:sdtPr>
        <w:sdtEndPr/>
        <w:sdtContent>
          <w:r>
            <w:fldChar w:fldCharType="begin"/>
          </w:r>
          <w:r>
            <w:instrText xml:space="preserve"> CITATION Blo07 \l 2057 </w:instrText>
          </w:r>
          <w:r>
            <w:fldChar w:fldCharType="separate"/>
          </w:r>
          <w:r>
            <w:t>(Blok, 2007)</w:t>
          </w:r>
          <w:r>
            <w:fldChar w:fldCharType="end"/>
          </w:r>
        </w:sdtContent>
      </w:sdt>
      <w:r>
        <w:t xml:space="preserve">. </w:t>
      </w:r>
    </w:p>
    <w:p w14:paraId="02D7C407" w14:textId="77777777" w:rsidR="00554CE2" w:rsidRDefault="00554CE2" w:rsidP="00554CE2">
      <w:pPr>
        <w:pStyle w:val="Opsomming1"/>
        <w:numPr>
          <w:ilvl w:val="0"/>
          <w:numId w:val="0"/>
        </w:numPr>
        <w:ind w:left="567"/>
        <w:jc w:val="both"/>
      </w:pPr>
    </w:p>
    <w:p w14:paraId="2A87F9F1" w14:textId="0FEE4B8E" w:rsidR="00554CE2" w:rsidRDefault="00554CE2" w:rsidP="00554CE2">
      <w:pPr>
        <w:pStyle w:val="Opsomming1"/>
        <w:numPr>
          <w:ilvl w:val="0"/>
          <w:numId w:val="0"/>
        </w:numPr>
        <w:ind w:left="567"/>
        <w:jc w:val="both"/>
      </w:pPr>
      <w:r>
        <w:t>In addition to the use of individual instruments, such as those described above, some authors recognise the use of hybrid instruments which combine elements of price and quantity regulation. For example, Hepburn (200</w:t>
      </w:r>
      <w:r w:rsidRPr="00676E95">
        <w:t>6) notes</w:t>
      </w:r>
      <w:r w:rsidRPr="00AB1F71">
        <w:rPr>
          <w:color w:val="FF0000"/>
        </w:rPr>
        <w:t xml:space="preserve"> </w:t>
      </w:r>
      <w:r>
        <w:t xml:space="preserve">that there is a focus on pure price and quantity instruments because of their simplicity, but more complicated hybrid instruments might be more efficient in certain circumstances. An example of a hybrid instrument is a credit-trading scheme whereby pollution or resource quotas are established by command-and-control measures, and actors who reduce their pollution below their quota level can sell their surplus to others </w:t>
      </w:r>
      <w:sdt>
        <w:sdtPr>
          <w:id w:val="-506681222"/>
          <w:citation/>
        </w:sdtPr>
        <w:sdtEndPr/>
        <w:sdtContent>
          <w:r>
            <w:fldChar w:fldCharType="begin"/>
          </w:r>
          <w:r>
            <w:instrText xml:space="preserve"> CITATION Ste08 \l 2057 </w:instrText>
          </w:r>
          <w:r>
            <w:fldChar w:fldCharType="separate"/>
          </w:r>
          <w:r>
            <w:t>(Stewart, 2008)</w:t>
          </w:r>
          <w:r>
            <w:fldChar w:fldCharType="end"/>
          </w:r>
        </w:sdtContent>
      </w:sdt>
      <w:r>
        <w:t>. Meckling and Jenner (</w:t>
      </w:r>
      <w:r w:rsidRPr="00676E95">
        <w:t>2016) note that</w:t>
      </w:r>
      <w:r>
        <w:t xml:space="preserve"> since the early 2000s European and U</w:t>
      </w:r>
      <w:r w:rsidR="003E3FDD">
        <w:t xml:space="preserve">nited </w:t>
      </w:r>
      <w:r>
        <w:t>S</w:t>
      </w:r>
      <w:r w:rsidR="003E3FDD">
        <w:t>tates (US)</w:t>
      </w:r>
      <w:r>
        <w:t xml:space="preserve"> regulators have increasingly employed hybrid policy instruments. Furthermore, Bennear and Stavins (2007) state that multiple instruments (which are not hybrid) are often employed by policymakers to address a single environmental issue. However, Hepburn (2006) </w:t>
      </w:r>
      <w:r w:rsidRPr="00676E95">
        <w:t xml:space="preserve">also notes </w:t>
      </w:r>
      <w:r>
        <w:t xml:space="preserve">that such ‘packages’ are often applied </w:t>
      </w:r>
      <w:r>
        <w:rPr>
          <w:i/>
          <w:iCs/>
        </w:rPr>
        <w:t>ad hoc</w:t>
      </w:r>
      <w:r>
        <w:t xml:space="preserve"> or used in an attempt for politicians to ‘fix everything’; they can be problematic when instruments within the package are inconsistent with each other. </w:t>
      </w:r>
    </w:p>
    <w:p w14:paraId="3D8C4B46" w14:textId="77777777" w:rsidR="00554CE2" w:rsidRDefault="00554CE2" w:rsidP="00554CE2">
      <w:pPr>
        <w:pStyle w:val="Opsomming1"/>
        <w:numPr>
          <w:ilvl w:val="0"/>
          <w:numId w:val="0"/>
        </w:numPr>
        <w:ind w:left="567"/>
        <w:jc w:val="both"/>
      </w:pPr>
    </w:p>
    <w:p w14:paraId="4A309A2A" w14:textId="77777777" w:rsidR="00554CE2" w:rsidRDefault="00554CE2" w:rsidP="00554CE2">
      <w:pPr>
        <w:pStyle w:val="Opsomming1"/>
        <w:numPr>
          <w:ilvl w:val="0"/>
          <w:numId w:val="0"/>
        </w:numPr>
        <w:ind w:left="567"/>
        <w:jc w:val="both"/>
      </w:pPr>
      <w:r>
        <w:t xml:space="preserve">Indeed, choosing the correct policy instrument or instruments is an important part of policy formulation. Howlett, et al. (2009) state that exactly which instruments are selected depends on the nature of the problem context, who is conducting the analysis of the instrument’s technical and political feasibility and how this is conducted, and what ideas about appropriate and possible government actions these analysts will bring to any discussion. Howlett, et al. (2009) recognise that policy formulation is therefore a complex matter with a wide range of possible choices and mixes of policy instruments into potential policy options or alternatives. Policy instrument choice can, however, be evaluated. According to Blok (2007) this can take place </w:t>
      </w:r>
      <w:r>
        <w:rPr>
          <w:i/>
          <w:iCs/>
        </w:rPr>
        <w:t>ex ante</w:t>
      </w:r>
      <w:r>
        <w:t xml:space="preserve"> (before policy implementation) or </w:t>
      </w:r>
      <w:r>
        <w:rPr>
          <w:i/>
          <w:iCs/>
        </w:rPr>
        <w:t>ex post</w:t>
      </w:r>
      <w:r>
        <w:t xml:space="preserve"> (after the policy has been implemented for some time). Instruments can be judged on their effectiveness at reaching the pre-specified objective, their efficiency at reaching the required effect, and their side-effects. </w:t>
      </w:r>
    </w:p>
    <w:p w14:paraId="45972003" w14:textId="77777777" w:rsidR="00554CE2" w:rsidRDefault="00554CE2" w:rsidP="00554CE2">
      <w:pPr>
        <w:ind w:left="0"/>
        <w:jc w:val="both"/>
      </w:pPr>
    </w:p>
    <w:p w14:paraId="51B3FC5D" w14:textId="77777777" w:rsidR="00554CE2" w:rsidRPr="007E5F9F" w:rsidRDefault="00554CE2" w:rsidP="00671B0F">
      <w:pPr>
        <w:pStyle w:val="Heading2"/>
        <w:numPr>
          <w:ilvl w:val="1"/>
          <w:numId w:val="5"/>
        </w:numPr>
      </w:pPr>
      <w:bookmarkStart w:id="26" w:name="_Ref484011179"/>
      <w:bookmarkStart w:id="27" w:name="_Toc490566974"/>
      <w:bookmarkStart w:id="28" w:name="_Ref478387379"/>
      <w:r>
        <w:t>Theoretical Framework</w:t>
      </w:r>
      <w:bookmarkEnd w:id="26"/>
      <w:bookmarkEnd w:id="27"/>
    </w:p>
    <w:p w14:paraId="00E55D7F" w14:textId="78FBE042" w:rsidR="00554CE2" w:rsidRDefault="00554CE2" w:rsidP="00554CE2">
      <w:pPr>
        <w:jc w:val="both"/>
      </w:pPr>
      <w:r>
        <w:t xml:space="preserve">TM can, in theory, be used to manage complex societal systems which contain many different actors and domains over different levels. Whilst it is recognised that all these elements are interlinked and play a part in the overall objective of a transition to a sustainable future and a reduction in the effects of climate change, this research focusses on the energy system and policy and technology within it. This section will explain why these areas have been chosen as most relevant for research. As noted in Section </w:t>
      </w:r>
      <w:r>
        <w:fldChar w:fldCharType="begin"/>
      </w:r>
      <w:r>
        <w:instrText xml:space="preserve"> REF _Ref478047511 \r \h </w:instrText>
      </w:r>
      <w:r>
        <w:fldChar w:fldCharType="separate"/>
      </w:r>
      <w:r>
        <w:t>3.2</w:t>
      </w:r>
      <w:r>
        <w:fldChar w:fldCharType="end"/>
      </w:r>
      <w:r>
        <w:t>, Rotmans et al. (2001) described five major characteristics of TM. These characteristics will be discussed in turn to justify the reason for these focus areas. This section will then expl</w:t>
      </w:r>
      <w:r w:rsidR="00333BCF">
        <w:t>ain how ICT</w:t>
      </w:r>
      <w:r>
        <w:t xml:space="preserve"> can be linked to TM, to provide a framework to answer the research questions. </w:t>
      </w:r>
    </w:p>
    <w:p w14:paraId="7A407F37" w14:textId="77777777" w:rsidR="00554CE2" w:rsidRDefault="00554CE2" w:rsidP="00554CE2">
      <w:pPr>
        <w:jc w:val="both"/>
      </w:pPr>
    </w:p>
    <w:p w14:paraId="175D5606" w14:textId="083EDF06" w:rsidR="00554CE2" w:rsidRDefault="00554CE2" w:rsidP="00554CE2">
      <w:pPr>
        <w:jc w:val="both"/>
      </w:pPr>
      <w:r>
        <w:t xml:space="preserve">As previously discussed, the MLP sees a macro-level formed by a socio-technical landscape. According to Schot and Geels (2008), this is an exogenous environment beyond the direct influence of niche and regime actors, and changes at this level happen over timespans of </w:t>
      </w:r>
      <w:r>
        <w:lastRenderedPageBreak/>
        <w:t xml:space="preserve">decades. However, changes at the landscape level place pressure on the regime, whilst regime destabilisation creates windows of opportunity for nice innovations </w:t>
      </w:r>
      <w:sdt>
        <w:sdtPr>
          <w:id w:val="-1930418733"/>
          <w:citation/>
        </w:sdtPr>
        <w:sdtEndPr/>
        <w:sdtContent>
          <w:r>
            <w:fldChar w:fldCharType="begin"/>
          </w:r>
          <w:r>
            <w:instrText xml:space="preserve"> CITATION Sch08 \l 2057 </w:instrText>
          </w:r>
          <w:r>
            <w:fldChar w:fldCharType="separate"/>
          </w:r>
          <w:r>
            <w:t>(Schot &amp; Geels, 2008)</w:t>
          </w:r>
          <w:r>
            <w:fldChar w:fldCharType="end"/>
          </w:r>
        </w:sdtContent>
      </w:sdt>
      <w:r w:rsidR="004155CF">
        <w:t xml:space="preserve"> – </w:t>
      </w:r>
      <w:r>
        <w:t xml:space="preserve"> there is interaction between levels. In the context of this research, climate change is causing long-term change at the macro-level. Rotmans et al. (2001) state that TM is multi-level and that short-term policy is shaped in the context of long-term thinking. In this respect, it is considered that shorter-term policy instruments are selected with the overall objective of reducing the effects of climate change. According to Meadowcroft (2009), the policy agenda is typically dominated in the short-term, where the focus for technological advancement is often on incremental improvements to dominate designs. Policy instruments can protect niche innovations and help them stabilise to become part of the regime, or even replace it. The regime can then influence the landscape level, which is beyond the direct control of actors at the lower levels. This research will therefore focus on the niche and regime levels. </w:t>
      </w:r>
    </w:p>
    <w:p w14:paraId="72B9D88D" w14:textId="77777777" w:rsidR="00554CE2" w:rsidRDefault="00554CE2" w:rsidP="00554CE2">
      <w:pPr>
        <w:jc w:val="both"/>
      </w:pPr>
    </w:p>
    <w:p w14:paraId="5EB59826" w14:textId="77777777" w:rsidR="00554CE2" w:rsidRDefault="00554CE2" w:rsidP="00554CE2">
      <w:pPr>
        <w:jc w:val="both"/>
      </w:pPr>
      <w:r>
        <w:t>Rotmans et al. (2001) also characterise TM as acting over multiple domains. Transitions take place over several different, but connected, areas; for example, markets, user preferences, industry, science, policy, culture, and technology. Developments must come together in several domains for a transition to occur (Rotmans et al., 2001). Furthermore, a variety of actors, over different levels and domains, are involved with any transition. For example, according to Rotmans et al. (2001), the micro-level comprises individuals or individual actors (companies, environmental movements); the meso-level comprises networks, communities, and organisations. Actors can be both state and non-state. As this research is concerned with how policy instrument choice influences the adoption of innovative technologies, it will focus on the domains of policy and technology, alongside policymakers and technology actors. However, it is recognised that other domains and actors are important and have an influence on the overall transition process.</w:t>
      </w:r>
    </w:p>
    <w:p w14:paraId="779ADE9D" w14:textId="77777777" w:rsidR="00554CE2" w:rsidRDefault="00554CE2" w:rsidP="00554CE2">
      <w:pPr>
        <w:jc w:val="both"/>
      </w:pPr>
    </w:p>
    <w:p w14:paraId="0B5B340F" w14:textId="77777777" w:rsidR="00554CE2" w:rsidRDefault="00554CE2" w:rsidP="00554CE2">
      <w:pPr>
        <w:jc w:val="both"/>
      </w:pPr>
      <w:r>
        <w:t xml:space="preserve">A further characteristic of TM is its focus on learning, and in particular on ‘learning-by-doing’. Meadowcroft (2009) states that developing experiments with novel practices and technologies and initiating change allows us to learn the potential, and limitations, of different approaches. TM, therefore, is relevant to this research as lessons learnt from past policy instrument choices can allow future choices to be more informed. Indeed, investigating the effectiveness (or ineffectiveness) of instruments to facilitate the use renewable energy production technologies can provide information and recommendations for instrument choice to facilitate the further integration of ESS technologies. </w:t>
      </w:r>
    </w:p>
    <w:p w14:paraId="44E8E337" w14:textId="77777777" w:rsidR="00554CE2" w:rsidRDefault="00554CE2" w:rsidP="00554CE2">
      <w:pPr>
        <w:jc w:val="both"/>
      </w:pPr>
    </w:p>
    <w:p w14:paraId="35617E90" w14:textId="40461207" w:rsidR="00554CE2" w:rsidRDefault="00554CE2" w:rsidP="00554CE2">
      <w:pPr>
        <w:jc w:val="both"/>
      </w:pPr>
      <w:r>
        <w:t>TM is also orientated towards both system improvement (improvement of an existing trajectory) and system innovation (representing a new trajectory of development or transformation) (Loorbach and Rotmans, n.d.). This research will be relevant across both approaches, in regards</w:t>
      </w:r>
      <w:r w:rsidR="00143410">
        <w:t xml:space="preserve"> to</w:t>
      </w:r>
      <w:r>
        <w:t xml:space="preserve"> the energy system. </w:t>
      </w:r>
    </w:p>
    <w:p w14:paraId="78411C06" w14:textId="77777777" w:rsidR="00554CE2" w:rsidRDefault="00554CE2" w:rsidP="00554CE2">
      <w:pPr>
        <w:jc w:val="both"/>
      </w:pPr>
    </w:p>
    <w:p w14:paraId="74DCF77B" w14:textId="77777777" w:rsidR="00554CE2" w:rsidRDefault="00554CE2" w:rsidP="00554CE2">
      <w:pPr>
        <w:jc w:val="both"/>
      </w:pPr>
      <w:r>
        <w:t xml:space="preserve">The final characteristic of TM, as defined by Rotmans, et al. (2001), is that the approach keeps many options open, to hedge against changing circumstances. TM is therefore a useful approach for this research, as the research will investigate a variety of policy instruments in relation to a variety of renewable energy sources and technologies, and a variety of ESS technologies from the domestic to centralised level. The results of the research might suggest that a certain instrument may be effective for a certain ESS technology at the domestic level, but be ineffective at the centralised level, for example. </w:t>
      </w:r>
    </w:p>
    <w:p w14:paraId="5C0F19B3" w14:textId="77777777" w:rsidR="00554CE2" w:rsidRDefault="00554CE2" w:rsidP="00554CE2">
      <w:pPr>
        <w:jc w:val="both"/>
      </w:pPr>
    </w:p>
    <w:p w14:paraId="4A59D725" w14:textId="09791116" w:rsidR="00554CE2" w:rsidRDefault="00554CE2" w:rsidP="00554CE2">
      <w:pPr>
        <w:jc w:val="both"/>
      </w:pPr>
      <w:r>
        <w:lastRenderedPageBreak/>
        <w:t xml:space="preserve">The above discussion allows the focus of the research to be defined. It focusses on policymakers and technology actors who can exert influence in the policy and technology domains at the meso- and micro-levels. The initial research will identify the policy instruments used to facilitate (or hinder) the transition of renewable energy production technologies from niche to regime level. </w:t>
      </w:r>
      <w:r>
        <w:fldChar w:fldCharType="begin"/>
      </w:r>
      <w:r>
        <w:instrText xml:space="preserve"> REF _Ref478632377 \h </w:instrText>
      </w:r>
      <w:r>
        <w:fldChar w:fldCharType="separate"/>
      </w:r>
      <w:r>
        <w:t xml:space="preserve">Figure </w:t>
      </w:r>
      <w:r>
        <w:rPr>
          <w:noProof/>
        </w:rPr>
        <w:t>6</w:t>
      </w:r>
      <w:r>
        <w:fldChar w:fldCharType="end"/>
      </w:r>
      <w:r w:rsidR="00A06E28">
        <w:t xml:space="preserve"> shows the areas of focus; t</w:t>
      </w:r>
      <w:r>
        <w:t xml:space="preserve">he area inside the red box contains the niche and regime levels, and the green boxes show the relevant domains. Renewable energy production technologies sit on the right of the figure; they have made the transition from niche to regime. </w:t>
      </w:r>
    </w:p>
    <w:p w14:paraId="739F8E97" w14:textId="77777777" w:rsidR="00554CE2" w:rsidRDefault="00554CE2" w:rsidP="00554CE2">
      <w:pPr>
        <w:jc w:val="both"/>
      </w:pPr>
    </w:p>
    <w:p w14:paraId="4B2E2320" w14:textId="77777777" w:rsidR="00554CE2" w:rsidRDefault="00554CE2" w:rsidP="00554CE2">
      <w:pPr>
        <w:keepNext/>
        <w:jc w:val="both"/>
      </w:pPr>
      <w:r>
        <w:rPr>
          <w:noProof/>
          <w:lang w:eastAsia="ko-KR" w:bidi="ar-SA"/>
        </w:rPr>
        <w:drawing>
          <wp:inline distT="0" distB="0" distL="0" distR="0" wp14:anchorId="358BF351" wp14:editId="5502325B">
            <wp:extent cx="4838700" cy="2882900"/>
            <wp:effectExtent l="19050" t="0" r="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srcRect/>
                    <a:stretch>
                      <a:fillRect/>
                    </a:stretch>
                  </pic:blipFill>
                  <pic:spPr bwMode="auto">
                    <a:xfrm>
                      <a:off x="0" y="0"/>
                      <a:ext cx="4838700" cy="2882900"/>
                    </a:xfrm>
                    <a:prstGeom prst="rect">
                      <a:avLst/>
                    </a:prstGeom>
                    <a:noFill/>
                    <a:ln w="9525">
                      <a:noFill/>
                      <a:miter lim="800000"/>
                      <a:headEnd/>
                      <a:tailEnd/>
                    </a:ln>
                  </pic:spPr>
                </pic:pic>
              </a:graphicData>
            </a:graphic>
          </wp:inline>
        </w:drawing>
      </w:r>
    </w:p>
    <w:p w14:paraId="44066E99" w14:textId="030BF224" w:rsidR="00554CE2" w:rsidRDefault="00554CE2" w:rsidP="00554CE2">
      <w:pPr>
        <w:pStyle w:val="Caption"/>
        <w:jc w:val="both"/>
      </w:pPr>
      <w:bookmarkStart w:id="29" w:name="_Ref478632377"/>
      <w:bookmarkStart w:id="30" w:name="_Toc491071349"/>
      <w:r>
        <w:t xml:space="preserve">Figure </w:t>
      </w:r>
      <w:r>
        <w:fldChar w:fldCharType="begin"/>
      </w:r>
      <w:r>
        <w:instrText xml:space="preserve"> SEQ Figure \* ARABIC </w:instrText>
      </w:r>
      <w:r>
        <w:fldChar w:fldCharType="separate"/>
      </w:r>
      <w:r w:rsidR="00C62C0B">
        <w:rPr>
          <w:noProof/>
        </w:rPr>
        <w:t>6</w:t>
      </w:r>
      <w:r>
        <w:rPr>
          <w:noProof/>
        </w:rPr>
        <w:fldChar w:fldCharType="end"/>
      </w:r>
      <w:bookmarkEnd w:id="29"/>
      <w:r>
        <w:t xml:space="preserve"> - Areas of focus (Source: adapted from</w:t>
      </w:r>
      <w:r w:rsidR="009E5C7B">
        <w:t xml:space="preserve"> </w:t>
      </w:r>
      <w:r w:rsidR="009E5C7B">
        <w:rPr>
          <w:noProof/>
        </w:rPr>
        <w:t>Geels, 2002)</w:t>
      </w:r>
      <w:bookmarkEnd w:id="30"/>
    </w:p>
    <w:p w14:paraId="45CDB39B" w14:textId="77777777" w:rsidR="00554CE2" w:rsidRDefault="00554CE2" w:rsidP="00554CE2">
      <w:pPr>
        <w:jc w:val="both"/>
      </w:pPr>
    </w:p>
    <w:p w14:paraId="7F701AD8" w14:textId="31A80F4F" w:rsidR="00554CE2" w:rsidRDefault="00ED212B" w:rsidP="00554CE2">
      <w:pPr>
        <w:jc w:val="both"/>
      </w:pPr>
      <w:r>
        <w:t>ICT</w:t>
      </w:r>
      <w:r w:rsidR="00554CE2">
        <w:t xml:space="preserve"> is used to identify and evaluate the policy choices which facilitated (or hindered) this transition, as shown in </w:t>
      </w:r>
      <w:r w:rsidR="00554CE2">
        <w:fldChar w:fldCharType="begin"/>
      </w:r>
      <w:r w:rsidR="00554CE2">
        <w:instrText xml:space="preserve"> REF _Ref479162642 \h </w:instrText>
      </w:r>
      <w:r w:rsidR="00554CE2">
        <w:fldChar w:fldCharType="separate"/>
      </w:r>
      <w:r w:rsidR="00554CE2">
        <w:t xml:space="preserve">Figure </w:t>
      </w:r>
      <w:r w:rsidR="00554CE2">
        <w:rPr>
          <w:noProof/>
        </w:rPr>
        <w:t>7</w:t>
      </w:r>
      <w:r w:rsidR="00554CE2">
        <w:fldChar w:fldCharType="end"/>
      </w:r>
      <w:r w:rsidR="00554CE2">
        <w:t xml:space="preserve">. </w:t>
      </w:r>
    </w:p>
    <w:p w14:paraId="0AC2D2FF" w14:textId="77777777" w:rsidR="00554CE2" w:rsidRDefault="00554CE2" w:rsidP="00554CE2">
      <w:pPr>
        <w:jc w:val="both"/>
      </w:pPr>
    </w:p>
    <w:p w14:paraId="6F25444B" w14:textId="77777777" w:rsidR="00554CE2" w:rsidRDefault="00554CE2" w:rsidP="00554CE2">
      <w:pPr>
        <w:keepNext/>
        <w:jc w:val="both"/>
      </w:pPr>
      <w:r>
        <w:rPr>
          <w:noProof/>
          <w:lang w:eastAsia="ko-KR" w:bidi="ar-SA"/>
        </w:rPr>
        <w:drawing>
          <wp:inline distT="0" distB="0" distL="0" distR="0" wp14:anchorId="5052B548" wp14:editId="10017E66">
            <wp:extent cx="4806950" cy="2425700"/>
            <wp:effectExtent l="19050" t="0" r="0" b="0"/>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srcRect/>
                    <a:stretch>
                      <a:fillRect/>
                    </a:stretch>
                  </pic:blipFill>
                  <pic:spPr bwMode="auto">
                    <a:xfrm>
                      <a:off x="0" y="0"/>
                      <a:ext cx="4806950" cy="2425700"/>
                    </a:xfrm>
                    <a:prstGeom prst="rect">
                      <a:avLst/>
                    </a:prstGeom>
                    <a:noFill/>
                    <a:ln w="9525">
                      <a:noFill/>
                      <a:miter lim="800000"/>
                      <a:headEnd/>
                      <a:tailEnd/>
                    </a:ln>
                  </pic:spPr>
                </pic:pic>
              </a:graphicData>
            </a:graphic>
          </wp:inline>
        </w:drawing>
      </w:r>
    </w:p>
    <w:p w14:paraId="03B9F247" w14:textId="090E4B09" w:rsidR="00554CE2" w:rsidRDefault="00554CE2" w:rsidP="00554CE2">
      <w:pPr>
        <w:pStyle w:val="Caption"/>
        <w:jc w:val="both"/>
      </w:pPr>
      <w:bookmarkStart w:id="31" w:name="_Ref479162642"/>
      <w:bookmarkStart w:id="32" w:name="_Toc491071350"/>
      <w:r>
        <w:t xml:space="preserve">Figure </w:t>
      </w:r>
      <w:r>
        <w:fldChar w:fldCharType="begin"/>
      </w:r>
      <w:r>
        <w:instrText xml:space="preserve"> SEQ Figure \* ARABIC </w:instrText>
      </w:r>
      <w:r>
        <w:fldChar w:fldCharType="separate"/>
      </w:r>
      <w:r w:rsidR="00C62C0B">
        <w:rPr>
          <w:noProof/>
        </w:rPr>
        <w:t>7</w:t>
      </w:r>
      <w:r>
        <w:rPr>
          <w:noProof/>
        </w:rPr>
        <w:fldChar w:fldCharType="end"/>
      </w:r>
      <w:bookmarkEnd w:id="31"/>
      <w:r>
        <w:t xml:space="preserve"> - Instrument Choice Theory influencing policy (Source: adapted from Geels, 2002)</w:t>
      </w:r>
      <w:bookmarkEnd w:id="32"/>
    </w:p>
    <w:p w14:paraId="0F90392E" w14:textId="77777777" w:rsidR="00554CE2" w:rsidRDefault="00554CE2" w:rsidP="00554CE2">
      <w:pPr>
        <w:ind w:left="0"/>
        <w:jc w:val="both"/>
      </w:pPr>
    </w:p>
    <w:p w14:paraId="2AEE53B5" w14:textId="7F1733A3" w:rsidR="00554CE2" w:rsidRDefault="00554CE2" w:rsidP="00554CE2">
      <w:pPr>
        <w:jc w:val="both"/>
      </w:pPr>
      <w:r>
        <w:lastRenderedPageBreak/>
        <w:t xml:space="preserve">Lessons learned from instrument choice in regards </w:t>
      </w:r>
      <w:r w:rsidR="00143410">
        <w:t xml:space="preserve">to </w:t>
      </w:r>
      <w:r>
        <w:t>renewable energy production technologies can be used to inform and improve decision-making in regards</w:t>
      </w:r>
      <w:r w:rsidR="00143410">
        <w:t xml:space="preserve"> to</w:t>
      </w:r>
      <w:r>
        <w:t xml:space="preserve"> ESS. The research considers both system improvement and system innovation, and will consider a wide variety of policy instruments and technologies over several different levels. </w:t>
      </w:r>
    </w:p>
    <w:p w14:paraId="140E10DC" w14:textId="77777777" w:rsidR="00554CE2" w:rsidRDefault="00554CE2" w:rsidP="00554CE2">
      <w:pPr>
        <w:jc w:val="both"/>
      </w:pPr>
    </w:p>
    <w:p w14:paraId="7AA9940C" w14:textId="135F3208" w:rsidR="00554CE2" w:rsidRDefault="00554CE2" w:rsidP="00554CE2">
      <w:pPr>
        <w:jc w:val="both"/>
      </w:pPr>
      <w:r>
        <w:t xml:space="preserve">As will be discussed in Section </w:t>
      </w:r>
      <w:r>
        <w:fldChar w:fldCharType="begin"/>
      </w:r>
      <w:r>
        <w:instrText xml:space="preserve"> REF _Ref478385306 \r \h </w:instrText>
      </w:r>
      <w:r>
        <w:fldChar w:fldCharType="separate"/>
      </w:r>
      <w:r>
        <w:t>5.3</w:t>
      </w:r>
      <w:r>
        <w:fldChar w:fldCharType="end"/>
      </w:r>
      <w:r>
        <w:t>, electricity generation can be centralised or decentralised. This research will investigate ESS integration across different levels – from decentralised domestic storage through to utility-scale centralised storage.</w:t>
      </w:r>
    </w:p>
    <w:p w14:paraId="460F28CF" w14:textId="77777777" w:rsidR="00666C39" w:rsidRDefault="00666C39" w:rsidP="00554CE2">
      <w:pPr>
        <w:jc w:val="both"/>
      </w:pPr>
    </w:p>
    <w:p w14:paraId="0C98D411" w14:textId="6CE4C50B" w:rsidR="00554CE2" w:rsidRDefault="00FD0884" w:rsidP="00671B0F">
      <w:pPr>
        <w:pStyle w:val="Heading1"/>
        <w:numPr>
          <w:ilvl w:val="0"/>
          <w:numId w:val="5"/>
        </w:numPr>
      </w:pPr>
      <w:bookmarkStart w:id="33" w:name="_Toc490566975"/>
      <w:r>
        <w:t>RESEARCH APPROACH</w:t>
      </w:r>
      <w:r w:rsidR="00554CE2">
        <w:t>, METHODOLOGY, AND DESIGN</w:t>
      </w:r>
      <w:bookmarkEnd w:id="28"/>
      <w:bookmarkEnd w:id="33"/>
    </w:p>
    <w:p w14:paraId="5E0C472C" w14:textId="77777777" w:rsidR="00554CE2" w:rsidRPr="007E5F9F" w:rsidRDefault="00554CE2" w:rsidP="00671B0F">
      <w:pPr>
        <w:pStyle w:val="Heading2"/>
        <w:numPr>
          <w:ilvl w:val="1"/>
          <w:numId w:val="5"/>
        </w:numPr>
      </w:pPr>
      <w:bookmarkStart w:id="34" w:name="_Toc490566976"/>
      <w:r w:rsidRPr="007E5F9F">
        <w:t>Introduction</w:t>
      </w:r>
      <w:bookmarkEnd w:id="34"/>
    </w:p>
    <w:p w14:paraId="18134944" w14:textId="0288659D" w:rsidR="00554CE2" w:rsidRDefault="00554CE2" w:rsidP="00554CE2">
      <w:pPr>
        <w:jc w:val="both"/>
      </w:pPr>
      <w:r>
        <w:t>This sec</w:t>
      </w:r>
      <w:r w:rsidR="00184748">
        <w:t>tion defines the research approach</w:t>
      </w:r>
      <w:r>
        <w:t xml:space="preserve">, methodology, and design. Section </w:t>
      </w:r>
      <w:r>
        <w:fldChar w:fldCharType="begin"/>
      </w:r>
      <w:r>
        <w:instrText xml:space="preserve"> REF _Ref487034651 \r \h </w:instrText>
      </w:r>
      <w:r>
        <w:fldChar w:fldCharType="separate"/>
      </w:r>
      <w:r>
        <w:t>4.2</w:t>
      </w:r>
      <w:r>
        <w:fldChar w:fldCharType="end"/>
      </w:r>
      <w:r>
        <w:t xml:space="preserve"> identifies the research aim and describes the approach taken to reach it</w:t>
      </w:r>
      <w:r w:rsidRPr="00E0507D">
        <w:t xml:space="preserve">. </w:t>
      </w:r>
      <w:r>
        <w:t xml:space="preserve">Section </w:t>
      </w:r>
      <w:r>
        <w:fldChar w:fldCharType="begin"/>
      </w:r>
      <w:r>
        <w:instrText xml:space="preserve"> REF _Ref478373003 \r \h </w:instrText>
      </w:r>
      <w:r>
        <w:fldChar w:fldCharType="separate"/>
      </w:r>
      <w:r>
        <w:t>4.3</w:t>
      </w:r>
      <w:r>
        <w:fldChar w:fldCharType="end"/>
      </w:r>
      <w:r>
        <w:t xml:space="preserve"> states a number of assumptions that have been made, whilst Section </w:t>
      </w:r>
      <w:r>
        <w:fldChar w:fldCharType="begin"/>
      </w:r>
      <w:r>
        <w:instrText xml:space="preserve"> REF _Ref487034670 \r \h </w:instrText>
      </w:r>
      <w:r>
        <w:fldChar w:fldCharType="separate"/>
      </w:r>
      <w:r>
        <w:t>4.4</w:t>
      </w:r>
      <w:r>
        <w:fldChar w:fldCharType="end"/>
      </w:r>
      <w:r>
        <w:t xml:space="preserve"> contains </w:t>
      </w:r>
      <w:r w:rsidR="00275BCE">
        <w:t xml:space="preserve">the </w:t>
      </w:r>
      <w:r>
        <w:t xml:space="preserve">reformulated research questions. Section </w:t>
      </w:r>
      <w:r>
        <w:fldChar w:fldCharType="begin"/>
      </w:r>
      <w:r>
        <w:instrText xml:space="preserve"> REF _Ref487034758 \r \h </w:instrText>
      </w:r>
      <w:r>
        <w:fldChar w:fldCharType="separate"/>
      </w:r>
      <w:r>
        <w:t>4.5</w:t>
      </w:r>
      <w:r>
        <w:fldChar w:fldCharType="end"/>
      </w:r>
      <w:r>
        <w:t xml:space="preserve"> discusses the theoretical framework used in the research</w:t>
      </w:r>
      <w:r w:rsidR="00275BCE">
        <w:t>,</w:t>
      </w:r>
      <w:r>
        <w:t xml:space="preserve"> and the strategy used for collecting and analysing data. This section also</w:t>
      </w:r>
      <w:r w:rsidRPr="00676E95">
        <w:t xml:space="preserve"> details the ethical considerations undertaken.</w:t>
      </w:r>
    </w:p>
    <w:p w14:paraId="69E543CD" w14:textId="77777777" w:rsidR="00554CE2" w:rsidRDefault="00554CE2" w:rsidP="00554CE2"/>
    <w:p w14:paraId="1B67009E" w14:textId="77777777" w:rsidR="00554CE2" w:rsidRPr="007E5F9F" w:rsidRDefault="00554CE2" w:rsidP="00671B0F">
      <w:pPr>
        <w:pStyle w:val="Heading2"/>
        <w:numPr>
          <w:ilvl w:val="1"/>
          <w:numId w:val="5"/>
        </w:numPr>
      </w:pPr>
      <w:bookmarkStart w:id="35" w:name="_Ref487034651"/>
      <w:bookmarkStart w:id="36" w:name="_Toc490566977"/>
      <w:bookmarkStart w:id="37" w:name="_Ref479153371"/>
      <w:r>
        <w:t>Research Aim</w:t>
      </w:r>
      <w:bookmarkEnd w:id="35"/>
      <w:bookmarkEnd w:id="36"/>
      <w:r w:rsidRPr="007E5F9F">
        <w:t xml:space="preserve"> </w:t>
      </w:r>
      <w:bookmarkEnd w:id="37"/>
    </w:p>
    <w:p w14:paraId="3BD82311" w14:textId="0486AE92" w:rsidR="005E6B93" w:rsidRDefault="00554CE2" w:rsidP="00554CE2">
      <w:pPr>
        <w:jc w:val="both"/>
        <w:rPr>
          <w:noProof/>
        </w:rPr>
      </w:pPr>
      <w:r>
        <w:rPr>
          <w:noProof/>
        </w:rPr>
        <w:t>Howard and Sharp (1983, cited in Bell, 2005, p.2) define research as “seeking through methodical processes to add to one’s own body of knowledge and, hopefully, to that of others, by the discovery of non-trivial facts and insights”. The research aim of this study is to provide facts and insights into the transition of renewable energy production technologies and ESS technolgies from niche level through to commercial adoption and diffusion at the regime level. As of 2015, 14% of Dutch electricty generation was from a RES – 6% biofuels and waste; 1% solar; 7% wind (IEA, 2016</w:t>
      </w:r>
      <w:r w:rsidR="0073491E">
        <w:rPr>
          <w:noProof/>
        </w:rPr>
        <w:t>a</w:t>
      </w:r>
      <w:r>
        <w:rPr>
          <w:noProof/>
        </w:rPr>
        <w:t xml:space="preserve">). </w:t>
      </w:r>
      <w:r w:rsidR="005E6B93">
        <w:rPr>
          <w:noProof/>
        </w:rPr>
        <w:t xml:space="preserve">Although biomass is currently a large source of renewable energy in the Netherlands and the amount of biomass used to replace fossil resources is expected to increase of the coming years (PBL Netherlands Environmental Assessment Agency, 2014), questions have been raised over its sustainability and its ‘green’ credentials </w:t>
      </w:r>
      <w:sdt>
        <w:sdtPr>
          <w:rPr>
            <w:noProof/>
          </w:rPr>
          <w:id w:val="1386059557"/>
          <w:citation/>
        </w:sdtPr>
        <w:sdtEndPr/>
        <w:sdtContent>
          <w:r w:rsidR="005E6B93">
            <w:rPr>
              <w:noProof/>
            </w:rPr>
            <w:fldChar w:fldCharType="begin"/>
          </w:r>
          <w:r w:rsidR="005E6B93">
            <w:rPr>
              <w:noProof/>
            </w:rPr>
            <w:instrText xml:space="preserve">CITATION Dro15 \l 2057 </w:instrText>
          </w:r>
          <w:r w:rsidR="005E6B93">
            <w:rPr>
              <w:noProof/>
            </w:rPr>
            <w:fldChar w:fldCharType="separate"/>
          </w:r>
          <w:r w:rsidR="005E6B93">
            <w:rPr>
              <w:noProof/>
            </w:rPr>
            <w:t>(Drouin, 2015)</w:t>
          </w:r>
          <w:r w:rsidR="005E6B93">
            <w:rPr>
              <w:noProof/>
            </w:rPr>
            <w:fldChar w:fldCharType="end"/>
          </w:r>
        </w:sdtContent>
      </w:sdt>
      <w:r w:rsidR="005E6B93">
        <w:rPr>
          <w:noProof/>
        </w:rPr>
        <w:t xml:space="preserve">. </w:t>
      </w:r>
      <w:r w:rsidR="009E45C4">
        <w:rPr>
          <w:noProof/>
        </w:rPr>
        <w:t>Furthermore, biomass could be considered different from wind and solar, insofar as it is dispatchable and electricity production is not halted or reduced if day-to-day meteoroligcal conditions are not suitable. For these</w:t>
      </w:r>
      <w:r w:rsidR="005E6B93">
        <w:rPr>
          <w:noProof/>
        </w:rPr>
        <w:t xml:space="preserve"> reason</w:t>
      </w:r>
      <w:r w:rsidR="009E45C4">
        <w:rPr>
          <w:noProof/>
        </w:rPr>
        <w:t>s</w:t>
      </w:r>
      <w:r w:rsidR="005E6B93">
        <w:rPr>
          <w:noProof/>
        </w:rPr>
        <w:t xml:space="preserve"> this study focuses instead on wind and solar energy</w:t>
      </w:r>
      <w:r w:rsidR="009E45C4">
        <w:rPr>
          <w:noProof/>
        </w:rPr>
        <w:t xml:space="preserve"> production</w:t>
      </w:r>
      <w:r w:rsidR="005E6B93">
        <w:rPr>
          <w:noProof/>
        </w:rPr>
        <w:t xml:space="preserve">, and the integration of ESS alongside </w:t>
      </w:r>
      <w:r w:rsidR="009E45C4">
        <w:rPr>
          <w:noProof/>
        </w:rPr>
        <w:t>them</w:t>
      </w:r>
      <w:r w:rsidR="00D63B47">
        <w:rPr>
          <w:noProof/>
        </w:rPr>
        <w:t>.</w:t>
      </w:r>
      <w:r w:rsidR="005E6B93">
        <w:rPr>
          <w:noProof/>
        </w:rPr>
        <w:t xml:space="preserve"> </w:t>
      </w:r>
    </w:p>
    <w:p w14:paraId="34C487E0" w14:textId="77777777" w:rsidR="009E45C4" w:rsidRDefault="009E45C4" w:rsidP="00554CE2">
      <w:pPr>
        <w:jc w:val="both"/>
      </w:pPr>
    </w:p>
    <w:p w14:paraId="598F6B83" w14:textId="6DF597C9" w:rsidR="00554CE2" w:rsidRDefault="00554CE2" w:rsidP="00554CE2">
      <w:pPr>
        <w:jc w:val="both"/>
      </w:pPr>
      <w:r>
        <w:t xml:space="preserve">The research </w:t>
      </w:r>
      <w:r w:rsidR="009E45C4">
        <w:t xml:space="preserve">also </w:t>
      </w:r>
      <w:r>
        <w:t>focuses on the key policy instr</w:t>
      </w:r>
      <w:r w:rsidR="00E37D8A">
        <w:t>uments introduced by the Dutch g</w:t>
      </w:r>
      <w:r>
        <w:t xml:space="preserve">overnment to facilitate (or hinder) the transition. The research examines, analyses, and evaluates the different instruments, how and why each was chosen, and how each effected the transition of renewable energy production technologies to commercialisation. Then, the research provides insights into how ESS technologies can also make a transition to become more widely adopted. The research investigates what policy instruments are currently being used to integrate ESS technologies alongside renewable energy production, and why they are being used. Insights are provided into the role that ESS technologies might play in the future, from the domestic level up to large-scale applications. The lessons learnt from the research can be used to recommend policy instrument </w:t>
      </w:r>
      <w:r>
        <w:lastRenderedPageBreak/>
        <w:t xml:space="preserve">choices to support the anticipated integration and utilisation of ESS alongside renewable energy production. </w:t>
      </w:r>
    </w:p>
    <w:p w14:paraId="6E1C70AE" w14:textId="77777777" w:rsidR="00554CE2" w:rsidRDefault="00554CE2" w:rsidP="00554CE2">
      <w:pPr>
        <w:jc w:val="both"/>
      </w:pPr>
    </w:p>
    <w:p w14:paraId="541BB939" w14:textId="77777777" w:rsidR="00554CE2" w:rsidRPr="007E5F9F" w:rsidRDefault="00554CE2" w:rsidP="00671B0F">
      <w:pPr>
        <w:pStyle w:val="Heading2"/>
        <w:numPr>
          <w:ilvl w:val="1"/>
          <w:numId w:val="5"/>
        </w:numPr>
      </w:pPr>
      <w:bookmarkStart w:id="38" w:name="_Ref478373003"/>
      <w:bookmarkStart w:id="39" w:name="_Toc490566978"/>
      <w:r w:rsidRPr="007E5F9F">
        <w:t>Assumptions</w:t>
      </w:r>
      <w:bookmarkEnd w:id="38"/>
      <w:bookmarkEnd w:id="39"/>
    </w:p>
    <w:p w14:paraId="469D9CD8" w14:textId="77777777" w:rsidR="00554CE2" w:rsidRDefault="00554CE2" w:rsidP="00554CE2">
      <w:pPr>
        <w:pStyle w:val="Nummeringlijst"/>
        <w:numPr>
          <w:ilvl w:val="0"/>
          <w:numId w:val="0"/>
        </w:numPr>
        <w:ind w:left="567"/>
        <w:jc w:val="both"/>
      </w:pPr>
      <w:r>
        <w:t>In achieving the aim, the research makes the following assumptions:</w:t>
      </w:r>
    </w:p>
    <w:p w14:paraId="2796DBD8" w14:textId="77777777" w:rsidR="00554CE2" w:rsidRDefault="00554CE2" w:rsidP="00554CE2">
      <w:pPr>
        <w:pStyle w:val="Nummeringlijst"/>
        <w:numPr>
          <w:ilvl w:val="0"/>
          <w:numId w:val="0"/>
        </w:numPr>
        <w:ind w:left="567"/>
        <w:jc w:val="both"/>
      </w:pPr>
    </w:p>
    <w:p w14:paraId="617CAAFC" w14:textId="233BEC36" w:rsidR="00554CE2" w:rsidRDefault="00554CE2" w:rsidP="00F85B88">
      <w:pPr>
        <w:pStyle w:val="Opsomming1"/>
        <w:numPr>
          <w:ilvl w:val="0"/>
          <w:numId w:val="6"/>
        </w:numPr>
        <w:jc w:val="both"/>
      </w:pPr>
      <w:r>
        <w:t xml:space="preserve">There are other potential methods of reducing the effects of climate change or improving sustainability (for example, reducing the overall demand for energy through changes in societal attitudes). However, </w:t>
      </w:r>
      <w:r w:rsidR="008F35EB">
        <w:t xml:space="preserve">it could be argued that </w:t>
      </w:r>
      <w:r>
        <w:t xml:space="preserve">this is not likely to happen in the foreseeable future </w:t>
      </w:r>
      <w:r w:rsidR="008F35EB">
        <w:t>due to ingrained behaviours, and t</w:t>
      </w:r>
      <w:r>
        <w:t xml:space="preserve">herefore further integration of renewable energy production </w:t>
      </w:r>
      <w:r w:rsidR="003423D5">
        <w:t>and ESS technologies are needed;</w:t>
      </w:r>
    </w:p>
    <w:p w14:paraId="06B86443" w14:textId="3012D866" w:rsidR="00554CE2" w:rsidRDefault="00554CE2" w:rsidP="00F85B88">
      <w:pPr>
        <w:pStyle w:val="Opsomming1"/>
        <w:numPr>
          <w:ilvl w:val="0"/>
          <w:numId w:val="6"/>
        </w:numPr>
        <w:jc w:val="both"/>
      </w:pPr>
      <w:r>
        <w:t>Bioenergy/mass is a dispatchable renewable energy source. Energy is stored within the material which can be released when required, for example through combustion. However, this is not considered an ESS, as it is not a technology which has been specifica</w:t>
      </w:r>
      <w:r w:rsidR="003423D5">
        <w:t>lly designed to capture energy;</w:t>
      </w:r>
    </w:p>
    <w:p w14:paraId="6AEB023A" w14:textId="77777777" w:rsidR="00554CE2" w:rsidRDefault="00554CE2" w:rsidP="00F85B88">
      <w:pPr>
        <w:pStyle w:val="Opsomming1"/>
        <w:numPr>
          <w:ilvl w:val="0"/>
          <w:numId w:val="6"/>
        </w:numPr>
        <w:jc w:val="both"/>
      </w:pPr>
      <w:r>
        <w:t xml:space="preserve">There is a large variety of renewable energy production and energy storage system technologies. Different methods of renewable energy production and energy storage are at various levels of technological maturity. In general, renewable energy production is more developed than ESS: </w:t>
      </w:r>
    </w:p>
    <w:p w14:paraId="54C16B7F" w14:textId="18CCF015" w:rsidR="00554CE2" w:rsidRDefault="00554CE2" w:rsidP="00F85B88">
      <w:pPr>
        <w:pStyle w:val="Opsomming2"/>
        <w:numPr>
          <w:ilvl w:val="1"/>
          <w:numId w:val="6"/>
        </w:numPr>
        <w:jc w:val="both"/>
      </w:pPr>
      <w:r>
        <w:t>Within the Netherlands, renewable energy production from biomass, wind, and solar are no longer considered to utilise ‘niche’ technologies (although</w:t>
      </w:r>
      <w:r w:rsidR="0091467E">
        <w:t xml:space="preserve"> certain innovations within </w:t>
      </w:r>
      <w:r w:rsidR="003423D5">
        <w:t>each sector might be);</w:t>
      </w:r>
    </w:p>
    <w:p w14:paraId="1B45CDDE" w14:textId="28E5C4DF" w:rsidR="00554CE2" w:rsidRDefault="00554CE2" w:rsidP="00F85B88">
      <w:pPr>
        <w:pStyle w:val="Opsomming2"/>
        <w:numPr>
          <w:ilvl w:val="1"/>
          <w:numId w:val="6"/>
        </w:numPr>
        <w:jc w:val="both"/>
      </w:pPr>
      <w:r>
        <w:t>ESS integration is still considered to be at early stages of development (although ESS deployment in off-grid or remote communities may be considered broadly competitive or near-competitive, and cer</w:t>
      </w:r>
      <w:r w:rsidR="00784AFD">
        <w:t>tain battery systems – such as Li</w:t>
      </w:r>
      <w:r>
        <w:t xml:space="preserve">-ion – are well utilised within </w:t>
      </w:r>
      <w:r w:rsidR="003423D5">
        <w:t>the electric vehicle industry)</w:t>
      </w:r>
      <w:r w:rsidR="005B1C1D">
        <w:t>. It is also recognised that certain technologies might be at different stages of technological maturity than others</w:t>
      </w:r>
      <w:r w:rsidR="003423D5">
        <w:t>;</w:t>
      </w:r>
    </w:p>
    <w:p w14:paraId="5FF7723F" w14:textId="77777777" w:rsidR="00554CE2" w:rsidRDefault="00554CE2" w:rsidP="00F85B88">
      <w:pPr>
        <w:pStyle w:val="Opsomming1"/>
        <w:numPr>
          <w:ilvl w:val="0"/>
          <w:numId w:val="6"/>
        </w:numPr>
        <w:jc w:val="both"/>
      </w:pPr>
      <w:r>
        <w:t>Policy instruments have facilitated (or hindered) the transition of renewable energy technologies.</w:t>
      </w:r>
    </w:p>
    <w:p w14:paraId="32E6C85C" w14:textId="77777777" w:rsidR="00554CE2" w:rsidRDefault="00554CE2" w:rsidP="00554CE2">
      <w:pPr>
        <w:pStyle w:val="Opsomming1"/>
        <w:numPr>
          <w:ilvl w:val="0"/>
          <w:numId w:val="0"/>
        </w:numPr>
        <w:ind w:left="927"/>
      </w:pPr>
    </w:p>
    <w:p w14:paraId="5AA1335C" w14:textId="77777777" w:rsidR="00554CE2" w:rsidRPr="007E5F9F" w:rsidRDefault="00554CE2" w:rsidP="00671B0F">
      <w:pPr>
        <w:pStyle w:val="Heading2"/>
        <w:numPr>
          <w:ilvl w:val="1"/>
          <w:numId w:val="5"/>
        </w:numPr>
      </w:pPr>
      <w:bookmarkStart w:id="40" w:name="_Ref487034670"/>
      <w:bookmarkStart w:id="41" w:name="_Toc490566979"/>
      <w:r w:rsidRPr="007E5F9F">
        <w:t>Research Questions</w:t>
      </w:r>
      <w:bookmarkEnd w:id="40"/>
      <w:bookmarkEnd w:id="41"/>
    </w:p>
    <w:p w14:paraId="1F48285C" w14:textId="50040938" w:rsidR="00554CE2" w:rsidRDefault="00554CE2" w:rsidP="00554CE2">
      <w:pPr>
        <w:jc w:val="both"/>
        <w:rPr>
          <w:i/>
        </w:rPr>
      </w:pPr>
      <w:r>
        <w:t xml:space="preserve">As stated in Section </w:t>
      </w:r>
      <w:r>
        <w:fldChar w:fldCharType="begin"/>
      </w:r>
      <w:r>
        <w:instrText xml:space="preserve"> REF _Ref484011165 \r \h  \* MERGEFORMAT </w:instrText>
      </w:r>
      <w:r>
        <w:fldChar w:fldCharType="separate"/>
      </w:r>
      <w:r>
        <w:t>1.2</w:t>
      </w:r>
      <w:r>
        <w:fldChar w:fldCharType="end"/>
      </w:r>
      <w:r>
        <w:t xml:space="preserve">, the main research question is: </w:t>
      </w:r>
      <w:r w:rsidR="00DD1675">
        <w:rPr>
          <w:i/>
        </w:rPr>
        <w:t>how can</w:t>
      </w:r>
      <w:r>
        <w:rPr>
          <w:i/>
        </w:rPr>
        <w:t xml:space="preserve"> ESS technologies transition from niche to become established technologies at the regime level?</w:t>
      </w:r>
    </w:p>
    <w:p w14:paraId="2E411B61" w14:textId="77777777" w:rsidR="00554CE2" w:rsidRDefault="00554CE2" w:rsidP="00554CE2">
      <w:pPr>
        <w:jc w:val="both"/>
        <w:rPr>
          <w:i/>
        </w:rPr>
      </w:pPr>
    </w:p>
    <w:p w14:paraId="12C4166F" w14:textId="042BF1C6" w:rsidR="00554CE2" w:rsidRPr="006977AA" w:rsidRDefault="00554CE2" w:rsidP="00554CE2">
      <w:pPr>
        <w:jc w:val="both"/>
      </w:pPr>
      <w:r>
        <w:t xml:space="preserve">However, following the theoretical framework discussed in Section </w:t>
      </w:r>
      <w:r>
        <w:fldChar w:fldCharType="begin"/>
      </w:r>
      <w:r>
        <w:instrText xml:space="preserve"> REF _Ref484011179 \r \h  \* MERGEFORMAT </w:instrText>
      </w:r>
      <w:r>
        <w:fldChar w:fldCharType="separate"/>
      </w:r>
      <w:r>
        <w:t>3.4</w:t>
      </w:r>
      <w:r>
        <w:fldChar w:fldCharType="end"/>
      </w:r>
      <w:r>
        <w:t>, the sub-questions can be reformulated</w:t>
      </w:r>
      <w:r w:rsidR="00E871DC">
        <w:t xml:space="preserve"> based on the previous information given and assumptions made, and</w:t>
      </w:r>
      <w:r>
        <w:t xml:space="preserve"> to better reflect the characteristics of TM and ICT. </w:t>
      </w:r>
      <w:r w:rsidR="00E871DC">
        <w:t>Therefore, t</w:t>
      </w:r>
      <w:r>
        <w:t>he redefined sub-questions are:</w:t>
      </w:r>
    </w:p>
    <w:p w14:paraId="079D4AAA" w14:textId="77777777" w:rsidR="00554CE2" w:rsidRDefault="00554CE2" w:rsidP="00554CE2">
      <w:pPr>
        <w:jc w:val="both"/>
      </w:pPr>
    </w:p>
    <w:p w14:paraId="384600EC" w14:textId="758756C5" w:rsidR="00554CE2" w:rsidRPr="002A7FBE" w:rsidRDefault="00554CE2" w:rsidP="00F85B88">
      <w:pPr>
        <w:pStyle w:val="Nummeringlijst"/>
        <w:numPr>
          <w:ilvl w:val="0"/>
          <w:numId w:val="8"/>
        </w:numPr>
        <w:spacing w:after="160"/>
        <w:jc w:val="both"/>
        <w:rPr>
          <w:i/>
        </w:rPr>
      </w:pPr>
      <w:r w:rsidRPr="002A7FBE">
        <w:rPr>
          <w:i/>
        </w:rPr>
        <w:t xml:space="preserve">What role did different policy instruments play in the transition of </w:t>
      </w:r>
      <w:r>
        <w:rPr>
          <w:i/>
        </w:rPr>
        <w:t>solar and wind</w:t>
      </w:r>
      <w:r w:rsidRPr="002A7FBE">
        <w:rPr>
          <w:i/>
        </w:rPr>
        <w:t xml:space="preserve"> energy production (across different scales from domestic to large-scale) from niche to commercial adoption and diffusion in the Netherlands? </w:t>
      </w:r>
    </w:p>
    <w:p w14:paraId="13F69132" w14:textId="77777777" w:rsidR="00554CE2" w:rsidRDefault="00554CE2" w:rsidP="00554CE2">
      <w:pPr>
        <w:pStyle w:val="Nummeringlijst"/>
        <w:numPr>
          <w:ilvl w:val="0"/>
          <w:numId w:val="0"/>
        </w:numPr>
        <w:ind w:left="924"/>
        <w:jc w:val="both"/>
      </w:pPr>
    </w:p>
    <w:p w14:paraId="752CF2F2" w14:textId="3A33F750" w:rsidR="00554CE2" w:rsidRPr="006977AA" w:rsidRDefault="00554CE2" w:rsidP="00554CE2">
      <w:pPr>
        <w:pStyle w:val="Nummeringlijst"/>
        <w:jc w:val="both"/>
        <w:rPr>
          <w:i/>
        </w:rPr>
      </w:pPr>
      <w:r w:rsidRPr="006977AA">
        <w:rPr>
          <w:i/>
        </w:rPr>
        <w:t xml:space="preserve">What role do different policy instruments play in the ongoing integration of ESS with </w:t>
      </w:r>
      <w:r>
        <w:rPr>
          <w:i/>
        </w:rPr>
        <w:t>solar and wind energy</w:t>
      </w:r>
      <w:r w:rsidRPr="006977AA">
        <w:rPr>
          <w:i/>
        </w:rPr>
        <w:t xml:space="preserve"> production (across different scales from domestic to large-scale) in the Netherlands?</w:t>
      </w:r>
    </w:p>
    <w:p w14:paraId="7C2F69C6" w14:textId="77777777" w:rsidR="00554CE2" w:rsidRDefault="00554CE2" w:rsidP="00554CE2">
      <w:pPr>
        <w:pStyle w:val="Nummeringlijst"/>
        <w:numPr>
          <w:ilvl w:val="0"/>
          <w:numId w:val="0"/>
        </w:numPr>
        <w:ind w:left="924"/>
        <w:jc w:val="both"/>
      </w:pPr>
    </w:p>
    <w:p w14:paraId="67FE0688" w14:textId="57152624" w:rsidR="00E9504A" w:rsidRPr="00D63B47" w:rsidRDefault="00E9504A" w:rsidP="00D63B47">
      <w:pPr>
        <w:pStyle w:val="Nummeringlijst"/>
        <w:jc w:val="both"/>
        <w:rPr>
          <w:i/>
        </w:rPr>
      </w:pPr>
      <w:r w:rsidRPr="00D63B47">
        <w:t xml:space="preserve">a) </w:t>
      </w:r>
      <w:r w:rsidRPr="00D63B47">
        <w:rPr>
          <w:i/>
        </w:rPr>
        <w:t>Which policy and technology options and instruments are most suitable to facilitate the transition of ESS from niche to become commercially adopted and integrated with solar and wind energy production (across different scales from domestic to large-scale) in the Netherlands?</w:t>
      </w:r>
    </w:p>
    <w:p w14:paraId="174D7E87" w14:textId="32155B05" w:rsidR="00E9504A" w:rsidRPr="00D63B47" w:rsidRDefault="00E9504A" w:rsidP="00B95728">
      <w:pPr>
        <w:ind w:left="851" w:firstLine="216"/>
        <w:jc w:val="both"/>
        <w:rPr>
          <w:i/>
        </w:rPr>
      </w:pPr>
      <w:r w:rsidRPr="00D63B47">
        <w:rPr>
          <w:i/>
        </w:rPr>
        <w:t xml:space="preserve">b) </w:t>
      </w:r>
      <w:r w:rsidRPr="005B24AD">
        <w:rPr>
          <w:i/>
        </w:rPr>
        <w:t>Where does this ongoing transition sit in relation to the policy and technology domains?</w:t>
      </w:r>
    </w:p>
    <w:p w14:paraId="2E931EA5" w14:textId="4C0B949D" w:rsidR="00E9504A" w:rsidRPr="006977AA" w:rsidRDefault="00E9504A" w:rsidP="00B95728">
      <w:pPr>
        <w:ind w:left="782" w:firstLine="285"/>
        <w:jc w:val="both"/>
        <w:rPr>
          <w:i/>
        </w:rPr>
      </w:pPr>
      <w:r w:rsidRPr="00D63B47">
        <w:rPr>
          <w:i/>
        </w:rPr>
        <w:t xml:space="preserve">c) </w:t>
      </w:r>
      <w:r w:rsidRPr="005B24AD">
        <w:rPr>
          <w:i/>
        </w:rPr>
        <w:t>What roles do policymakers and technology actors play in this transition</w:t>
      </w:r>
      <w:r w:rsidRPr="005B3555">
        <w:rPr>
          <w:i/>
        </w:rPr>
        <w:t>?</w:t>
      </w:r>
      <w:r w:rsidRPr="006977AA">
        <w:t xml:space="preserve"> </w:t>
      </w:r>
    </w:p>
    <w:p w14:paraId="2B8AB12F" w14:textId="77777777" w:rsidR="00554CE2" w:rsidRDefault="00554CE2" w:rsidP="00554CE2">
      <w:pPr>
        <w:pStyle w:val="Nummeringlijst"/>
        <w:numPr>
          <w:ilvl w:val="0"/>
          <w:numId w:val="0"/>
        </w:numPr>
        <w:spacing w:after="160"/>
        <w:ind w:left="924"/>
        <w:jc w:val="both"/>
      </w:pPr>
    </w:p>
    <w:p w14:paraId="02BC20FC" w14:textId="77777777" w:rsidR="00554CE2" w:rsidRDefault="00554CE2" w:rsidP="00671B0F">
      <w:pPr>
        <w:pStyle w:val="Heading2"/>
        <w:rPr>
          <w:sz w:val="20"/>
        </w:rPr>
      </w:pPr>
      <w:bookmarkStart w:id="42" w:name="_Ref487034758"/>
      <w:bookmarkStart w:id="43" w:name="_Toc490566980"/>
      <w:r>
        <w:t>Methodology</w:t>
      </w:r>
      <w:bookmarkEnd w:id="42"/>
      <w:bookmarkEnd w:id="43"/>
    </w:p>
    <w:p w14:paraId="064A0CE9" w14:textId="77777777" w:rsidR="00554CE2" w:rsidRDefault="00554CE2" w:rsidP="00554CE2">
      <w:pPr>
        <w:jc w:val="both"/>
        <w:rPr>
          <w:noProof/>
        </w:rPr>
      </w:pPr>
      <w:r>
        <w:t xml:space="preserve">According to Thomas (2013), methodology can be defined as the study of method; in turn, method can be defined as a technique used to collect data </w:t>
      </w:r>
      <w:sdt>
        <w:sdtPr>
          <w:id w:val="1073314286"/>
          <w:citation/>
        </w:sdtPr>
        <w:sdtEndPr/>
        <w:sdtContent>
          <w:r>
            <w:fldChar w:fldCharType="begin"/>
          </w:r>
          <w:r>
            <w:instrText xml:space="preserve"> CITATION OLe04 \l 2057 </w:instrText>
          </w:r>
          <w:r>
            <w:fldChar w:fldCharType="separate"/>
          </w:r>
          <w:r>
            <w:rPr>
              <w:noProof/>
            </w:rPr>
            <w:t>(O'Leary, 2004)</w:t>
          </w:r>
          <w:r>
            <w:fldChar w:fldCharType="end"/>
          </w:r>
        </w:sdtContent>
      </w:sdt>
      <w:r>
        <w:t xml:space="preserve">. </w:t>
      </w:r>
      <w:r>
        <w:rPr>
          <w:noProof/>
        </w:rPr>
        <w:t>Bell (2005, p.115) states that:</w:t>
      </w:r>
    </w:p>
    <w:p w14:paraId="61DE0450" w14:textId="77777777" w:rsidR="00554CE2" w:rsidRDefault="00554CE2" w:rsidP="00554CE2">
      <w:pPr>
        <w:ind w:left="1134" w:right="567"/>
        <w:jc w:val="both"/>
        <w:rPr>
          <w:noProof/>
        </w:rPr>
      </w:pPr>
    </w:p>
    <w:p w14:paraId="1D584E57" w14:textId="77777777" w:rsidR="00554CE2" w:rsidRDefault="00554CE2" w:rsidP="00554CE2">
      <w:pPr>
        <w:ind w:left="1134" w:right="567"/>
        <w:jc w:val="both"/>
        <w:rPr>
          <w:noProof/>
        </w:rPr>
      </w:pPr>
      <w:r>
        <w:rPr>
          <w:noProof/>
        </w:rPr>
        <w:t xml:space="preserve"> “</w:t>
      </w:r>
      <w:r>
        <w:rPr>
          <w:i/>
          <w:noProof/>
        </w:rPr>
        <w:t>Methods are selected because they will provide the data needed to produce a complete piece of research. Decisions have to be made about which methods are best for particular purposes and then data-collecting instruments must be designed to do the job.</w:t>
      </w:r>
      <w:r>
        <w:rPr>
          <w:noProof/>
        </w:rPr>
        <w:t xml:space="preserve">” </w:t>
      </w:r>
    </w:p>
    <w:p w14:paraId="5FC22FA1" w14:textId="77777777" w:rsidR="00554CE2" w:rsidRDefault="00554CE2" w:rsidP="00554CE2">
      <w:pPr>
        <w:jc w:val="both"/>
        <w:rPr>
          <w:noProof/>
        </w:rPr>
      </w:pPr>
    </w:p>
    <w:p w14:paraId="37AA0D07" w14:textId="77777777" w:rsidR="00554CE2" w:rsidRDefault="00554CE2" w:rsidP="00554CE2">
      <w:pPr>
        <w:jc w:val="both"/>
        <w:rPr>
          <w:noProof/>
        </w:rPr>
      </w:pPr>
      <w:r>
        <w:rPr>
          <w:noProof/>
        </w:rPr>
        <w:t xml:space="preserve">This section discusses which methods and instruments were chosen and designed in order to answer the research questions and achieve the stated aims and objective. The reasoning behind their selection will also be explained. O’Leary (2004, p.132) states that “the goals of research can be placed on a continuum from knowledge to change” and contends that at one end of a scale “basic” or “pure-research” can generate knowledge in order to build broader understanding of the issues at hand, whilst at the opposite end of the scale research can generate knowledge to expose and change the dominate system; a number of other goals sit within this spectrum, which she acknowledges may contain some overlap. </w:t>
      </w:r>
    </w:p>
    <w:p w14:paraId="11C2A1B5" w14:textId="77777777" w:rsidR="00554CE2" w:rsidRDefault="00554CE2" w:rsidP="00554CE2">
      <w:pPr>
        <w:jc w:val="both"/>
        <w:rPr>
          <w:noProof/>
        </w:rPr>
      </w:pPr>
    </w:p>
    <w:p w14:paraId="72C26043" w14:textId="486BB507" w:rsidR="00554CE2" w:rsidRDefault="00554CE2" w:rsidP="00554CE2">
      <w:pPr>
        <w:jc w:val="both"/>
      </w:pPr>
      <w:r>
        <w:rPr>
          <w:noProof/>
        </w:rPr>
        <w:t xml:space="preserve">As discussed in previous sections of this thesis, current conventional energy systems are unsustainable and a transition towards sustainable energy is necessary. The definition of a transition provided earlier sees it as </w:t>
      </w:r>
      <w:r>
        <w:t xml:space="preserve">“a long-term process of change during which a society or a subsystem of society fundamentally changes” (Rotmans, et al., 2000, Rotmans, et al., 2001 cited in Loorbach &amp; Rotmans, n.d., p2). Therefore, based on the stated research aim and research questions, it can be argued that this study both provides knowledge and actions change within the current energy system. </w:t>
      </w:r>
    </w:p>
    <w:p w14:paraId="25F3DD6E" w14:textId="77777777" w:rsidR="00554CE2" w:rsidRDefault="00554CE2" w:rsidP="00554CE2">
      <w:pPr>
        <w:jc w:val="both"/>
        <w:rPr>
          <w:noProof/>
        </w:rPr>
      </w:pPr>
    </w:p>
    <w:p w14:paraId="17829ECE" w14:textId="09B6472B" w:rsidR="00554CE2" w:rsidRDefault="00554CE2" w:rsidP="00554CE2">
      <w:pPr>
        <w:jc w:val="both"/>
        <w:rPr>
          <w:noProof/>
        </w:rPr>
      </w:pPr>
      <w:r>
        <w:rPr>
          <w:noProof/>
        </w:rPr>
        <w:t xml:space="preserve">According to O’Leary (2004, p.138), “when the product of a study is both knowledge </w:t>
      </w:r>
      <w:r>
        <w:rPr>
          <w:i/>
          <w:noProof/>
        </w:rPr>
        <w:t>and</w:t>
      </w:r>
      <w:r>
        <w:rPr>
          <w:noProof/>
        </w:rPr>
        <w:t xml:space="preserve"> change you have what is broadly known as action research”. The aim of action research, according to Denscombe (2002, p.27 cited in Bell, 2005, p.8) is “to arrive at recommendations for good practice that will tackle a problem or enhance the performance of the organization and individuals through changes to the rules and procedures within which they operate”. Previous sections of this thesis have defined an overarching problem (climate change) and this research aims to tackle it by providing knowledge and facilitating changes in the form of system improvement and system innovation; action research is therefore a useful approach for conducting this study. Although, as Kitchin and Tate (2000) acknowledge: “remaining objective within action research remains difficult, as a particular action is sought.” Indeed, this research studies how a change to further integration of ESS can be facilitated. </w:t>
      </w:r>
    </w:p>
    <w:p w14:paraId="0912F026" w14:textId="77777777" w:rsidR="00554CE2" w:rsidRDefault="00554CE2" w:rsidP="00554CE2">
      <w:pPr>
        <w:jc w:val="both"/>
        <w:rPr>
          <w:noProof/>
        </w:rPr>
      </w:pPr>
    </w:p>
    <w:p w14:paraId="369394D5" w14:textId="25E0C1E2" w:rsidR="00554CE2" w:rsidRDefault="00554CE2" w:rsidP="00554CE2">
      <w:pPr>
        <w:jc w:val="both"/>
      </w:pPr>
      <w:r>
        <w:lastRenderedPageBreak/>
        <w:t xml:space="preserve">To this end, the research uses inductive reasoning to answer the research questions and develop a theory as to what policy instruments could be used to allow the increased integration of ESS technologies alongside renewable energy production technologies, at different levels from domestic up to utility-scale. Qualitative research was undertaken in the form of semi-structured open-ended interviews with a variety of actors involved in the energy storage sector, such as entrepreneurs and consultants. In total, </w:t>
      </w:r>
      <w:r w:rsidR="00666C39">
        <w:t>fifteen</w:t>
      </w:r>
      <w:r>
        <w:t xml:space="preserve"> interviews were conducted, each lasting</w:t>
      </w:r>
      <w:r w:rsidR="00666C39">
        <w:t xml:space="preserve"> approximately one hour. Fourteen</w:t>
      </w:r>
      <w:r>
        <w:t xml:space="preserve"> interviews were conducted face-to-face with the participant, either at the participant’s office or at the researcher’s office. One interview was conducted over the telephone. Based on the information provided in these interviews, secondary sources of data, such as scientific journals, were also consulted in order to gain further insights into the areas of discussion. </w:t>
      </w:r>
    </w:p>
    <w:p w14:paraId="56C17D9A" w14:textId="77777777" w:rsidR="00554CE2" w:rsidRDefault="00554CE2" w:rsidP="00554CE2">
      <w:pPr>
        <w:jc w:val="both"/>
      </w:pPr>
    </w:p>
    <w:p w14:paraId="57FC6F0F" w14:textId="03D0165D" w:rsidR="00554CE2" w:rsidRDefault="00554CE2" w:rsidP="00554CE2">
      <w:pPr>
        <w:jc w:val="both"/>
      </w:pPr>
      <w:r>
        <w:t xml:space="preserve">The semi-structured interview method was chosen as it allows a framework of open-ended questions to be developed in order </w:t>
      </w:r>
      <w:r w:rsidR="009D709E">
        <w:t xml:space="preserve">to </w:t>
      </w:r>
      <w:r>
        <w:t xml:space="preserve">steer the conversation with participants, but without constraining the interviewees’ responses to the questions. If an interviewee wished to diverge from the questions asked then it was possible, even encouraged. Indeed, any divergence might have produced data relevant to the topic which otherwise may not have been produced. The semi-structured interview method was useful because although the conversation was steered by the researcher, the open-ended questions reflected the participants’ own thinking better than if conducting a closed interview which gives no chance for the interviewee to diverge from the specific questions asked. </w:t>
      </w:r>
    </w:p>
    <w:p w14:paraId="0A3D84CB" w14:textId="77777777" w:rsidR="00554CE2" w:rsidRDefault="00554CE2" w:rsidP="00554CE2">
      <w:pPr>
        <w:jc w:val="both"/>
      </w:pPr>
    </w:p>
    <w:p w14:paraId="751C1A43" w14:textId="77777777" w:rsidR="00554CE2" w:rsidRDefault="00554CE2" w:rsidP="00554CE2">
      <w:pPr>
        <w:jc w:val="both"/>
      </w:pPr>
      <w:r>
        <w:t xml:space="preserve">The questions asked in the semi-structured interview were along the lines of direct questioning about policy implementation for RES and ESS in the Netherlands, and as per the action research framework there was a continual refinement of thinking in between interviews. For example, if an interviewee’s line of discussion had not been previously considered but was thought to be relevant in following interviews, then this new area of discussion was broached with the interviewees. The questions themselves were not written in a list, but rather an interview schedule was created prior to each interview. Each interview schedule was written specifically for each individual participant, based on their role within a certain domain and on knowledge gained during previous interviews. Each interview schedule provided an </w:t>
      </w:r>
      <w:r w:rsidRPr="00991A14">
        <w:rPr>
          <w:i/>
        </w:rPr>
        <w:t>aide-memoire</w:t>
      </w:r>
      <w:r>
        <w:t xml:space="preserve"> of the important points for discussion, for example by using information taken from the interviewee’s company website. However, the schedule was not necessarily adhered to, depending on how the interview progressed. Furthermore, more general questions were also asked when nearing the end of each interview, taking more of an interview guide approach. These more general questions, on non-specific topics, allowed more of a free-form interview to be conducted and gave more scope for the interviewee to provide information on other topics of interest, which may not have been explored otherwise. </w:t>
      </w:r>
    </w:p>
    <w:p w14:paraId="52287739" w14:textId="77777777" w:rsidR="00554CE2" w:rsidRDefault="00554CE2" w:rsidP="00554CE2">
      <w:pPr>
        <w:jc w:val="both"/>
      </w:pPr>
    </w:p>
    <w:p w14:paraId="75729B59" w14:textId="77777777" w:rsidR="00554CE2" w:rsidRDefault="00554CE2" w:rsidP="00554CE2">
      <w:pPr>
        <w:jc w:val="both"/>
      </w:pPr>
      <w:r>
        <w:t xml:space="preserve">There are, however, a number of weaknesses in these methods. Interviews can be time consuming, and, according to Kitchin and Tate (2000, p214), the semi-structured interview: </w:t>
      </w:r>
    </w:p>
    <w:p w14:paraId="48BE96C6" w14:textId="77777777" w:rsidR="00554CE2" w:rsidRDefault="00554CE2" w:rsidP="00554CE2">
      <w:pPr>
        <w:jc w:val="both"/>
      </w:pPr>
    </w:p>
    <w:p w14:paraId="52AB0411" w14:textId="77777777" w:rsidR="00554CE2" w:rsidRDefault="00554CE2" w:rsidP="00554CE2">
      <w:pPr>
        <w:ind w:left="1134" w:right="567"/>
        <w:jc w:val="both"/>
      </w:pPr>
      <w:r>
        <w:rPr>
          <w:i/>
        </w:rPr>
        <w:t>“allows little flexibility in relating the interviews to particular individuals or circumstances (it removes individuality) and may also constrain and limit the naturalness and relevance of questions and answers (the question might not be relevant to an interviewee but requires a response, and a particularly interesting response cannot be followed up in more detail)”</w:t>
      </w:r>
      <w:r>
        <w:t>.</w:t>
      </w:r>
    </w:p>
    <w:p w14:paraId="05C7EDBA" w14:textId="77777777" w:rsidR="00554CE2" w:rsidRDefault="00554CE2" w:rsidP="00554CE2">
      <w:pPr>
        <w:jc w:val="both"/>
      </w:pPr>
    </w:p>
    <w:p w14:paraId="61F79B1C" w14:textId="77777777" w:rsidR="00554CE2" w:rsidRDefault="00554CE2" w:rsidP="00554CE2">
      <w:pPr>
        <w:jc w:val="both"/>
      </w:pPr>
      <w:r>
        <w:t xml:space="preserve">The interview guide approach allows those questions to be more flexible in order and specific wording, but this reduces the comparability of the responses (Kitchin and Tate, 2000). </w:t>
      </w:r>
    </w:p>
    <w:p w14:paraId="73067742" w14:textId="77777777" w:rsidR="00554CE2" w:rsidRDefault="00554CE2" w:rsidP="00554CE2">
      <w:pPr>
        <w:jc w:val="both"/>
      </w:pPr>
    </w:p>
    <w:p w14:paraId="5A1A0301" w14:textId="0DB155F3" w:rsidR="00554CE2" w:rsidRDefault="00554CE2" w:rsidP="00554CE2">
      <w:pPr>
        <w:jc w:val="both"/>
      </w:pPr>
      <w:r>
        <w:t>Several other considerations also needed to be considered. The number of interviews to be conducted had to be determined based on the aim and objectives of the study, the size of the total population within the policy and technology domains (and specifically within the energy and energy storage sectors), and the type of data that needed to be collected. This required extensive preliminary research to identify i</w:t>
      </w:r>
      <w:r w:rsidR="009D709E">
        <w:t>ndividuals and organisations which</w:t>
      </w:r>
      <w:r>
        <w:t xml:space="preserve"> would be able to provide useful and relevant information. When choosing participants to contact, a non-random sampling method was used, whereby the selection of interviewees was determined according to known characteristics, such as their role within the energy storage sector. It was recognised that there was the risk of selection bias from the researcher, and that interviews are subjective and each interviewee is likely to have their own agenda and biases. For these reasons, it was important that the sample was representative of the wider population within the relevant domains, in order to provide balance. </w:t>
      </w:r>
    </w:p>
    <w:p w14:paraId="32F22A16" w14:textId="77777777" w:rsidR="00554CE2" w:rsidRDefault="00554CE2" w:rsidP="00554CE2">
      <w:pPr>
        <w:jc w:val="both"/>
        <w:rPr>
          <w:color w:val="FF0000"/>
        </w:rPr>
      </w:pPr>
    </w:p>
    <w:p w14:paraId="0F4556FA" w14:textId="61528BC5" w:rsidR="00554CE2" w:rsidRDefault="00666C39" w:rsidP="00554CE2">
      <w:pPr>
        <w:jc w:val="both"/>
      </w:pPr>
      <w:r>
        <w:t>A total of 55</w:t>
      </w:r>
      <w:r w:rsidR="00554CE2">
        <w:t xml:space="preserve"> individuals, companies, or organisations related to the policy and technology sectors and energy and energy storage were contacted, by phone or by email, to request an interview. Emails were tailor written for each individual, company, or organisation, although the emails did follow a basic template. These initial con</w:t>
      </w:r>
      <w:r>
        <w:t>tacts led to a total of fifteen</w:t>
      </w:r>
      <w:r w:rsidR="00554CE2">
        <w:t xml:space="preserve"> interviews being conducted over </w:t>
      </w:r>
      <w:r>
        <w:t>the space of approximately eight</w:t>
      </w:r>
      <w:r w:rsidR="00554CE2">
        <w:t xml:space="preserve"> weeks. The final selection of participants did indeed come from a wide variety of fields within the policy and technology domains, as can be seen in </w:t>
      </w:r>
      <w:r w:rsidR="00BE346F">
        <w:t xml:space="preserve">Appendix A. </w:t>
      </w:r>
      <w:r w:rsidR="00554CE2">
        <w:t>This vindicates that selection bias was not introduced by the researcher. It was noted, however, that of the individuals approached for interview whose name was known, the vast majority were men. Only one woman was subsequently interviewed. The reasons for this can be speculated upon but it is beyond the scope of this current research to do so. However, the responses to questions by the single woman interviewed did not differ particularly from those of her male peers, nor would there be any particular reason why they might. Therefore, this research makes the assumption that the significant gender imbalance did not alter the research findings. Furthermore, although respondents were not asked their age, the interviewees’ age range was clearly diverse. However, all interviewees were Dutch and thus not very representative in terms of national cultural diversity. However,</w:t>
      </w:r>
      <w:r w:rsidR="009D709E">
        <w:t xml:space="preserve"> as with the gender imbalance, this was not considered to materially alter the research findings</w:t>
      </w:r>
      <w:r w:rsidR="00554CE2">
        <w:t xml:space="preserve">. </w:t>
      </w:r>
    </w:p>
    <w:p w14:paraId="72266525" w14:textId="77777777" w:rsidR="00554CE2" w:rsidRDefault="00554CE2" w:rsidP="00554CE2">
      <w:pPr>
        <w:jc w:val="both"/>
      </w:pPr>
    </w:p>
    <w:p w14:paraId="460342B6" w14:textId="05BDD4EF" w:rsidR="00554CE2" w:rsidRDefault="00554CE2" w:rsidP="00554CE2">
      <w:pPr>
        <w:jc w:val="both"/>
      </w:pPr>
      <w:r>
        <w:t xml:space="preserve">A further consideration was that “even relatively powerful actors do not have perfect access to information, even should they wish to share it” </w:t>
      </w:r>
      <w:r>
        <w:rPr>
          <w:noProof/>
        </w:rPr>
        <w:t>(Crang, 2002, p.649)</w:t>
      </w:r>
      <w:r>
        <w:t xml:space="preserve">, and that there might be problems due to the language used in the interviews. The interviews were conducted in the Netherlands between a non-Dutch speaking researcher and interviewees who spoke Dutch as their native language. The interviews were therefore conducted with all parties speaking English, and although all interviewees had excellent English-language skills it is recognised that there was the risk of confusion over the exact wording used, both in questions and replies; there might be limitations in terms of the respondents’ ability to express their thoughts and feelings using a non-native language. However, all participants agreed to the interviews being recorded (taking into account ethical issues which are discussed later in this section), which allowed for the content to be checked at a later date. Indeed, the interviews were transcribed as soon as possible after the event, although Crang (2002, p.652) recognises that the “informant quote, or even the full </w:t>
      </w:r>
      <w:r>
        <w:lastRenderedPageBreak/>
        <w:t>transcript, is poorly served by being taken as ‘data’”. Therefore, when transcribing or recounting the information provided in the interviews it was important that methodological transparency was ensured; the accounts needed to be credible and intelligible, and the interpretation must be dependable and be confirmable. To this end, the researcher provided the opportunity</w:t>
      </w:r>
      <w:r w:rsidR="00BD16BB">
        <w:t xml:space="preserve"> for the participants to review</w:t>
      </w:r>
      <w:r>
        <w:t xml:space="preserve"> the results, once the </w:t>
      </w:r>
      <w:r w:rsidR="00BD16BB">
        <w:t xml:space="preserve">project was nearing completion, and several minor comments were received back for action by the researcher. </w:t>
      </w:r>
    </w:p>
    <w:p w14:paraId="06232D24" w14:textId="77777777" w:rsidR="00554CE2" w:rsidRDefault="00554CE2" w:rsidP="00554CE2">
      <w:pPr>
        <w:jc w:val="both"/>
      </w:pPr>
    </w:p>
    <w:p w14:paraId="0E877C92" w14:textId="3514F1CD" w:rsidR="00554CE2" w:rsidRDefault="00554CE2" w:rsidP="00554CE2">
      <w:pPr>
        <w:jc w:val="both"/>
      </w:pPr>
      <w:r>
        <w:t>Other ethical considerations were also considered, as potential risks from research include:</w:t>
      </w:r>
    </w:p>
    <w:p w14:paraId="7F8D18B7" w14:textId="77777777" w:rsidR="00991A14" w:rsidRDefault="00991A14" w:rsidP="00554CE2">
      <w:pPr>
        <w:jc w:val="both"/>
      </w:pPr>
    </w:p>
    <w:p w14:paraId="0E63594C" w14:textId="77777777" w:rsidR="00554CE2" w:rsidRDefault="00554CE2" w:rsidP="00666C39">
      <w:pPr>
        <w:pStyle w:val="Opsomming1"/>
      </w:pPr>
      <w:r>
        <w:t>causing psychological or physical harm to participants or others;</w:t>
      </w:r>
    </w:p>
    <w:p w14:paraId="1465712F" w14:textId="77777777" w:rsidR="00554CE2" w:rsidRDefault="00554CE2" w:rsidP="00666C39">
      <w:pPr>
        <w:pStyle w:val="Opsomming1"/>
      </w:pPr>
      <w:r>
        <w:t>damaging the standing or reputation of participants or others;</w:t>
      </w:r>
    </w:p>
    <w:p w14:paraId="12B3D0DF" w14:textId="77777777" w:rsidR="00554CE2" w:rsidRDefault="00554CE2" w:rsidP="00666C39">
      <w:pPr>
        <w:pStyle w:val="Opsomming1"/>
      </w:pPr>
      <w:r>
        <w:t>infringing the privacy of participants or others;</w:t>
      </w:r>
    </w:p>
    <w:p w14:paraId="1760C8B7" w14:textId="77777777" w:rsidR="00554CE2" w:rsidRDefault="00554CE2" w:rsidP="00666C39">
      <w:pPr>
        <w:pStyle w:val="Opsomming1"/>
      </w:pPr>
      <w:r>
        <w:t>breaking the law;</w:t>
      </w:r>
    </w:p>
    <w:p w14:paraId="76179BBF" w14:textId="48C2C77C" w:rsidR="00554CE2" w:rsidRPr="002534C0" w:rsidRDefault="00554CE2" w:rsidP="004374A5">
      <w:pPr>
        <w:pStyle w:val="Opsomming1"/>
        <w:jc w:val="both"/>
      </w:pPr>
      <w:r>
        <w:t xml:space="preserve">harming a community in some way </w:t>
      </w:r>
      <w:r w:rsidR="002534C0">
        <w:rPr>
          <w:noProof/>
        </w:rPr>
        <w:t>(Thomas, 2013, p42)</w:t>
      </w:r>
      <w:r>
        <w:t>.</w:t>
      </w:r>
      <w:r w:rsidR="00666C39">
        <w:t xml:space="preserve"> </w:t>
      </w:r>
    </w:p>
    <w:p w14:paraId="736BA919" w14:textId="77777777" w:rsidR="002534C0" w:rsidRDefault="002534C0" w:rsidP="002534C0">
      <w:pPr>
        <w:pStyle w:val="Opsomming1"/>
        <w:numPr>
          <w:ilvl w:val="0"/>
          <w:numId w:val="0"/>
        </w:numPr>
        <w:ind w:left="927"/>
        <w:jc w:val="both"/>
      </w:pPr>
    </w:p>
    <w:p w14:paraId="02BEF317" w14:textId="16EEDA34" w:rsidR="00554CE2" w:rsidRDefault="00554CE2" w:rsidP="00554CE2">
      <w:pPr>
        <w:jc w:val="both"/>
      </w:pPr>
      <w:r>
        <w:t>Care was taken to ensure that none of the above occurred during the research process. Indeed, to protect the participants, it was important to ensure that they had a full understanding of their involvement in the project, and that their informed consent was given. According to O’Leary (2004), informed consent implies that participants are competent, autonomous, involved voluntarily, aware of their right to discontinue, not deceived, not coerced, and not induced. Furthermore, Blaxter et al. (2001, cited in Bell, 2005) state that “research ethics is about being clear about the nature of the agreement you have entered into with your research subjects or contacts”. To this end, it was made clear the reason that the research was being undertaken and there was transparency who would be receiving the final thesis. For example, as the researcher is working as an intern for a company within the Netherlands, it was made clear to interviewees that this company would also be receiving the final thesis. It was also made clear that the interviews were confidential and parti</w:t>
      </w:r>
      <w:r w:rsidR="00B26AF8">
        <w:t>cipants would rem</w:t>
      </w:r>
      <w:r w:rsidR="00286E58">
        <w:t>ain anonymous; to this end, each interviewee was assigned a unique letter of the alphabet. This letter is then used in place of their name when discussing the interviews. The names of companies that individuals worked for or represented was also kept confidential</w:t>
      </w:r>
      <w:r w:rsidR="00386952">
        <w:t xml:space="preserve"> (see </w:t>
      </w:r>
      <w:r w:rsidR="00BE346F" w:rsidRPr="00BE346F">
        <w:t>Appendix A).</w:t>
      </w:r>
      <w:r w:rsidR="00286E58" w:rsidRPr="00BE346F">
        <w:t xml:space="preserve">  </w:t>
      </w:r>
    </w:p>
    <w:p w14:paraId="728060D7" w14:textId="77777777" w:rsidR="00554CE2" w:rsidRDefault="00554CE2" w:rsidP="00554CE2">
      <w:pPr>
        <w:ind w:left="0"/>
        <w:jc w:val="both"/>
      </w:pPr>
    </w:p>
    <w:p w14:paraId="42100DBF" w14:textId="77777777" w:rsidR="00554CE2" w:rsidRDefault="00554CE2" w:rsidP="00554CE2">
      <w:pPr>
        <w:jc w:val="both"/>
      </w:pPr>
      <w:r>
        <w:t>This study takes a critical realist approach in its ontology, that is towards the set of concepts and categories in the subject area or domain that shows their properties and the relations between them. Critical realism takes a causal-explanatory approach which allows for the examination of the root causes for niche creation and, therefore, it is possible to draw conclusions as to the reasons how and why they are created. An objectivist epistemology is then applied. This enables the researcher to use reasoning to draw conclusions without bias. However, it is noted here that a post-positivist paradigm understands that measurements are fallible and errors can be made. To achieve objectivity, it was necessary to triangulate the data received from different sources – as interviews alone are not infallible – in order to best interpret the information in as error-free way as possible. To interpret collected qualitative data, a ‘constant comparison’ method was used. This method “involves going through your data again and again … comparing each element … with all of the other elements” (Thomas, 2013, p.235).</w:t>
      </w:r>
    </w:p>
    <w:p w14:paraId="7CEC29AE" w14:textId="77777777" w:rsidR="00554CE2" w:rsidRDefault="00554CE2" w:rsidP="00554CE2">
      <w:pPr>
        <w:jc w:val="both"/>
      </w:pPr>
    </w:p>
    <w:p w14:paraId="0B07FB7D" w14:textId="51D252B5" w:rsidR="00554CE2" w:rsidRDefault="00554CE2" w:rsidP="00554CE2">
      <w:pPr>
        <w:jc w:val="both"/>
      </w:pPr>
      <w:r>
        <w:t xml:space="preserve">After listening back to the interviews and re-reading transcripts, a number of themes and sub-themes emerged which captured the contents of the data. The data was reviewed once again, and, for each interview, relevant quotations and sections were matched to each theme. This </w:t>
      </w:r>
      <w:r>
        <w:lastRenderedPageBreak/>
        <w:t xml:space="preserve">method allowed the essence of the data to captured, as well as showing links between each theme, what viewpoints were unanimous, and what contradictions and paradoxes arose. These themes </w:t>
      </w:r>
      <w:r w:rsidR="00973D5B">
        <w:t>w</w:t>
      </w:r>
      <w:r>
        <w:t xml:space="preserve">ill be discussed more in </w:t>
      </w:r>
      <w:r w:rsidR="00973D5B" w:rsidRPr="00991A14">
        <w:t xml:space="preserve">Section </w:t>
      </w:r>
      <w:r w:rsidR="00973D5B" w:rsidRPr="00991A14">
        <w:fldChar w:fldCharType="begin"/>
      </w:r>
      <w:r w:rsidR="00973D5B" w:rsidRPr="00991A14">
        <w:instrText xml:space="preserve"> REF _Ref487458259 \r \h </w:instrText>
      </w:r>
      <w:r w:rsidR="00991A14">
        <w:instrText xml:space="preserve"> \* MERGEFORMAT </w:instrText>
      </w:r>
      <w:r w:rsidR="00973D5B" w:rsidRPr="00991A14">
        <w:fldChar w:fldCharType="separate"/>
      </w:r>
      <w:r w:rsidR="00973D5B" w:rsidRPr="00991A14">
        <w:t>6.2.3</w:t>
      </w:r>
      <w:r w:rsidR="00973D5B" w:rsidRPr="00991A14">
        <w:fldChar w:fldCharType="end"/>
      </w:r>
      <w:r w:rsidR="00973D5B" w:rsidRPr="00991A14">
        <w:t>.</w:t>
      </w:r>
    </w:p>
    <w:p w14:paraId="4C47A6E0" w14:textId="77777777" w:rsidR="00554CE2" w:rsidRDefault="00554CE2" w:rsidP="00554CE2">
      <w:pPr>
        <w:ind w:left="0"/>
        <w:jc w:val="both"/>
      </w:pPr>
    </w:p>
    <w:p w14:paraId="73D9CF9D" w14:textId="03F5193B" w:rsidR="00554CE2" w:rsidRPr="00D02171" w:rsidRDefault="00554CE2" w:rsidP="00554CE2">
      <w:pPr>
        <w:jc w:val="both"/>
        <w:rPr>
          <w:color w:val="FF0000"/>
        </w:rPr>
      </w:pPr>
      <w:r>
        <w:t>Issues of reliability and validity were also considered. According to Thomas (2013, p.138)</w:t>
      </w:r>
      <w:r w:rsidR="00D86BBE">
        <w:t>,</w:t>
      </w:r>
      <w:r>
        <w:t xml:space="preserve"> reliability “refers to the extent to which a research instrument such as a test will give the same result on different occasions”. Thomas (2013) continues to say that in interpretive research (as in the case of this research) you would not expect a different researcher to emerge with the same interview transcripts as in this research and therefore reliability is “irrelevant in interpretive research”. Validity “refers to how well a test measures what it is purported to measure” </w:t>
      </w:r>
      <w:r>
        <w:rPr>
          <w:noProof/>
        </w:rPr>
        <w:t>(Phelan &amp; Wren, n.d.)</w:t>
      </w:r>
      <w:r>
        <w:t>, and it was important to ensure that</w:t>
      </w:r>
      <w:r w:rsidR="00D63B47">
        <w:t xml:space="preserve"> tools used in the research (such as i</w:t>
      </w:r>
      <w:r>
        <w:t xml:space="preserve">nterviews) are fit for the purpose and measure what they are supposed to measure. Furthermore, it was important not to mistake causal direction; in other words, it is important not to confuse </w:t>
      </w:r>
      <w:r>
        <w:rPr>
          <w:i/>
          <w:iCs/>
        </w:rPr>
        <w:t>what</w:t>
      </w:r>
      <w:r>
        <w:t xml:space="preserve"> causes </w:t>
      </w:r>
      <w:r>
        <w:rPr>
          <w:i/>
          <w:iCs/>
        </w:rPr>
        <w:t>what</w:t>
      </w:r>
      <w:r>
        <w:t xml:space="preserve"> (Thomas, 2013). </w:t>
      </w:r>
    </w:p>
    <w:p w14:paraId="05FEBDFD" w14:textId="77777777" w:rsidR="00554CE2" w:rsidRDefault="00554CE2" w:rsidP="00554CE2"/>
    <w:p w14:paraId="6F0F4626" w14:textId="4BCAA8DA" w:rsidR="00554CE2" w:rsidRPr="00E328AC" w:rsidRDefault="00554CE2" w:rsidP="00671B0F">
      <w:pPr>
        <w:pStyle w:val="Heading1"/>
        <w:numPr>
          <w:ilvl w:val="0"/>
          <w:numId w:val="5"/>
        </w:numPr>
      </w:pPr>
      <w:bookmarkStart w:id="44" w:name="_Ref478387405"/>
      <w:bookmarkStart w:id="45" w:name="_Toc490566981"/>
      <w:r>
        <w:t>TECHNICAL ASPECTS</w:t>
      </w:r>
      <w:bookmarkEnd w:id="44"/>
      <w:bookmarkEnd w:id="45"/>
    </w:p>
    <w:p w14:paraId="3803142B" w14:textId="77777777" w:rsidR="00554CE2" w:rsidRPr="007E5F9F" w:rsidRDefault="00554CE2" w:rsidP="00671B0F">
      <w:pPr>
        <w:pStyle w:val="Heading2"/>
        <w:numPr>
          <w:ilvl w:val="1"/>
          <w:numId w:val="5"/>
        </w:numPr>
      </w:pPr>
      <w:bookmarkStart w:id="46" w:name="_Toc490566982"/>
      <w:r w:rsidRPr="007E5F9F">
        <w:t>Introduction</w:t>
      </w:r>
      <w:bookmarkEnd w:id="46"/>
    </w:p>
    <w:p w14:paraId="692992E8" w14:textId="47EE4AC7" w:rsidR="00554CE2" w:rsidRDefault="00554CE2" w:rsidP="00554CE2">
      <w:pPr>
        <w:jc w:val="both"/>
      </w:pPr>
      <w:r>
        <w:t xml:space="preserve">This section will detail some of the technical </w:t>
      </w:r>
      <w:r w:rsidR="001A11F4">
        <w:t>specifics</w:t>
      </w:r>
      <w:r>
        <w:t xml:space="preserve"> which are relevant to the research presented in later sections. </w:t>
      </w:r>
      <w:r w:rsidR="00CE1438">
        <w:t>F</w:t>
      </w:r>
      <w:r w:rsidR="001A11F4">
        <w:t xml:space="preserve">urthermore, it will </w:t>
      </w:r>
      <w:r w:rsidR="00826696">
        <w:t>look beyond</w:t>
      </w:r>
      <w:r w:rsidR="00D63B47">
        <w:t xml:space="preserve"> solely</w:t>
      </w:r>
      <w:r w:rsidR="00826696">
        <w:t xml:space="preserve"> the technicalities and highlight several ways in which these technologies are related to the policy and technology domains. Indeed, different technical features might enable or constrain certain policy options. </w:t>
      </w:r>
      <w:r>
        <w:t xml:space="preserve">Section </w:t>
      </w:r>
      <w:r>
        <w:fldChar w:fldCharType="begin"/>
      </w:r>
      <w:r>
        <w:instrText xml:space="preserve"> REF _Ref478476672 \r \h </w:instrText>
      </w:r>
      <w:r>
        <w:fldChar w:fldCharType="separate"/>
      </w:r>
      <w:r>
        <w:t>5.2</w:t>
      </w:r>
      <w:r>
        <w:fldChar w:fldCharType="end"/>
      </w:r>
      <w:r>
        <w:t xml:space="preserve"> will introduce the variety of renewable energy sources which are available, and focus on those most commonly used in the Netherlands. Section </w:t>
      </w:r>
      <w:r>
        <w:fldChar w:fldCharType="begin"/>
      </w:r>
      <w:r>
        <w:instrText xml:space="preserve"> REF _Ref478385306 \r \h </w:instrText>
      </w:r>
      <w:r>
        <w:fldChar w:fldCharType="separate"/>
      </w:r>
      <w:r>
        <w:t>5.3</w:t>
      </w:r>
      <w:r>
        <w:fldChar w:fldCharType="end"/>
      </w:r>
      <w:r>
        <w:t xml:space="preserve"> will explain the basics of electricity generation, transmission, and distribution. Section </w:t>
      </w:r>
      <w:r>
        <w:fldChar w:fldCharType="begin"/>
      </w:r>
      <w:r>
        <w:instrText xml:space="preserve"> REF _Ref478389315 \r \h </w:instrText>
      </w:r>
      <w:r>
        <w:fldChar w:fldCharType="separate"/>
      </w:r>
      <w:r>
        <w:t>5.4</w:t>
      </w:r>
      <w:r>
        <w:fldChar w:fldCharType="end"/>
      </w:r>
      <w:r>
        <w:t xml:space="preserve"> will introduce the variety of ESS technologies </w:t>
      </w:r>
      <w:r w:rsidR="00413AE0">
        <w:t xml:space="preserve">available </w:t>
      </w:r>
      <w:r>
        <w:t xml:space="preserve">and </w:t>
      </w:r>
      <w:r w:rsidR="00413AE0">
        <w:t>their</w:t>
      </w:r>
      <w:r>
        <w:t xml:space="preserve"> applications.</w:t>
      </w:r>
    </w:p>
    <w:p w14:paraId="7AF5AD96" w14:textId="77777777" w:rsidR="00554CE2" w:rsidRDefault="00554CE2" w:rsidP="00554CE2"/>
    <w:p w14:paraId="3E11557E" w14:textId="77777777" w:rsidR="00554CE2" w:rsidRPr="007E5F9F" w:rsidRDefault="00554CE2" w:rsidP="00671B0F">
      <w:pPr>
        <w:pStyle w:val="Heading2"/>
        <w:numPr>
          <w:ilvl w:val="1"/>
          <w:numId w:val="5"/>
        </w:numPr>
      </w:pPr>
      <w:bookmarkStart w:id="47" w:name="_Ref478476672"/>
      <w:bookmarkStart w:id="48" w:name="_Toc490566983"/>
      <w:r w:rsidRPr="007E5F9F">
        <w:t>Renewable energy sources</w:t>
      </w:r>
      <w:bookmarkEnd w:id="47"/>
      <w:bookmarkEnd w:id="48"/>
    </w:p>
    <w:p w14:paraId="1EA47AE1" w14:textId="0A424937" w:rsidR="00554CE2" w:rsidRDefault="00554CE2" w:rsidP="00777D8C">
      <w:pPr>
        <w:jc w:val="both"/>
      </w:pPr>
      <w:r>
        <w:t xml:space="preserve">Renewable energy sources are those which are non-finite and naturally replenished. Bioenergy, hydropower, wind energy, solar energy and tidal energy can be considered to be renewable energy sources. Geothermal energy is also often grouped alongside these, although strictly speaking </w:t>
      </w:r>
      <w:r w:rsidR="00E951E9">
        <w:t xml:space="preserve">geothermal energy is not an RES </w:t>
      </w:r>
      <w:r>
        <w:t xml:space="preserve">as energy can become depleted in a specific location, unless it is managed carefully. </w:t>
      </w:r>
      <w:r w:rsidR="00413AE0">
        <w:t>As previously explained</w:t>
      </w:r>
      <w:r w:rsidR="007908B6">
        <w:t xml:space="preserve">, this </w:t>
      </w:r>
      <w:r w:rsidR="0045769B">
        <w:t xml:space="preserve">research focusses </w:t>
      </w:r>
      <w:r w:rsidR="00D63B47">
        <w:t>on solar</w:t>
      </w:r>
      <w:r w:rsidR="0045769B">
        <w:t xml:space="preserve"> and wind</w:t>
      </w:r>
      <w:r w:rsidR="00EF243E">
        <w:t xml:space="preserve"> energy; these </w:t>
      </w:r>
      <w:r w:rsidR="00E951E9">
        <w:t xml:space="preserve">two sources of energy </w:t>
      </w:r>
      <w:r w:rsidR="00413AE0">
        <w:t xml:space="preserve">will </w:t>
      </w:r>
      <w:r w:rsidR="00EF243E">
        <w:t xml:space="preserve">be detailed in the following </w:t>
      </w:r>
      <w:r w:rsidR="00413AE0">
        <w:t>sub-</w:t>
      </w:r>
      <w:r w:rsidR="00EF243E">
        <w:t xml:space="preserve">sections. </w:t>
      </w:r>
    </w:p>
    <w:p w14:paraId="1994D89A" w14:textId="77777777" w:rsidR="0045769B" w:rsidRPr="007E5F9F" w:rsidRDefault="0045769B" w:rsidP="00671B0F">
      <w:pPr>
        <w:pStyle w:val="Heading3"/>
        <w:numPr>
          <w:ilvl w:val="2"/>
          <w:numId w:val="5"/>
        </w:numPr>
      </w:pPr>
      <w:r w:rsidRPr="007E5F9F">
        <w:t>Solar Energy</w:t>
      </w:r>
    </w:p>
    <w:p w14:paraId="7E465200" w14:textId="77777777" w:rsidR="0045769B" w:rsidRDefault="0045769B" w:rsidP="0045769B">
      <w:r>
        <w:t>Solar irradiation can be utilised in a number of ways:</w:t>
      </w:r>
    </w:p>
    <w:p w14:paraId="6AC4C3D5" w14:textId="77777777" w:rsidR="0045769B" w:rsidRDefault="0045769B" w:rsidP="0045769B"/>
    <w:p w14:paraId="1999A9B5" w14:textId="007CB077" w:rsidR="0045769B" w:rsidRDefault="0045769B" w:rsidP="00F85B88">
      <w:pPr>
        <w:pStyle w:val="Opsomming1"/>
        <w:numPr>
          <w:ilvl w:val="0"/>
          <w:numId w:val="6"/>
        </w:numPr>
        <w:jc w:val="both"/>
      </w:pPr>
      <w:r>
        <w:t xml:space="preserve">Heat production through solar collectors which are thermally isolated from the environment and heated by irradiation. The heat can be taken away </w:t>
      </w:r>
      <w:r w:rsidR="003423D5">
        <w:t>by water or air, amongst others;</w:t>
      </w:r>
      <w:r>
        <w:t xml:space="preserve"> </w:t>
      </w:r>
    </w:p>
    <w:p w14:paraId="37104AD0" w14:textId="3D46A030" w:rsidR="0045769B" w:rsidRDefault="0045769B" w:rsidP="00F85B88">
      <w:pPr>
        <w:pStyle w:val="Opsomming1"/>
        <w:numPr>
          <w:ilvl w:val="0"/>
          <w:numId w:val="6"/>
        </w:numPr>
        <w:jc w:val="both"/>
      </w:pPr>
      <w:r>
        <w:t>Electricity production through so-called solar thermal power plants. Direct solar irradiation is concentrated by mirrors to generate high temperature air or steam, which can be used to produc</w:t>
      </w:r>
      <w:r w:rsidR="003423D5">
        <w:t>e electricity;</w:t>
      </w:r>
    </w:p>
    <w:p w14:paraId="0712E109" w14:textId="77777777" w:rsidR="0045769B" w:rsidRDefault="0045769B" w:rsidP="00F85B88">
      <w:pPr>
        <w:pStyle w:val="Opsomming1"/>
        <w:numPr>
          <w:ilvl w:val="0"/>
          <w:numId w:val="6"/>
        </w:numPr>
        <w:jc w:val="both"/>
      </w:pPr>
      <w:r>
        <w:t xml:space="preserve">Electricity production by use of the photovoltaic effect. Solar irradiation is converted directly into Direct Current (DC) electricity in photovoltaic (PV) cells </w:t>
      </w:r>
      <w:sdt>
        <w:sdtPr>
          <w:id w:val="767050543"/>
          <w:citation/>
        </w:sdtPr>
        <w:sdtEndPr/>
        <w:sdtContent>
          <w:r>
            <w:fldChar w:fldCharType="begin"/>
          </w:r>
          <w:r>
            <w:instrText xml:space="preserve"> CITATION Blo07 \l 2057 </w:instrText>
          </w:r>
          <w:r>
            <w:fldChar w:fldCharType="separate"/>
          </w:r>
          <w:r>
            <w:rPr>
              <w:noProof/>
            </w:rPr>
            <w:t>(Blok, 2007)</w:t>
          </w:r>
          <w:r>
            <w:rPr>
              <w:noProof/>
            </w:rPr>
            <w:fldChar w:fldCharType="end"/>
          </w:r>
        </w:sdtContent>
      </w:sdt>
      <w:r>
        <w:t xml:space="preserve">. </w:t>
      </w:r>
    </w:p>
    <w:p w14:paraId="7A4FD714" w14:textId="77777777" w:rsidR="0045769B" w:rsidRDefault="0045769B" w:rsidP="0045769B">
      <w:pPr>
        <w:pStyle w:val="Opsomming1"/>
        <w:numPr>
          <w:ilvl w:val="0"/>
          <w:numId w:val="0"/>
        </w:numPr>
        <w:ind w:left="927" w:hanging="360"/>
      </w:pPr>
    </w:p>
    <w:p w14:paraId="63FB1F09" w14:textId="77777777" w:rsidR="0045769B" w:rsidRDefault="0045769B" w:rsidP="0045769B">
      <w:pPr>
        <w:pStyle w:val="Opsomming1"/>
        <w:numPr>
          <w:ilvl w:val="0"/>
          <w:numId w:val="0"/>
        </w:numPr>
        <w:ind w:left="567"/>
        <w:jc w:val="both"/>
        <w:rPr>
          <w:color w:val="FF0000"/>
        </w:rPr>
      </w:pPr>
      <w:r>
        <w:t xml:space="preserve">Solar power is intermittent and generally non-dispatchable. It is not the same in all locations, is affected by cloud cover, and does not shine for all hours of the day in a given location </w:t>
      </w:r>
      <w:r>
        <w:rPr>
          <w:noProof/>
        </w:rPr>
        <w:t>(Hanania, et al., n.d.)</w:t>
      </w:r>
      <w:r>
        <w:t>. Global installed capacity for solar-powered electricity has seen growth, reaching around 227 GW</w:t>
      </w:r>
      <w:r>
        <w:rPr>
          <w:vertAlign w:val="subscript"/>
        </w:rPr>
        <w:t>e</w:t>
      </w:r>
      <w:r>
        <w:t xml:space="preserve"> at the end of 2015; this accounts for about 1% of all electricity used globally </w:t>
      </w:r>
      <w:sdt>
        <w:sdtPr>
          <w:id w:val="-1899193874"/>
          <w:citation/>
        </w:sdtPr>
        <w:sdtEndPr/>
        <w:sdtContent>
          <w:r>
            <w:fldChar w:fldCharType="begin"/>
          </w:r>
          <w:r>
            <w:instrText xml:space="preserve"> CITATION Wor17 \l 2057 </w:instrText>
          </w:r>
          <w:r>
            <w:fldChar w:fldCharType="separate"/>
          </w:r>
          <w:r>
            <w:rPr>
              <w:noProof/>
            </w:rPr>
            <w:t>(World Energy Council, 2017)</w:t>
          </w:r>
          <w:r>
            <w:fldChar w:fldCharType="end"/>
          </w:r>
        </w:sdtContent>
      </w:sdt>
      <w:r>
        <w:t xml:space="preserve">. Total installed capacity of solar panels in the Netherlands in 2016 was 2,000 MW – an increase of 500 MW from 2015 </w:t>
      </w:r>
      <w:r>
        <w:rPr>
          <w:noProof/>
        </w:rPr>
        <w:t>(CBS, 2017).</w:t>
      </w:r>
    </w:p>
    <w:p w14:paraId="33E29761" w14:textId="77777777" w:rsidR="0045769B" w:rsidRDefault="0045769B" w:rsidP="0045769B">
      <w:pPr>
        <w:jc w:val="both"/>
      </w:pPr>
    </w:p>
    <w:p w14:paraId="30D99C50" w14:textId="745D8939" w:rsidR="0045769B" w:rsidRDefault="0045769B" w:rsidP="0045769B">
      <w:pPr>
        <w:jc w:val="both"/>
      </w:pPr>
      <w:r>
        <w:t xml:space="preserve">Two common ways to utilise solar power are through solar PV panels installed on the roofs individual houses, or on solar PV panels installed at large solar farms. Each method has its own benefits and are have distinct differences in respect the policy and technological domains. For example, although now a common sight in the Netherlands, solar PV panels installed on a roof might not be considered aesthetically pleasing to some individuals which might discourage their purchase. However, it is now possible to purchase Tesla </w:t>
      </w:r>
      <w:r>
        <w:rPr>
          <w:i/>
        </w:rPr>
        <w:t xml:space="preserve">Solar Roof </w:t>
      </w:r>
      <w:r>
        <w:t xml:space="preserve">solar PV tiles which are marketed as ‘Invisible Solar Tiles’ </w:t>
      </w:r>
      <w:sdt>
        <w:sdtPr>
          <w:id w:val="904726879"/>
          <w:citation/>
        </w:sdtPr>
        <w:sdtEndPr/>
        <w:sdtContent>
          <w:r>
            <w:fldChar w:fldCharType="begin"/>
          </w:r>
          <w:r>
            <w:instrText xml:space="preserve"> CITATION Tes17 \l 2057 </w:instrText>
          </w:r>
          <w:r>
            <w:fldChar w:fldCharType="separate"/>
          </w:r>
          <w:r>
            <w:rPr>
              <w:noProof/>
            </w:rPr>
            <w:t>(Tesla, 2017)</w:t>
          </w:r>
          <w:r>
            <w:fldChar w:fldCharType="end"/>
          </w:r>
        </w:sdtContent>
      </w:sdt>
      <w:r>
        <w:t xml:space="preserve"> and are designed to look similar to regular roof tiles. Although it is beyond the scope of this research to investigate any regulatory processes involved, it is likely that new standards, codes, or regulation was introduced before they were made available on the market. A further example is that a large solar farm takes up a significant area of land which could be used for other purposes – such as for agriculture or a housing development – and when considering developing a solar farm, policymakers must make decisions over whether it is the </w:t>
      </w:r>
      <w:r w:rsidR="00514A2C">
        <w:t xml:space="preserve">most effective or efficient </w:t>
      </w:r>
      <w:r>
        <w:t>use of land resources.</w:t>
      </w:r>
    </w:p>
    <w:p w14:paraId="66C6C213" w14:textId="77777777" w:rsidR="00554CE2" w:rsidRPr="007E5F9F" w:rsidRDefault="00554CE2" w:rsidP="00671B0F">
      <w:pPr>
        <w:pStyle w:val="Heading3"/>
        <w:numPr>
          <w:ilvl w:val="2"/>
          <w:numId w:val="5"/>
        </w:numPr>
      </w:pPr>
      <w:r w:rsidRPr="007E5F9F">
        <w:t>Wind Energy</w:t>
      </w:r>
    </w:p>
    <w:p w14:paraId="721045EA" w14:textId="05B77C9D" w:rsidR="00554CE2" w:rsidRDefault="00554CE2" w:rsidP="00554CE2">
      <w:pPr>
        <w:jc w:val="both"/>
      </w:pPr>
      <w:r>
        <w:t xml:space="preserve">Wind energy utilizes the kinetic energy in flowing air masses to generate electricity </w:t>
      </w:r>
      <w:sdt>
        <w:sdtPr>
          <w:id w:val="1822850962"/>
          <w:citation/>
        </w:sdtPr>
        <w:sdtEndPr/>
        <w:sdtContent>
          <w:r>
            <w:fldChar w:fldCharType="begin"/>
          </w:r>
          <w:r>
            <w:instrText xml:space="preserve"> CITATION Blo07 \l 2057 </w:instrText>
          </w:r>
          <w:r>
            <w:fldChar w:fldCharType="separate"/>
          </w:r>
          <w:r>
            <w:rPr>
              <w:noProof/>
            </w:rPr>
            <w:t>(Blok, 2007)</w:t>
          </w:r>
          <w:r>
            <w:rPr>
              <w:noProof/>
            </w:rPr>
            <w:fldChar w:fldCharType="end"/>
          </w:r>
        </w:sdtContent>
      </w:sdt>
      <w:r>
        <w:t xml:space="preserve">. Wind power is converted to electrical energy by wind turbines. Wind power is intermittent and non-dispatchable due to various factors such as wind speed, air density, and turbine characteristics </w:t>
      </w:r>
      <w:r w:rsidR="00DF3660">
        <w:rPr>
          <w:noProof/>
        </w:rPr>
        <w:t>(Hanania, et al., n.d.)</w:t>
      </w:r>
      <w:r>
        <w:t xml:space="preserve">. </w:t>
      </w:r>
    </w:p>
    <w:p w14:paraId="5E43D659" w14:textId="44F16BF2" w:rsidR="00B001C5" w:rsidRDefault="00554CE2" w:rsidP="00B001C5">
      <w:pPr>
        <w:jc w:val="both"/>
      </w:pPr>
      <w:r>
        <w:br/>
        <w:t>World wind power generation capacity re</w:t>
      </w:r>
      <w:r w:rsidR="00F85CAC">
        <w:t>ached 435 GW at the end of 2015;</w:t>
      </w:r>
      <w:r>
        <w:t xml:space="preserve"> approximately 7% of total global power generation capacity. The global growth rate is increasing, at 17.2% compared to 16.4% in 2014, and global capacity could grow to 977 GW by 2030 (905 GW on-shore and 72 GW off-shore). Global wind power generation reached 950 TWh in 2015, accounting for nearly 4% of global power generation. On-shore dominates but global off-shore capacity reached approximately 12,1</w:t>
      </w:r>
      <w:r w:rsidR="00A246CF">
        <w:t xml:space="preserve">07 MW by the end of 2015, with </w:t>
      </w:r>
      <w:r>
        <w:t xml:space="preserve">73 off-shore wind farms in 15 countries </w:t>
      </w:r>
      <w:sdt>
        <w:sdtPr>
          <w:id w:val="-965268615"/>
          <w:citation/>
        </w:sdtPr>
        <w:sdtEndPr/>
        <w:sdtContent>
          <w:r>
            <w:fldChar w:fldCharType="begin"/>
          </w:r>
          <w:r>
            <w:instrText xml:space="preserve">CITATION Wor16 \l 2057 </w:instrText>
          </w:r>
          <w:r>
            <w:fldChar w:fldCharType="separate"/>
          </w:r>
          <w:r>
            <w:rPr>
              <w:noProof/>
            </w:rPr>
            <w:t>(World Energy Council, 2016)</w:t>
          </w:r>
          <w:r>
            <w:rPr>
              <w:noProof/>
            </w:rPr>
            <w:fldChar w:fldCharType="end"/>
          </w:r>
        </w:sdtContent>
      </w:sdt>
      <w:r w:rsidR="00C62C0B">
        <w:t>.</w:t>
      </w:r>
      <w:r w:rsidR="00EF243E">
        <w:t xml:space="preserve"> Wind energy production capacity within the Netherlands has increased dramatically over the last two decades </w:t>
      </w:r>
      <w:sdt>
        <w:sdtPr>
          <w:id w:val="-867754471"/>
          <w:citation/>
        </w:sdtPr>
        <w:sdtEndPr/>
        <w:sdtContent>
          <w:r w:rsidR="00EF243E">
            <w:fldChar w:fldCharType="begin"/>
          </w:r>
          <w:r w:rsidR="00EF243E">
            <w:instrText xml:space="preserve"> CITATION The171 \l 2057 </w:instrText>
          </w:r>
          <w:r w:rsidR="00EF243E">
            <w:fldChar w:fldCharType="separate"/>
          </w:r>
          <w:r w:rsidR="00EF243E">
            <w:rPr>
              <w:noProof/>
            </w:rPr>
            <w:t>(The Windpower, 2017)</w:t>
          </w:r>
          <w:r w:rsidR="00EF243E">
            <w:fldChar w:fldCharType="end"/>
          </w:r>
        </w:sdtContent>
      </w:sdt>
      <w:r w:rsidR="00EF243E">
        <w:t>, and t</w:t>
      </w:r>
      <w:r w:rsidR="00562CDA">
        <w:t>here are currently 2,338 turbines installed in the Netherlands – both on- and off-shore – with a total generation capacity of 4,217 MW</w:t>
      </w:r>
      <w:r w:rsidR="00386952">
        <w:t xml:space="preserve">. The majority of this capacity (77.3%, 3,260 MW) is from on-shore turbines </w:t>
      </w:r>
      <w:sdt>
        <w:sdtPr>
          <w:id w:val="596063790"/>
          <w:citation/>
        </w:sdtPr>
        <w:sdtEndPr/>
        <w:sdtContent>
          <w:r w:rsidR="00386952">
            <w:fldChar w:fldCharType="begin"/>
          </w:r>
          <w:r w:rsidR="00386952">
            <w:instrText xml:space="preserve">CITATION Bosnd \l 2057 </w:instrText>
          </w:r>
          <w:r w:rsidR="00386952">
            <w:fldChar w:fldCharType="separate"/>
          </w:r>
          <w:r w:rsidR="00386952">
            <w:rPr>
              <w:noProof/>
            </w:rPr>
            <w:t>(Bosch &amp; Van Rijn, n.d.)</w:t>
          </w:r>
          <w:r w:rsidR="00386952">
            <w:fldChar w:fldCharType="end"/>
          </w:r>
        </w:sdtContent>
      </w:sdt>
      <w:r w:rsidR="004B7DDF">
        <w:t xml:space="preserve">. </w:t>
      </w:r>
    </w:p>
    <w:p w14:paraId="1C78B74F" w14:textId="77777777" w:rsidR="00B001C5" w:rsidRDefault="00B001C5" w:rsidP="00B001C5">
      <w:pPr>
        <w:ind w:left="0"/>
        <w:jc w:val="both"/>
      </w:pPr>
    </w:p>
    <w:p w14:paraId="4D25EF11" w14:textId="132D5122" w:rsidR="00054566" w:rsidRDefault="0039384F" w:rsidP="00DC7106">
      <w:pPr>
        <w:keepNext/>
        <w:jc w:val="both"/>
      </w:pPr>
      <w:r>
        <w:t>T</w:t>
      </w:r>
      <w:r w:rsidR="000B5E59">
        <w:t xml:space="preserve">he Netherlands is a relatively small and </w:t>
      </w:r>
      <w:r w:rsidR="00594B8E">
        <w:t xml:space="preserve">relatively </w:t>
      </w:r>
      <w:r w:rsidR="000B5E59">
        <w:t>densely populated country</w:t>
      </w:r>
      <w:r w:rsidR="00594B8E">
        <w:t>,</w:t>
      </w:r>
      <w:r w:rsidR="000B5E59">
        <w:t xml:space="preserve"> and </w:t>
      </w:r>
      <w:r w:rsidR="00594B8E">
        <w:t xml:space="preserve">therefore </w:t>
      </w:r>
      <w:r w:rsidR="000B5E59">
        <w:t xml:space="preserve">it is difficult to build large-scale on-shore farms. When considering siting smaller-scale on-shore farms, or even individual turbines, various factors must be considered. </w:t>
      </w:r>
      <w:r w:rsidR="008C05BC">
        <w:t>R</w:t>
      </w:r>
      <w:r w:rsidR="000B5E59">
        <w:t>esidents</w:t>
      </w:r>
      <w:r w:rsidR="008C05BC">
        <w:t xml:space="preserve"> situated near turbines</w:t>
      </w:r>
      <w:r w:rsidR="000B5E59">
        <w:t xml:space="preserve"> may complain about the landscape being spoiled, noise pollution, or shadow flicker from rotating blades</w:t>
      </w:r>
      <w:r w:rsidR="00054566">
        <w:t>, for example, and</w:t>
      </w:r>
      <w:r w:rsidR="008C05BC">
        <w:t xml:space="preserve"> </w:t>
      </w:r>
      <w:r w:rsidR="000B5E59">
        <w:t>turbines might have</w:t>
      </w:r>
      <w:r w:rsidR="008C05BC">
        <w:t xml:space="preserve"> an effect</w:t>
      </w:r>
      <w:r w:rsidR="000B5E59">
        <w:t xml:space="preserve"> on wildlife</w:t>
      </w:r>
      <w:r w:rsidR="00054566">
        <w:t xml:space="preserve"> including birds or bats</w:t>
      </w:r>
      <w:r w:rsidR="00C830A5">
        <w:t xml:space="preserve">. </w:t>
      </w:r>
      <w:r w:rsidR="00B001C5">
        <w:t xml:space="preserve">However, on-shore wind farms and individual turbines can be sited close to the place of electricity consumption and provide distributed energy generation. </w:t>
      </w:r>
      <w:r w:rsidR="00C231CC">
        <w:t xml:space="preserve">Due to their location, off-shore wind </w:t>
      </w:r>
      <w:r w:rsidR="00C231CC">
        <w:lastRenderedPageBreak/>
        <w:t xml:space="preserve">farms can </w:t>
      </w:r>
      <w:r w:rsidR="000A5C8D">
        <w:t xml:space="preserve">consist of a </w:t>
      </w:r>
      <w:r w:rsidR="00EF243E">
        <w:t>greater number of turbines, with the potential to provide greater production</w:t>
      </w:r>
      <w:r w:rsidR="000A5C8D">
        <w:t xml:space="preserve"> capacity</w:t>
      </w:r>
      <w:r w:rsidR="00EF243E">
        <w:t xml:space="preserve"> than smaller on-shore farms</w:t>
      </w:r>
      <w:r w:rsidR="000A5C8D">
        <w:t xml:space="preserve">. These larger-scale farms are located further from the point of energy consumption and can be considered to be more centralised generation. </w:t>
      </w:r>
    </w:p>
    <w:p w14:paraId="0E8134BB" w14:textId="6618660F" w:rsidR="00054566" w:rsidRDefault="00054566" w:rsidP="00DC7106">
      <w:pPr>
        <w:keepNext/>
        <w:jc w:val="both"/>
      </w:pPr>
    </w:p>
    <w:p w14:paraId="7B715AD2" w14:textId="27C68C37" w:rsidR="0045769B" w:rsidRDefault="00054566" w:rsidP="0045769B">
      <w:pPr>
        <w:keepNext/>
        <w:jc w:val="both"/>
      </w:pPr>
      <w:r>
        <w:t xml:space="preserve">Both on- and off-shore wind farms have their own distinct attributes and each has a different impact in relation to the policy and technology domains. Different factors </w:t>
      </w:r>
      <w:r w:rsidR="000A5C8D">
        <w:t>might affect the policymaking process in regards</w:t>
      </w:r>
      <w:r w:rsidR="00143410">
        <w:t xml:space="preserve"> to</w:t>
      </w:r>
      <w:r w:rsidR="000A5C8D">
        <w:t xml:space="preserve"> </w:t>
      </w:r>
      <w:r>
        <w:t>developing each type of wind farm, and</w:t>
      </w:r>
      <w:r w:rsidR="000A5C8D">
        <w:t xml:space="preserve"> the scale and location of a wind farm </w:t>
      </w:r>
      <w:r w:rsidR="000C7C14">
        <w:t>c</w:t>
      </w:r>
      <w:r w:rsidR="000A5C8D">
        <w:t xml:space="preserve">ould affect any ESS </w:t>
      </w:r>
      <w:r w:rsidR="008C05BC">
        <w:t xml:space="preserve">that might be installed alongside it. For example, due to technical constraints it may be easier to fit a </w:t>
      </w:r>
      <w:r w:rsidR="00DC7106">
        <w:t xml:space="preserve">large </w:t>
      </w:r>
      <w:r w:rsidR="008C05BC">
        <w:t>battery system alo</w:t>
      </w:r>
      <w:r w:rsidR="0039384F">
        <w:t>ngside a</w:t>
      </w:r>
      <w:r w:rsidR="008C05BC">
        <w:t xml:space="preserve">n on-shore farm or turbine as opposed to off-shore. </w:t>
      </w:r>
      <w:r w:rsidR="008129DD">
        <w:t xml:space="preserve">The capital expenditure required to build an off-shore wind farm is likely to be greater than an on-shore farm of a comparable scale, and </w:t>
      </w:r>
      <w:r>
        <w:t xml:space="preserve">energy usage and emissions are likely to be greater in the production and disposal of </w:t>
      </w:r>
      <w:r w:rsidR="008129DD">
        <w:t xml:space="preserve">off-shore </w:t>
      </w:r>
      <w:r>
        <w:t xml:space="preserve">wind farms as opposed to on-shore </w:t>
      </w:r>
      <w:sdt>
        <w:sdtPr>
          <w:id w:val="-252357899"/>
          <w:citation/>
        </w:sdtPr>
        <w:sdtEndPr/>
        <w:sdtContent>
          <w:r>
            <w:fldChar w:fldCharType="begin"/>
          </w:r>
          <w:r>
            <w:instrText xml:space="preserve"> CITATION Sch00 \l 2057 </w:instrText>
          </w:r>
          <w:r>
            <w:fldChar w:fldCharType="separate"/>
          </w:r>
          <w:r>
            <w:rPr>
              <w:noProof/>
            </w:rPr>
            <w:t>(Schleisner, 2000)</w:t>
          </w:r>
          <w:r>
            <w:fldChar w:fldCharType="end"/>
          </w:r>
        </w:sdtContent>
      </w:sdt>
      <w:r>
        <w:t>.</w:t>
      </w:r>
      <w:r w:rsidR="0045769B">
        <w:t xml:space="preserve"> </w:t>
      </w:r>
      <w:r w:rsidR="00826696">
        <w:t xml:space="preserve">These examples give an indication of how various political and technological factors need to be considered when planning, commissioning, or operating wind turbines or farms, and when considering whether to integrate ESS alongside it. </w:t>
      </w:r>
    </w:p>
    <w:p w14:paraId="481C8375" w14:textId="7DB5FC01" w:rsidR="00F85CAC" w:rsidRDefault="00F85CAC" w:rsidP="00054566">
      <w:pPr>
        <w:keepNext/>
        <w:jc w:val="both"/>
      </w:pPr>
    </w:p>
    <w:p w14:paraId="3360DC48" w14:textId="77777777" w:rsidR="00554CE2" w:rsidRPr="007E5F9F" w:rsidRDefault="00554CE2" w:rsidP="00671B0F">
      <w:pPr>
        <w:pStyle w:val="Heading2"/>
        <w:numPr>
          <w:ilvl w:val="1"/>
          <w:numId w:val="5"/>
        </w:numPr>
      </w:pPr>
      <w:bookmarkStart w:id="49" w:name="_Ref478385306"/>
      <w:bookmarkStart w:id="50" w:name="_Toc490566984"/>
      <w:bookmarkStart w:id="51" w:name="_Ref478389315"/>
      <w:r w:rsidRPr="007E5F9F">
        <w:t>Electricity Generation, Transmission, and Distribution</w:t>
      </w:r>
      <w:bookmarkEnd w:id="49"/>
      <w:bookmarkEnd w:id="50"/>
    </w:p>
    <w:p w14:paraId="25EF8429" w14:textId="77777777" w:rsidR="00554CE2" w:rsidRDefault="00554CE2" w:rsidP="00554CE2">
      <w:pPr>
        <w:jc w:val="both"/>
      </w:pPr>
      <w:r>
        <w:t>An electricity supply system without storage facilities must balance energy production with the level of demand. To achieve this balance, systems utilise different types of power plant: base load power plants, intermediate load power plants, and peak load power plants. Base load power plants typically run for many hours a year, providing a continuous (or near-continuous) supply of electricity, but with slow response times and limited operational flexibility – they are slow and expensive to start up and shut down. Base load plants are typically nuclear or coal-fired. Peak load power plants, in contrast, are run occasionally in times of high demand. Peak load plants are typically fired by natural gas and are operationally flexible, with fast response times. Intermediate load power plants are in between, and are typically oil and gas-fired. Although these different plants have different response times, the conventional fuels they use are dispatchable – the plants can be turned on or off, at the request of the power grid operators or plant owner, to adjust power output. Renewable energy sources such as wind are non-dispatchable – they cannot adjust power output to meet changing demand.</w:t>
      </w:r>
    </w:p>
    <w:p w14:paraId="70ADCFBD" w14:textId="77777777" w:rsidR="00554CE2" w:rsidRDefault="00554CE2" w:rsidP="00554CE2">
      <w:pPr>
        <w:jc w:val="both"/>
      </w:pPr>
    </w:p>
    <w:p w14:paraId="5707845D" w14:textId="4CA186C3" w:rsidR="00554CE2" w:rsidRDefault="00554CE2" w:rsidP="00554CE2">
      <w:pPr>
        <w:jc w:val="both"/>
      </w:pPr>
      <w:r>
        <w:t>Electricity generated by either conventional or renewable sources must be provided to the end user from its point of generation; the electrical grid is the system designed to do this. The grid consists of three main sections: electricity generation, transmission, and distribution. Electricity grids are currently characterised by large (~1000 MW capacity), centralised power stations which generate electricity for transmission through high voltage (~100 kV) overhead power lines to distribution sub-stations near the point of end-use. Here the voltage i</w:t>
      </w:r>
      <w:r w:rsidR="005B4602">
        <w:t>s transformed down in stages to ~10,000 for a suburb, for example, and then to ~230 V or ~110 V for a street of houses, for example (Twidell &amp; Weir, 2006)</w:t>
      </w:r>
      <w:r>
        <w:t xml:space="preserve">. Centralised power stations have traditionally used conventional energy sources, but it is possible to utilise some renewable energy sources in a centralised grid, for example at large-scale hydro plants. </w:t>
      </w:r>
    </w:p>
    <w:p w14:paraId="566DC39E" w14:textId="77777777" w:rsidR="00554CE2" w:rsidRDefault="00554CE2" w:rsidP="00554CE2">
      <w:pPr>
        <w:jc w:val="both"/>
      </w:pPr>
    </w:p>
    <w:p w14:paraId="4BF66A73" w14:textId="763F2767" w:rsidR="00554CE2" w:rsidRDefault="00554CE2" w:rsidP="00554CE2">
      <w:pPr>
        <w:jc w:val="both"/>
      </w:pPr>
      <w:r>
        <w:t xml:space="preserve">In addition to centralised power stations, smaller capacity embedded generators can be utilised to make use of site-specific renewable energy sources in dispersed locations, for example at wind farms. Decentralised or distributed energy generation, such as this, could be connected to the grid or in some cases could be suitable for small-scale, autonomous applications remote from the </w:t>
      </w:r>
      <w:r>
        <w:lastRenderedPageBreak/>
        <w:t xml:space="preserve">grid, especially when a suitable energy storage system is integrated, for example a battery system (see Section </w:t>
      </w:r>
      <w:r>
        <w:fldChar w:fldCharType="begin"/>
      </w:r>
      <w:r>
        <w:instrText xml:space="preserve"> REF _Ref479163094 \r \h </w:instrText>
      </w:r>
      <w:r>
        <w:fldChar w:fldCharType="separate"/>
      </w:r>
      <w:r>
        <w:t>5.4</w:t>
      </w:r>
      <w:r>
        <w:fldChar w:fldCharType="end"/>
      </w:r>
      <w:r>
        <w:t xml:space="preserve">). </w:t>
      </w:r>
    </w:p>
    <w:p w14:paraId="475EA6C0" w14:textId="77777777" w:rsidR="00554CE2" w:rsidRDefault="00554CE2" w:rsidP="00554CE2">
      <w:pPr>
        <w:jc w:val="both"/>
      </w:pPr>
    </w:p>
    <w:p w14:paraId="152FFFF3" w14:textId="0C8EACF4" w:rsidR="00554CE2" w:rsidRDefault="00554CE2" w:rsidP="00554CE2">
      <w:pPr>
        <w:jc w:val="both"/>
      </w:pPr>
      <w:r>
        <w:t xml:space="preserve">Both centralised and decentralised renewable electricity generation is expected to increase, and it is expected that consumers will increasingly participate in the energy markets as ‘prosumers’, who generate electricity for their own use, for example through solar PV, and rely on the electricity grid for the residual balance. Due to the inherent variability associated with RES, consumers might choose between relying exclusively on the grid or combining it with local ESS </w:t>
      </w:r>
      <w:r w:rsidR="007F5A3C">
        <w:rPr>
          <w:noProof/>
        </w:rPr>
        <w:t>(European Commission, 2017)</w:t>
      </w:r>
      <w:r>
        <w:t xml:space="preserve">. The following section will </w:t>
      </w:r>
      <w:r w:rsidR="007F5A3C">
        <w:t xml:space="preserve">introduce the </w:t>
      </w:r>
      <w:r w:rsidR="005C0C67">
        <w:t>assortment</w:t>
      </w:r>
      <w:r w:rsidR="007F5A3C">
        <w:t xml:space="preserve"> of ESS technologies available</w:t>
      </w:r>
      <w:r>
        <w:t xml:space="preserve">. </w:t>
      </w:r>
    </w:p>
    <w:p w14:paraId="6D7ACBD7" w14:textId="77777777" w:rsidR="00554CE2" w:rsidRDefault="00554CE2" w:rsidP="00554CE2"/>
    <w:p w14:paraId="1AEAEAA6" w14:textId="05FCC608" w:rsidR="00554CE2" w:rsidRPr="007E5F9F" w:rsidRDefault="00554CE2" w:rsidP="00671B0F">
      <w:pPr>
        <w:pStyle w:val="Heading2"/>
        <w:numPr>
          <w:ilvl w:val="1"/>
          <w:numId w:val="5"/>
        </w:numPr>
      </w:pPr>
      <w:bookmarkStart w:id="52" w:name="_Ref479163094"/>
      <w:bookmarkStart w:id="53" w:name="_Toc490566985"/>
      <w:r w:rsidRPr="007E5F9F">
        <w:t>Energy Storage System</w:t>
      </w:r>
      <w:bookmarkEnd w:id="51"/>
      <w:bookmarkEnd w:id="52"/>
      <w:r w:rsidR="0071317A">
        <w:t>s</w:t>
      </w:r>
      <w:bookmarkEnd w:id="53"/>
    </w:p>
    <w:p w14:paraId="3C31488D" w14:textId="6E60AEE2" w:rsidR="00FF566C" w:rsidRDefault="00554CE2" w:rsidP="005C0C67">
      <w:pPr>
        <w:jc w:val="both"/>
        <w:rPr>
          <w:noProof/>
        </w:rPr>
      </w:pPr>
      <w:r>
        <w:t>Energy storage is a varied subject area, with a w</w:t>
      </w:r>
      <w:r w:rsidR="00677F72">
        <w:t xml:space="preserve">ide variety of technologies </w:t>
      </w:r>
      <w:r>
        <w:t xml:space="preserve">available with differing attributes, technical features and financial costs. </w:t>
      </w:r>
      <w:r w:rsidR="00572663">
        <w:t xml:space="preserve">As of end-2015, the global installed </w:t>
      </w:r>
      <w:r w:rsidR="00677F72">
        <w:t xml:space="preserve">energy </w:t>
      </w:r>
      <w:r w:rsidR="00572663">
        <w:t xml:space="preserve">storage capacity was 146 GW </w:t>
      </w:r>
      <w:sdt>
        <w:sdtPr>
          <w:id w:val="313454036"/>
          <w:citation/>
        </w:sdtPr>
        <w:sdtEndPr/>
        <w:sdtContent>
          <w:r w:rsidR="00572663">
            <w:fldChar w:fldCharType="begin"/>
          </w:r>
          <w:r w:rsidR="00572663">
            <w:instrText xml:space="preserve"> CITATION Wor16 \l 2057 </w:instrText>
          </w:r>
          <w:r w:rsidR="00572663">
            <w:fldChar w:fldCharType="separate"/>
          </w:r>
          <w:r w:rsidR="00572663">
            <w:rPr>
              <w:noProof/>
            </w:rPr>
            <w:t>(World Energy Council, 2016)</w:t>
          </w:r>
          <w:r w:rsidR="00572663">
            <w:fldChar w:fldCharType="end"/>
          </w:r>
        </w:sdtContent>
      </w:sdt>
      <w:r w:rsidR="00572663">
        <w:t>, of which over 120 GW is</w:t>
      </w:r>
      <w:r w:rsidR="0071317A">
        <w:t xml:space="preserve"> capacity from</w:t>
      </w:r>
      <w:r w:rsidR="00572663">
        <w:t xml:space="preserve"> pumped-hydro storage </w:t>
      </w:r>
      <w:r w:rsidR="00572663">
        <w:rPr>
          <w:noProof/>
        </w:rPr>
        <w:t>(Zhao, et al., 2015)</w:t>
      </w:r>
      <w:r w:rsidR="00572663">
        <w:t xml:space="preserve">. Projections suggest a </w:t>
      </w:r>
      <w:r w:rsidR="0071317A">
        <w:t xml:space="preserve">growth in the </w:t>
      </w:r>
      <w:r w:rsidR="00572663">
        <w:t xml:space="preserve">global </w:t>
      </w:r>
      <w:r w:rsidR="00677F72">
        <w:t xml:space="preserve">energy </w:t>
      </w:r>
      <w:r w:rsidR="00572663">
        <w:t xml:space="preserve">storage market </w:t>
      </w:r>
      <w:r w:rsidR="00572663">
        <w:rPr>
          <w:noProof/>
        </w:rPr>
        <w:t>(World Energy Council, 2016)</w:t>
      </w:r>
      <w:r w:rsidR="00FF566C">
        <w:rPr>
          <w:noProof/>
        </w:rPr>
        <w:t xml:space="preserve">. </w:t>
      </w:r>
    </w:p>
    <w:p w14:paraId="7188DC0D" w14:textId="77777777" w:rsidR="00FF566C" w:rsidRDefault="00FF566C" w:rsidP="00FF566C">
      <w:pPr>
        <w:jc w:val="both"/>
        <w:rPr>
          <w:noProof/>
        </w:rPr>
      </w:pPr>
    </w:p>
    <w:p w14:paraId="642AA47F" w14:textId="03C474E8" w:rsidR="00FF566C" w:rsidRDefault="00FF566C" w:rsidP="00FF566C">
      <w:pPr>
        <w:jc w:val="both"/>
        <w:rPr>
          <w:color w:val="FF0000"/>
        </w:rPr>
      </w:pPr>
      <w:r>
        <w:t xml:space="preserve">There are a number of different methods for categorising ESS technologies. One of the most widely used methods is classification based on the form of energy stored in the system, for example: mechanical, electrochemical, chemical, electromagnetic, and thermal </w:t>
      </w:r>
      <w:r w:rsidR="0005385C">
        <w:rPr>
          <w:noProof/>
        </w:rPr>
        <w:t xml:space="preserve">(Zhao, et al., 2015). </w:t>
      </w:r>
      <w:r>
        <w:t xml:space="preserve">This classification can be seen in </w:t>
      </w:r>
      <w:r>
        <w:fldChar w:fldCharType="begin"/>
      </w:r>
      <w:r>
        <w:instrText xml:space="preserve"> REF _Ref478478706 \h </w:instrText>
      </w:r>
      <w:r>
        <w:fldChar w:fldCharType="separate"/>
      </w:r>
      <w:r>
        <w:t xml:space="preserve">Figure </w:t>
      </w:r>
      <w:r>
        <w:rPr>
          <w:noProof/>
        </w:rPr>
        <w:t>8</w:t>
      </w:r>
      <w:r>
        <w:fldChar w:fldCharType="end"/>
      </w:r>
      <w:r>
        <w:t>, with individual ESS technologies listed under each form of storage</w:t>
      </w:r>
      <w:r w:rsidR="00D8634A">
        <w:t>;</w:t>
      </w:r>
      <w:r w:rsidR="005C0C67">
        <w:t xml:space="preserve"> a short description of each technology type is provided in Appendix B.</w:t>
      </w:r>
    </w:p>
    <w:p w14:paraId="52F58C61" w14:textId="77777777" w:rsidR="00FF566C" w:rsidRDefault="00FF566C" w:rsidP="00FF566C">
      <w:pPr>
        <w:jc w:val="both"/>
      </w:pPr>
    </w:p>
    <w:p w14:paraId="311742D3" w14:textId="77777777" w:rsidR="00FF566C" w:rsidRDefault="00FF566C" w:rsidP="005C0C67">
      <w:pPr>
        <w:keepNext/>
        <w:jc w:val="center"/>
      </w:pPr>
      <w:r>
        <w:rPr>
          <w:noProof/>
          <w:lang w:eastAsia="ko-KR" w:bidi="ar-SA"/>
        </w:rPr>
        <w:drawing>
          <wp:inline distT="0" distB="0" distL="0" distR="0" wp14:anchorId="2699EA7A" wp14:editId="79C51BD7">
            <wp:extent cx="4324350" cy="2844800"/>
            <wp:effectExtent l="1905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srcRect/>
                    <a:stretch>
                      <a:fillRect/>
                    </a:stretch>
                  </pic:blipFill>
                  <pic:spPr bwMode="auto">
                    <a:xfrm>
                      <a:off x="0" y="0"/>
                      <a:ext cx="4324350" cy="2844800"/>
                    </a:xfrm>
                    <a:prstGeom prst="rect">
                      <a:avLst/>
                    </a:prstGeom>
                    <a:noFill/>
                    <a:ln w="9525">
                      <a:noFill/>
                      <a:miter lim="800000"/>
                      <a:headEnd/>
                      <a:tailEnd/>
                    </a:ln>
                  </pic:spPr>
                </pic:pic>
              </a:graphicData>
            </a:graphic>
          </wp:inline>
        </w:drawing>
      </w:r>
    </w:p>
    <w:p w14:paraId="646B6D78" w14:textId="713A06F2" w:rsidR="00FF566C" w:rsidRDefault="00FF566C" w:rsidP="00FF566C">
      <w:pPr>
        <w:pStyle w:val="Caption"/>
        <w:jc w:val="both"/>
      </w:pPr>
      <w:bookmarkStart w:id="54" w:name="_Ref478478706"/>
      <w:bookmarkStart w:id="55" w:name="_Toc491071351"/>
      <w:r>
        <w:t xml:space="preserve">Figure </w:t>
      </w:r>
      <w:r>
        <w:fldChar w:fldCharType="begin"/>
      </w:r>
      <w:r>
        <w:instrText xml:space="preserve"> SEQ Figure \* ARABIC </w:instrText>
      </w:r>
      <w:r>
        <w:fldChar w:fldCharType="separate"/>
      </w:r>
      <w:r w:rsidR="005C0C67">
        <w:rPr>
          <w:noProof/>
        </w:rPr>
        <w:t>8</w:t>
      </w:r>
      <w:r>
        <w:rPr>
          <w:noProof/>
        </w:rPr>
        <w:fldChar w:fldCharType="end"/>
      </w:r>
      <w:bookmarkEnd w:id="54"/>
      <w:r>
        <w:t xml:space="preserve"> - Classification of ESS technologies (Source: adapted from Zhao, et al., 2015)</w:t>
      </w:r>
      <w:bookmarkEnd w:id="55"/>
    </w:p>
    <w:p w14:paraId="0853861D" w14:textId="77777777" w:rsidR="00FF566C" w:rsidRDefault="00FF566C" w:rsidP="00FF566C">
      <w:pPr>
        <w:jc w:val="both"/>
      </w:pPr>
    </w:p>
    <w:p w14:paraId="0C9F2E35" w14:textId="1C67823A" w:rsidR="00554CE2" w:rsidRDefault="00FF566C" w:rsidP="005C0C67">
      <w:pPr>
        <w:jc w:val="both"/>
      </w:pPr>
      <w:r>
        <w:t>ESS technologies can be utilised at different levels within the energy network, from domestic-scale storage up to large-scale storage at the point of transmission, with a variety of applications across these levels</w:t>
      </w:r>
      <w:r w:rsidR="00554CE2">
        <w:t>.</w:t>
      </w:r>
      <w:r w:rsidR="0071317A">
        <w:t xml:space="preserve"> </w:t>
      </w:r>
      <w:r w:rsidR="00677F72">
        <w:t xml:space="preserve">ESS technologies could broadly be categorised into those with a higher </w:t>
      </w:r>
      <w:r w:rsidR="00677F72">
        <w:lastRenderedPageBreak/>
        <w:t xml:space="preserve">energy density (such as PHS), and those with a higher power density (such as supercapacitors). ESS technologies with larger energy densities might be more suitable for applications requiring </w:t>
      </w:r>
      <w:r>
        <w:t>large</w:t>
      </w:r>
      <w:r w:rsidR="00677F72">
        <w:t xml:space="preserve"> amounts of energy or with discharge durations of hours or longer, such as energy management; ESS technologies with higher power </w:t>
      </w:r>
      <w:r>
        <w:t>densities</w:t>
      </w:r>
      <w:r w:rsidR="00677F72">
        <w:t xml:space="preserve"> might be more suitable for applications requ</w:t>
      </w:r>
      <w:r>
        <w:t>iring high-</w:t>
      </w:r>
      <w:r w:rsidR="00677F72">
        <w:t xml:space="preserve">power </w:t>
      </w:r>
      <w:r>
        <w:t xml:space="preserve">output </w:t>
      </w:r>
      <w:r w:rsidR="00677F72">
        <w:t>over periods of seconds or shorter, such as voltage or frequency regulation.</w:t>
      </w:r>
      <w:r>
        <w:t xml:space="preserve"> However,</w:t>
      </w:r>
      <w:r w:rsidR="00677F72">
        <w:t xml:space="preserve"> </w:t>
      </w:r>
      <w:r>
        <w:t xml:space="preserve">it should be noted that there is overlap within these general groupings and the classifications are not static; applications may change as technological advances are made and many technologies are suitable for many different applications. </w:t>
      </w:r>
    </w:p>
    <w:p w14:paraId="51BC5B07" w14:textId="77777777" w:rsidR="00554CE2" w:rsidRDefault="00554CE2" w:rsidP="00554CE2"/>
    <w:p w14:paraId="7AFEFBD7" w14:textId="52CB3BC9" w:rsidR="00554CE2" w:rsidRDefault="00554CE2" w:rsidP="00671B0F">
      <w:pPr>
        <w:pStyle w:val="Heading1"/>
        <w:numPr>
          <w:ilvl w:val="0"/>
          <w:numId w:val="5"/>
        </w:numPr>
      </w:pPr>
      <w:bookmarkStart w:id="56" w:name="_Ref487034020"/>
      <w:bookmarkStart w:id="57" w:name="_Toc490566986"/>
      <w:r>
        <w:t>RESULTS AND DISCUSSION</w:t>
      </w:r>
      <w:bookmarkEnd w:id="56"/>
      <w:bookmarkEnd w:id="57"/>
    </w:p>
    <w:p w14:paraId="231053C1" w14:textId="77777777" w:rsidR="00554CE2" w:rsidRDefault="00554CE2" w:rsidP="00671B0F">
      <w:pPr>
        <w:pStyle w:val="Heading2"/>
      </w:pPr>
      <w:bookmarkStart w:id="58" w:name="_Toc490566987"/>
      <w:r>
        <w:t>Introduction</w:t>
      </w:r>
      <w:bookmarkEnd w:id="58"/>
    </w:p>
    <w:p w14:paraId="4469D546" w14:textId="4D040970" w:rsidR="00554CE2" w:rsidRDefault="00554CE2" w:rsidP="00B130AF">
      <w:pPr>
        <w:jc w:val="both"/>
      </w:pPr>
      <w:r>
        <w:t xml:space="preserve">This section details the main findings of the research and provides an </w:t>
      </w:r>
      <w:r w:rsidR="006C1402">
        <w:t>explanation of what they</w:t>
      </w:r>
      <w:r>
        <w:t xml:space="preserve"> mean. Section </w:t>
      </w:r>
      <w:r>
        <w:fldChar w:fldCharType="begin"/>
      </w:r>
      <w:r>
        <w:instrText xml:space="preserve"> REF _Ref486930550 \r \h </w:instrText>
      </w:r>
      <w:r>
        <w:fldChar w:fldCharType="separate"/>
      </w:r>
      <w:r>
        <w:t>6.2</w:t>
      </w:r>
      <w:r>
        <w:fldChar w:fldCharType="end"/>
      </w:r>
      <w:r>
        <w:t xml:space="preserve"> gives an overview of the research findings which are based on the primary data collected from the interviews and second</w:t>
      </w:r>
      <w:r w:rsidR="00861919">
        <w:t>ary data taken from a variety of</w:t>
      </w:r>
      <w:r>
        <w:t xml:space="preserve"> reports. </w:t>
      </w:r>
      <w:r w:rsidR="00B130AF">
        <w:t xml:space="preserve">This </w:t>
      </w:r>
      <w:r w:rsidR="0073098D">
        <w:t>sect</w:t>
      </w:r>
      <w:r w:rsidR="00B130AF">
        <w:t xml:space="preserve">ion is </w:t>
      </w:r>
      <w:r w:rsidR="0073098D">
        <w:t xml:space="preserve">further </w:t>
      </w:r>
      <w:r w:rsidR="00B130AF">
        <w:t xml:space="preserve">divided into </w:t>
      </w:r>
      <w:r w:rsidR="0073098D">
        <w:t xml:space="preserve">sub-sections: Section </w:t>
      </w:r>
      <w:r w:rsidR="0073098D">
        <w:fldChar w:fldCharType="begin"/>
      </w:r>
      <w:r w:rsidR="0073098D">
        <w:instrText xml:space="preserve"> REF _Ref487458644 \r \h </w:instrText>
      </w:r>
      <w:r w:rsidR="0073098D">
        <w:fldChar w:fldCharType="separate"/>
      </w:r>
      <w:r w:rsidR="0073098D">
        <w:t>6.2.1</w:t>
      </w:r>
      <w:r w:rsidR="0073098D">
        <w:fldChar w:fldCharType="end"/>
      </w:r>
      <w:r w:rsidR="0073098D">
        <w:t xml:space="preserve"> </w:t>
      </w:r>
      <w:r w:rsidR="00EE5C94">
        <w:t>describes</w:t>
      </w:r>
      <w:r w:rsidR="0073098D">
        <w:t xml:space="preserve"> the actual and future contribution of RES in the Netherlands; Section </w:t>
      </w:r>
      <w:r w:rsidR="0073098D">
        <w:fldChar w:fldCharType="begin"/>
      </w:r>
      <w:r w:rsidR="0073098D">
        <w:instrText xml:space="preserve"> REF _Ref487458661 \r \h </w:instrText>
      </w:r>
      <w:r w:rsidR="0073098D">
        <w:fldChar w:fldCharType="separate"/>
      </w:r>
      <w:r w:rsidR="0073098D">
        <w:t>6.2.2</w:t>
      </w:r>
      <w:r w:rsidR="0073098D">
        <w:fldChar w:fldCharType="end"/>
      </w:r>
      <w:r w:rsidR="00EE5C94">
        <w:t xml:space="preserve"> introduces</w:t>
      </w:r>
      <w:r w:rsidR="0073098D">
        <w:t xml:space="preserve"> several policies which have been successful in facilitating the use of RES; Section </w:t>
      </w:r>
      <w:r w:rsidR="0073098D">
        <w:fldChar w:fldCharType="begin"/>
      </w:r>
      <w:r w:rsidR="0073098D">
        <w:instrText xml:space="preserve"> REF _Ref487458259 \r \h </w:instrText>
      </w:r>
      <w:r w:rsidR="0073098D">
        <w:fldChar w:fldCharType="separate"/>
      </w:r>
      <w:r w:rsidR="0073098D">
        <w:t>6.2.3</w:t>
      </w:r>
      <w:r w:rsidR="0073098D">
        <w:fldChar w:fldCharType="end"/>
      </w:r>
      <w:r w:rsidR="0073098D">
        <w:t xml:space="preserve"> </w:t>
      </w:r>
      <w:r w:rsidR="00EE5C94">
        <w:t xml:space="preserve">details the main themes which are helping </w:t>
      </w:r>
      <w:r w:rsidR="00483E13">
        <w:t xml:space="preserve">to </w:t>
      </w:r>
      <w:r w:rsidR="00EE5C94">
        <w:t>facilitate or hinder the integration of ESS. This sub-section contains</w:t>
      </w:r>
      <w:r w:rsidR="0073098D">
        <w:t xml:space="preserve"> the main results of the research</w:t>
      </w:r>
      <w:r w:rsidR="00EE5C94">
        <w:t>, and</w:t>
      </w:r>
      <w:r w:rsidR="0073098D">
        <w:t xml:space="preserve"> is broken </w:t>
      </w:r>
      <w:r w:rsidR="00B130AF">
        <w:t>down into a number of themes</w:t>
      </w:r>
      <w:r w:rsidR="00C12088">
        <w:t>. These themes</w:t>
      </w:r>
      <w:r w:rsidR="00B130AF">
        <w:t xml:space="preserve"> </w:t>
      </w:r>
      <w:r w:rsidR="00C12088">
        <w:t>are</w:t>
      </w:r>
      <w:r w:rsidR="00EE5C94">
        <w:t xml:space="preserve"> the topics most commonly discussed during</w:t>
      </w:r>
      <w:r w:rsidR="00B130AF">
        <w:t xml:space="preserve"> the inter</w:t>
      </w:r>
      <w:r w:rsidR="00C12088">
        <w:t xml:space="preserve">views and </w:t>
      </w:r>
      <w:r w:rsidR="00EE5C94">
        <w:t>are</w:t>
      </w:r>
      <w:r w:rsidR="00B130AF">
        <w:t xml:space="preserve"> considered</w:t>
      </w:r>
      <w:r w:rsidR="00C12088">
        <w:t xml:space="preserve"> to be</w:t>
      </w:r>
      <w:r w:rsidR="00B130AF">
        <w:t xml:space="preserve"> </w:t>
      </w:r>
      <w:r w:rsidR="00C12088">
        <w:t xml:space="preserve">those </w:t>
      </w:r>
      <w:r w:rsidR="00B130AF">
        <w:t xml:space="preserve">most relevant for the research results. </w:t>
      </w:r>
      <w:r w:rsidR="00EE5C94">
        <w:t xml:space="preserve">Following this sub-section, </w:t>
      </w:r>
      <w:r>
        <w:t xml:space="preserve">Section </w:t>
      </w:r>
      <w:r>
        <w:fldChar w:fldCharType="begin"/>
      </w:r>
      <w:r>
        <w:instrText xml:space="preserve"> REF _Ref486930599 \r \h </w:instrText>
      </w:r>
      <w:r>
        <w:fldChar w:fldCharType="separate"/>
      </w:r>
      <w:r>
        <w:t>6.3</w:t>
      </w:r>
      <w:r>
        <w:fldChar w:fldCharType="end"/>
      </w:r>
      <w:r w:rsidR="00EE5C94">
        <w:t xml:space="preserve"> </w:t>
      </w:r>
      <w:r>
        <w:t>discusses what the findings mean in relation to the Research Questions</w:t>
      </w:r>
      <w:r w:rsidR="008D6427">
        <w:t xml:space="preserve"> and the Theoretical Framework, before Section </w:t>
      </w:r>
      <w:r w:rsidR="008D6427">
        <w:fldChar w:fldCharType="begin"/>
      </w:r>
      <w:r w:rsidR="008D6427">
        <w:instrText xml:space="preserve"> REF _Ref488842627 \r \h </w:instrText>
      </w:r>
      <w:r w:rsidR="008D6427">
        <w:fldChar w:fldCharType="separate"/>
      </w:r>
      <w:r w:rsidR="008D6427">
        <w:t>6.4</w:t>
      </w:r>
      <w:r w:rsidR="008D6427">
        <w:fldChar w:fldCharType="end"/>
      </w:r>
      <w:r w:rsidR="008D6427">
        <w:t xml:space="preserve"> highlights some of the limitations of the research. </w:t>
      </w:r>
    </w:p>
    <w:p w14:paraId="2B27C72E" w14:textId="77777777" w:rsidR="00554CE2" w:rsidRPr="00F74DC0" w:rsidRDefault="00554CE2" w:rsidP="00554CE2">
      <w:pPr>
        <w:jc w:val="both"/>
      </w:pPr>
    </w:p>
    <w:p w14:paraId="30110701" w14:textId="1301C844" w:rsidR="00554CE2" w:rsidRDefault="00554CE2" w:rsidP="00671B0F">
      <w:pPr>
        <w:pStyle w:val="Heading2"/>
      </w:pPr>
      <w:bookmarkStart w:id="59" w:name="_Ref486930550"/>
      <w:bookmarkStart w:id="60" w:name="_Toc490566988"/>
      <w:r>
        <w:t>Results</w:t>
      </w:r>
      <w:bookmarkEnd w:id="59"/>
      <w:bookmarkEnd w:id="60"/>
      <w:r>
        <w:t xml:space="preserve"> </w:t>
      </w:r>
    </w:p>
    <w:p w14:paraId="2893C75E" w14:textId="6F3DC9B2" w:rsidR="00D31CCB" w:rsidRPr="00D31CCB" w:rsidRDefault="00D31CCB" w:rsidP="00671B0F">
      <w:pPr>
        <w:pStyle w:val="Heading3"/>
      </w:pPr>
      <w:bookmarkStart w:id="61" w:name="_Ref487458644"/>
      <w:r>
        <w:t>Actual and Future Contribution of RES</w:t>
      </w:r>
      <w:bookmarkEnd w:id="61"/>
    </w:p>
    <w:p w14:paraId="0FF0F8D6" w14:textId="00119604" w:rsidR="00554CE2" w:rsidRDefault="00554CE2" w:rsidP="00554CE2">
      <w:pPr>
        <w:jc w:val="both"/>
      </w:pPr>
      <w:r>
        <w:t xml:space="preserve">There was general consensus from the interviewees that there is an increasing focus on </w:t>
      </w:r>
      <w:r w:rsidR="00C12088">
        <w:t>RES</w:t>
      </w:r>
      <w:r>
        <w:t xml:space="preserve"> in Netherlands; Dutch energy policy can be seen to reflect this, as discussed in Section 2. </w:t>
      </w:r>
      <w:r>
        <w:fldChar w:fldCharType="begin"/>
      </w:r>
      <w:r>
        <w:instrText xml:space="preserve"> REF _Ref485902995 \h </w:instrText>
      </w:r>
      <w:r>
        <w:fldChar w:fldCharType="separate"/>
      </w:r>
      <w:r w:rsidR="00C12088">
        <w:t xml:space="preserve">Figures </w:t>
      </w:r>
      <w:r w:rsidR="00C12088">
        <w:rPr>
          <w:noProof/>
        </w:rPr>
        <w:t>9</w:t>
      </w:r>
      <w:r>
        <w:fldChar w:fldCharType="end"/>
      </w:r>
      <w:r w:rsidR="00CA57A4">
        <w:t>,</w:t>
      </w:r>
      <w:r w:rsidR="00C12088">
        <w:t xml:space="preserve"> </w:t>
      </w:r>
      <w:r w:rsidR="00C12088">
        <w:fldChar w:fldCharType="begin"/>
      </w:r>
      <w:r w:rsidR="00C12088">
        <w:instrText xml:space="preserve"> REF _Ref487452783 \h </w:instrText>
      </w:r>
      <w:r w:rsidR="00C12088">
        <w:fldChar w:fldCharType="separate"/>
      </w:r>
      <w:r w:rsidR="00C12088">
        <w:rPr>
          <w:noProof/>
        </w:rPr>
        <w:t>10</w:t>
      </w:r>
      <w:r w:rsidR="00C12088">
        <w:fldChar w:fldCharType="end"/>
      </w:r>
      <w:r w:rsidR="00C12088">
        <w:t xml:space="preserve">, and </w:t>
      </w:r>
      <w:r w:rsidR="00C12088">
        <w:fldChar w:fldCharType="begin"/>
      </w:r>
      <w:r w:rsidR="00C12088">
        <w:instrText xml:space="preserve"> REF _Ref487452765 \h </w:instrText>
      </w:r>
      <w:r w:rsidR="00C12088">
        <w:fldChar w:fldCharType="separate"/>
      </w:r>
      <w:r w:rsidR="00C12088">
        <w:rPr>
          <w:noProof/>
        </w:rPr>
        <w:t>11</w:t>
      </w:r>
      <w:r w:rsidR="00C12088">
        <w:fldChar w:fldCharType="end"/>
      </w:r>
      <w:r w:rsidR="00CA57A4">
        <w:t xml:space="preserve"> show </w:t>
      </w:r>
      <w:r>
        <w:t xml:space="preserve">how solar PV and wind energy production in the Netherlands has increased over the last several decades. </w:t>
      </w:r>
    </w:p>
    <w:p w14:paraId="39A24441" w14:textId="0306453B" w:rsidR="00CA57A4" w:rsidRDefault="00CA57A4" w:rsidP="00554CE2">
      <w:pPr>
        <w:jc w:val="both"/>
      </w:pPr>
    </w:p>
    <w:p w14:paraId="2FD78765" w14:textId="77777777" w:rsidR="00CA57A4" w:rsidRDefault="00CA57A4" w:rsidP="00CA57A4">
      <w:pPr>
        <w:keepNext/>
        <w:jc w:val="both"/>
      </w:pPr>
      <w:r>
        <w:rPr>
          <w:noProof/>
          <w:lang w:eastAsia="ko-KR" w:bidi="ar-SA"/>
        </w:rPr>
        <w:drawing>
          <wp:inline distT="0" distB="0" distL="0" distR="0" wp14:anchorId="003964E1" wp14:editId="34DFC79B">
            <wp:extent cx="4792294" cy="1116957"/>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37657" cy="1127530"/>
                    </a:xfrm>
                    <a:prstGeom prst="rect">
                      <a:avLst/>
                    </a:prstGeom>
                    <a:noFill/>
                    <a:ln>
                      <a:noFill/>
                    </a:ln>
                  </pic:spPr>
                </pic:pic>
              </a:graphicData>
            </a:graphic>
          </wp:inline>
        </w:drawing>
      </w:r>
    </w:p>
    <w:p w14:paraId="7A71F10C" w14:textId="57D0705D" w:rsidR="00CA57A4" w:rsidRDefault="00CA57A4" w:rsidP="00CA57A4">
      <w:pPr>
        <w:pStyle w:val="Caption"/>
        <w:jc w:val="both"/>
      </w:pPr>
      <w:bookmarkStart w:id="62" w:name="_Ref485902995"/>
      <w:bookmarkStart w:id="63" w:name="_Toc491071352"/>
      <w:r>
        <w:t xml:space="preserve">Figure </w:t>
      </w:r>
      <w:r>
        <w:fldChar w:fldCharType="begin"/>
      </w:r>
      <w:r>
        <w:instrText xml:space="preserve"> SEQ Figure \* ARABIC </w:instrText>
      </w:r>
      <w:r>
        <w:fldChar w:fldCharType="separate"/>
      </w:r>
      <w:r w:rsidR="00C12088">
        <w:rPr>
          <w:noProof/>
        </w:rPr>
        <w:t>9</w:t>
      </w:r>
      <w:r>
        <w:fldChar w:fldCharType="end"/>
      </w:r>
      <w:bookmarkEnd w:id="62"/>
      <w:r>
        <w:t xml:space="preserve"> - Wind and Solar PV Energy Production in the Netherlands </w:t>
      </w:r>
      <w:r w:rsidR="00AD16B4">
        <w:rPr>
          <w:noProof/>
        </w:rPr>
        <w:t>(</w:t>
      </w:r>
      <w:r w:rsidR="00360544">
        <w:rPr>
          <w:noProof/>
        </w:rPr>
        <w:t xml:space="preserve">Source: </w:t>
      </w:r>
      <w:r w:rsidR="00AD16B4">
        <w:rPr>
          <w:noProof/>
        </w:rPr>
        <w:t>IEA, 2016b)</w:t>
      </w:r>
      <w:bookmarkEnd w:id="63"/>
    </w:p>
    <w:p w14:paraId="6AE203B7" w14:textId="77777777" w:rsidR="00CA57A4" w:rsidRPr="00CA57A4" w:rsidRDefault="00CA57A4" w:rsidP="00CA57A4"/>
    <w:p w14:paraId="155C9407" w14:textId="1BA79B66" w:rsidR="00CA57A4" w:rsidRDefault="00CA57A4" w:rsidP="00CA57A4"/>
    <w:p w14:paraId="375EF3B0" w14:textId="77777777" w:rsidR="00CA57A4" w:rsidRDefault="00CA57A4" w:rsidP="00CA57A4">
      <w:pPr>
        <w:keepNext/>
        <w:jc w:val="both"/>
      </w:pPr>
      <w:r>
        <w:rPr>
          <w:noProof/>
          <w:lang w:eastAsia="ko-KR" w:bidi="ar-SA"/>
        </w:rPr>
        <w:lastRenderedPageBreak/>
        <w:drawing>
          <wp:inline distT="0" distB="0" distL="0" distR="0" wp14:anchorId="295B94E9" wp14:editId="396C6472">
            <wp:extent cx="4743450" cy="105140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52676" cy="1053452"/>
                    </a:xfrm>
                    <a:prstGeom prst="rect">
                      <a:avLst/>
                    </a:prstGeom>
                  </pic:spPr>
                </pic:pic>
              </a:graphicData>
            </a:graphic>
          </wp:inline>
        </w:drawing>
      </w:r>
    </w:p>
    <w:p w14:paraId="50B776F6" w14:textId="2499A4F2" w:rsidR="00CA57A4" w:rsidRDefault="00CA57A4" w:rsidP="00CA57A4">
      <w:pPr>
        <w:pStyle w:val="Caption"/>
        <w:jc w:val="both"/>
      </w:pPr>
      <w:bookmarkStart w:id="64" w:name="_Ref487452783"/>
      <w:bookmarkStart w:id="65" w:name="_Toc491071353"/>
      <w:r>
        <w:t xml:space="preserve">Figure </w:t>
      </w:r>
      <w:r>
        <w:fldChar w:fldCharType="begin"/>
      </w:r>
      <w:r>
        <w:instrText xml:space="preserve"> SEQ Figure \* ARABIC </w:instrText>
      </w:r>
      <w:r>
        <w:fldChar w:fldCharType="separate"/>
      </w:r>
      <w:r w:rsidR="00C12088">
        <w:rPr>
          <w:noProof/>
        </w:rPr>
        <w:t>10</w:t>
      </w:r>
      <w:r>
        <w:fldChar w:fldCharType="end"/>
      </w:r>
      <w:bookmarkEnd w:id="64"/>
      <w:r>
        <w:t xml:space="preserve"> - Wind Energy Production in the Netherlands</w:t>
      </w:r>
      <w:r w:rsidR="00AD16B4">
        <w:t xml:space="preserve"> </w:t>
      </w:r>
      <w:r w:rsidR="00B4545F">
        <w:rPr>
          <w:noProof/>
        </w:rPr>
        <w:t>(</w:t>
      </w:r>
      <w:r w:rsidR="00360544">
        <w:rPr>
          <w:noProof/>
        </w:rPr>
        <w:t xml:space="preserve">Source: </w:t>
      </w:r>
      <w:r w:rsidR="00B4545F">
        <w:rPr>
          <w:noProof/>
        </w:rPr>
        <w:t>IEA, 2016b)</w:t>
      </w:r>
      <w:bookmarkEnd w:id="65"/>
    </w:p>
    <w:p w14:paraId="08015D24" w14:textId="77777777" w:rsidR="00CA57A4" w:rsidRPr="00CA57A4" w:rsidRDefault="00CA57A4" w:rsidP="00CA57A4"/>
    <w:p w14:paraId="15C51965" w14:textId="31143870" w:rsidR="0073491E" w:rsidRDefault="0073491E" w:rsidP="00554CE2">
      <w:pPr>
        <w:jc w:val="both"/>
        <w:rPr>
          <w:color w:val="FF0000"/>
        </w:rPr>
      </w:pPr>
    </w:p>
    <w:p w14:paraId="3547CB60" w14:textId="77777777" w:rsidR="00CA57A4" w:rsidRDefault="0073491E" w:rsidP="00CA57A4">
      <w:pPr>
        <w:keepNext/>
        <w:jc w:val="both"/>
      </w:pPr>
      <w:r>
        <w:rPr>
          <w:noProof/>
          <w:color w:val="FF0000"/>
          <w:lang w:eastAsia="ko-KR" w:bidi="ar-SA"/>
        </w:rPr>
        <w:drawing>
          <wp:inline distT="0" distB="0" distL="0" distR="0" wp14:anchorId="52FEB37F" wp14:editId="4E8805F5">
            <wp:extent cx="4743450" cy="124509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64271" cy="1250556"/>
                    </a:xfrm>
                    <a:prstGeom prst="rect">
                      <a:avLst/>
                    </a:prstGeom>
                    <a:noFill/>
                    <a:ln>
                      <a:noFill/>
                    </a:ln>
                  </pic:spPr>
                </pic:pic>
              </a:graphicData>
            </a:graphic>
          </wp:inline>
        </w:drawing>
      </w:r>
    </w:p>
    <w:p w14:paraId="6FC5E791" w14:textId="3EFF39D3" w:rsidR="0073491E" w:rsidRDefault="00CA57A4" w:rsidP="00CA57A4">
      <w:pPr>
        <w:pStyle w:val="Caption"/>
        <w:jc w:val="both"/>
        <w:rPr>
          <w:noProof/>
        </w:rPr>
      </w:pPr>
      <w:bookmarkStart w:id="66" w:name="_Ref487452765"/>
      <w:bookmarkStart w:id="67" w:name="_Ref487452735"/>
      <w:bookmarkStart w:id="68" w:name="_Toc491071354"/>
      <w:r>
        <w:t xml:space="preserve">Figure </w:t>
      </w:r>
      <w:r>
        <w:fldChar w:fldCharType="begin"/>
      </w:r>
      <w:r>
        <w:instrText xml:space="preserve"> SEQ Figure \* ARABIC </w:instrText>
      </w:r>
      <w:r>
        <w:fldChar w:fldCharType="separate"/>
      </w:r>
      <w:r w:rsidR="00C12088">
        <w:rPr>
          <w:noProof/>
        </w:rPr>
        <w:t>11</w:t>
      </w:r>
      <w:r>
        <w:fldChar w:fldCharType="end"/>
      </w:r>
      <w:bookmarkEnd w:id="66"/>
      <w:r>
        <w:t xml:space="preserve"> - Solar PV Energy Production in the Netherlands</w:t>
      </w:r>
      <w:bookmarkEnd w:id="67"/>
      <w:r w:rsidR="00B4545F">
        <w:t xml:space="preserve"> </w:t>
      </w:r>
      <w:r w:rsidR="00B4545F">
        <w:rPr>
          <w:noProof/>
        </w:rPr>
        <w:t>(</w:t>
      </w:r>
      <w:r w:rsidR="00360544">
        <w:rPr>
          <w:noProof/>
        </w:rPr>
        <w:t xml:space="preserve">Source: </w:t>
      </w:r>
      <w:r w:rsidR="00B4545F">
        <w:rPr>
          <w:noProof/>
        </w:rPr>
        <w:t>IEA, 2016b)</w:t>
      </w:r>
      <w:bookmarkEnd w:id="68"/>
    </w:p>
    <w:p w14:paraId="54F3ADE1" w14:textId="77777777" w:rsidR="00CA57A4" w:rsidRPr="00CA57A4" w:rsidRDefault="00CA57A4" w:rsidP="00CA57A4"/>
    <w:p w14:paraId="0C8AD650" w14:textId="672F1273" w:rsidR="00554CE2" w:rsidRDefault="00554CE2" w:rsidP="00554CE2">
      <w:pPr>
        <w:jc w:val="both"/>
      </w:pPr>
      <w:r>
        <w:t>However, although there is much talk of RES integration, the transition of renewables to the regime level is not yet fully complete. Interviewee D, for example, mentioned that there was a form of lock-in the Netherlands, as people trusted conventional energy sources over RES. Interviewee N agreed that the Netherlands was still very much gas-dependent and locked-in to its use. Indeed, in 2015, 92% of the Total Primary Energy Supply (TPES) in the Netherlands was from a conventional source (15% coal; 38% oil; 39% gas) (IEA, 2016</w:t>
      </w:r>
      <w:r w:rsidR="0073491E">
        <w:t>a</w:t>
      </w:r>
      <w:r>
        <w:t xml:space="preserve">). </w:t>
      </w:r>
    </w:p>
    <w:p w14:paraId="454C64A6" w14:textId="77777777" w:rsidR="00554CE2" w:rsidRDefault="00554CE2" w:rsidP="00554CE2">
      <w:pPr>
        <w:jc w:val="both"/>
      </w:pPr>
    </w:p>
    <w:p w14:paraId="1EBE06E1" w14:textId="7BABAB60" w:rsidR="00554CE2" w:rsidRDefault="00554CE2" w:rsidP="00554CE2">
      <w:pPr>
        <w:jc w:val="both"/>
      </w:pPr>
      <w:r>
        <w:t>Furthermore, as previously stated, conventional energy sources are used in a variety of industries, and only a relatively small amount is used for electricity generation. In 2014, just 11% of the domestic supply of natural gas (the single most widely used energy source in the Netherlands) went to electricity plants</w:t>
      </w:r>
      <w:r w:rsidR="00954B0E">
        <w:t xml:space="preserve"> </w:t>
      </w:r>
      <w:r w:rsidR="00954B0E">
        <w:rPr>
          <w:noProof/>
        </w:rPr>
        <w:t>(IEA, 2017)</w:t>
      </w:r>
      <w:r>
        <w:t xml:space="preserve">. Several interviewees stressed the relatively small role that electricity actually plays in the overall Dutch energy system. For example, </w:t>
      </w:r>
      <w:r w:rsidR="00741ED6">
        <w:t xml:space="preserve">although the figures quoted might not be entirely accurate, </w:t>
      </w:r>
      <w:r>
        <w:t xml:space="preserve">Interviewee H stated: </w:t>
      </w:r>
    </w:p>
    <w:p w14:paraId="7B1A9FA8" w14:textId="77777777" w:rsidR="00554CE2" w:rsidRDefault="00554CE2" w:rsidP="00554CE2">
      <w:pPr>
        <w:rPr>
          <w:lang w:bidi="ar-SA"/>
        </w:rPr>
      </w:pPr>
    </w:p>
    <w:p w14:paraId="476BD988" w14:textId="77777777" w:rsidR="00554CE2" w:rsidRDefault="00554CE2" w:rsidP="00554CE2">
      <w:pPr>
        <w:ind w:left="1134" w:right="567"/>
        <w:jc w:val="both"/>
      </w:pPr>
      <w:r>
        <w:t>“</w:t>
      </w:r>
      <w:r w:rsidRPr="001A36D0">
        <w:rPr>
          <w:i/>
        </w:rPr>
        <w:t>80% of energy that we transport as a company to our customers is via the gas grid - for heating and cooking. A lot of people do not understand that; they think it's all about electricity. We hear about decentralised renewable electricity but 80% of energy is transported by the gas grid.</w:t>
      </w:r>
      <w:r>
        <w:t xml:space="preserve">” </w:t>
      </w:r>
    </w:p>
    <w:p w14:paraId="0F8506A8" w14:textId="77777777" w:rsidR="00554CE2" w:rsidRDefault="00554CE2" w:rsidP="00554CE2">
      <w:pPr>
        <w:jc w:val="both"/>
      </w:pPr>
    </w:p>
    <w:p w14:paraId="7D5D231C" w14:textId="74188C78" w:rsidR="00554CE2" w:rsidRDefault="00554CE2" w:rsidP="00554CE2">
      <w:pPr>
        <w:jc w:val="both"/>
      </w:pPr>
      <w:r>
        <w:t xml:space="preserve">In regards </w:t>
      </w:r>
      <w:r w:rsidR="009D709E">
        <w:t xml:space="preserve">to </w:t>
      </w:r>
      <w:r>
        <w:t>electricity generation, only 8% of the total electricity generated in 2015 came from wind and solar combined. Although the figures quoted in this section are taken from different years and therefore cannot be compared exactly with one another, they still reflect the fact that electricity is only a relatively small part in the overall energy system within the Netherlands, and renewable energy sources only play a relatively small role in electricity generation. Indeed, it is debatable over how complete the transition of wind and solar is, and at which phase and level they sit in the TM framework.</w:t>
      </w:r>
    </w:p>
    <w:p w14:paraId="7918DF55" w14:textId="77777777" w:rsidR="00554CE2" w:rsidRDefault="00554CE2" w:rsidP="00554CE2">
      <w:pPr>
        <w:jc w:val="both"/>
      </w:pPr>
    </w:p>
    <w:p w14:paraId="4A3CAAF3" w14:textId="46A7AD47" w:rsidR="00554CE2" w:rsidRDefault="00554CE2" w:rsidP="00554CE2">
      <w:pPr>
        <w:jc w:val="both"/>
      </w:pPr>
      <w:r>
        <w:lastRenderedPageBreak/>
        <w:t xml:space="preserve">Regardless of the exact stage of transition (debate about which is outside the scope of this report), it was largely agreed by the interviewees that wind and solar energy production is technologically mature, which confirms the assumption detailed in Section </w:t>
      </w:r>
      <w:r>
        <w:fldChar w:fldCharType="begin"/>
      </w:r>
      <w:r>
        <w:instrText xml:space="preserve"> REF _Ref478373003 \r \h </w:instrText>
      </w:r>
      <w:r>
        <w:fldChar w:fldCharType="separate"/>
      </w:r>
      <w:r>
        <w:t>4.3</w:t>
      </w:r>
      <w:r>
        <w:fldChar w:fldCharType="end"/>
      </w:r>
      <w:r>
        <w:t xml:space="preserve">. Furthermore, there was widespread belief from the interviewees that the penetration of wind and solar would continue. Indeed, although renewables (including biofuels) accounted for just 5.8% of the Netherland’s TPES in 2015, </w:t>
      </w:r>
      <w:r w:rsidR="00464F6B">
        <w:t xml:space="preserve">the Energy Centre of the Netherlands predicts their use </w:t>
      </w:r>
      <w:r>
        <w:t xml:space="preserve">to rise to 12.5% by 2020 (although this falls short of the 14% target </w:t>
      </w:r>
      <w:r w:rsidR="008F6566">
        <w:t xml:space="preserve">defined </w:t>
      </w:r>
      <w:r w:rsidR="005E183B">
        <w:t>in t</w:t>
      </w:r>
      <w:r w:rsidR="008F6566" w:rsidRPr="008F6566">
        <w:t>he Energy Agreement on Sustainable Growth</w:t>
      </w:r>
      <w:r>
        <w:t xml:space="preserve">) and to 25.4% by 2035 </w:t>
      </w:r>
      <w:r>
        <w:rPr>
          <w:noProof/>
        </w:rPr>
        <w:t>(ECN, n.d.)</w:t>
      </w:r>
      <w:r>
        <w:t>. The (ongoing) transition of wind to solar has undoubtedly been effected by energy policy.</w:t>
      </w:r>
    </w:p>
    <w:p w14:paraId="14771BD9" w14:textId="0F9AC8E5" w:rsidR="00554CE2" w:rsidRDefault="00D31CCB" w:rsidP="00671B0F">
      <w:pPr>
        <w:pStyle w:val="Heading3"/>
      </w:pPr>
      <w:bookmarkStart w:id="69" w:name="_Ref487458661"/>
      <w:r>
        <w:t>Policies Endorsing RES</w:t>
      </w:r>
      <w:bookmarkEnd w:id="69"/>
    </w:p>
    <w:p w14:paraId="02183B7F" w14:textId="6C67C96F" w:rsidR="00554CE2" w:rsidRDefault="00554CE2" w:rsidP="00554CE2">
      <w:pPr>
        <w:jc w:val="both"/>
        <w:rPr>
          <w:noProof/>
          <w:lang w:bidi="ar-SA"/>
        </w:rPr>
      </w:pPr>
      <w:r>
        <w:t>In 2014 the Dutch Ministry of Economic Affairs published a report on the country’s energy policy between 2007 and 2012 as defined in Art</w:t>
      </w:r>
      <w:r w:rsidR="00913281">
        <w:t xml:space="preserve">icle 14 of the Dutch budget </w:t>
      </w:r>
      <w:r w:rsidR="00913281">
        <w:rPr>
          <w:noProof/>
        </w:rPr>
        <w:t>(EZ, 2014, in Dutch)</w:t>
      </w:r>
      <w:r>
        <w:t xml:space="preserve">. Within the article three operational goals (OGs) are defined in relation to energy policy: </w:t>
      </w:r>
      <w:r>
        <w:rPr>
          <w:i/>
        </w:rPr>
        <w:t xml:space="preserve">well-functioning energy markets </w:t>
      </w:r>
      <w:r>
        <w:t>(OG1)</w:t>
      </w:r>
      <w:r>
        <w:rPr>
          <w:i/>
        </w:rPr>
        <w:t>, security of supply</w:t>
      </w:r>
      <w:r>
        <w:t xml:space="preserve"> (OG2)</w:t>
      </w:r>
      <w:r>
        <w:rPr>
          <w:i/>
        </w:rPr>
        <w:t xml:space="preserve">, </w:t>
      </w:r>
      <w:r>
        <w:t xml:space="preserve">and </w:t>
      </w:r>
      <w:r>
        <w:rPr>
          <w:i/>
        </w:rPr>
        <w:t xml:space="preserve">a sustainable and safe supply of energy </w:t>
      </w:r>
      <w:r>
        <w:t>(OG3). To achieve these goals a variety of policy instruments have been used. For the purposes of this thesis (with its focus on ESS)</w:t>
      </w:r>
      <w:r w:rsidR="006C1402">
        <w:t>,</w:t>
      </w:r>
      <w:r>
        <w:t xml:space="preserve"> it was deemed excessive and unnecessary to evaluate all instruments to address Research Sub-question 1. Therefore, the decision was taken to focus on OG3 due to the fact that over 99% of government spending on energy policy in 2014 went on this goal</w:t>
      </w:r>
      <w:r w:rsidR="00846ECB">
        <w:t xml:space="preserve"> </w:t>
      </w:r>
      <w:sdt>
        <w:sdtPr>
          <w:id w:val="-942988513"/>
          <w:citation/>
        </w:sdtPr>
        <w:sdtEndPr/>
        <w:sdtContent>
          <w:r w:rsidR="00846ECB">
            <w:fldChar w:fldCharType="begin"/>
          </w:r>
          <w:r w:rsidR="00846ECB">
            <w:instrText xml:space="preserve"> CITATION Koc16 \l 2057 </w:instrText>
          </w:r>
          <w:r w:rsidR="00846ECB">
            <w:fldChar w:fldCharType="separate"/>
          </w:r>
          <w:r w:rsidR="00846ECB">
            <w:rPr>
              <w:noProof/>
            </w:rPr>
            <w:t>(Kocsis &amp; Hof, 2016)</w:t>
          </w:r>
          <w:r w:rsidR="00846ECB">
            <w:fldChar w:fldCharType="end"/>
          </w:r>
        </w:sdtContent>
      </w:sdt>
      <w:r>
        <w:t>. This was because almost all the financial instruments defined in Article 14</w:t>
      </w:r>
      <w:r w:rsidRPr="0045488B">
        <w:t>, such as R&amp;D subsidies, subsidies for energy production and tax deduc</w:t>
      </w:r>
      <w:r>
        <w:t xml:space="preserve">tion of sustainable investments fall under it (Kocsis &amp; Hof, 2016). Furthermore, within OG3 the majority of expenditure went on sustainable production subsidies </w:t>
      </w:r>
      <w:r>
        <w:rPr>
          <w:noProof/>
          <w:lang w:bidi="ar-SA"/>
        </w:rPr>
        <w:t xml:space="preserve">(Kocsis &amp; Hof, 2016). Much of the remaining spending went on other financial instruments such as R&amp;D subsidies or tax deduction of sustainable investments, whereas regulatory instruments such as laws, rules, regulations, consultations, and convenents did not require a substantial part of the budget </w:t>
      </w:r>
      <w:r w:rsidR="005F71B2">
        <w:rPr>
          <w:noProof/>
          <w:lang w:bidi="ar-SA"/>
        </w:rPr>
        <w:t>(Kocsis &amp; Hof, 2016)</w:t>
      </w:r>
      <w:r>
        <w:rPr>
          <w:noProof/>
          <w:lang w:bidi="ar-SA"/>
        </w:rPr>
        <w:t xml:space="preserve">. Interviewee O also considered </w:t>
      </w:r>
      <w:r>
        <w:t>sustainable production subsidies</w:t>
      </w:r>
      <w:r>
        <w:rPr>
          <w:noProof/>
          <w:lang w:bidi="ar-SA"/>
        </w:rPr>
        <w:t xml:space="preserve"> to be important tools in the wind and solar energy transition and therefore this section of the report will comment mainly on this type of instrument</w:t>
      </w:r>
      <w:r>
        <w:t>.</w:t>
      </w:r>
      <w:r>
        <w:rPr>
          <w:noProof/>
          <w:lang w:bidi="ar-SA"/>
        </w:rPr>
        <w:t xml:space="preserve"> </w:t>
      </w:r>
      <w:r>
        <w:rPr>
          <w:lang w:bidi="ar-SA"/>
        </w:rPr>
        <w:t xml:space="preserve">According to Kocsis and Hof (2016, </w:t>
      </w:r>
      <w:r w:rsidR="00D31CCB" w:rsidRPr="00D31CCB">
        <w:rPr>
          <w:lang w:bidi="ar-SA"/>
        </w:rPr>
        <w:t>p1436</w:t>
      </w:r>
      <w:r>
        <w:rPr>
          <w:lang w:bidi="ar-SA"/>
        </w:rPr>
        <w:t>), sustainable production subsidies:</w:t>
      </w:r>
    </w:p>
    <w:p w14:paraId="76AF175A" w14:textId="77777777" w:rsidR="00554CE2" w:rsidRDefault="00554CE2" w:rsidP="00554CE2">
      <w:pPr>
        <w:jc w:val="both"/>
        <w:rPr>
          <w:lang w:bidi="ar-SA"/>
        </w:rPr>
      </w:pPr>
    </w:p>
    <w:p w14:paraId="361FDBF2" w14:textId="77777777" w:rsidR="00554CE2" w:rsidRDefault="00554CE2" w:rsidP="00554CE2">
      <w:pPr>
        <w:ind w:left="1134" w:right="567"/>
        <w:jc w:val="both"/>
        <w:rPr>
          <w:lang w:bidi="ar-SA"/>
        </w:rPr>
      </w:pPr>
      <w:r>
        <w:rPr>
          <w:lang w:bidi="ar-SA"/>
        </w:rPr>
        <w:t>“</w:t>
      </w:r>
      <w:r w:rsidRPr="00BE38C2">
        <w:rPr>
          <w:i/>
          <w:lang w:bidi="ar-SA"/>
        </w:rPr>
        <w:t>improve the business case of investments in renewable energy by subsidizing actual production. Production subsidies are meant to bridge the financial gap of investments in energy production, i.e. the difference between the costs of production per kWh in a reference installation (including a reasonable margin) and the average wholesale market price per kWh</w:t>
      </w:r>
      <w:r>
        <w:rPr>
          <w:lang w:bidi="ar-SA"/>
        </w:rPr>
        <w:t>”.</w:t>
      </w:r>
    </w:p>
    <w:p w14:paraId="7F45B43E" w14:textId="77777777" w:rsidR="00554CE2" w:rsidRDefault="00554CE2" w:rsidP="00554CE2">
      <w:pPr>
        <w:jc w:val="both"/>
        <w:rPr>
          <w:noProof/>
          <w:lang w:bidi="ar-SA"/>
        </w:rPr>
      </w:pPr>
    </w:p>
    <w:p w14:paraId="3020ACDB" w14:textId="0D0E5905" w:rsidR="00554CE2" w:rsidRDefault="00554CE2" w:rsidP="00554CE2">
      <w:pPr>
        <w:jc w:val="both"/>
        <w:rPr>
          <w:color w:val="FF0000"/>
          <w:lang w:bidi="ar-SA"/>
        </w:rPr>
      </w:pPr>
      <w:r>
        <w:rPr>
          <w:noProof/>
          <w:lang w:bidi="ar-SA"/>
        </w:rPr>
        <w:t>Production subsidy in the Netherlands has had three forms: MEP (</w:t>
      </w:r>
      <w:r>
        <w:rPr>
          <w:i/>
          <w:noProof/>
          <w:lang w:bidi="ar-SA"/>
        </w:rPr>
        <w:t>Mileukwaliteit Electriciteitsproductie</w:t>
      </w:r>
      <w:r>
        <w:rPr>
          <w:noProof/>
          <w:lang w:bidi="ar-SA"/>
        </w:rPr>
        <w:t>; Environmental Quality of Electricity Production), SDE (</w:t>
      </w:r>
      <w:r>
        <w:rPr>
          <w:i/>
          <w:noProof/>
          <w:lang w:bidi="ar-SA"/>
        </w:rPr>
        <w:t>Stimulering Duurzame Energieproductie</w:t>
      </w:r>
      <w:r>
        <w:rPr>
          <w:noProof/>
          <w:lang w:bidi="ar-SA"/>
        </w:rPr>
        <w:t>; Stimulation of Sustainable Energy Production), and SDE+, a modified version of SDE which suceeded it. According to primary data taken from Interviewee O</w:t>
      </w:r>
      <w:r w:rsidR="0092265B">
        <w:rPr>
          <w:noProof/>
          <w:lang w:bidi="ar-SA"/>
        </w:rPr>
        <w:t>,</w:t>
      </w:r>
      <w:r>
        <w:rPr>
          <w:noProof/>
          <w:lang w:bidi="ar-SA"/>
        </w:rPr>
        <w:t xml:space="preserve"> and reports by </w:t>
      </w:r>
      <w:r>
        <w:rPr>
          <w:lang w:bidi="ar-SA"/>
        </w:rPr>
        <w:t xml:space="preserve">Kocsis and Hof (2016) and the </w:t>
      </w:r>
      <w:r w:rsidR="00D72D65">
        <w:rPr>
          <w:i/>
          <w:lang w:bidi="ar-SA"/>
        </w:rPr>
        <w:t>Ministerie van Economische Zaken</w:t>
      </w:r>
      <w:r w:rsidR="00D72D65">
        <w:rPr>
          <w:lang w:bidi="ar-SA"/>
        </w:rPr>
        <w:t xml:space="preserve"> (Ministry of Economic Affairs)</w:t>
      </w:r>
      <w:r>
        <w:rPr>
          <w:lang w:bidi="ar-SA"/>
        </w:rPr>
        <w:t xml:space="preserve"> (2014), these instruments </w:t>
      </w:r>
      <w:r w:rsidR="005F71B2">
        <w:rPr>
          <w:lang w:bidi="ar-SA"/>
        </w:rPr>
        <w:t>have had a variety of successes, with SDE+ being</w:t>
      </w:r>
      <w:r>
        <w:rPr>
          <w:lang w:bidi="ar-SA"/>
        </w:rPr>
        <w:t xml:space="preserve"> considered </w:t>
      </w:r>
      <w:r w:rsidR="005F71B2">
        <w:rPr>
          <w:lang w:bidi="ar-SA"/>
        </w:rPr>
        <w:t xml:space="preserve">to be an </w:t>
      </w:r>
      <w:r>
        <w:rPr>
          <w:lang w:bidi="ar-SA"/>
        </w:rPr>
        <w:t>effective and efficient instrument in helping facilitate renewable energy sources into the Dutch energy mix.</w:t>
      </w:r>
      <w:r w:rsidR="005C1C85">
        <w:rPr>
          <w:color w:val="FF0000"/>
          <w:lang w:bidi="ar-SA"/>
        </w:rPr>
        <w:t xml:space="preserve"> </w:t>
      </w:r>
    </w:p>
    <w:p w14:paraId="188D6681" w14:textId="39CAA4B6" w:rsidR="002B01D3" w:rsidRDefault="002B01D3" w:rsidP="00554CE2">
      <w:pPr>
        <w:jc w:val="both"/>
        <w:rPr>
          <w:noProof/>
          <w:color w:val="FF0000"/>
          <w:lang w:bidi="ar-SA"/>
        </w:rPr>
      </w:pPr>
    </w:p>
    <w:p w14:paraId="417F4E3A" w14:textId="05D69976" w:rsidR="00C33B21" w:rsidRDefault="001F3158" w:rsidP="00554CE2">
      <w:pPr>
        <w:jc w:val="both"/>
      </w:pPr>
      <w:r>
        <w:lastRenderedPageBreak/>
        <w:t>Furthermore, a</w:t>
      </w:r>
      <w:r w:rsidR="001079C5">
        <w:t>t the domestic level</w:t>
      </w:r>
      <w:r w:rsidR="000D1164">
        <w:t>,</w:t>
      </w:r>
      <w:r w:rsidR="00491FA4">
        <w:t xml:space="preserve"> </w:t>
      </w:r>
      <w:r w:rsidR="000D1164">
        <w:t xml:space="preserve">the </w:t>
      </w:r>
      <w:r w:rsidR="000D1164">
        <w:rPr>
          <w:i/>
        </w:rPr>
        <w:t>saldering</w:t>
      </w:r>
      <w:r w:rsidR="000D1164">
        <w:t xml:space="preserve"> (net metering) scheme can be considered to have helped the growth of installed solar PV within the Netherlands (Huijben &amp; Verbong, 2013, cited in </w:t>
      </w:r>
      <w:r w:rsidR="000D1164">
        <w:rPr>
          <w:noProof/>
        </w:rPr>
        <w:t>van de Water, 2014)</w:t>
      </w:r>
      <w:r w:rsidR="000D1164">
        <w:t xml:space="preserve">. </w:t>
      </w:r>
      <w:r w:rsidR="00491FA4" w:rsidRPr="003623C4">
        <w:t xml:space="preserve">Net metering </w:t>
      </w:r>
      <w:r w:rsidR="00491FA4" w:rsidRPr="00AF6E9B">
        <w:t>implies that connections to the electricity grid are billed onl</w:t>
      </w:r>
      <w:r w:rsidR="005F71B2">
        <w:t>y for net (annual) energy use. A</w:t>
      </w:r>
      <w:r w:rsidR="00491FA4" w:rsidRPr="00AF6E9B">
        <w:t>s a result, only energy tax, V</w:t>
      </w:r>
      <w:r w:rsidR="00491FA4">
        <w:t xml:space="preserve">alue </w:t>
      </w:r>
      <w:r w:rsidR="00491FA4" w:rsidRPr="00AF6E9B">
        <w:t>A</w:t>
      </w:r>
      <w:r w:rsidR="00491FA4">
        <w:t xml:space="preserve">dded </w:t>
      </w:r>
      <w:r w:rsidR="00491FA4" w:rsidRPr="00AF6E9B">
        <w:t>T</w:t>
      </w:r>
      <w:r w:rsidR="00491FA4">
        <w:t>ax (VAT),</w:t>
      </w:r>
      <w:r w:rsidR="00491FA4" w:rsidRPr="00AF6E9B">
        <w:t xml:space="preserve"> and transmission costs </w:t>
      </w:r>
      <w:r w:rsidR="00A246CF" w:rsidRPr="00AF6E9B">
        <w:t>must</w:t>
      </w:r>
      <w:r w:rsidR="00491FA4" w:rsidRPr="00AF6E9B">
        <w:t xml:space="preserve"> be paid on the balance of kilowatts ‘imported’ from the public grid minus the kilowatts ‘exported’ to the grid</w:t>
      </w:r>
      <w:r w:rsidR="00491FA4">
        <w:t xml:space="preserve"> </w:t>
      </w:r>
      <w:sdt>
        <w:sdtPr>
          <w:id w:val="2012491137"/>
          <w:citation/>
        </w:sdtPr>
        <w:sdtEndPr/>
        <w:sdtContent>
          <w:r w:rsidR="00491FA4">
            <w:fldChar w:fldCharType="begin"/>
          </w:r>
          <w:r w:rsidR="00491FA4">
            <w:instrText xml:space="preserve"> CITATION Vol14 \l 2057 </w:instrText>
          </w:r>
          <w:r w:rsidR="00491FA4">
            <w:fldChar w:fldCharType="separate"/>
          </w:r>
          <w:r w:rsidR="00491FA4">
            <w:rPr>
              <w:noProof/>
            </w:rPr>
            <w:t>(Vollebergh, 2014)</w:t>
          </w:r>
          <w:r w:rsidR="00491FA4">
            <w:fldChar w:fldCharType="end"/>
          </w:r>
        </w:sdtContent>
      </w:sdt>
      <w:r w:rsidR="00491FA4">
        <w:t xml:space="preserve">. Indeed, a number of interviewees </w:t>
      </w:r>
      <w:r>
        <w:t>agreed</w:t>
      </w:r>
      <w:r w:rsidR="00491FA4">
        <w:t xml:space="preserve"> that the net metering scheme did indeed provide an </w:t>
      </w:r>
      <w:r w:rsidR="0092265B">
        <w:t>incentive to invest in solar PV;</w:t>
      </w:r>
      <w:r w:rsidR="00491FA4">
        <w:t xml:space="preserve"> fo</w:t>
      </w:r>
      <w:r w:rsidR="000D1164">
        <w:t xml:space="preserve">r </w:t>
      </w:r>
      <w:r w:rsidR="00C33B21">
        <w:t>example</w:t>
      </w:r>
      <w:r w:rsidR="0092265B">
        <w:t>,</w:t>
      </w:r>
      <w:r w:rsidR="00C33B21">
        <w:t xml:space="preserve"> Interviewee K stated:</w:t>
      </w:r>
    </w:p>
    <w:p w14:paraId="400EDC0F" w14:textId="77777777" w:rsidR="00C33B21" w:rsidRDefault="00C33B21" w:rsidP="00554CE2">
      <w:pPr>
        <w:jc w:val="both"/>
      </w:pPr>
    </w:p>
    <w:p w14:paraId="42D35AA9" w14:textId="77777777" w:rsidR="00C33B21" w:rsidRDefault="000D1164" w:rsidP="00C33B21">
      <w:pPr>
        <w:ind w:left="1134" w:right="567"/>
        <w:jc w:val="both"/>
      </w:pPr>
      <w:r>
        <w:t>“</w:t>
      </w:r>
      <w:r>
        <w:rPr>
          <w:i/>
        </w:rPr>
        <w:t>t</w:t>
      </w:r>
      <w:r w:rsidR="00491FA4" w:rsidRPr="003C4CCD">
        <w:rPr>
          <w:i/>
        </w:rPr>
        <w:t xml:space="preserve">he </w:t>
      </w:r>
      <w:r w:rsidR="00491FA4" w:rsidRPr="00125969">
        <w:t>saldering</w:t>
      </w:r>
      <w:r w:rsidR="00491FA4" w:rsidRPr="003C4CCD">
        <w:rPr>
          <w:i/>
        </w:rPr>
        <w:t xml:space="preserve"> regulation </w:t>
      </w:r>
      <w:r>
        <w:rPr>
          <w:i/>
        </w:rPr>
        <w:t>…</w:t>
      </w:r>
      <w:r w:rsidR="00491FA4" w:rsidRPr="003C4CCD">
        <w:rPr>
          <w:i/>
        </w:rPr>
        <w:t xml:space="preserve"> caused a big increase in PV installed at home. So it's really a good instrument for supporting the sustainable energy.</w:t>
      </w:r>
      <w:r w:rsidR="00491FA4">
        <w:t>”</w:t>
      </w:r>
      <w:r w:rsidR="001F3158">
        <w:t xml:space="preserve"> </w:t>
      </w:r>
    </w:p>
    <w:p w14:paraId="4784CF4F" w14:textId="77777777" w:rsidR="00C33B21" w:rsidRDefault="00C33B21" w:rsidP="00554CE2">
      <w:pPr>
        <w:jc w:val="both"/>
      </w:pPr>
    </w:p>
    <w:p w14:paraId="3ABC20AA" w14:textId="24F46642" w:rsidR="0084762E" w:rsidRDefault="001F3158" w:rsidP="00554CE2">
      <w:pPr>
        <w:jc w:val="both"/>
      </w:pPr>
      <w:r>
        <w:t xml:space="preserve">However, although net metering may encourage </w:t>
      </w:r>
      <w:r w:rsidR="003B1CD0">
        <w:t xml:space="preserve">investment in solar PV, it may discourage investment in energy storage; this will be discussed further in the following section. </w:t>
      </w:r>
    </w:p>
    <w:p w14:paraId="0CF32D87" w14:textId="24C74DDB" w:rsidR="00D31CCB" w:rsidRDefault="00ED30F7" w:rsidP="00671B0F">
      <w:pPr>
        <w:pStyle w:val="Heading3"/>
      </w:pPr>
      <w:bookmarkStart w:id="70" w:name="_Ref487458259"/>
      <w:r>
        <w:t xml:space="preserve">Factors and Policies </w:t>
      </w:r>
      <w:r w:rsidR="00EE5C94">
        <w:t>Related to the</w:t>
      </w:r>
      <w:r>
        <w:t xml:space="preserve"> Integration of ESS</w:t>
      </w:r>
      <w:bookmarkEnd w:id="70"/>
    </w:p>
    <w:p w14:paraId="187DD543" w14:textId="60F8B991" w:rsidR="00952B09" w:rsidRPr="00952B09" w:rsidRDefault="00952B09" w:rsidP="00952B09">
      <w:pPr>
        <w:pStyle w:val="Heading4"/>
      </w:pPr>
      <w:r>
        <w:t>Location</w:t>
      </w:r>
    </w:p>
    <w:p w14:paraId="1E041BE2" w14:textId="08FF203C" w:rsidR="00554CE2" w:rsidRDefault="00554CE2" w:rsidP="00554CE2">
      <w:pPr>
        <w:jc w:val="both"/>
      </w:pPr>
      <w:r>
        <w:t xml:space="preserve">As previously discussed, as wind and solar penetration increases there will also be an increased need for ESS, and there are a variety of different ESS technologies with different attributes </w:t>
      </w:r>
      <w:r w:rsidR="008E6555">
        <w:t>suitable for</w:t>
      </w:r>
      <w:r>
        <w:t xml:space="preserve"> a range of applications. Ho</w:t>
      </w:r>
      <w:r w:rsidR="005938D2">
        <w:t>wever, this</w:t>
      </w:r>
      <w:r w:rsidR="008E6555">
        <w:t xml:space="preserve"> research suggests</w:t>
      </w:r>
      <w:r>
        <w:t xml:space="preserve"> that the suitability of a</w:t>
      </w:r>
      <w:r w:rsidR="008E6555">
        <w:t>n</w:t>
      </w:r>
      <w:r>
        <w:t xml:space="preserve"> ESS technology for a certain application was based on more than that just its technological capabilities. For example, during the interviews there was much discussion regarding the scale of ESS technologies and where they should be located within the grid. As Interviewee B pointed out, there are different levels of the electricity network, with high voltage (HV) transmission lines, medium voltage (MV) substations, and low voltage (LV) within the home. This interviewee saw the possibility of both centralised and de-centralised storage over these levels, with larger-scale storage at the generation site, neighbourhood-scale storage at the substation level, and domestic-scale storage in individual households. However, although this was recognised as a possibility, in practice it is unlikely to be as straightforward as simply integrating storage over these levels as this suggests. </w:t>
      </w:r>
    </w:p>
    <w:p w14:paraId="684967CA" w14:textId="2295C251" w:rsidR="00952B09" w:rsidRDefault="00ED30F7" w:rsidP="00952B09">
      <w:pPr>
        <w:pStyle w:val="Heading4"/>
      </w:pPr>
      <w:r>
        <w:t>Role of Domestic-l</w:t>
      </w:r>
      <w:r w:rsidR="00952B09">
        <w:t>evel Batteries</w:t>
      </w:r>
    </w:p>
    <w:p w14:paraId="260339AD" w14:textId="0A68B4CA" w:rsidR="00554CE2" w:rsidRDefault="00554CE2" w:rsidP="00E07D22">
      <w:pPr>
        <w:jc w:val="both"/>
        <w:rPr>
          <w:color w:val="FF0000"/>
        </w:rPr>
      </w:pPr>
      <w:r>
        <w:t>The location of ESS at the domestic level could be considered as being the most straightforward, as</w:t>
      </w:r>
      <w:r w:rsidR="008E6555">
        <w:t>,</w:t>
      </w:r>
      <w:r>
        <w:t xml:space="preserve"> by definition</w:t>
      </w:r>
      <w:r w:rsidR="008E6555">
        <w:t>,</w:t>
      </w:r>
      <w:r>
        <w:t xml:space="preserve"> it is located within or at </w:t>
      </w:r>
      <w:r w:rsidR="008E6555">
        <w:t>an individual’s</w:t>
      </w:r>
      <w:r>
        <w:t xml:space="preserve"> home. For domestic energy storage, batteries were the technology that was most widely discussed by the interviewees but there are a number of factors whi</w:t>
      </w:r>
      <w:r w:rsidR="005F71B2">
        <w:t>ch are currently hindering their</w:t>
      </w:r>
      <w:r>
        <w:t xml:space="preserve"> more widespread integration. For example, although domestic battery technologies (such as certain brands of </w:t>
      </w:r>
      <w:r w:rsidR="00784AFD">
        <w:t>Li-ion</w:t>
      </w:r>
      <w:r w:rsidR="008E6555">
        <w:t xml:space="preserve"> </w:t>
      </w:r>
      <w:r w:rsidR="008370C2">
        <w:t>batteries) can be bought ‘off-the-</w:t>
      </w:r>
      <w:r>
        <w:t xml:space="preserve">shelf’ they remain relatively expensive. Based on current, relatively low electricity prices it is generally expected that it will take a number of years before the return on any investment in batteries is realised. </w:t>
      </w:r>
      <w:r w:rsidR="006C3866" w:rsidRPr="005F71B2">
        <w:t>In</w:t>
      </w:r>
      <w:r w:rsidR="00E07D22" w:rsidRPr="005F71B2">
        <w:t>deed, it could be considered that the high price of a battery plus installation costs, alongside solar PV panels would be a disincentive to invest, and homeowners who invest at the current time are those who do not necessarily expect a fast return on investment, and are wealthy enough to afford this.</w:t>
      </w:r>
      <w:r w:rsidR="00E07D22">
        <w:rPr>
          <w:color w:val="FF0000"/>
        </w:rPr>
        <w:t xml:space="preserve"> </w:t>
      </w:r>
      <w:r>
        <w:t>However, there are market opportunities for batteries which m</w:t>
      </w:r>
      <w:r w:rsidR="005F71B2">
        <w:t>ay encourage people to invest; b</w:t>
      </w:r>
      <w:r w:rsidR="00414BEC">
        <w:t xml:space="preserve">atteries </w:t>
      </w:r>
      <w:r>
        <w:t xml:space="preserve">could allow owners to trade in electricity markets or act in the imbalance market, for example. Furthermore, a number of interviewees saw the primary control reserve (PCR) (or frequency control reserve (FCR)) market as providing the most </w:t>
      </w:r>
      <w:r>
        <w:lastRenderedPageBreak/>
        <w:t>opportunities for domestic-scale batteries. The purpose of the primary reserve is to stabilise frequ</w:t>
      </w:r>
      <w:r w:rsidR="0065054B">
        <w:t>ency disruptions in the entire internationally</w:t>
      </w:r>
      <w:r>
        <w:t xml:space="preserve"> interconnected high-voltage grid. Serious </w:t>
      </w:r>
      <w:r w:rsidR="0065054B">
        <w:t xml:space="preserve">frequency disruptions can, in the </w:t>
      </w:r>
      <w:r>
        <w:t>worst case</w:t>
      </w:r>
      <w:r w:rsidR="0065054B">
        <w:t>,</w:t>
      </w:r>
      <w:r>
        <w:t xml:space="preserve"> initiate a black-out </w:t>
      </w:r>
      <w:sdt>
        <w:sdtPr>
          <w:id w:val="1153794730"/>
          <w:citation/>
        </w:sdtPr>
        <w:sdtEndPr/>
        <w:sdtContent>
          <w:r>
            <w:fldChar w:fldCharType="begin"/>
          </w:r>
          <w:r w:rsidR="00954B0E">
            <w:instrText xml:space="preserve">CITATION Tennd \l 2057 </w:instrText>
          </w:r>
          <w:r>
            <w:fldChar w:fldCharType="separate"/>
          </w:r>
          <w:r w:rsidR="00954B0E">
            <w:rPr>
              <w:noProof/>
            </w:rPr>
            <w:t>(TenneT, n.d.)</w:t>
          </w:r>
          <w:r>
            <w:fldChar w:fldCharType="end"/>
          </w:r>
        </w:sdtContent>
      </w:sdt>
      <w:r>
        <w:t xml:space="preserve">. European policy states that </w:t>
      </w:r>
      <w:r w:rsidR="0065054B">
        <w:t>the Netherlands</w:t>
      </w:r>
      <w:r>
        <w:t xml:space="preserve"> must have an available minimum primary reserve capacity of 96 MW in both regulating directions (in 2015) (TenneT, n.d.); market players can bid to offer capacity to TenneT (the T</w:t>
      </w:r>
      <w:r w:rsidR="00ED0D25">
        <w:t>ransmission System</w:t>
      </w:r>
      <w:r w:rsidR="007A7FDD">
        <w:t xml:space="preserve"> Operator (T</w:t>
      </w:r>
      <w:r>
        <w:t>SO)</w:t>
      </w:r>
      <w:r w:rsidR="007A7FDD">
        <w:t>)</w:t>
      </w:r>
      <w:r>
        <w:t xml:space="preserve"> in order to help stabilise disruptions. Whereas </w:t>
      </w:r>
      <w:r w:rsidR="00A2202F">
        <w:t>conventionally</w:t>
      </w:r>
      <w:r>
        <w:t xml:space="preserve"> bidders needed to make available a minimum of 1 MW capacity for a certain time period, TenneT is trialling lower blocks which could help accommodate storage, as more, smaller players could be able to offer capacity to the TSO for PCR. </w:t>
      </w:r>
    </w:p>
    <w:p w14:paraId="201F45C3" w14:textId="7B4637A0" w:rsidR="00952B09" w:rsidRDefault="001A56B6" w:rsidP="00952B09">
      <w:pPr>
        <w:pStyle w:val="Heading4"/>
      </w:pPr>
      <w:r>
        <w:t xml:space="preserve">Ownership and </w:t>
      </w:r>
      <w:r w:rsidR="00952B09">
        <w:t>Role of Aggregators</w:t>
      </w:r>
    </w:p>
    <w:p w14:paraId="781039B2" w14:textId="56EFB921" w:rsidR="00554CE2" w:rsidRPr="006117AB" w:rsidRDefault="00554CE2" w:rsidP="00554CE2">
      <w:pPr>
        <w:jc w:val="both"/>
      </w:pPr>
      <w:r>
        <w:t>Furthermore, a number of interviewees see an increased role for aggregators in the future. Interviewee C described aggregators as software companies which aggregate between the energy market and the user. They provide demand-side management of pooled batteries, with the battery owners receiving a fee for providing capacity, and the aggregators charging a fee for providing the service. Aggregators can combine flexible as</w:t>
      </w:r>
      <w:r w:rsidR="0054720F">
        <w:t xml:space="preserve">sets to form a large portfolio and </w:t>
      </w:r>
      <w:r>
        <w:t xml:space="preserve">there are several projects currently in operation which pool battery capacity. For example, Eneco’s </w:t>
      </w:r>
      <w:r w:rsidRPr="00395C0D">
        <w:rPr>
          <w:i/>
        </w:rPr>
        <w:t>CrowdNett</w:t>
      </w:r>
      <w:r>
        <w:t xml:space="preserve"> is a network of home batteries that can charge or discharge at the desired time to help balance the electricity network. Homeowners with solar panels are able to purchase a battery through the scheme at a subsidised price on the agreement that they offer 30% of the battery’s capacity to the network. The batteries combined form a ‘virtual power plant’ and together provide</w:t>
      </w:r>
      <w:r w:rsidR="0054720F">
        <w:t xml:space="preserve"> reserve capacity for the grid; an annual fee is</w:t>
      </w:r>
      <w:r>
        <w:t xml:space="preserve"> paid to the battery owner. Ano</w:t>
      </w:r>
      <w:r w:rsidR="0054720F">
        <w:t xml:space="preserve">ther example is Enexis’ </w:t>
      </w:r>
      <w:r>
        <w:rPr>
          <w:i/>
        </w:rPr>
        <w:t xml:space="preserve">Jouw Energie Moment </w:t>
      </w:r>
      <w:r>
        <w:t xml:space="preserve">(Your Energy Moment). Participants in this scheme do not pay a fixed price for the energy that they use, but pay an amount associated with the current price of electricity in the energy market. At times of pressure on the grid they pay more, and when there is less pressure they pay less. Interviewee L explained how 40 homeowners were provided with a free Tesla </w:t>
      </w:r>
      <w:r w:rsidRPr="008F3E2D">
        <w:rPr>
          <w:i/>
        </w:rPr>
        <w:t>Powerwall</w:t>
      </w:r>
      <w:r>
        <w:t xml:space="preserve"> battery by the scheme, in order to pool a percentage of total capacity to provide services to the grid. Batteries can be used to store energy either generated by the homeowner or that is purchased when prices are cheaper, for example at night when load on the grid is low. </w:t>
      </w:r>
      <w:r w:rsidRPr="006A755E">
        <w:rPr>
          <w:rStyle w:val="Emphasis"/>
          <w:i w:val="0"/>
        </w:rPr>
        <w:t>Peak shaving</w:t>
      </w:r>
      <w:r>
        <w:rPr>
          <w:rStyle w:val="Emphasis"/>
          <w:i w:val="0"/>
        </w:rPr>
        <w:t xml:space="preserve">, such as this, helps </w:t>
      </w:r>
      <w:r>
        <w:rPr>
          <w:rStyle w:val="st"/>
        </w:rPr>
        <w:t>reduce the amount of energy purchased from the utility company during</w:t>
      </w:r>
      <w:r w:rsidRPr="006A755E">
        <w:rPr>
          <w:rStyle w:val="st"/>
        </w:rPr>
        <w:t xml:space="preserve"> </w:t>
      </w:r>
      <w:r>
        <w:rPr>
          <w:rStyle w:val="Emphasis"/>
          <w:i w:val="0"/>
        </w:rPr>
        <w:t xml:space="preserve">peak </w:t>
      </w:r>
      <w:r>
        <w:rPr>
          <w:rStyle w:val="st"/>
        </w:rPr>
        <w:t>demand hours, and can lead to lower electricity bills, therefore making the purchase of a battery a financially more attractive option.</w:t>
      </w:r>
      <w:r>
        <w:t xml:space="preserve"> However, Interviewee H did not see a future role for aggregators, as they felt that individuals would be able to trade on energy markets themselves, rather than paying a fee to a third-party. </w:t>
      </w:r>
    </w:p>
    <w:p w14:paraId="21825B46" w14:textId="77777777" w:rsidR="00554CE2" w:rsidRDefault="00554CE2" w:rsidP="00554CE2">
      <w:pPr>
        <w:jc w:val="both"/>
      </w:pPr>
    </w:p>
    <w:p w14:paraId="20F45EC7" w14:textId="77777777" w:rsidR="00554CE2" w:rsidRDefault="00554CE2" w:rsidP="00554CE2">
      <w:pPr>
        <w:spacing w:line="270" w:lineRule="exact"/>
        <w:jc w:val="both"/>
      </w:pPr>
      <w:r>
        <w:t xml:space="preserve">It is important to note that although batteries can provide flexibility and have also have applications in other markets, they can only provide one service at a time. If capacity is made available for PCR, for example, then it cannot be employed for use in another market at the same time. To quote Interviewee F: </w:t>
      </w:r>
    </w:p>
    <w:p w14:paraId="59E4C3AB" w14:textId="77777777" w:rsidR="00554CE2" w:rsidRDefault="00554CE2" w:rsidP="00554CE2">
      <w:pPr>
        <w:spacing w:line="270" w:lineRule="exact"/>
        <w:jc w:val="both"/>
      </w:pPr>
    </w:p>
    <w:p w14:paraId="38336CFC" w14:textId="3E87A760" w:rsidR="00554CE2" w:rsidRDefault="00554CE2" w:rsidP="00554CE2">
      <w:pPr>
        <w:spacing w:line="270" w:lineRule="exact"/>
        <w:ind w:left="1134" w:right="567"/>
        <w:jc w:val="both"/>
      </w:pPr>
      <w:r>
        <w:t>“</w:t>
      </w:r>
      <w:r>
        <w:rPr>
          <w:i/>
        </w:rPr>
        <w:t>J</w:t>
      </w:r>
      <w:r w:rsidRPr="00935246">
        <w:rPr>
          <w:i/>
        </w:rPr>
        <w:t>ust as you can only spend a euro once you can only spend a k</w:t>
      </w:r>
      <w:r>
        <w:rPr>
          <w:i/>
        </w:rPr>
        <w:t>ilowatt hour</w:t>
      </w:r>
      <w:r w:rsidRPr="00935246">
        <w:rPr>
          <w:i/>
        </w:rPr>
        <w:t xml:space="preserve"> once, and you can only spend a second once. So</w:t>
      </w:r>
      <w:r>
        <w:rPr>
          <w:i/>
        </w:rPr>
        <w:t>,</w:t>
      </w:r>
      <w:r w:rsidRPr="00935246">
        <w:rPr>
          <w:i/>
        </w:rPr>
        <w:t xml:space="preserve"> if your battery is employed for primary reserve for some</w:t>
      </w:r>
      <w:r>
        <w:rPr>
          <w:i/>
        </w:rPr>
        <w:t xml:space="preserve"> </w:t>
      </w:r>
      <w:r w:rsidRPr="00935246">
        <w:rPr>
          <w:i/>
        </w:rPr>
        <w:t xml:space="preserve">time it cannot do the same thing with the same amount of time within </w:t>
      </w:r>
      <w:r w:rsidRPr="00231E1C">
        <w:rPr>
          <w:i/>
        </w:rPr>
        <w:t xml:space="preserve">the imbalance </w:t>
      </w:r>
      <w:r w:rsidRPr="00935246">
        <w:rPr>
          <w:i/>
        </w:rPr>
        <w:t>market, or in another market.</w:t>
      </w:r>
      <w:r>
        <w:t>”</w:t>
      </w:r>
    </w:p>
    <w:p w14:paraId="752CE40A" w14:textId="00E66140" w:rsidR="0054720F" w:rsidRDefault="0054720F" w:rsidP="00554CE2">
      <w:pPr>
        <w:spacing w:line="270" w:lineRule="exact"/>
        <w:ind w:left="1134" w:right="567"/>
        <w:jc w:val="both"/>
      </w:pPr>
    </w:p>
    <w:p w14:paraId="212D87E1" w14:textId="677D54B3" w:rsidR="0054720F" w:rsidRDefault="0054720F" w:rsidP="0054720F">
      <w:pPr>
        <w:jc w:val="both"/>
      </w:pPr>
      <w:r>
        <w:t>Indeed</w:t>
      </w:r>
      <w:r w:rsidRPr="0065054B">
        <w:t>, there has been EU-level discussion over whether battery storage</w:t>
      </w:r>
      <w:r>
        <w:t xml:space="preserve"> systems looking to provide </w:t>
      </w:r>
      <w:r w:rsidRPr="0065054B">
        <w:t xml:space="preserve">frequency regulation </w:t>
      </w:r>
      <w:r>
        <w:t xml:space="preserve">must be able to achieve maximum demand for either 15 minutes or </w:t>
      </w:r>
      <w:r>
        <w:lastRenderedPageBreak/>
        <w:t xml:space="preserve">30 minutes. Providing for a shorter time period would make investment in batteries a more attractive option for market players, as the battery could be used for another purpose or in another market sooner than if capacity needed to be made available for 30 minutes at a time. At the time of writing this research it is not clear what the outcome of these discussions are, but the outcome of this could have implications for the energy storage market and for business cases for batteries. </w:t>
      </w:r>
    </w:p>
    <w:p w14:paraId="7336743A" w14:textId="26A95F76" w:rsidR="00952B09" w:rsidRDefault="007A7FDD" w:rsidP="007A7FDD">
      <w:pPr>
        <w:pStyle w:val="Heading4"/>
        <w:jc w:val="both"/>
      </w:pPr>
      <w:r>
        <w:t>C</w:t>
      </w:r>
      <w:r w:rsidR="00952B09">
        <w:t xml:space="preserve">onflict between </w:t>
      </w:r>
      <w:r>
        <w:t xml:space="preserve">the </w:t>
      </w:r>
      <w:r w:rsidR="00952B09">
        <w:t>T</w:t>
      </w:r>
      <w:r w:rsidR="00ED0D25">
        <w:t>ransmission System</w:t>
      </w:r>
      <w:r>
        <w:t xml:space="preserve"> Operator</w:t>
      </w:r>
      <w:r w:rsidR="00952B09">
        <w:t xml:space="preserve"> and </w:t>
      </w:r>
      <w:r>
        <w:t xml:space="preserve">the </w:t>
      </w:r>
      <w:r w:rsidR="00952B09">
        <w:t>D</w:t>
      </w:r>
      <w:r>
        <w:t xml:space="preserve">istribution </w:t>
      </w:r>
      <w:r w:rsidR="00952B09">
        <w:t>S</w:t>
      </w:r>
      <w:r w:rsidR="00ED0D25">
        <w:t>ystem</w:t>
      </w:r>
      <w:r>
        <w:t xml:space="preserve"> Operators</w:t>
      </w:r>
    </w:p>
    <w:p w14:paraId="41B17A9C" w14:textId="69DECA5E" w:rsidR="00952B09" w:rsidRDefault="00554CE2" w:rsidP="00554CE2">
      <w:pPr>
        <w:jc w:val="both"/>
      </w:pPr>
      <w:r>
        <w:t>Furthermore, Interviewee I pointed out that there is an element of confl</w:t>
      </w:r>
      <w:r w:rsidR="007A7FDD">
        <w:t xml:space="preserve">ict between the </w:t>
      </w:r>
      <w:r w:rsidR="00ED0D25">
        <w:t>TSO and the Distribution System</w:t>
      </w:r>
      <w:r w:rsidR="007A7FDD">
        <w:t xml:space="preserve"> Operators (DSOs)</w:t>
      </w:r>
      <w:r>
        <w:t xml:space="preserve">; the PCR market is a service </w:t>
      </w:r>
      <w:r w:rsidR="00375070">
        <w:t xml:space="preserve">for which the TSO </w:t>
      </w:r>
      <w:r>
        <w:t>pay</w:t>
      </w:r>
      <w:r w:rsidR="00375070">
        <w:t>s</w:t>
      </w:r>
      <w:r>
        <w:t xml:space="preserve"> the ESS owners (whether they require the use of capacity or not). However, if, for example, the grid frequency was high and the ESS needed to absorb energy from the grid then there may be a large peak on the owner’s grid connection. The DSO may charge the ESS owner for this peak. Therefore, although the owner is getting paid by the TSO for providing the service, the owner might have to pay the DSO. This could be seen as disincentive for storage. Interviewee I believed this was an “old [fashioned] rule” and was an area that the PCR market could be improved for the storage owner.  </w:t>
      </w:r>
    </w:p>
    <w:p w14:paraId="26A05F36" w14:textId="095A7E77" w:rsidR="00952B09" w:rsidRDefault="00952B09" w:rsidP="00952B09">
      <w:pPr>
        <w:pStyle w:val="Heading4"/>
      </w:pPr>
      <w:r>
        <w:t>Net Metering</w:t>
      </w:r>
    </w:p>
    <w:p w14:paraId="148FB918" w14:textId="100ACF35" w:rsidR="00554CE2" w:rsidRDefault="00AF059A" w:rsidP="00554CE2">
      <w:pPr>
        <w:jc w:val="both"/>
      </w:pPr>
      <w:r>
        <w:t>As discussed in S</w:t>
      </w:r>
      <w:r w:rsidR="003B1CD0">
        <w:t>ection</w:t>
      </w:r>
      <w:r>
        <w:t xml:space="preserve"> </w:t>
      </w:r>
      <w:r>
        <w:fldChar w:fldCharType="begin"/>
      </w:r>
      <w:r>
        <w:instrText xml:space="preserve"> REF _Ref487458661 \r \h </w:instrText>
      </w:r>
      <w:r>
        <w:fldChar w:fldCharType="separate"/>
      </w:r>
      <w:r>
        <w:t>6.2.2</w:t>
      </w:r>
      <w:r>
        <w:fldChar w:fldCharType="end"/>
      </w:r>
      <w:r w:rsidR="003B1CD0">
        <w:t>, net metering could</w:t>
      </w:r>
      <w:r w:rsidR="00554CE2">
        <w:t xml:space="preserve"> be</w:t>
      </w:r>
      <w:r w:rsidR="003B1CD0">
        <w:t xml:space="preserve"> considered</w:t>
      </w:r>
      <w:r w:rsidR="00554CE2">
        <w:t xml:space="preserve"> a successful instrument in </w:t>
      </w:r>
      <w:r w:rsidR="003B1CD0">
        <w:t xml:space="preserve">regards </w:t>
      </w:r>
      <w:r w:rsidR="00143410">
        <w:t xml:space="preserve">to </w:t>
      </w:r>
      <w:r w:rsidR="003B1CD0">
        <w:t>encouraging investment in solar PV</w:t>
      </w:r>
      <w:r w:rsidR="00C01C86">
        <w:t xml:space="preserve"> at the domestic-level</w:t>
      </w:r>
      <w:r w:rsidR="003B1CD0">
        <w:t>.</w:t>
      </w:r>
      <w:r w:rsidR="00554CE2">
        <w:t xml:space="preserve"> </w:t>
      </w:r>
      <w:r w:rsidR="003B1CD0">
        <w:t xml:space="preserve">However, </w:t>
      </w:r>
      <w:r w:rsidR="00554CE2">
        <w:t>it discourages homeowners to invest in batteries because it allows people who generate electricity with solar PV to effectively use the grid as a form of storage; there is no incentive to invest in an expensive battery when the grid performs a similar role. The net metering scheme was the most commonly mentioned policy instrument by the interviewees, and the majority felt that the scheme was holding back the integration of domestic storage. For example, Interviewee C stated:</w:t>
      </w:r>
    </w:p>
    <w:p w14:paraId="68BC9739" w14:textId="77777777" w:rsidR="00554CE2" w:rsidRDefault="00554CE2" w:rsidP="00554CE2">
      <w:pPr>
        <w:jc w:val="both"/>
      </w:pPr>
    </w:p>
    <w:p w14:paraId="260246D1" w14:textId="77777777" w:rsidR="00554CE2" w:rsidRDefault="00554CE2" w:rsidP="00554CE2">
      <w:pPr>
        <w:ind w:left="1134" w:right="567"/>
        <w:jc w:val="both"/>
      </w:pPr>
      <w:r>
        <w:t>“</w:t>
      </w:r>
      <w:r>
        <w:rPr>
          <w:i/>
        </w:rPr>
        <w:t>T</w:t>
      </w:r>
      <w:r w:rsidRPr="003F3846">
        <w:rPr>
          <w:i/>
        </w:rPr>
        <w:t xml:space="preserve">his </w:t>
      </w:r>
      <w:r>
        <w:rPr>
          <w:i/>
        </w:rPr>
        <w:t>[</w:t>
      </w:r>
      <w:r w:rsidRPr="00125969">
        <w:t>saldering</w:t>
      </w:r>
      <w:r>
        <w:rPr>
          <w:i/>
        </w:rPr>
        <w:t>] is a</w:t>
      </w:r>
      <w:r w:rsidRPr="003F3846">
        <w:rPr>
          <w:i/>
        </w:rPr>
        <w:t xml:space="preserve"> kind of a subsidy. It holds back people from buying a battery because the grid is the battery...you sell </w:t>
      </w:r>
      <w:r>
        <w:rPr>
          <w:i/>
        </w:rPr>
        <w:t xml:space="preserve">[electricity] </w:t>
      </w:r>
      <w:r w:rsidRPr="003F3846">
        <w:rPr>
          <w:i/>
        </w:rPr>
        <w:t xml:space="preserve">for </w:t>
      </w:r>
      <w:r>
        <w:rPr>
          <w:i/>
        </w:rPr>
        <w:t xml:space="preserve">the </w:t>
      </w:r>
      <w:r w:rsidRPr="003F3846">
        <w:rPr>
          <w:i/>
        </w:rPr>
        <w:t xml:space="preserve">contract price and you buy </w:t>
      </w:r>
      <w:r>
        <w:rPr>
          <w:i/>
        </w:rPr>
        <w:t xml:space="preserve">[electricity] </w:t>
      </w:r>
      <w:r w:rsidRPr="003F3846">
        <w:rPr>
          <w:i/>
        </w:rPr>
        <w:t xml:space="preserve">for </w:t>
      </w:r>
      <w:r>
        <w:rPr>
          <w:i/>
        </w:rPr>
        <w:t xml:space="preserve">the </w:t>
      </w:r>
      <w:r w:rsidRPr="003F3846">
        <w:rPr>
          <w:i/>
        </w:rPr>
        <w:t>contract price. If this ruling gets terminated then people have a business case for storing that cheaper PV power.</w:t>
      </w:r>
      <w:r>
        <w:t>”</w:t>
      </w:r>
    </w:p>
    <w:p w14:paraId="406382FD" w14:textId="77777777" w:rsidR="00554CE2" w:rsidRDefault="00554CE2" w:rsidP="00554CE2">
      <w:pPr>
        <w:jc w:val="both"/>
      </w:pPr>
    </w:p>
    <w:p w14:paraId="44A4ED31" w14:textId="77777777" w:rsidR="00554CE2" w:rsidRDefault="00554CE2" w:rsidP="00554CE2">
      <w:pPr>
        <w:jc w:val="both"/>
      </w:pPr>
      <w:r>
        <w:t xml:space="preserve">Interviewee G agreed: </w:t>
      </w:r>
    </w:p>
    <w:p w14:paraId="062C3D02" w14:textId="77777777" w:rsidR="00554CE2" w:rsidRDefault="00554CE2" w:rsidP="00554CE2">
      <w:pPr>
        <w:jc w:val="both"/>
      </w:pPr>
    </w:p>
    <w:p w14:paraId="6A2D1EC9" w14:textId="37F2E70B" w:rsidR="00554CE2" w:rsidRDefault="00554CE2" w:rsidP="00554CE2">
      <w:pPr>
        <w:ind w:left="1134" w:right="567"/>
        <w:jc w:val="both"/>
      </w:pPr>
      <w:r>
        <w:t>“</w:t>
      </w:r>
      <w:r w:rsidRPr="003C4CCD">
        <w:rPr>
          <w:i/>
        </w:rPr>
        <w:t>I think there comes more opportunity for this energy storage technology when this net electricity regulation is finished</w:t>
      </w:r>
      <w:r w:rsidR="00C01C86">
        <w:rPr>
          <w:i/>
        </w:rPr>
        <w:t>.</w:t>
      </w:r>
      <w:r>
        <w:t xml:space="preserve">” </w:t>
      </w:r>
    </w:p>
    <w:p w14:paraId="6002F38A" w14:textId="77777777" w:rsidR="00554CE2" w:rsidRDefault="00554CE2" w:rsidP="00554CE2">
      <w:pPr>
        <w:jc w:val="both"/>
      </w:pPr>
    </w:p>
    <w:p w14:paraId="6C45CBE6" w14:textId="77777777" w:rsidR="00554CE2" w:rsidRDefault="00554CE2" w:rsidP="00554CE2">
      <w:pPr>
        <w:jc w:val="both"/>
      </w:pPr>
      <w:r>
        <w:t xml:space="preserve">As did Interviewee H: </w:t>
      </w:r>
    </w:p>
    <w:p w14:paraId="4CAC1D6E" w14:textId="77777777" w:rsidR="00554CE2" w:rsidRDefault="00554CE2" w:rsidP="00554CE2">
      <w:pPr>
        <w:jc w:val="both"/>
      </w:pPr>
    </w:p>
    <w:p w14:paraId="10A6D1D4" w14:textId="52217A53" w:rsidR="00C01C86" w:rsidRDefault="00554CE2" w:rsidP="00C01C86">
      <w:pPr>
        <w:ind w:left="1134" w:right="567"/>
        <w:jc w:val="both"/>
      </w:pPr>
      <w:r>
        <w:t>“</w:t>
      </w:r>
      <w:r w:rsidRPr="003C4CCD">
        <w:rPr>
          <w:i/>
        </w:rPr>
        <w:t xml:space="preserve">Batteries are now not at the household level due to this </w:t>
      </w:r>
      <w:r w:rsidRPr="002D25B2">
        <w:t>saldering</w:t>
      </w:r>
      <w:r w:rsidR="00C01C86">
        <w:t>.”</w:t>
      </w:r>
    </w:p>
    <w:p w14:paraId="4DA78829" w14:textId="65CD224E" w:rsidR="00952B09" w:rsidRDefault="00952B09" w:rsidP="00952B09">
      <w:pPr>
        <w:pStyle w:val="Heading4"/>
      </w:pPr>
      <w:r>
        <w:t>‘Double’ and ‘Stepped’ Tax Systems</w:t>
      </w:r>
    </w:p>
    <w:p w14:paraId="3DEC17E5" w14:textId="3F9B8E1B" w:rsidR="00554CE2" w:rsidRDefault="00554CE2" w:rsidP="00554CE2">
      <w:pPr>
        <w:jc w:val="both"/>
      </w:pPr>
      <w:r>
        <w:t xml:space="preserve">A number of interviewees also spoke about how the current </w:t>
      </w:r>
      <w:r>
        <w:rPr>
          <w:i/>
        </w:rPr>
        <w:t xml:space="preserve">energiebelasting </w:t>
      </w:r>
      <w:r w:rsidRPr="00617CAA">
        <w:t>(energy tax)</w:t>
      </w:r>
      <w:r>
        <w:t xml:space="preserve"> system</w:t>
      </w:r>
      <w:r>
        <w:rPr>
          <w:i/>
        </w:rPr>
        <w:t xml:space="preserve"> </w:t>
      </w:r>
      <w:r>
        <w:t>also hinders the integration of ESS. The current system taxes both consumers and producers of electricity, which Interviewee C believed holds back the integration of batteries; they explained how it works:</w:t>
      </w:r>
    </w:p>
    <w:p w14:paraId="255D8C54" w14:textId="77777777" w:rsidR="00554CE2" w:rsidRDefault="00554CE2" w:rsidP="00554CE2">
      <w:pPr>
        <w:jc w:val="both"/>
      </w:pPr>
    </w:p>
    <w:p w14:paraId="10DD27B8" w14:textId="77777777" w:rsidR="00554CE2" w:rsidRDefault="00554CE2" w:rsidP="00554CE2">
      <w:pPr>
        <w:ind w:left="1134" w:right="567"/>
        <w:jc w:val="both"/>
        <w:rPr>
          <w:i/>
        </w:rPr>
      </w:pPr>
      <w:r w:rsidRPr="00DC5262">
        <w:lastRenderedPageBreak/>
        <w:t>“</w:t>
      </w:r>
      <w:r w:rsidRPr="00EA612C">
        <w:rPr>
          <w:i/>
        </w:rPr>
        <w:t>I</w:t>
      </w:r>
      <w:r w:rsidRPr="00DC5262">
        <w:rPr>
          <w:i/>
        </w:rPr>
        <w:t>f you buy power as a consumer or a company you pay tax on it. If you sell it you are a producer so you also pay tax. So</w:t>
      </w:r>
      <w:r>
        <w:rPr>
          <w:i/>
        </w:rPr>
        <w:t>,</w:t>
      </w:r>
      <w:r w:rsidRPr="00DC5262">
        <w:rPr>
          <w:i/>
        </w:rPr>
        <w:t xml:space="preserve"> if you have a battery and you charge or </w:t>
      </w:r>
      <w:r>
        <w:rPr>
          <w:i/>
        </w:rPr>
        <w:t xml:space="preserve">discharge multiple times a day …  </w:t>
      </w:r>
      <w:r w:rsidRPr="00DC5262">
        <w:rPr>
          <w:i/>
        </w:rPr>
        <w:t>then you pay tax on buying and selling so it's this double tax.”</w:t>
      </w:r>
    </w:p>
    <w:p w14:paraId="0F496FF9" w14:textId="77777777" w:rsidR="00554CE2" w:rsidRDefault="00554CE2" w:rsidP="00554CE2">
      <w:pPr>
        <w:ind w:left="1134" w:right="567"/>
        <w:jc w:val="both"/>
        <w:rPr>
          <w:i/>
        </w:rPr>
      </w:pPr>
    </w:p>
    <w:p w14:paraId="0F596ACB" w14:textId="77777777" w:rsidR="00554CE2" w:rsidRDefault="00554CE2" w:rsidP="00554CE2">
      <w:pPr>
        <w:jc w:val="both"/>
      </w:pPr>
      <w:r>
        <w:t>Interviewee N agreed that the current system holds batteries back:</w:t>
      </w:r>
    </w:p>
    <w:p w14:paraId="74629E39" w14:textId="77777777" w:rsidR="00554CE2" w:rsidRDefault="00554CE2" w:rsidP="00554CE2">
      <w:pPr>
        <w:jc w:val="both"/>
      </w:pPr>
    </w:p>
    <w:p w14:paraId="065CDE8E" w14:textId="77777777" w:rsidR="00554CE2" w:rsidRPr="00EA612C" w:rsidRDefault="00554CE2" w:rsidP="00554CE2">
      <w:pPr>
        <w:ind w:left="1134" w:right="567"/>
        <w:jc w:val="both"/>
        <w:rPr>
          <w:i/>
        </w:rPr>
      </w:pPr>
      <w:r>
        <w:t>“</w:t>
      </w:r>
      <w:r w:rsidRPr="00EA612C">
        <w:rPr>
          <w:i/>
        </w:rPr>
        <w:t>There are also facts in the law that makes it difficult for storage. It's in the pricing system, it's in the taxes. These tax systems are not made for these things. You should change them.</w:t>
      </w:r>
      <w:r>
        <w:t>”</w:t>
      </w:r>
    </w:p>
    <w:p w14:paraId="33D2AC27" w14:textId="77777777" w:rsidR="00554CE2" w:rsidRDefault="00554CE2" w:rsidP="00554CE2">
      <w:pPr>
        <w:jc w:val="both"/>
      </w:pPr>
    </w:p>
    <w:p w14:paraId="34232158" w14:textId="77777777" w:rsidR="00554CE2" w:rsidRDefault="00554CE2" w:rsidP="00554CE2">
      <w:pPr>
        <w:jc w:val="both"/>
      </w:pPr>
      <w:r>
        <w:t xml:space="preserve">Interviewee I also stated that they felt the system should be changed: </w:t>
      </w:r>
    </w:p>
    <w:p w14:paraId="42C30A41" w14:textId="77777777" w:rsidR="00554CE2" w:rsidRPr="000C1FE1" w:rsidRDefault="00554CE2" w:rsidP="00554CE2">
      <w:pPr>
        <w:jc w:val="both"/>
        <w:rPr>
          <w:shd w:val="pct15" w:color="auto" w:fill="FFFFFF"/>
        </w:rPr>
      </w:pPr>
    </w:p>
    <w:p w14:paraId="4F6D3EEC" w14:textId="77777777" w:rsidR="00554CE2" w:rsidRDefault="00554CE2" w:rsidP="00554CE2">
      <w:pPr>
        <w:ind w:left="1134" w:right="567"/>
        <w:jc w:val="both"/>
      </w:pPr>
      <w:r>
        <w:t>“</w:t>
      </w:r>
      <w:r w:rsidRPr="00E515C1">
        <w:rPr>
          <w:i/>
        </w:rPr>
        <w:t xml:space="preserve">If you put a kWh </w:t>
      </w:r>
      <w:r>
        <w:rPr>
          <w:i/>
        </w:rPr>
        <w:t xml:space="preserve">from the grid </w:t>
      </w:r>
      <w:r w:rsidRPr="00E515C1">
        <w:rPr>
          <w:i/>
        </w:rPr>
        <w:t>in</w:t>
      </w:r>
      <w:r>
        <w:rPr>
          <w:i/>
        </w:rPr>
        <w:t>to</w:t>
      </w:r>
      <w:r w:rsidRPr="00E515C1">
        <w:rPr>
          <w:i/>
        </w:rPr>
        <w:t xml:space="preserve"> your storage and th</w:t>
      </w:r>
      <w:r>
        <w:rPr>
          <w:i/>
        </w:rPr>
        <w:t>en you deliver back to the grid …  then you have two</w:t>
      </w:r>
      <w:r w:rsidRPr="00E515C1">
        <w:rPr>
          <w:i/>
        </w:rPr>
        <w:t xml:space="preserve"> times the taxation on the same kW</w:t>
      </w:r>
      <w:r>
        <w:rPr>
          <w:i/>
        </w:rPr>
        <w:t xml:space="preserve">h – that's indeed a </w:t>
      </w:r>
      <w:r w:rsidRPr="00E515C1">
        <w:rPr>
          <w:i/>
        </w:rPr>
        <w:t>part of the policy that should be changed.</w:t>
      </w:r>
      <w:r>
        <w:t>”</w:t>
      </w:r>
    </w:p>
    <w:p w14:paraId="2D13BF60" w14:textId="77777777" w:rsidR="00554CE2" w:rsidRDefault="00554CE2" w:rsidP="00554CE2">
      <w:pPr>
        <w:ind w:left="1134" w:right="567"/>
        <w:jc w:val="both"/>
      </w:pPr>
    </w:p>
    <w:p w14:paraId="69A17EF8" w14:textId="74D7AABA" w:rsidR="00554CE2" w:rsidRDefault="00554CE2" w:rsidP="00554CE2">
      <w:pPr>
        <w:jc w:val="both"/>
      </w:pPr>
      <w:r>
        <w:t xml:space="preserve">However, if the tax system were to be changed then the government may lose revenue and need to find a way of replacing it, possibly with taxes elsewhere. </w:t>
      </w:r>
      <w:r w:rsidRPr="0081755A">
        <w:t>Interview L</w:t>
      </w:r>
      <w:r>
        <w:t>, however,</w:t>
      </w:r>
      <w:r w:rsidRPr="0081755A">
        <w:t xml:space="preserve"> stated that the income from electricity taxed compared to the total tax income to the government was relatively small, and believed that the overall societal costs could be brought down by changing the tax system.</w:t>
      </w:r>
      <w:r>
        <w:rPr>
          <w:color w:val="FF0000"/>
        </w:rPr>
        <w:t xml:space="preserve"> </w:t>
      </w:r>
      <w:r w:rsidR="0084762E">
        <w:t>In fact, in 2014 the Dutch government collected 23.9 bil</w:t>
      </w:r>
      <w:r w:rsidR="00C01C86">
        <w:t>lion euros in environmental tax</w:t>
      </w:r>
      <w:r w:rsidR="0084762E">
        <w:t xml:space="preserve">es and levies which was 9% of total government tax revenues including social contributions, with households contributing 66% and companies 34% </w:t>
      </w:r>
      <w:sdt>
        <w:sdtPr>
          <w:id w:val="-508990721"/>
          <w:citation/>
        </w:sdtPr>
        <w:sdtEndPr/>
        <w:sdtContent>
          <w:r w:rsidR="0084762E">
            <w:fldChar w:fldCharType="begin"/>
          </w:r>
          <w:r w:rsidR="0084762E">
            <w:instrText xml:space="preserve"> CITATION Sta15 \l 2057 </w:instrText>
          </w:r>
          <w:r w:rsidR="0084762E">
            <w:fldChar w:fldCharType="separate"/>
          </w:r>
          <w:r w:rsidR="0084762E">
            <w:rPr>
              <w:noProof/>
            </w:rPr>
            <w:t>(Statistics Netherlands, 2015)</w:t>
          </w:r>
          <w:r w:rsidR="0084762E">
            <w:fldChar w:fldCharType="end"/>
          </w:r>
        </w:sdtContent>
      </w:sdt>
      <w:r w:rsidR="00C63D73">
        <w:t xml:space="preserve">. According to Statistics Netherlands (2015), the Dutch share of environmental taxes and levies in total taxes ranks amongst the highest in Europe. </w:t>
      </w:r>
    </w:p>
    <w:p w14:paraId="7390D9AA" w14:textId="77777777" w:rsidR="00554CE2" w:rsidRDefault="00554CE2" w:rsidP="00554CE2">
      <w:pPr>
        <w:jc w:val="both"/>
      </w:pPr>
    </w:p>
    <w:p w14:paraId="02074D9F" w14:textId="56DDF941" w:rsidR="00554CE2" w:rsidRDefault="00554CE2" w:rsidP="00D70061">
      <w:pPr>
        <w:jc w:val="both"/>
        <w:rPr>
          <w:rStyle w:val="st"/>
        </w:rPr>
      </w:pPr>
      <w:r>
        <w:t xml:space="preserve">Furthermore, </w:t>
      </w:r>
      <w:r w:rsidR="00736A02">
        <w:t>a number of interviewees thought the current</w:t>
      </w:r>
      <w:r>
        <w:t xml:space="preserve"> ‘stepped’ tax system </w:t>
      </w:r>
      <w:r w:rsidR="00A47B25">
        <w:t>held storage back. This</w:t>
      </w:r>
      <w:r w:rsidR="00736A02">
        <w:t xml:space="preserve"> system</w:t>
      </w:r>
      <w:r>
        <w:t xml:space="preserve"> differentiates between </w:t>
      </w:r>
      <w:r w:rsidR="0040159C">
        <w:t xml:space="preserve">various degrees of </w:t>
      </w:r>
      <w:r w:rsidR="00736A02">
        <w:t xml:space="preserve">electricity </w:t>
      </w:r>
      <w:r w:rsidR="0040159C">
        <w:t>consumer, from small (between 0 to 10,000 kWh</w:t>
      </w:r>
      <w:r w:rsidR="00736A02">
        <w:t xml:space="preserve"> per annum</w:t>
      </w:r>
      <w:r w:rsidR="0040159C">
        <w:t xml:space="preserve">) through to large business (more </w:t>
      </w:r>
      <w:r w:rsidR="00736A02">
        <w:t>than 10 million kWh per annum), with several levels in between</w:t>
      </w:r>
      <w:r w:rsidR="00A47B25">
        <w:t xml:space="preserve">. Large </w:t>
      </w:r>
      <w:r w:rsidR="00736A02">
        <w:t xml:space="preserve">consumers pay significantly less tax </w:t>
      </w:r>
      <w:r w:rsidR="00A77D27">
        <w:t xml:space="preserve">proportionally </w:t>
      </w:r>
      <w:r w:rsidR="00736A02">
        <w:t xml:space="preserve">on consumed electricity than small </w:t>
      </w:r>
      <w:r w:rsidR="00A77D27">
        <w:t xml:space="preserve">consumers </w:t>
      </w:r>
      <w:r w:rsidR="00736A02">
        <w:rPr>
          <w:noProof/>
        </w:rPr>
        <w:t>(Belastingdienst, n.d., in Dutch)</w:t>
      </w:r>
      <w:r w:rsidR="0071791C">
        <w:rPr>
          <w:noProof/>
        </w:rPr>
        <w:t xml:space="preserve">, which could be </w:t>
      </w:r>
      <w:r w:rsidR="0071791C">
        <w:rPr>
          <w:rStyle w:val="st"/>
        </w:rPr>
        <w:t>seen as a disincentive for large consumers to invest in storage.</w:t>
      </w:r>
      <w:r w:rsidR="00D70061">
        <w:rPr>
          <w:rStyle w:val="st"/>
        </w:rPr>
        <w:t xml:space="preserve"> </w:t>
      </w:r>
      <w:r>
        <w:rPr>
          <w:rStyle w:val="st"/>
        </w:rPr>
        <w:t>Interviewee A describes this system as “1960s tax engineering” and sees no difference how and where energy is consumed:</w:t>
      </w:r>
    </w:p>
    <w:p w14:paraId="6D399105" w14:textId="77777777" w:rsidR="00554CE2" w:rsidRDefault="00554CE2" w:rsidP="00554CE2">
      <w:pPr>
        <w:jc w:val="both"/>
        <w:rPr>
          <w:rStyle w:val="st"/>
        </w:rPr>
      </w:pPr>
    </w:p>
    <w:p w14:paraId="547D58DD" w14:textId="49F301F3" w:rsidR="00554CE2" w:rsidRDefault="00554CE2" w:rsidP="00554CE2">
      <w:pPr>
        <w:ind w:left="1134" w:right="567"/>
        <w:jc w:val="both"/>
        <w:rPr>
          <w:i/>
          <w:lang w:eastAsia="ko-KR" w:bidi="ar-SA"/>
        </w:rPr>
      </w:pPr>
      <w:r>
        <w:rPr>
          <w:lang w:eastAsia="ko-KR" w:bidi="ar-SA"/>
        </w:rPr>
        <w:t>“</w:t>
      </w:r>
      <w:r w:rsidRPr="00970BDA">
        <w:rPr>
          <w:i/>
          <w:lang w:eastAsia="ko-KR" w:bidi="ar-SA"/>
        </w:rPr>
        <w:t>A k</w:t>
      </w:r>
      <w:r w:rsidR="00614DFC">
        <w:rPr>
          <w:i/>
          <w:lang w:eastAsia="ko-KR" w:bidi="ar-SA"/>
        </w:rPr>
        <w:t>ilo</w:t>
      </w:r>
      <w:r w:rsidRPr="00970BDA">
        <w:rPr>
          <w:i/>
          <w:lang w:eastAsia="ko-KR" w:bidi="ar-SA"/>
        </w:rPr>
        <w:t>g</w:t>
      </w:r>
      <w:r w:rsidR="00614DFC">
        <w:rPr>
          <w:i/>
          <w:lang w:eastAsia="ko-KR" w:bidi="ar-SA"/>
        </w:rPr>
        <w:t>ram</w:t>
      </w:r>
      <w:r w:rsidRPr="00970BDA">
        <w:rPr>
          <w:i/>
          <w:lang w:eastAsia="ko-KR" w:bidi="ar-SA"/>
        </w:rPr>
        <w:t xml:space="preserve"> of carbon dioxide is a k</w:t>
      </w:r>
      <w:r w:rsidR="00614DFC">
        <w:rPr>
          <w:i/>
          <w:lang w:eastAsia="ko-KR" w:bidi="ar-SA"/>
        </w:rPr>
        <w:t>ilo</w:t>
      </w:r>
      <w:r w:rsidRPr="00970BDA">
        <w:rPr>
          <w:i/>
          <w:lang w:eastAsia="ko-KR" w:bidi="ar-SA"/>
        </w:rPr>
        <w:t>g</w:t>
      </w:r>
      <w:r w:rsidR="00614DFC">
        <w:rPr>
          <w:i/>
          <w:lang w:eastAsia="ko-KR" w:bidi="ar-SA"/>
        </w:rPr>
        <w:t>ram</w:t>
      </w:r>
      <w:r w:rsidRPr="00970BDA">
        <w:rPr>
          <w:i/>
          <w:lang w:eastAsia="ko-KR" w:bidi="ar-SA"/>
        </w:rPr>
        <w:t xml:space="preserve"> of carbon dioxide. It doesn’t matter at all if this was created because I wanted to iron my shirt or because it was created because of melting some iron ore.”</w:t>
      </w:r>
    </w:p>
    <w:p w14:paraId="67C7045A" w14:textId="77777777" w:rsidR="00554CE2" w:rsidRDefault="00554CE2" w:rsidP="00554CE2">
      <w:pPr>
        <w:ind w:left="1134"/>
        <w:jc w:val="both"/>
        <w:rPr>
          <w:i/>
          <w:lang w:eastAsia="ko-KR" w:bidi="ar-SA"/>
        </w:rPr>
      </w:pPr>
    </w:p>
    <w:p w14:paraId="4672647A" w14:textId="4E79C571" w:rsidR="00554CE2" w:rsidRDefault="00554CE2" w:rsidP="00554CE2">
      <w:pPr>
        <w:jc w:val="both"/>
        <w:rPr>
          <w:lang w:eastAsia="ko-KR" w:bidi="ar-SA"/>
        </w:rPr>
      </w:pPr>
      <w:r>
        <w:rPr>
          <w:lang w:eastAsia="ko-KR" w:bidi="ar-SA"/>
        </w:rPr>
        <w:t>Indeed, Interviewee A sees no justification for the differential prices and even sees some “strange incentives”, giving the example of a medium-sized enterprise where it makes better financial sense to consume more energy than they need in order to</w:t>
      </w:r>
      <w:r w:rsidR="00EA0684">
        <w:rPr>
          <w:lang w:eastAsia="ko-KR" w:bidi="ar-SA"/>
        </w:rPr>
        <w:t xml:space="preserve"> move into a different tax bracket and receive</w:t>
      </w:r>
      <w:r>
        <w:rPr>
          <w:lang w:eastAsia="ko-KR" w:bidi="ar-SA"/>
        </w:rPr>
        <w:t xml:space="preserve"> a reduced rate per kilowatt hour. However, Interviewee M thought that it was logical that large-consumers should pay less, and Interviewee G thought the situation was similar to many other countries. Interviewee L “liked” the current stepped system because it helps Dutch companies be competitive in international markets, but Interviewee N felt that this was no longer necessarily a valid argument and that it was important for the Netherlands to do more in regards </w:t>
      </w:r>
      <w:r w:rsidR="00143410">
        <w:rPr>
          <w:lang w:eastAsia="ko-KR" w:bidi="ar-SA"/>
        </w:rPr>
        <w:lastRenderedPageBreak/>
        <w:t xml:space="preserve">to </w:t>
      </w:r>
      <w:r>
        <w:rPr>
          <w:lang w:eastAsia="ko-KR" w:bidi="ar-SA"/>
        </w:rPr>
        <w:t>reducing CO</w:t>
      </w:r>
      <w:r>
        <w:rPr>
          <w:vertAlign w:val="superscript"/>
          <w:lang w:eastAsia="ko-KR" w:bidi="ar-SA"/>
        </w:rPr>
        <w:softHyphen/>
      </w:r>
      <w:r>
        <w:rPr>
          <w:vertAlign w:val="superscript"/>
          <w:lang w:eastAsia="ko-KR" w:bidi="ar-SA"/>
        </w:rPr>
        <w:softHyphen/>
      </w:r>
      <w:r>
        <w:rPr>
          <w:vertAlign w:val="subscript"/>
          <w:lang w:eastAsia="ko-KR" w:bidi="ar-SA"/>
        </w:rPr>
        <w:t>2</w:t>
      </w:r>
      <w:r>
        <w:rPr>
          <w:lang w:eastAsia="ko-KR" w:bidi="ar-SA"/>
        </w:rPr>
        <w:t xml:space="preserve"> emissions regardless of any perceived competitive advantage in international markets. </w:t>
      </w:r>
    </w:p>
    <w:p w14:paraId="596658B2" w14:textId="734AA342" w:rsidR="00952B09" w:rsidRDefault="00952B09" w:rsidP="00952B09">
      <w:pPr>
        <w:pStyle w:val="Heading4"/>
        <w:rPr>
          <w:lang w:eastAsia="ko-KR" w:bidi="ar-SA"/>
        </w:rPr>
      </w:pPr>
      <w:r>
        <w:rPr>
          <w:lang w:eastAsia="ko-KR" w:bidi="ar-SA"/>
        </w:rPr>
        <w:t>Distributed Storage</w:t>
      </w:r>
    </w:p>
    <w:p w14:paraId="2D8582F9" w14:textId="362615C9" w:rsidR="00554CE2" w:rsidRDefault="00554CE2" w:rsidP="00554CE2">
      <w:pPr>
        <w:jc w:val="both"/>
        <w:rPr>
          <w:lang w:eastAsia="ko-KR" w:bidi="ar-SA"/>
        </w:rPr>
      </w:pPr>
      <w:r>
        <w:rPr>
          <w:lang w:eastAsia="ko-KR" w:bidi="ar-SA"/>
        </w:rPr>
        <w:t xml:space="preserve">Indeed, in regards </w:t>
      </w:r>
      <w:r w:rsidR="00143410">
        <w:rPr>
          <w:lang w:eastAsia="ko-KR" w:bidi="ar-SA"/>
        </w:rPr>
        <w:t xml:space="preserve">to </w:t>
      </w:r>
      <w:r>
        <w:rPr>
          <w:lang w:eastAsia="ko-KR" w:bidi="ar-SA"/>
        </w:rPr>
        <w:t>large electricity consumers, a number of interviewees spoke about the role of distributed storage integrated with wind or solar farms located at sites such as large real estate properties or large distribution centres for retailers. Interviewee H saw the possibility of these large electricity consumers installing a wind turbine or solar PV on site with a grid connection and ESS. Interviewee G also saw the storage alongside larger-scale wind or solar energy production:</w:t>
      </w:r>
    </w:p>
    <w:p w14:paraId="75FE5E73" w14:textId="77777777" w:rsidR="00554CE2" w:rsidRDefault="00554CE2" w:rsidP="00554CE2">
      <w:pPr>
        <w:jc w:val="both"/>
        <w:rPr>
          <w:lang w:eastAsia="ko-KR" w:bidi="ar-SA"/>
        </w:rPr>
      </w:pPr>
    </w:p>
    <w:p w14:paraId="3A7A535F" w14:textId="77777777" w:rsidR="00554CE2" w:rsidRDefault="00554CE2" w:rsidP="00554CE2">
      <w:pPr>
        <w:ind w:left="1134" w:right="567"/>
        <w:jc w:val="both"/>
        <w:rPr>
          <w:lang w:eastAsia="ko-KR" w:bidi="ar-SA"/>
        </w:rPr>
      </w:pPr>
      <w:r>
        <w:rPr>
          <w:lang w:eastAsia="ko-KR" w:bidi="ar-SA"/>
        </w:rPr>
        <w:t>“</w:t>
      </w:r>
      <w:r w:rsidRPr="00D941C2">
        <w:rPr>
          <w:i/>
          <w:lang w:eastAsia="ko-KR" w:bidi="ar-SA"/>
        </w:rPr>
        <w:t xml:space="preserve">I think it's better to have distributed energy storage close to the production because the old situation was we have a central production and then dispersed consumption. But now it's dispersed production and dispersed consumption …. I think batteries are definitely interesting as it becomes cheap when you have MW storage, like with a wind turbine, and so each turbine or maybe group of turbines could have its own storage. I think </w:t>
      </w:r>
      <w:r>
        <w:rPr>
          <w:i/>
          <w:lang w:eastAsia="ko-KR" w:bidi="ar-SA"/>
        </w:rPr>
        <w:t>t</w:t>
      </w:r>
      <w:r w:rsidRPr="00D941C2">
        <w:rPr>
          <w:i/>
          <w:lang w:eastAsia="ko-KR" w:bidi="ar-SA"/>
        </w:rPr>
        <w:t>hat's where we need to go.</w:t>
      </w:r>
      <w:r>
        <w:rPr>
          <w:lang w:eastAsia="ko-KR" w:bidi="ar-SA"/>
        </w:rPr>
        <w:t>”</w:t>
      </w:r>
    </w:p>
    <w:p w14:paraId="01DD2514" w14:textId="77777777" w:rsidR="00554CE2" w:rsidRDefault="00554CE2" w:rsidP="00554CE2">
      <w:pPr>
        <w:jc w:val="both"/>
        <w:rPr>
          <w:lang w:eastAsia="ko-KR" w:bidi="ar-SA"/>
        </w:rPr>
      </w:pPr>
    </w:p>
    <w:p w14:paraId="1BE42145" w14:textId="77777777" w:rsidR="00554CE2" w:rsidRDefault="00554CE2" w:rsidP="00554CE2">
      <w:pPr>
        <w:jc w:val="both"/>
        <w:rPr>
          <w:lang w:eastAsia="ko-KR" w:bidi="ar-SA"/>
        </w:rPr>
      </w:pPr>
      <w:r>
        <w:rPr>
          <w:lang w:eastAsia="ko-KR" w:bidi="ar-SA"/>
        </w:rPr>
        <w:t>Other interviewees shared similar views. For example, Interviewee A stated:</w:t>
      </w:r>
    </w:p>
    <w:p w14:paraId="19DD25F8" w14:textId="77777777" w:rsidR="00554CE2" w:rsidRDefault="00554CE2" w:rsidP="00554CE2">
      <w:pPr>
        <w:jc w:val="both"/>
        <w:rPr>
          <w:lang w:eastAsia="ko-KR" w:bidi="ar-SA"/>
        </w:rPr>
      </w:pPr>
    </w:p>
    <w:p w14:paraId="540653AA" w14:textId="77777777" w:rsidR="00554CE2" w:rsidRDefault="00554CE2" w:rsidP="00554CE2">
      <w:pPr>
        <w:ind w:left="1134" w:right="567"/>
        <w:jc w:val="both"/>
        <w:rPr>
          <w:lang w:eastAsia="ko-KR" w:bidi="ar-SA"/>
        </w:rPr>
      </w:pPr>
      <w:r>
        <w:rPr>
          <w:lang w:eastAsia="ko-KR" w:bidi="ar-SA"/>
        </w:rPr>
        <w:t>“</w:t>
      </w:r>
      <w:r w:rsidRPr="00D430AF">
        <w:rPr>
          <w:i/>
          <w:lang w:eastAsia="ko-KR" w:bidi="ar-SA"/>
        </w:rPr>
        <w:t>I really do think the electricity supply will be de-centralised so with that comes the need for many relatively small storage systems instead of a handful of huge storage systems.”</w:t>
      </w:r>
    </w:p>
    <w:p w14:paraId="11C47FEB" w14:textId="77777777" w:rsidR="00554CE2" w:rsidRDefault="00554CE2" w:rsidP="00554CE2">
      <w:pPr>
        <w:jc w:val="both"/>
        <w:rPr>
          <w:lang w:eastAsia="ko-KR" w:bidi="ar-SA"/>
        </w:rPr>
      </w:pPr>
    </w:p>
    <w:p w14:paraId="3A6C2813" w14:textId="77777777" w:rsidR="00554CE2" w:rsidRDefault="00554CE2" w:rsidP="00554CE2">
      <w:pPr>
        <w:jc w:val="both"/>
        <w:rPr>
          <w:lang w:eastAsia="ko-KR" w:bidi="ar-SA"/>
        </w:rPr>
      </w:pPr>
      <w:r>
        <w:rPr>
          <w:lang w:eastAsia="ko-KR" w:bidi="ar-SA"/>
        </w:rPr>
        <w:t>Interviewee B stated:</w:t>
      </w:r>
    </w:p>
    <w:p w14:paraId="624A223D" w14:textId="77777777" w:rsidR="00554CE2" w:rsidRDefault="00554CE2" w:rsidP="00554CE2">
      <w:pPr>
        <w:jc w:val="both"/>
        <w:rPr>
          <w:lang w:eastAsia="ko-KR" w:bidi="ar-SA"/>
        </w:rPr>
      </w:pPr>
    </w:p>
    <w:p w14:paraId="511066FC" w14:textId="77777777" w:rsidR="00554CE2" w:rsidRDefault="00554CE2" w:rsidP="00554CE2">
      <w:pPr>
        <w:ind w:left="1134" w:right="567"/>
        <w:jc w:val="both"/>
        <w:rPr>
          <w:lang w:eastAsia="ko-KR" w:bidi="ar-SA"/>
        </w:rPr>
      </w:pPr>
      <w:r>
        <w:rPr>
          <w:lang w:eastAsia="ko-KR" w:bidi="ar-SA"/>
        </w:rPr>
        <w:t>“</w:t>
      </w:r>
      <w:r w:rsidRPr="00D430AF">
        <w:rPr>
          <w:i/>
          <w:lang w:eastAsia="ko-KR" w:bidi="ar-SA"/>
        </w:rPr>
        <w:t>It makes sense to have batteries close to the wind farms.</w:t>
      </w:r>
      <w:r>
        <w:rPr>
          <w:lang w:eastAsia="ko-KR" w:bidi="ar-SA"/>
        </w:rPr>
        <w:t>”</w:t>
      </w:r>
    </w:p>
    <w:p w14:paraId="7D4BAFCE" w14:textId="77777777" w:rsidR="00554CE2" w:rsidRDefault="00554CE2" w:rsidP="00554CE2">
      <w:pPr>
        <w:jc w:val="both"/>
        <w:rPr>
          <w:lang w:eastAsia="ko-KR" w:bidi="ar-SA"/>
        </w:rPr>
      </w:pPr>
    </w:p>
    <w:p w14:paraId="5BA45F01" w14:textId="77777777" w:rsidR="00554CE2" w:rsidRDefault="00554CE2" w:rsidP="00554CE2">
      <w:pPr>
        <w:jc w:val="both"/>
        <w:rPr>
          <w:lang w:eastAsia="ko-KR" w:bidi="ar-SA"/>
        </w:rPr>
      </w:pPr>
      <w:r>
        <w:rPr>
          <w:lang w:eastAsia="ko-KR" w:bidi="ar-SA"/>
        </w:rPr>
        <w:t>However, as Interviewee C points out, battery storage integrated with a wind farm may be more suited to applications such as frequency regulation or imbalance:</w:t>
      </w:r>
    </w:p>
    <w:p w14:paraId="4BDD9C3A" w14:textId="77777777" w:rsidR="00554CE2" w:rsidRDefault="00554CE2" w:rsidP="00554CE2">
      <w:pPr>
        <w:jc w:val="both"/>
        <w:rPr>
          <w:lang w:eastAsia="ko-KR" w:bidi="ar-SA"/>
        </w:rPr>
      </w:pPr>
    </w:p>
    <w:p w14:paraId="0FBF485F" w14:textId="6AC85AEC" w:rsidR="00554CE2" w:rsidRPr="00966000" w:rsidRDefault="00554CE2" w:rsidP="00554CE2">
      <w:pPr>
        <w:ind w:left="1134" w:right="567"/>
        <w:jc w:val="both"/>
        <w:rPr>
          <w:i/>
          <w:lang w:eastAsia="ko-KR" w:bidi="ar-SA"/>
        </w:rPr>
      </w:pPr>
      <w:r w:rsidRPr="00966000">
        <w:rPr>
          <w:i/>
          <w:lang w:eastAsia="ko-KR" w:bidi="ar-SA"/>
        </w:rPr>
        <w:t xml:space="preserve">“Technically it's possible [to store the power </w:t>
      </w:r>
      <w:r w:rsidR="00EA0684">
        <w:rPr>
          <w:i/>
          <w:lang w:eastAsia="ko-KR" w:bidi="ar-SA"/>
        </w:rPr>
        <w:t xml:space="preserve">of a wind farm with </w:t>
      </w:r>
      <w:r w:rsidRPr="00966000">
        <w:rPr>
          <w:i/>
          <w:lang w:eastAsia="ko-KR" w:bidi="ar-SA"/>
        </w:rPr>
        <w:t>batteries] but if you have a 4 MW turbine you basically need a 4 MW battery to store one hour of power at peak. And that's a lot of batteries. So</w:t>
      </w:r>
      <w:r>
        <w:rPr>
          <w:i/>
          <w:lang w:eastAsia="ko-KR" w:bidi="ar-SA"/>
        </w:rPr>
        <w:t>,</w:t>
      </w:r>
      <w:r w:rsidRPr="00966000">
        <w:rPr>
          <w:i/>
          <w:lang w:eastAsia="ko-KR" w:bidi="ar-SA"/>
        </w:rPr>
        <w:t xml:space="preserve"> batteries are really short term storage.”</w:t>
      </w:r>
    </w:p>
    <w:p w14:paraId="38481C2F" w14:textId="77777777" w:rsidR="00554CE2" w:rsidRDefault="00554CE2" w:rsidP="00554CE2">
      <w:pPr>
        <w:rPr>
          <w:lang w:eastAsia="ko-KR" w:bidi="ar-SA"/>
        </w:rPr>
      </w:pPr>
    </w:p>
    <w:p w14:paraId="47B1F384" w14:textId="07ADB385" w:rsidR="00B03D70" w:rsidRDefault="00554CE2" w:rsidP="00554CE2">
      <w:pPr>
        <w:jc w:val="both"/>
        <w:rPr>
          <w:lang w:eastAsia="ko-KR" w:bidi="ar-SA"/>
        </w:rPr>
      </w:pPr>
      <w:r>
        <w:rPr>
          <w:lang w:eastAsia="ko-KR" w:bidi="ar-SA"/>
        </w:rPr>
        <w:t xml:space="preserve">Interviewee B agreed that technically it is feasible to integrate storage alongside wind or solar, explaining that storage can also help avoid </w:t>
      </w:r>
      <w:r w:rsidRPr="0052306B">
        <w:rPr>
          <w:lang w:eastAsia="ko-KR" w:bidi="ar-SA"/>
        </w:rPr>
        <w:t>investment costs in grid reinforcement</w:t>
      </w:r>
      <w:r>
        <w:rPr>
          <w:lang w:eastAsia="ko-KR" w:bidi="ar-SA"/>
        </w:rPr>
        <w:t xml:space="preserve">; for example, by avoiding the need for additional cables or transformers. Indeed, storage could reduce storage owners’ grid connections, reduce the need for investment in the grid, and reduce the need for copper in the ground. These could be considered to be further benefits of storage, and there was general consensus amongst the interviewees that the TSO and DSOs would be some of the most important beneficiaries of ESS. However, the question regarding ownership of any ESS technology appears to be holding its integration alongside wind or solar farms back. </w:t>
      </w:r>
    </w:p>
    <w:p w14:paraId="1275E4C2" w14:textId="595D556E" w:rsidR="00952B09" w:rsidRDefault="00952B09" w:rsidP="00952B09">
      <w:pPr>
        <w:pStyle w:val="Heading4"/>
        <w:rPr>
          <w:lang w:eastAsia="ko-KR" w:bidi="ar-SA"/>
        </w:rPr>
      </w:pPr>
      <w:r>
        <w:rPr>
          <w:lang w:eastAsia="ko-KR" w:bidi="ar-SA"/>
        </w:rPr>
        <w:t>TSO and DSOs as Regulated Entities</w:t>
      </w:r>
    </w:p>
    <w:p w14:paraId="3418E4DB" w14:textId="32A94AA9" w:rsidR="00474445" w:rsidRDefault="00554CE2" w:rsidP="00554CE2">
      <w:pPr>
        <w:jc w:val="both"/>
        <w:rPr>
          <w:lang w:eastAsia="ko-KR" w:bidi="ar-SA"/>
        </w:rPr>
      </w:pPr>
      <w:r>
        <w:rPr>
          <w:lang w:eastAsia="ko-KR" w:bidi="ar-SA"/>
        </w:rPr>
        <w:t>As regulated public entities, the TSO and DSOs are forbidden under European law to engage in market activities due to concerns that as a monopoly they try to affect the performance of electricity markets in a way that could benefit themselves unfairly</w:t>
      </w:r>
      <w:r w:rsidR="003D402B">
        <w:rPr>
          <w:lang w:eastAsia="ko-KR" w:bidi="ar-SA"/>
        </w:rPr>
        <w:t xml:space="preserve"> – they </w:t>
      </w:r>
      <w:r w:rsidR="009A1B67">
        <w:rPr>
          <w:lang w:eastAsia="ko-KR" w:bidi="ar-SA"/>
        </w:rPr>
        <w:t xml:space="preserve">must </w:t>
      </w:r>
      <w:r w:rsidR="003D402B">
        <w:rPr>
          <w:lang w:eastAsia="ko-KR" w:bidi="ar-SA"/>
        </w:rPr>
        <w:t xml:space="preserve">act </w:t>
      </w:r>
      <w:r w:rsidR="009A1B67">
        <w:rPr>
          <w:lang w:eastAsia="ko-KR" w:bidi="ar-SA"/>
        </w:rPr>
        <w:t>as</w:t>
      </w:r>
      <w:r w:rsidR="003D402B">
        <w:rPr>
          <w:lang w:eastAsia="ko-KR" w:bidi="ar-SA"/>
        </w:rPr>
        <w:t xml:space="preserve"> neutral </w:t>
      </w:r>
      <w:r w:rsidR="003D402B">
        <w:rPr>
          <w:lang w:eastAsia="ko-KR" w:bidi="ar-SA"/>
        </w:rPr>
        <w:lastRenderedPageBreak/>
        <w:t>market facilitators</w:t>
      </w:r>
      <w:r>
        <w:rPr>
          <w:lang w:eastAsia="ko-KR" w:bidi="ar-SA"/>
        </w:rPr>
        <w:t>.</w:t>
      </w:r>
      <w:r w:rsidRPr="00E35351">
        <w:rPr>
          <w:lang w:eastAsia="ko-KR" w:bidi="ar-SA"/>
        </w:rPr>
        <w:t xml:space="preserve"> </w:t>
      </w:r>
      <w:r>
        <w:rPr>
          <w:lang w:eastAsia="ko-KR" w:bidi="ar-SA"/>
        </w:rPr>
        <w:t xml:space="preserve">Currently, therefore, they are unable to invest in ESS and participate in markets such as PCR or imbalance. </w:t>
      </w:r>
      <w:r w:rsidR="00F073B3">
        <w:rPr>
          <w:lang w:eastAsia="ko-KR" w:bidi="ar-SA"/>
        </w:rPr>
        <w:t>However,</w:t>
      </w:r>
      <w:r>
        <w:rPr>
          <w:lang w:eastAsia="ko-KR" w:bidi="ar-SA"/>
        </w:rPr>
        <w:t xml:space="preserve"> </w:t>
      </w:r>
      <w:r w:rsidR="003D402B">
        <w:rPr>
          <w:lang w:eastAsia="ko-KR" w:bidi="ar-SA"/>
        </w:rPr>
        <w:t>a DSO, for example, might be permitted to operate an energy storage system</w:t>
      </w:r>
      <w:r>
        <w:rPr>
          <w:lang w:eastAsia="ko-KR" w:bidi="ar-SA"/>
        </w:rPr>
        <w:t xml:space="preserve"> to provide grid services </w:t>
      </w:r>
      <w:r w:rsidR="003D402B">
        <w:rPr>
          <w:lang w:eastAsia="ko-KR" w:bidi="ar-SA"/>
        </w:rPr>
        <w:t xml:space="preserve">to ensure efficient, reliable, and secure operation of the distribution system, under the condition that </w:t>
      </w:r>
      <w:r w:rsidR="003D402B">
        <w:t>other parties have not expressed an interest in owning, developing, managing, or operating storage.</w:t>
      </w:r>
      <w:r>
        <w:rPr>
          <w:lang w:eastAsia="ko-KR" w:bidi="ar-SA"/>
        </w:rPr>
        <w:t xml:space="preserve"> </w:t>
      </w:r>
      <w:r w:rsidR="003D402B">
        <w:rPr>
          <w:lang w:eastAsia="ko-KR" w:bidi="ar-SA"/>
        </w:rPr>
        <w:t>Furthermore, i</w:t>
      </w:r>
      <w:r>
        <w:rPr>
          <w:lang w:eastAsia="ko-KR" w:bidi="ar-SA"/>
        </w:rPr>
        <w:t>t could be considered that there are some grey areas whereby commercial, un-regulated arms of the DSOs can tender out for storage projects, for example. However, as it currently stands, when selecting the best option for a given project, storage cannot be chosen</w:t>
      </w:r>
      <w:r w:rsidR="003D402B">
        <w:rPr>
          <w:lang w:eastAsia="ko-KR" w:bidi="ar-SA"/>
        </w:rPr>
        <w:t xml:space="preserve"> if it might create market distortions</w:t>
      </w:r>
      <w:r>
        <w:rPr>
          <w:lang w:eastAsia="ko-KR" w:bidi="ar-SA"/>
        </w:rPr>
        <w:t xml:space="preserve">. </w:t>
      </w:r>
    </w:p>
    <w:p w14:paraId="23A203C6" w14:textId="77777777" w:rsidR="00383F0C" w:rsidRDefault="00383F0C" w:rsidP="00554CE2">
      <w:pPr>
        <w:jc w:val="both"/>
        <w:rPr>
          <w:lang w:eastAsia="ko-KR" w:bidi="ar-SA"/>
        </w:rPr>
      </w:pPr>
    </w:p>
    <w:p w14:paraId="4B0C98FD" w14:textId="1E267195" w:rsidR="00554CE2" w:rsidRDefault="00554CE2" w:rsidP="00554CE2">
      <w:pPr>
        <w:jc w:val="both"/>
        <w:rPr>
          <w:lang w:eastAsia="ko-KR" w:bidi="ar-SA"/>
        </w:rPr>
      </w:pPr>
      <w:r>
        <w:rPr>
          <w:lang w:eastAsia="ko-KR" w:bidi="ar-SA"/>
        </w:rPr>
        <w:t xml:space="preserve">Interviewee K described a project in which it was investigated whether it could be cheaper to install a battery system rather than replace an over-loaded cable within the grid. In this case, it was </w:t>
      </w:r>
      <w:r w:rsidR="009A1B67">
        <w:rPr>
          <w:lang w:eastAsia="ko-KR" w:bidi="ar-SA"/>
        </w:rPr>
        <w:t xml:space="preserve">deemed </w:t>
      </w:r>
      <w:r>
        <w:rPr>
          <w:lang w:eastAsia="ko-KR" w:bidi="ar-SA"/>
        </w:rPr>
        <w:t>vastly more expensive to install a battery and a new cable was chosen as the best option instead. In a situation such as this, if a battery were able to be used for other applications, such as PCR, and therefore have an additional revenue stream</w:t>
      </w:r>
      <w:r w:rsidR="00EA0684">
        <w:rPr>
          <w:lang w:eastAsia="ko-KR" w:bidi="ar-SA"/>
        </w:rPr>
        <w:t xml:space="preserve"> then</w:t>
      </w:r>
      <w:r>
        <w:rPr>
          <w:lang w:eastAsia="ko-KR" w:bidi="ar-SA"/>
        </w:rPr>
        <w:t xml:space="preserve"> there may have been a viable business case for the DSO – they would have a larger portfolio and less risk. Indeed, Interviewee L stated that storage was more viable if different functions were combined. Furthermore, Interviewee K stated that they believed that the rules should be changed to allow grid companies to integrate themselves with storage; they felt that this would happen in the future. Interviewee H also thought that grid operators should be able to invest in batteries and suggested that the mandate should be changed, stating:</w:t>
      </w:r>
    </w:p>
    <w:p w14:paraId="3D55F89A" w14:textId="77777777" w:rsidR="00554CE2" w:rsidRDefault="00554CE2" w:rsidP="00554CE2">
      <w:pPr>
        <w:jc w:val="both"/>
        <w:rPr>
          <w:lang w:eastAsia="ko-KR" w:bidi="ar-SA"/>
        </w:rPr>
      </w:pPr>
    </w:p>
    <w:p w14:paraId="262F0BDB" w14:textId="77777777" w:rsidR="00554CE2" w:rsidRDefault="00554CE2" w:rsidP="00554CE2">
      <w:pPr>
        <w:ind w:left="1134" w:right="567"/>
        <w:jc w:val="both"/>
        <w:rPr>
          <w:i/>
          <w:lang w:eastAsia="ko-KR" w:bidi="ar-SA"/>
        </w:rPr>
      </w:pPr>
      <w:r>
        <w:rPr>
          <w:lang w:eastAsia="ko-KR" w:bidi="ar-SA"/>
        </w:rPr>
        <w:t>“</w:t>
      </w:r>
      <w:r w:rsidRPr="00783F34">
        <w:rPr>
          <w:i/>
          <w:lang w:eastAsia="ko-KR" w:bidi="ar-SA"/>
        </w:rPr>
        <w:t xml:space="preserve">Grid companies like us …. are natural companies to be active in this field at this moment because we have these electricity grids. We feel the pain that if we are not investing in flexibility or in that we will have to invest in copper. That’s not smart anyway.” </w:t>
      </w:r>
    </w:p>
    <w:p w14:paraId="75E69737" w14:textId="77777777" w:rsidR="00554CE2" w:rsidRDefault="00554CE2" w:rsidP="00554CE2">
      <w:pPr>
        <w:ind w:left="1134" w:right="567"/>
        <w:jc w:val="both"/>
        <w:rPr>
          <w:i/>
          <w:lang w:eastAsia="ko-KR" w:bidi="ar-SA"/>
        </w:rPr>
      </w:pPr>
    </w:p>
    <w:p w14:paraId="2A43FDD6" w14:textId="77777777" w:rsidR="00554CE2" w:rsidRDefault="00554CE2" w:rsidP="00554CE2">
      <w:pPr>
        <w:rPr>
          <w:lang w:eastAsia="ko-KR" w:bidi="ar-SA"/>
        </w:rPr>
      </w:pPr>
      <w:r>
        <w:rPr>
          <w:lang w:eastAsia="ko-KR" w:bidi="ar-SA"/>
        </w:rPr>
        <w:t xml:space="preserve">However, Interviewee N was more cautious over allowing public entities like the TSO and the DSOs to be involved in the markets: </w:t>
      </w:r>
    </w:p>
    <w:p w14:paraId="0D6DC11A" w14:textId="77777777" w:rsidR="00554CE2" w:rsidRDefault="00554CE2" w:rsidP="00554CE2">
      <w:pPr>
        <w:rPr>
          <w:lang w:eastAsia="ko-KR" w:bidi="ar-SA"/>
        </w:rPr>
      </w:pPr>
    </w:p>
    <w:p w14:paraId="4695CB6D" w14:textId="77777777" w:rsidR="00554CE2" w:rsidRDefault="00554CE2" w:rsidP="00554CE2">
      <w:pPr>
        <w:ind w:left="1134" w:right="567"/>
        <w:jc w:val="both"/>
        <w:rPr>
          <w:lang w:eastAsia="ko-KR" w:bidi="ar-SA"/>
        </w:rPr>
      </w:pPr>
      <w:r>
        <w:rPr>
          <w:lang w:eastAsia="ko-KR" w:bidi="ar-SA"/>
        </w:rPr>
        <w:t>“</w:t>
      </w:r>
      <w:r>
        <w:rPr>
          <w:i/>
          <w:lang w:eastAsia="ko-KR" w:bidi="ar-SA"/>
        </w:rPr>
        <w:t xml:space="preserve">If you control the system you should not be a player on the system .… </w:t>
      </w:r>
      <w:r w:rsidRPr="00D4237E">
        <w:rPr>
          <w:i/>
          <w:lang w:eastAsia="ko-KR" w:bidi="ar-SA"/>
        </w:rPr>
        <w:t xml:space="preserve">I think if you have a monopoly on a grid and </w:t>
      </w:r>
      <w:r>
        <w:rPr>
          <w:i/>
          <w:lang w:eastAsia="ko-KR" w:bidi="ar-SA"/>
        </w:rPr>
        <w:t xml:space="preserve">you </w:t>
      </w:r>
      <w:r w:rsidRPr="00D4237E">
        <w:rPr>
          <w:i/>
          <w:lang w:eastAsia="ko-KR" w:bidi="ar-SA"/>
        </w:rPr>
        <w:t>get money from tax payers and you use that money to go on the market, that's just not fair. Because then the other</w:t>
      </w:r>
      <w:r>
        <w:rPr>
          <w:i/>
          <w:lang w:eastAsia="ko-KR" w:bidi="ar-SA"/>
        </w:rPr>
        <w:t>s</w:t>
      </w:r>
      <w:r w:rsidRPr="00D4237E">
        <w:rPr>
          <w:i/>
          <w:lang w:eastAsia="ko-KR" w:bidi="ar-SA"/>
        </w:rPr>
        <w:t xml:space="preserve"> who</w:t>
      </w:r>
      <w:r>
        <w:rPr>
          <w:i/>
          <w:lang w:eastAsia="ko-KR" w:bidi="ar-SA"/>
        </w:rPr>
        <w:t xml:space="preserve"> are</w:t>
      </w:r>
      <w:r w:rsidRPr="00D4237E">
        <w:rPr>
          <w:i/>
          <w:lang w:eastAsia="ko-KR" w:bidi="ar-SA"/>
        </w:rPr>
        <w:t xml:space="preserve"> on that market </w:t>
      </w:r>
      <w:r>
        <w:rPr>
          <w:i/>
          <w:lang w:eastAsia="ko-KR" w:bidi="ar-SA"/>
        </w:rPr>
        <w:t>should get that money as well – th</w:t>
      </w:r>
      <w:r w:rsidRPr="00D4237E">
        <w:rPr>
          <w:i/>
          <w:lang w:eastAsia="ko-KR" w:bidi="ar-SA"/>
        </w:rPr>
        <w:t>at's difficult. Therefore</w:t>
      </w:r>
      <w:r>
        <w:rPr>
          <w:i/>
          <w:lang w:eastAsia="ko-KR" w:bidi="ar-SA"/>
        </w:rPr>
        <w:t>,</w:t>
      </w:r>
      <w:r w:rsidRPr="00D4237E">
        <w:rPr>
          <w:i/>
          <w:lang w:eastAsia="ko-KR" w:bidi="ar-SA"/>
        </w:rPr>
        <w:t xml:space="preserve"> that's wh</w:t>
      </w:r>
      <w:r>
        <w:rPr>
          <w:i/>
          <w:lang w:eastAsia="ko-KR" w:bidi="ar-SA"/>
        </w:rPr>
        <w:t xml:space="preserve">y I think we say </w:t>
      </w:r>
      <w:r w:rsidRPr="00D4237E">
        <w:rPr>
          <w:i/>
          <w:lang w:eastAsia="ko-KR" w:bidi="ar-SA"/>
        </w:rPr>
        <w:t>storage is a co</w:t>
      </w:r>
      <w:r>
        <w:rPr>
          <w:i/>
          <w:lang w:eastAsia="ko-KR" w:bidi="ar-SA"/>
        </w:rPr>
        <w:t>mmercial thing. Or not – you take</w:t>
      </w:r>
      <w:r w:rsidRPr="00D4237E">
        <w:rPr>
          <w:i/>
          <w:lang w:eastAsia="ko-KR" w:bidi="ar-SA"/>
        </w:rPr>
        <w:t xml:space="preserve"> it completely off the market. You say </w:t>
      </w:r>
      <w:r>
        <w:rPr>
          <w:i/>
          <w:lang w:eastAsia="ko-KR" w:bidi="ar-SA"/>
        </w:rPr>
        <w:t>‘</w:t>
      </w:r>
      <w:r w:rsidRPr="00D4237E">
        <w:rPr>
          <w:i/>
          <w:lang w:eastAsia="ko-KR" w:bidi="ar-SA"/>
        </w:rPr>
        <w:t>no, this is so important the community is going to take care of it</w:t>
      </w:r>
      <w:r>
        <w:rPr>
          <w:i/>
          <w:lang w:eastAsia="ko-KR" w:bidi="ar-SA"/>
        </w:rPr>
        <w:t>’</w:t>
      </w:r>
      <w:r w:rsidRPr="00D4237E">
        <w:rPr>
          <w:i/>
          <w:lang w:eastAsia="ko-KR" w:bidi="ar-SA"/>
        </w:rPr>
        <w:t xml:space="preserve">. Then the community do it with tax money </w:t>
      </w:r>
      <w:r>
        <w:rPr>
          <w:i/>
          <w:lang w:eastAsia="ko-KR" w:bidi="ar-SA"/>
        </w:rPr>
        <w:t>–</w:t>
      </w:r>
      <w:r w:rsidRPr="00D4237E">
        <w:rPr>
          <w:i/>
          <w:lang w:eastAsia="ko-KR" w:bidi="ar-SA"/>
        </w:rPr>
        <w:t xml:space="preserve"> fine.</w:t>
      </w:r>
      <w:r>
        <w:rPr>
          <w:lang w:eastAsia="ko-KR" w:bidi="ar-SA"/>
        </w:rPr>
        <w:t>”</w:t>
      </w:r>
    </w:p>
    <w:p w14:paraId="4C3DCADC" w14:textId="0C90801F" w:rsidR="00952B09" w:rsidRDefault="00952B09" w:rsidP="00952B09">
      <w:pPr>
        <w:pStyle w:val="Heading4"/>
        <w:rPr>
          <w:lang w:eastAsia="ko-KR" w:bidi="ar-SA"/>
        </w:rPr>
      </w:pPr>
      <w:r>
        <w:rPr>
          <w:lang w:eastAsia="ko-KR" w:bidi="ar-SA"/>
        </w:rPr>
        <w:t>Role of Communities</w:t>
      </w:r>
    </w:p>
    <w:p w14:paraId="68059088" w14:textId="0B97058F" w:rsidR="00E65879" w:rsidRDefault="00554CE2" w:rsidP="00E65879">
      <w:pPr>
        <w:jc w:val="both"/>
      </w:pPr>
      <w:r>
        <w:rPr>
          <w:lang w:eastAsia="ko-KR" w:bidi="ar-SA"/>
        </w:rPr>
        <w:t>Indeed, the role of communities and community-scale storage was also an impo</w:t>
      </w:r>
      <w:r w:rsidR="00EA0684">
        <w:rPr>
          <w:lang w:eastAsia="ko-KR" w:bidi="ar-SA"/>
        </w:rPr>
        <w:t xml:space="preserve">rtant theme for a number of </w:t>
      </w:r>
      <w:r>
        <w:rPr>
          <w:lang w:eastAsia="ko-KR" w:bidi="ar-SA"/>
        </w:rPr>
        <w:t>interviewees. Interviewee N considered local community involvement to be a key point in helping integrate RES technologies, and to reach an overall aim of self-sufficiency. Energy storage would help towards that aim, and Interviewee N saw community-level storage as being easier to implement</w:t>
      </w:r>
      <w:r w:rsidR="00E65879">
        <w:rPr>
          <w:lang w:eastAsia="ko-KR" w:bidi="ar-SA"/>
        </w:rPr>
        <w:t xml:space="preserve"> for a large number of households</w:t>
      </w:r>
      <w:r w:rsidR="00E65879">
        <w:t>, as opposed to a large number of households each having their own smaller storage system:</w:t>
      </w:r>
    </w:p>
    <w:p w14:paraId="614C1367" w14:textId="77777777" w:rsidR="00554CE2" w:rsidRDefault="00554CE2" w:rsidP="00554CE2">
      <w:pPr>
        <w:jc w:val="both"/>
        <w:rPr>
          <w:lang w:eastAsia="ko-KR" w:bidi="ar-SA"/>
        </w:rPr>
      </w:pPr>
    </w:p>
    <w:p w14:paraId="3E913B46" w14:textId="77777777" w:rsidR="00554CE2" w:rsidRPr="00BF599B" w:rsidRDefault="00554CE2" w:rsidP="00554CE2">
      <w:pPr>
        <w:ind w:left="1134" w:right="567"/>
        <w:jc w:val="both"/>
        <w:rPr>
          <w:lang w:eastAsia="ko-KR" w:bidi="ar-SA"/>
        </w:rPr>
      </w:pPr>
      <w:r>
        <w:rPr>
          <w:lang w:eastAsia="ko-KR" w:bidi="ar-SA"/>
        </w:rPr>
        <w:t>“</w:t>
      </w:r>
      <w:r w:rsidRPr="00BF599B">
        <w:rPr>
          <w:i/>
          <w:lang w:eastAsia="ko-KR" w:bidi="ar-SA"/>
        </w:rPr>
        <w:t>The larger scale the better it is. To solve for one household is more difficult than for 500.</w:t>
      </w:r>
      <w:r>
        <w:rPr>
          <w:lang w:eastAsia="ko-KR" w:bidi="ar-SA"/>
        </w:rPr>
        <w:t>”</w:t>
      </w:r>
    </w:p>
    <w:p w14:paraId="649BB2A3" w14:textId="77777777" w:rsidR="00554CE2" w:rsidRDefault="00554CE2" w:rsidP="00554CE2">
      <w:pPr>
        <w:jc w:val="both"/>
        <w:rPr>
          <w:lang w:eastAsia="ko-KR" w:bidi="ar-SA"/>
        </w:rPr>
      </w:pPr>
    </w:p>
    <w:p w14:paraId="0DC0E7AB" w14:textId="1DFD6F1B" w:rsidR="00E22FCB" w:rsidRDefault="00E65879" w:rsidP="00554CE2">
      <w:pPr>
        <w:jc w:val="both"/>
        <w:rPr>
          <w:lang w:eastAsia="ko-KR" w:bidi="ar-SA"/>
        </w:rPr>
      </w:pPr>
      <w:r>
        <w:rPr>
          <w:lang w:eastAsia="ko-KR" w:bidi="ar-SA"/>
        </w:rPr>
        <w:t xml:space="preserve">However, this raises the question of who should assume what responsibilities when it comes to implementation of ESS. </w:t>
      </w:r>
      <w:r w:rsidR="00E22FCB">
        <w:rPr>
          <w:lang w:eastAsia="ko-KR" w:bidi="ar-SA"/>
        </w:rPr>
        <w:t>Taking the example in the above quote, it could be argued that the responsibility for integrating storage (on the domestic/community-scale) should lie at a level above the individual homeowner – the responsibility should lie with the DSO or the municipality, for example. If the respective municipality, for example, took the initiate to install community-scale storage for 500 households, as opposed to waiting for 500 different households to each install domestic stora</w:t>
      </w:r>
      <w:r w:rsidR="008B7418">
        <w:rPr>
          <w:lang w:eastAsia="ko-KR" w:bidi="ar-SA"/>
        </w:rPr>
        <w:t>ge individually, then any benefits might</w:t>
      </w:r>
      <w:r w:rsidR="00E22FCB">
        <w:rPr>
          <w:lang w:eastAsia="ko-KR" w:bidi="ar-SA"/>
        </w:rPr>
        <w:t xml:space="preserve"> be </w:t>
      </w:r>
      <w:r w:rsidR="008B7418">
        <w:rPr>
          <w:lang w:eastAsia="ko-KR" w:bidi="ar-SA"/>
        </w:rPr>
        <w:t>realised sooner or more efficiently</w:t>
      </w:r>
      <w:r w:rsidR="00E22FCB">
        <w:rPr>
          <w:lang w:eastAsia="ko-KR" w:bidi="ar-SA"/>
        </w:rPr>
        <w:t xml:space="preserve">. </w:t>
      </w:r>
    </w:p>
    <w:p w14:paraId="43095E1F" w14:textId="77777777" w:rsidR="00E65879" w:rsidRDefault="00E65879" w:rsidP="00554CE2">
      <w:pPr>
        <w:jc w:val="both"/>
        <w:rPr>
          <w:lang w:eastAsia="ko-KR" w:bidi="ar-SA"/>
        </w:rPr>
      </w:pPr>
    </w:p>
    <w:p w14:paraId="63452444" w14:textId="13ABEE74" w:rsidR="00E65879" w:rsidRDefault="00E22FCB" w:rsidP="00554CE2">
      <w:pPr>
        <w:jc w:val="both"/>
        <w:rPr>
          <w:lang w:eastAsia="ko-KR" w:bidi="ar-SA"/>
        </w:rPr>
      </w:pPr>
      <w:r>
        <w:rPr>
          <w:lang w:eastAsia="ko-KR" w:bidi="ar-SA"/>
        </w:rPr>
        <w:t>I</w:t>
      </w:r>
      <w:r w:rsidR="00554CE2">
        <w:rPr>
          <w:lang w:eastAsia="ko-KR" w:bidi="ar-SA"/>
        </w:rPr>
        <w:t xml:space="preserve">nterviewee </w:t>
      </w:r>
      <w:r>
        <w:rPr>
          <w:lang w:eastAsia="ko-KR" w:bidi="ar-SA"/>
        </w:rPr>
        <w:t xml:space="preserve">N also </w:t>
      </w:r>
      <w:r w:rsidR="00554CE2">
        <w:rPr>
          <w:lang w:eastAsia="ko-KR" w:bidi="ar-SA"/>
        </w:rPr>
        <w:t>gave an example of a cooperation of farmers owning RES and ESS facilities and providing electricity to other members of a small (approximately 500 person</w:t>
      </w:r>
      <w:r>
        <w:rPr>
          <w:lang w:eastAsia="ko-KR" w:bidi="ar-SA"/>
        </w:rPr>
        <w:t xml:space="preserve">) community for a “fair price”, whilst </w:t>
      </w:r>
      <w:r w:rsidR="00554CE2">
        <w:rPr>
          <w:lang w:eastAsia="ko-KR" w:bidi="ar-SA"/>
        </w:rPr>
        <w:t xml:space="preserve">Interview M also discussed a private entity developing, owning, and operating community storage and selling services to </w:t>
      </w:r>
      <w:r w:rsidR="00C65F84">
        <w:rPr>
          <w:lang w:eastAsia="ko-KR" w:bidi="ar-SA"/>
        </w:rPr>
        <w:t>the grid operator. However, this interviewee</w:t>
      </w:r>
      <w:r w:rsidR="00554CE2">
        <w:rPr>
          <w:lang w:eastAsia="ko-KR" w:bidi="ar-SA"/>
        </w:rPr>
        <w:t xml:space="preserve"> state</w:t>
      </w:r>
      <w:r w:rsidR="00C65F84">
        <w:rPr>
          <w:lang w:eastAsia="ko-KR" w:bidi="ar-SA"/>
        </w:rPr>
        <w:t>d</w:t>
      </w:r>
      <w:r w:rsidR="00554CE2">
        <w:rPr>
          <w:lang w:eastAsia="ko-KR" w:bidi="ar-SA"/>
        </w:rPr>
        <w:t xml:space="preserve"> that they are currently unsure whether a DSO would be willing to buy services from a community storage system; this would need further consideration or research. Interviewee J stated that grid operators are uncertain as to where to place batteries within the network; Interviewee L is also unsure as to where batteries should be placed in the grid, but believes that market forces will determine where storage is located. </w:t>
      </w:r>
    </w:p>
    <w:p w14:paraId="106EF158" w14:textId="37B1A46C" w:rsidR="00952B09" w:rsidRDefault="00952B09" w:rsidP="00952B09">
      <w:pPr>
        <w:pStyle w:val="Heading4"/>
        <w:rPr>
          <w:lang w:eastAsia="ko-KR" w:bidi="ar-SA"/>
        </w:rPr>
      </w:pPr>
      <w:r>
        <w:rPr>
          <w:lang w:eastAsia="ko-KR" w:bidi="ar-SA"/>
        </w:rPr>
        <w:t>Role of Energy Storage Technologies other than Batteries</w:t>
      </w:r>
    </w:p>
    <w:p w14:paraId="46E2EDD3" w14:textId="19A49C50" w:rsidR="00554CE2" w:rsidRDefault="00554CE2" w:rsidP="00554CE2">
      <w:pPr>
        <w:jc w:val="both"/>
        <w:rPr>
          <w:lang w:eastAsia="ko-KR" w:bidi="ar-SA"/>
        </w:rPr>
      </w:pPr>
      <w:r>
        <w:rPr>
          <w:lang w:eastAsia="ko-KR" w:bidi="ar-SA"/>
        </w:rPr>
        <w:t>The interviewees generally did not see a role for utility-scale storage within the Netherlands, although certain utility-scale technologies could be feasible. However, as it currently stands, the country does not have such large-scale wind or solar farms and there was consensus that there is currently no business case for technologies such as CAES. However, various feasibility projects have been conducted and it might be a possibil</w:t>
      </w:r>
      <w:r w:rsidR="005D6C83">
        <w:rPr>
          <w:lang w:eastAsia="ko-KR" w:bidi="ar-SA"/>
        </w:rPr>
        <w:t xml:space="preserve">ity in the future. PHS is </w:t>
      </w:r>
      <w:r>
        <w:rPr>
          <w:lang w:eastAsia="ko-KR" w:bidi="ar-SA"/>
        </w:rPr>
        <w:t xml:space="preserve">generally not considered feasible in the Netherlands due to the generally low-lying, flat landscape. Furthermore, most of the focus from the interviewees was on </w:t>
      </w:r>
      <w:r w:rsidR="00C65F84">
        <w:rPr>
          <w:lang w:eastAsia="ko-KR" w:bidi="ar-SA"/>
        </w:rPr>
        <w:t>batteries (in particular Li</w:t>
      </w:r>
      <w:r>
        <w:rPr>
          <w:lang w:eastAsia="ko-KR" w:bidi="ar-SA"/>
        </w:rPr>
        <w:t xml:space="preserve">-ion), as they are one of the most technologically mature ESS types. Therefore, although other technology types (such as flywheels) were discussed during the interviewees, the consensus was that batteries will be the ESS technology which will be most widely adopted alongside wind and solar electricity generation within the Netherlands, at least in the near future. However, the integration of ESS alongside other technologies or within other sectors to provide flexibility was mentioned by a number of interviewees, and this will be discussed later in this section. </w:t>
      </w:r>
    </w:p>
    <w:p w14:paraId="5300509D" w14:textId="3D3D6F0B" w:rsidR="00C230AC" w:rsidRDefault="00C230AC" w:rsidP="00C230AC">
      <w:pPr>
        <w:pStyle w:val="Heading4"/>
        <w:rPr>
          <w:lang w:eastAsia="ko-KR" w:bidi="ar-SA"/>
        </w:rPr>
      </w:pPr>
      <w:r>
        <w:rPr>
          <w:lang w:eastAsia="ko-KR" w:bidi="ar-SA"/>
        </w:rPr>
        <w:t xml:space="preserve">Subsidies </w:t>
      </w:r>
      <w:r w:rsidR="000A3130">
        <w:rPr>
          <w:lang w:eastAsia="ko-KR" w:bidi="ar-SA"/>
        </w:rPr>
        <w:t>and Funding</w:t>
      </w:r>
    </w:p>
    <w:p w14:paraId="5F1E6FD3" w14:textId="793A3CB7" w:rsidR="00247267" w:rsidRDefault="0028240E" w:rsidP="0028240E">
      <w:pPr>
        <w:jc w:val="both"/>
        <w:rPr>
          <w:lang w:eastAsia="ko-KR" w:bidi="ar-SA"/>
        </w:rPr>
      </w:pPr>
      <w:r>
        <w:rPr>
          <w:lang w:eastAsia="ko-KR" w:bidi="ar-SA"/>
        </w:rPr>
        <w:t>ESS do not produce energy</w:t>
      </w:r>
      <w:r w:rsidR="00CA0EEB">
        <w:rPr>
          <w:lang w:eastAsia="ko-KR" w:bidi="ar-SA"/>
        </w:rPr>
        <w:t xml:space="preserve"> themselves (and in fact often ‘leak’ energy, such as </w:t>
      </w:r>
      <w:r w:rsidR="009B1DA5">
        <w:rPr>
          <w:lang w:eastAsia="ko-KR" w:bidi="ar-SA"/>
        </w:rPr>
        <w:t>when</w:t>
      </w:r>
      <w:r w:rsidR="00CA0EEB">
        <w:rPr>
          <w:lang w:eastAsia="ko-KR" w:bidi="ar-SA"/>
        </w:rPr>
        <w:t xml:space="preserve"> batteries self-disch</w:t>
      </w:r>
      <w:r w:rsidR="009B1DA5">
        <w:rPr>
          <w:lang w:eastAsia="ko-KR" w:bidi="ar-SA"/>
        </w:rPr>
        <w:t>arge</w:t>
      </w:r>
      <w:r w:rsidR="00CA0EEB">
        <w:rPr>
          <w:lang w:eastAsia="ko-KR" w:bidi="ar-SA"/>
        </w:rPr>
        <w:t>)</w:t>
      </w:r>
      <w:r>
        <w:rPr>
          <w:lang w:eastAsia="ko-KR" w:bidi="ar-SA"/>
        </w:rPr>
        <w:t xml:space="preserve"> and therefore production subsidie</w:t>
      </w:r>
      <w:r w:rsidR="001B7512">
        <w:rPr>
          <w:lang w:eastAsia="ko-KR" w:bidi="ar-SA"/>
        </w:rPr>
        <w:t>s might not be a suitable model</w:t>
      </w:r>
      <w:r w:rsidR="00F073B3">
        <w:rPr>
          <w:lang w:eastAsia="ko-KR" w:bidi="ar-SA"/>
        </w:rPr>
        <w:t xml:space="preserve"> to encourage their integration</w:t>
      </w:r>
      <w:r w:rsidR="001B7512">
        <w:rPr>
          <w:lang w:eastAsia="ko-KR" w:bidi="ar-SA"/>
        </w:rPr>
        <w:t>. However,</w:t>
      </w:r>
      <w:r>
        <w:rPr>
          <w:lang w:eastAsia="ko-KR" w:bidi="ar-SA"/>
        </w:rPr>
        <w:t xml:space="preserve"> other forms of subsidies </w:t>
      </w:r>
      <w:r w:rsidR="002C41EA">
        <w:rPr>
          <w:lang w:eastAsia="ko-KR" w:bidi="ar-SA"/>
        </w:rPr>
        <w:t xml:space="preserve">or funding </w:t>
      </w:r>
      <w:r w:rsidR="009B1DA5">
        <w:rPr>
          <w:lang w:eastAsia="ko-KR" w:bidi="ar-SA"/>
        </w:rPr>
        <w:t>might help facilitate</w:t>
      </w:r>
      <w:r>
        <w:rPr>
          <w:lang w:eastAsia="ko-KR" w:bidi="ar-SA"/>
        </w:rPr>
        <w:t xml:space="preserve"> the integration of storage.</w:t>
      </w:r>
      <w:r w:rsidR="001B7512">
        <w:rPr>
          <w:lang w:eastAsia="ko-KR" w:bidi="ar-SA"/>
        </w:rPr>
        <w:t xml:space="preserve"> Indeed, </w:t>
      </w:r>
      <w:r>
        <w:rPr>
          <w:lang w:eastAsia="ko-KR" w:bidi="ar-SA"/>
        </w:rPr>
        <w:t>Interviewee N stated that SDE[+] is a “very good system” and thought that a similar system for storage could help. The interviewee described how, as well as the subsidy itself, the scheme also provides a level of security, and thought that subsidies could also help ESS integration by providing security for investors. Interviewee A also saw the need for the government to take on risks that are too large for individual households or companies. This interviewee thought that R&amp;D funding in the Netherl</w:t>
      </w:r>
      <w:r w:rsidR="009B1DA5">
        <w:rPr>
          <w:lang w:eastAsia="ko-KR" w:bidi="ar-SA"/>
        </w:rPr>
        <w:t>ands was good</w:t>
      </w:r>
      <w:r w:rsidR="001141A3">
        <w:rPr>
          <w:lang w:eastAsia="ko-KR" w:bidi="ar-SA"/>
        </w:rPr>
        <w:t xml:space="preserve"> and saw it help</w:t>
      </w:r>
      <w:r>
        <w:rPr>
          <w:lang w:eastAsia="ko-KR" w:bidi="ar-SA"/>
        </w:rPr>
        <w:t xml:space="preserve"> new companies</w:t>
      </w:r>
      <w:r w:rsidR="00F25450">
        <w:rPr>
          <w:lang w:eastAsia="ko-KR" w:bidi="ar-SA"/>
        </w:rPr>
        <w:t xml:space="preserve"> to “get off the ground”</w:t>
      </w:r>
      <w:r w:rsidR="009B1DA5">
        <w:rPr>
          <w:lang w:eastAsia="ko-KR" w:bidi="ar-SA"/>
        </w:rPr>
        <w:t>. However, this</w:t>
      </w:r>
      <w:r w:rsidR="001141A3">
        <w:rPr>
          <w:lang w:eastAsia="ko-KR" w:bidi="ar-SA"/>
        </w:rPr>
        <w:t xml:space="preserve"> interviewee</w:t>
      </w:r>
      <w:r w:rsidR="00F25450">
        <w:rPr>
          <w:lang w:eastAsia="ko-KR" w:bidi="ar-SA"/>
        </w:rPr>
        <w:t xml:space="preserve"> thought that the government could do more to help companies scale up</w:t>
      </w:r>
      <w:r w:rsidR="00247267">
        <w:rPr>
          <w:lang w:eastAsia="ko-KR" w:bidi="ar-SA"/>
        </w:rPr>
        <w:t xml:space="preserve"> once past the R&amp;D stages</w:t>
      </w:r>
      <w:r w:rsidR="00F25450">
        <w:rPr>
          <w:lang w:eastAsia="ko-KR" w:bidi="ar-SA"/>
        </w:rPr>
        <w:t>.</w:t>
      </w:r>
      <w:r w:rsidR="001B7512">
        <w:rPr>
          <w:lang w:eastAsia="ko-KR" w:bidi="ar-SA"/>
        </w:rPr>
        <w:t xml:space="preserve"> Interviewee A also thought that government investment towards pilot projects would help </w:t>
      </w:r>
      <w:r w:rsidR="009B1DA5">
        <w:rPr>
          <w:lang w:eastAsia="ko-KR" w:bidi="ar-SA"/>
        </w:rPr>
        <w:t>ESS integration</w:t>
      </w:r>
      <w:r w:rsidR="001141A3">
        <w:rPr>
          <w:lang w:eastAsia="ko-KR" w:bidi="ar-SA"/>
        </w:rPr>
        <w:t xml:space="preserve"> </w:t>
      </w:r>
      <w:r w:rsidR="001B7512">
        <w:rPr>
          <w:lang w:eastAsia="ko-KR" w:bidi="ar-SA"/>
        </w:rPr>
        <w:t xml:space="preserve">and thought that other countries, such as </w:t>
      </w:r>
      <w:r w:rsidR="001B7512">
        <w:rPr>
          <w:lang w:eastAsia="ko-KR" w:bidi="ar-SA"/>
        </w:rPr>
        <w:lastRenderedPageBreak/>
        <w:t>Germany, do more than the Netherlands in this regard.</w:t>
      </w:r>
      <w:r w:rsidR="00247267">
        <w:rPr>
          <w:lang w:eastAsia="ko-KR" w:bidi="ar-SA"/>
        </w:rPr>
        <w:t xml:space="preserve"> </w:t>
      </w:r>
      <w:r w:rsidR="00884A56">
        <w:rPr>
          <w:lang w:eastAsia="ko-KR" w:bidi="ar-SA"/>
        </w:rPr>
        <w:t xml:space="preserve">Interviewee N agreed that funding would be helpful if pilot schemes were started, and </w:t>
      </w:r>
      <w:r w:rsidR="00247267">
        <w:rPr>
          <w:lang w:eastAsia="ko-KR" w:bidi="ar-SA"/>
        </w:rPr>
        <w:t>Interviewee G acknowledged that financial aspects w</w:t>
      </w:r>
      <w:r w:rsidR="00884A56">
        <w:rPr>
          <w:lang w:eastAsia="ko-KR" w:bidi="ar-SA"/>
        </w:rPr>
        <w:t>ere holding energy storage back. This interviewee</w:t>
      </w:r>
      <w:r w:rsidR="00247267">
        <w:rPr>
          <w:lang w:eastAsia="ko-KR" w:bidi="ar-SA"/>
        </w:rPr>
        <w:t xml:space="preserve"> thought funding was needed </w:t>
      </w:r>
      <w:r w:rsidR="00884A56">
        <w:rPr>
          <w:lang w:eastAsia="ko-KR" w:bidi="ar-SA"/>
        </w:rPr>
        <w:t xml:space="preserve">to get a product to the market but </w:t>
      </w:r>
      <w:r w:rsidR="00247267">
        <w:rPr>
          <w:lang w:eastAsia="ko-KR" w:bidi="ar-SA"/>
        </w:rPr>
        <w:t xml:space="preserve">cautioned that once a product was in the market it should no longer be subsidised: </w:t>
      </w:r>
    </w:p>
    <w:p w14:paraId="22594A0A" w14:textId="77777777" w:rsidR="00247267" w:rsidRDefault="00247267" w:rsidP="0028240E">
      <w:pPr>
        <w:jc w:val="both"/>
        <w:rPr>
          <w:lang w:eastAsia="ko-KR" w:bidi="ar-SA"/>
        </w:rPr>
      </w:pPr>
    </w:p>
    <w:p w14:paraId="1C2BC891" w14:textId="0840522E" w:rsidR="00247267" w:rsidRDefault="00247267" w:rsidP="00247267">
      <w:pPr>
        <w:ind w:left="1134" w:right="567"/>
        <w:jc w:val="both"/>
        <w:rPr>
          <w:lang w:eastAsia="ko-KR" w:bidi="ar-SA"/>
        </w:rPr>
      </w:pPr>
      <w:r>
        <w:rPr>
          <w:lang w:eastAsia="ko-KR" w:bidi="ar-SA"/>
        </w:rPr>
        <w:t>“</w:t>
      </w:r>
      <w:r w:rsidRPr="00247267">
        <w:rPr>
          <w:i/>
          <w:lang w:eastAsia="ko-KR" w:bidi="ar-SA"/>
        </w:rPr>
        <w:t>In the operational phase</w:t>
      </w:r>
      <w:r w:rsidR="00CC7FEF">
        <w:rPr>
          <w:i/>
          <w:lang w:eastAsia="ko-KR" w:bidi="ar-SA"/>
        </w:rPr>
        <w:t>,</w:t>
      </w:r>
      <w:r w:rsidRPr="00247267">
        <w:rPr>
          <w:i/>
          <w:lang w:eastAsia="ko-KR" w:bidi="ar-SA"/>
        </w:rPr>
        <w:t xml:space="preserve"> I don’t think it’s a good idea to have subsidies anymore. Because if it’s a good product then it will be bought by consumers or there will be organisations who see the market in it and will buy these systems and make money out of it.</w:t>
      </w:r>
      <w:r>
        <w:rPr>
          <w:lang w:eastAsia="ko-KR" w:bidi="ar-SA"/>
        </w:rPr>
        <w:t xml:space="preserve">”  </w:t>
      </w:r>
    </w:p>
    <w:p w14:paraId="7FC7BBD9" w14:textId="7A789F09" w:rsidR="00952B09" w:rsidRDefault="00952B09" w:rsidP="00952B09">
      <w:pPr>
        <w:pStyle w:val="Heading4"/>
        <w:rPr>
          <w:lang w:eastAsia="ko-KR" w:bidi="ar-SA"/>
        </w:rPr>
      </w:pPr>
      <w:r>
        <w:rPr>
          <w:lang w:eastAsia="ko-KR" w:bidi="ar-SA"/>
        </w:rPr>
        <w:t xml:space="preserve">Role of Government and </w:t>
      </w:r>
      <w:r w:rsidR="00A47B25">
        <w:rPr>
          <w:lang w:eastAsia="ko-KR" w:bidi="ar-SA"/>
        </w:rPr>
        <w:t>Corporations</w:t>
      </w:r>
    </w:p>
    <w:p w14:paraId="166AB566" w14:textId="59738B38" w:rsidR="00554CE2" w:rsidRDefault="00B46551" w:rsidP="00554CE2">
      <w:pPr>
        <w:jc w:val="both"/>
        <w:rPr>
          <w:lang w:eastAsia="ko-KR" w:bidi="ar-SA"/>
        </w:rPr>
      </w:pPr>
      <w:r>
        <w:rPr>
          <w:lang w:eastAsia="ko-KR" w:bidi="ar-SA"/>
        </w:rPr>
        <w:t xml:space="preserve">Further to the government’s role in regards </w:t>
      </w:r>
      <w:r w:rsidR="00143410">
        <w:rPr>
          <w:lang w:eastAsia="ko-KR" w:bidi="ar-SA"/>
        </w:rPr>
        <w:t xml:space="preserve">to </w:t>
      </w:r>
      <w:r>
        <w:rPr>
          <w:lang w:eastAsia="ko-KR" w:bidi="ar-SA"/>
        </w:rPr>
        <w:t>funding, a</w:t>
      </w:r>
      <w:r w:rsidR="00554CE2">
        <w:rPr>
          <w:lang w:eastAsia="ko-KR" w:bidi="ar-SA"/>
        </w:rPr>
        <w:t xml:space="preserve"> number of interviewees also acknowledged that</w:t>
      </w:r>
      <w:r w:rsidR="00554CE2" w:rsidRPr="00257AD6">
        <w:rPr>
          <w:lang w:eastAsia="ko-KR" w:bidi="ar-SA"/>
        </w:rPr>
        <w:t xml:space="preserve"> </w:t>
      </w:r>
      <w:r w:rsidR="00554CE2">
        <w:rPr>
          <w:lang w:eastAsia="ko-KR" w:bidi="ar-SA"/>
        </w:rPr>
        <w:t xml:space="preserve">the integration of batteries (and other RES and ESS technologies) was, at times, being held back by a lack of information sharing across and within different levels of the government; strong governmental leadership was also sometimes lacking. For example, Interviewee A described a “somewhat erratic strategy” from the government in regards </w:t>
      </w:r>
      <w:r w:rsidR="00143410">
        <w:rPr>
          <w:lang w:eastAsia="ko-KR" w:bidi="ar-SA"/>
        </w:rPr>
        <w:t xml:space="preserve">to </w:t>
      </w:r>
      <w:r w:rsidR="00554CE2">
        <w:rPr>
          <w:lang w:eastAsia="ko-KR" w:bidi="ar-SA"/>
        </w:rPr>
        <w:t>funding for wind technologies, whereby funding regimes changed several times making it difficult for investors. Interviewee L thought that short-term solutions from policymakers were problematic:</w:t>
      </w:r>
    </w:p>
    <w:p w14:paraId="16BDCC85" w14:textId="77777777" w:rsidR="00554CE2" w:rsidRDefault="00554CE2" w:rsidP="00554CE2">
      <w:pPr>
        <w:jc w:val="both"/>
        <w:rPr>
          <w:lang w:eastAsia="ko-KR" w:bidi="ar-SA"/>
        </w:rPr>
      </w:pPr>
    </w:p>
    <w:p w14:paraId="0A5BC237" w14:textId="77777777" w:rsidR="00554CE2" w:rsidRPr="00A71301" w:rsidRDefault="00554CE2" w:rsidP="00FA0C13">
      <w:pPr>
        <w:ind w:left="1134" w:right="567"/>
        <w:jc w:val="both"/>
        <w:rPr>
          <w:i/>
          <w:lang w:eastAsia="ko-KR" w:bidi="ar-SA"/>
        </w:rPr>
      </w:pPr>
      <w:r>
        <w:rPr>
          <w:lang w:eastAsia="ko-KR" w:bidi="ar-SA"/>
        </w:rPr>
        <w:t>“</w:t>
      </w:r>
      <w:r w:rsidRPr="00A71301">
        <w:rPr>
          <w:i/>
          <w:lang w:eastAsia="ko-KR" w:bidi="ar-SA"/>
        </w:rPr>
        <w:t>There's not a long-term guarantee with long term commitments you can count on – and that's the most important. Everyone's asking – also big industry – for long term commitment from the government for certain rules. But often political parties have other things which they want to give to people in the Netherlands which are more popular.”</w:t>
      </w:r>
      <w:r w:rsidRPr="00A71301">
        <w:rPr>
          <w:rFonts w:ascii="Arial" w:eastAsia="Times New Roman" w:hAnsi="Arial" w:cs="Arial"/>
          <w:i/>
          <w:color w:val="FF0000"/>
          <w:sz w:val="23"/>
          <w:szCs w:val="23"/>
          <w:lang w:eastAsia="ko-KR" w:bidi="ar-SA"/>
        </w:rPr>
        <w:t> </w:t>
      </w:r>
    </w:p>
    <w:p w14:paraId="7D367EC9" w14:textId="77777777" w:rsidR="00554CE2" w:rsidRDefault="00554CE2" w:rsidP="00554CE2">
      <w:pPr>
        <w:jc w:val="both"/>
        <w:rPr>
          <w:lang w:eastAsia="ko-KR" w:bidi="ar-SA"/>
        </w:rPr>
      </w:pPr>
    </w:p>
    <w:p w14:paraId="2EAAD7D0" w14:textId="1BD26610" w:rsidR="00554CE2" w:rsidRDefault="00554CE2" w:rsidP="00554CE2">
      <w:pPr>
        <w:jc w:val="both"/>
        <w:rPr>
          <w:lang w:eastAsia="ko-KR" w:bidi="ar-SA"/>
        </w:rPr>
      </w:pPr>
      <w:r>
        <w:rPr>
          <w:lang w:eastAsia="ko-KR" w:bidi="ar-SA"/>
        </w:rPr>
        <w:t xml:space="preserve">Furthermore, Interviewee A also spoke about how the large </w:t>
      </w:r>
      <w:r w:rsidR="00B34EE4">
        <w:rPr>
          <w:lang w:eastAsia="ko-KR" w:bidi="ar-SA"/>
        </w:rPr>
        <w:t>number</w:t>
      </w:r>
      <w:r>
        <w:rPr>
          <w:lang w:eastAsia="ko-KR" w:bidi="ar-SA"/>
        </w:rPr>
        <w:t xml:space="preserve"> of municipalities in the</w:t>
      </w:r>
      <w:r w:rsidR="00FA7221">
        <w:rPr>
          <w:lang w:eastAsia="ko-KR" w:bidi="ar-SA"/>
        </w:rPr>
        <w:t xml:space="preserve"> Netherlands (approximately 400) </w:t>
      </w:r>
      <w:r>
        <w:rPr>
          <w:lang w:eastAsia="ko-KR" w:bidi="ar-SA"/>
        </w:rPr>
        <w:t>meant that knowledge sharing and cooperation was important. Interviewee J described the problem of every municipality having its own goal,</w:t>
      </w:r>
      <w:r w:rsidR="00221D98">
        <w:rPr>
          <w:lang w:eastAsia="ko-KR" w:bidi="ar-SA"/>
        </w:rPr>
        <w:t xml:space="preserve"> thus</w:t>
      </w:r>
      <w:r>
        <w:rPr>
          <w:lang w:eastAsia="ko-KR" w:bidi="ar-SA"/>
        </w:rPr>
        <w:t xml:space="preserve"> making the energy t</w:t>
      </w:r>
      <w:r w:rsidR="00BE4CE6">
        <w:rPr>
          <w:lang w:eastAsia="ko-KR" w:bidi="ar-SA"/>
        </w:rPr>
        <w:t>ransition difficult. In addition</w:t>
      </w:r>
      <w:r>
        <w:rPr>
          <w:lang w:eastAsia="ko-KR" w:bidi="ar-SA"/>
        </w:rPr>
        <w:t>, Interviewee G described the process of getting an innovative battery project to pilot within a municipality; even if a product goes to pilot in one municipality, it ma</w:t>
      </w:r>
      <w:r w:rsidR="00BE4CE6">
        <w:rPr>
          <w:lang w:eastAsia="ko-KR" w:bidi="ar-SA"/>
        </w:rPr>
        <w:t>y not be allowed in another. This</w:t>
      </w:r>
      <w:r>
        <w:rPr>
          <w:lang w:eastAsia="ko-KR" w:bidi="ar-SA"/>
        </w:rPr>
        <w:t xml:space="preserve"> interviewee stated:</w:t>
      </w:r>
    </w:p>
    <w:p w14:paraId="6B260487" w14:textId="77777777" w:rsidR="00554CE2" w:rsidRDefault="00554CE2" w:rsidP="00554CE2">
      <w:pPr>
        <w:jc w:val="both"/>
        <w:rPr>
          <w:lang w:eastAsia="ko-KR" w:bidi="ar-SA"/>
        </w:rPr>
      </w:pPr>
    </w:p>
    <w:p w14:paraId="2C889133" w14:textId="0A7133BB" w:rsidR="00554CE2" w:rsidRDefault="00554CE2" w:rsidP="00554CE2">
      <w:pPr>
        <w:ind w:left="1134" w:right="567"/>
        <w:jc w:val="both"/>
        <w:rPr>
          <w:lang w:eastAsia="ko-KR" w:bidi="ar-SA"/>
        </w:rPr>
      </w:pPr>
      <w:r>
        <w:rPr>
          <w:lang w:eastAsia="ko-KR" w:bidi="ar-SA"/>
        </w:rPr>
        <w:t>“</w:t>
      </w:r>
      <w:r w:rsidRPr="00D647D0">
        <w:rPr>
          <w:i/>
          <w:lang w:eastAsia="ko-KR" w:bidi="ar-SA"/>
        </w:rPr>
        <w:t>The flow battery as a concept is unknown in policy instruments. So, that's an obstacle because every municipality has to find out if they need to be afraid of the battery or not, and what measures need to be taken to create a safe situation. It would be helpful if there could be</w:t>
      </w:r>
      <w:r w:rsidR="00BE4CE6">
        <w:rPr>
          <w:i/>
          <w:lang w:eastAsia="ko-KR" w:bidi="ar-SA"/>
        </w:rPr>
        <w:t>,</w:t>
      </w:r>
      <w:r w:rsidRPr="00D647D0">
        <w:rPr>
          <w:i/>
          <w:lang w:eastAsia="ko-KR" w:bidi="ar-SA"/>
        </w:rPr>
        <w:t xml:space="preserve"> in the legislation</w:t>
      </w:r>
      <w:r w:rsidR="00BE4CE6">
        <w:rPr>
          <w:i/>
          <w:lang w:eastAsia="ko-KR" w:bidi="ar-SA"/>
        </w:rPr>
        <w:t>,</w:t>
      </w:r>
      <w:r w:rsidRPr="00D647D0">
        <w:rPr>
          <w:i/>
          <w:lang w:eastAsia="ko-KR" w:bidi="ar-SA"/>
        </w:rPr>
        <w:t xml:space="preserve"> a code for this type of equipment which makes it easy for municipalities to decide what conditions are needed to have a safe situation with a battery installed inside their municipality</w:t>
      </w:r>
      <w:r w:rsidRPr="00D647D0">
        <w:rPr>
          <w:lang w:eastAsia="ko-KR" w:bidi="ar-SA"/>
        </w:rPr>
        <w:t>.</w:t>
      </w:r>
      <w:r>
        <w:rPr>
          <w:lang w:eastAsia="ko-KR" w:bidi="ar-SA"/>
        </w:rPr>
        <w:t>”</w:t>
      </w:r>
    </w:p>
    <w:p w14:paraId="0E372992" w14:textId="77777777" w:rsidR="00554CE2" w:rsidRDefault="00554CE2" w:rsidP="00554CE2">
      <w:pPr>
        <w:ind w:left="1134" w:right="567"/>
        <w:jc w:val="both"/>
        <w:rPr>
          <w:lang w:eastAsia="ko-KR" w:bidi="ar-SA"/>
        </w:rPr>
      </w:pPr>
    </w:p>
    <w:p w14:paraId="754289EC" w14:textId="3EE88A4F" w:rsidR="00554CE2" w:rsidRDefault="00554CE2" w:rsidP="00554CE2">
      <w:pPr>
        <w:jc w:val="both"/>
        <w:rPr>
          <w:lang w:eastAsia="ko-KR" w:bidi="ar-SA"/>
        </w:rPr>
      </w:pPr>
      <w:r>
        <w:rPr>
          <w:lang w:eastAsia="ko-KR" w:bidi="ar-SA"/>
        </w:rPr>
        <w:t>They continued to say that information sharing was becomi</w:t>
      </w:r>
      <w:r w:rsidR="00BE4CE6">
        <w:rPr>
          <w:lang w:eastAsia="ko-KR" w:bidi="ar-SA"/>
        </w:rPr>
        <w:t xml:space="preserve">ng more necessary to bridge </w:t>
      </w:r>
      <w:r>
        <w:rPr>
          <w:lang w:eastAsia="ko-KR" w:bidi="ar-SA"/>
        </w:rPr>
        <w:t xml:space="preserve">any knowledge gaps, and more standards need to be developed for new technologies. Interviewee L agreed, stating that the government should be encouraged to play an increased role in developing standards. </w:t>
      </w:r>
      <w:r w:rsidR="00884A56">
        <w:rPr>
          <w:lang w:eastAsia="ko-KR" w:bidi="ar-SA"/>
        </w:rPr>
        <w:t xml:space="preserve">In addition, as previously stated, Interviewee N agreed that funding for pilot schemes would be helpful. This interviewee also stated that pilot schemes were useful as their pilot ‘status’ can allow them to sometimes bypass current regulations. </w:t>
      </w:r>
    </w:p>
    <w:p w14:paraId="14B2124E" w14:textId="77777777" w:rsidR="00554CE2" w:rsidRDefault="00554CE2" w:rsidP="00554CE2">
      <w:pPr>
        <w:jc w:val="both"/>
        <w:rPr>
          <w:lang w:eastAsia="ko-KR" w:bidi="ar-SA"/>
        </w:rPr>
      </w:pPr>
    </w:p>
    <w:p w14:paraId="532D46D7" w14:textId="5A02CFC1" w:rsidR="00FD7E45" w:rsidRDefault="00BC4EB0" w:rsidP="00554CE2">
      <w:pPr>
        <w:jc w:val="both"/>
        <w:rPr>
          <w:lang w:eastAsia="ko-KR" w:bidi="ar-SA"/>
        </w:rPr>
      </w:pPr>
      <w:r>
        <w:rPr>
          <w:lang w:eastAsia="ko-KR" w:bidi="ar-SA"/>
        </w:rPr>
        <w:lastRenderedPageBreak/>
        <w:t>Although there were a number of negative comments made about the role of government</w:t>
      </w:r>
      <w:r w:rsidR="0068368F">
        <w:rPr>
          <w:lang w:eastAsia="ko-KR" w:bidi="ar-SA"/>
        </w:rPr>
        <w:t>, it was not all unfavourable</w:t>
      </w:r>
      <w:r w:rsidR="00554CE2">
        <w:rPr>
          <w:lang w:eastAsia="ko-KR" w:bidi="ar-SA"/>
        </w:rPr>
        <w:t>. Interviewee E, for example, described a certain municipality as the “driving force” behind a hydrog</w:t>
      </w:r>
      <w:r w:rsidR="003A0553">
        <w:rPr>
          <w:lang w:eastAsia="ko-KR" w:bidi="ar-SA"/>
        </w:rPr>
        <w:t>en storage project, and how the municipality was</w:t>
      </w:r>
      <w:r w:rsidR="00554CE2">
        <w:rPr>
          <w:lang w:eastAsia="ko-KR" w:bidi="ar-SA"/>
        </w:rPr>
        <w:t xml:space="preserve"> cooperating closely with </w:t>
      </w:r>
      <w:r w:rsidR="003A0553">
        <w:rPr>
          <w:lang w:eastAsia="ko-KR" w:bidi="ar-SA"/>
        </w:rPr>
        <w:t>its</w:t>
      </w:r>
      <w:r w:rsidR="00554CE2">
        <w:rPr>
          <w:lang w:eastAsia="ko-KR" w:bidi="ar-SA"/>
        </w:rPr>
        <w:t xml:space="preserve"> citizens to get support for the project. Interviewee N stated that provinces and municipalities have said they want to be responsible in reaching European energy targets, and the interviewee believed this was a “very good sign”. This interviewee acknowledged that mistakes will be made by the government and it will take time for targets to be met, but</w:t>
      </w:r>
      <w:r w:rsidR="00F85764">
        <w:rPr>
          <w:lang w:eastAsia="ko-KR" w:bidi="ar-SA"/>
        </w:rPr>
        <w:t>,</w:t>
      </w:r>
      <w:r w:rsidR="00554CE2">
        <w:rPr>
          <w:lang w:eastAsia="ko-KR" w:bidi="ar-SA"/>
        </w:rPr>
        <w:t xml:space="preserve"> </w:t>
      </w:r>
      <w:r w:rsidR="00F85764">
        <w:rPr>
          <w:lang w:eastAsia="ko-KR" w:bidi="ar-SA"/>
        </w:rPr>
        <w:t xml:space="preserve">in general, </w:t>
      </w:r>
      <w:r w:rsidR="00554CE2">
        <w:rPr>
          <w:lang w:eastAsia="ko-KR" w:bidi="ar-SA"/>
        </w:rPr>
        <w:t xml:space="preserve">they were positive about the government’s role. </w:t>
      </w:r>
    </w:p>
    <w:p w14:paraId="5B81E631" w14:textId="77777777" w:rsidR="00FD7E45" w:rsidRDefault="00FD7E45" w:rsidP="00554CE2">
      <w:pPr>
        <w:jc w:val="both"/>
        <w:rPr>
          <w:lang w:eastAsia="ko-KR" w:bidi="ar-SA"/>
        </w:rPr>
      </w:pPr>
    </w:p>
    <w:p w14:paraId="39803775" w14:textId="7699945C" w:rsidR="00554CE2" w:rsidRDefault="00554CE2" w:rsidP="001659C9">
      <w:pPr>
        <w:jc w:val="both"/>
        <w:rPr>
          <w:lang w:eastAsia="ko-KR" w:bidi="ar-SA"/>
        </w:rPr>
      </w:pPr>
      <w:r>
        <w:rPr>
          <w:lang w:eastAsia="ko-KR" w:bidi="ar-SA"/>
        </w:rPr>
        <w:t xml:space="preserve">A variety of interviewees also stated how cooperation between </w:t>
      </w:r>
      <w:r w:rsidR="00E07D22">
        <w:rPr>
          <w:lang w:eastAsia="ko-KR" w:bidi="ar-SA"/>
        </w:rPr>
        <w:t xml:space="preserve">the </w:t>
      </w:r>
      <w:r>
        <w:rPr>
          <w:lang w:eastAsia="ko-KR" w:bidi="ar-SA"/>
        </w:rPr>
        <w:t>government and large industry or corporations was important. Interviewee G thought that</w:t>
      </w:r>
      <w:r w:rsidRPr="00EA13CD">
        <w:rPr>
          <w:lang w:eastAsia="ko-KR" w:bidi="ar-SA"/>
        </w:rPr>
        <w:t xml:space="preserve"> </w:t>
      </w:r>
      <w:r>
        <w:rPr>
          <w:lang w:eastAsia="ko-KR" w:bidi="ar-SA"/>
        </w:rPr>
        <w:t xml:space="preserve">the situation was changing and there was becoming more acceptance from companies towards ‘greener’ policies or regulation; the example of the same large brewery was given by three separate interviewees. Interview G stated that the brewery had “a real focus on becoming sustainable” by investing in RES and other technologies. This example was not a one-off and was not considered to be a cynical attempt </w:t>
      </w:r>
      <w:r w:rsidR="00F85764">
        <w:rPr>
          <w:lang w:eastAsia="ko-KR" w:bidi="ar-SA"/>
        </w:rPr>
        <w:t xml:space="preserve">by companies </w:t>
      </w:r>
      <w:r>
        <w:rPr>
          <w:lang w:eastAsia="ko-KR" w:bidi="ar-SA"/>
        </w:rPr>
        <w:t>at ‘greenwashing’. Indeed, Interviewee G stated that</w:t>
      </w:r>
      <w:r w:rsidR="00E07D22">
        <w:rPr>
          <w:lang w:eastAsia="ko-KR" w:bidi="ar-SA"/>
        </w:rPr>
        <w:t>,</w:t>
      </w:r>
      <w:r>
        <w:rPr>
          <w:lang w:eastAsia="ko-KR" w:bidi="ar-SA"/>
        </w:rPr>
        <w:t xml:space="preserve"> in certain cases</w:t>
      </w:r>
      <w:r w:rsidR="00E07D22">
        <w:rPr>
          <w:lang w:eastAsia="ko-KR" w:bidi="ar-SA"/>
        </w:rPr>
        <w:t>,</w:t>
      </w:r>
      <w:r>
        <w:rPr>
          <w:lang w:eastAsia="ko-KR" w:bidi="ar-SA"/>
        </w:rPr>
        <w:t xml:space="preserve"> large companies “run faster than the government” and believed that the government would need to come up with new policy instruments in response; Interviewee N also agreed that sometimes companies were ahead of the government and are “moving in a good direction”. Interviewee J agreed and believed companies were looking to the future and were willing to adapt to changing circumstances. </w:t>
      </w:r>
      <w:r w:rsidR="001659C9">
        <w:rPr>
          <w:lang w:eastAsia="ko-KR" w:bidi="ar-SA"/>
        </w:rPr>
        <w:t>Interviewee O thought that since the introduction of the Energy Agreement for Sustainable Growth in 2013 which was a broad agreement between a number of governmental and non-governmental organisations</w:t>
      </w:r>
      <w:r w:rsidR="008B7563">
        <w:rPr>
          <w:lang w:eastAsia="ko-KR" w:bidi="ar-SA"/>
        </w:rPr>
        <w:t xml:space="preserve"> and corporations</w:t>
      </w:r>
      <w:r w:rsidR="001659C9">
        <w:rPr>
          <w:lang w:eastAsia="ko-KR" w:bidi="ar-SA"/>
        </w:rPr>
        <w:t xml:space="preserve">, the discourse in relation to sustainability has become “less political” and that there has been “more structural behaviour from the government”. This interviewee saw this </w:t>
      </w:r>
      <w:r w:rsidR="008B7563">
        <w:rPr>
          <w:lang w:eastAsia="ko-KR" w:bidi="ar-SA"/>
        </w:rPr>
        <w:t xml:space="preserve">interaction between different organisations </w:t>
      </w:r>
      <w:r w:rsidR="001659C9">
        <w:rPr>
          <w:lang w:eastAsia="ko-KR" w:bidi="ar-SA"/>
        </w:rPr>
        <w:t xml:space="preserve">as a positive. </w:t>
      </w:r>
      <w:r w:rsidR="00F503D0">
        <w:rPr>
          <w:lang w:eastAsia="ko-KR" w:bidi="ar-SA"/>
        </w:rPr>
        <w:t xml:space="preserve">However, </w:t>
      </w:r>
      <w:r w:rsidR="002E290D">
        <w:rPr>
          <w:lang w:eastAsia="ko-KR" w:bidi="ar-SA"/>
        </w:rPr>
        <w:t xml:space="preserve">it should be noted that </w:t>
      </w:r>
      <w:r w:rsidR="00F503D0">
        <w:rPr>
          <w:lang w:eastAsia="ko-KR" w:bidi="ar-SA"/>
        </w:rPr>
        <w:t>t</w:t>
      </w:r>
      <w:r w:rsidR="00E07D22" w:rsidRPr="002E290D">
        <w:rPr>
          <w:lang w:eastAsia="ko-KR" w:bidi="ar-SA"/>
        </w:rPr>
        <w:t>hese views could be seen</w:t>
      </w:r>
      <w:r w:rsidR="008B7600" w:rsidRPr="002E290D">
        <w:rPr>
          <w:lang w:eastAsia="ko-KR" w:bidi="ar-SA"/>
        </w:rPr>
        <w:t xml:space="preserve"> to somewhat contradict the results in regards </w:t>
      </w:r>
      <w:r w:rsidR="00143410">
        <w:rPr>
          <w:lang w:eastAsia="ko-KR" w:bidi="ar-SA"/>
        </w:rPr>
        <w:t xml:space="preserve">to </w:t>
      </w:r>
      <w:r w:rsidR="008B7600" w:rsidRPr="002E290D">
        <w:rPr>
          <w:lang w:eastAsia="ko-KR" w:bidi="ar-SA"/>
        </w:rPr>
        <w:t>the ‘steppe</w:t>
      </w:r>
      <w:r w:rsidR="002E290D" w:rsidRPr="002E290D">
        <w:rPr>
          <w:lang w:eastAsia="ko-KR" w:bidi="ar-SA"/>
        </w:rPr>
        <w:t>d’ tax system detailed earlier; interviewees felt that the current tax system held large consumers back from investing in storage, but evidence provided also suggests that there is belief that certain companies are committing to the energy transition. This could possibly be explained due to there being an overall commitment for companies becoming ‘greener’, although the tax system may hold the implementation of ESS back within this overall process.</w:t>
      </w:r>
      <w:r w:rsidR="002E290D">
        <w:rPr>
          <w:color w:val="FF0000"/>
          <w:lang w:eastAsia="ko-KR" w:bidi="ar-SA"/>
        </w:rPr>
        <w:t xml:space="preserve"> </w:t>
      </w:r>
    </w:p>
    <w:p w14:paraId="0A027CDB" w14:textId="0E847D01" w:rsidR="00952B09" w:rsidRDefault="00952B09" w:rsidP="00952B09">
      <w:pPr>
        <w:pStyle w:val="Heading4"/>
        <w:rPr>
          <w:lang w:eastAsia="ko-KR" w:bidi="ar-SA"/>
        </w:rPr>
      </w:pPr>
      <w:r>
        <w:rPr>
          <w:lang w:eastAsia="ko-KR" w:bidi="ar-SA"/>
        </w:rPr>
        <w:t>Interlinking of Different Sectors</w:t>
      </w:r>
    </w:p>
    <w:p w14:paraId="06DC472B" w14:textId="35FE777F" w:rsidR="00554CE2" w:rsidRDefault="00554CE2" w:rsidP="00554CE2">
      <w:pPr>
        <w:jc w:val="both"/>
        <w:rPr>
          <w:lang w:eastAsia="ko-KR" w:bidi="ar-SA"/>
        </w:rPr>
      </w:pPr>
      <w:r>
        <w:rPr>
          <w:lang w:eastAsia="ko-KR" w:bidi="ar-SA"/>
        </w:rPr>
        <w:t xml:space="preserve">Furthermore, alongside discussion on ESS technologies, a number of interviewees also talked about the importance of interlinking different sectors (for example power, gas, heat, </w:t>
      </w:r>
      <w:r w:rsidR="00F85764">
        <w:rPr>
          <w:lang w:eastAsia="ko-KR" w:bidi="ar-SA"/>
        </w:rPr>
        <w:t xml:space="preserve">and </w:t>
      </w:r>
      <w:r>
        <w:rPr>
          <w:lang w:eastAsia="ko-KR" w:bidi="ar-SA"/>
        </w:rPr>
        <w:t xml:space="preserve">mobility) in order for the energy transition to be successful, and played down over-reliance on ESS. Interviewee M, for example, made it clear that increased adaption of ESS technologies is not the overall objective of the energy transition and should </w:t>
      </w:r>
      <w:r w:rsidR="00FD3DF4">
        <w:rPr>
          <w:lang w:eastAsia="ko-KR" w:bidi="ar-SA"/>
        </w:rPr>
        <w:t>be looked at as a means to achieve a goal of a zero-emission energy system</w:t>
      </w:r>
      <w:r>
        <w:rPr>
          <w:lang w:eastAsia="ko-KR" w:bidi="ar-SA"/>
        </w:rPr>
        <w:t>:</w:t>
      </w:r>
    </w:p>
    <w:p w14:paraId="4BA2F0EC" w14:textId="77777777" w:rsidR="00554CE2" w:rsidRDefault="00554CE2" w:rsidP="00554CE2">
      <w:pPr>
        <w:jc w:val="both"/>
        <w:rPr>
          <w:lang w:eastAsia="ko-KR" w:bidi="ar-SA"/>
        </w:rPr>
      </w:pPr>
    </w:p>
    <w:p w14:paraId="45015F55" w14:textId="0E00FA46" w:rsidR="00554CE2" w:rsidRDefault="00554CE2" w:rsidP="00554CE2">
      <w:pPr>
        <w:ind w:left="1134" w:right="567"/>
        <w:jc w:val="both"/>
        <w:rPr>
          <w:lang w:eastAsia="ko-KR" w:bidi="ar-SA"/>
        </w:rPr>
      </w:pPr>
      <w:r>
        <w:rPr>
          <w:lang w:eastAsia="ko-KR" w:bidi="ar-SA"/>
        </w:rPr>
        <w:t>“</w:t>
      </w:r>
      <w:r w:rsidRPr="007D2B86">
        <w:rPr>
          <w:i/>
          <w:lang w:eastAsia="ko-KR" w:bidi="ar-SA"/>
        </w:rPr>
        <w:t xml:space="preserve">You wouldn't want to say </w:t>
      </w:r>
      <w:r>
        <w:rPr>
          <w:i/>
          <w:lang w:eastAsia="ko-KR" w:bidi="ar-SA"/>
        </w:rPr>
        <w:t>‘</w:t>
      </w:r>
      <w:r w:rsidRPr="007D2B86">
        <w:rPr>
          <w:i/>
          <w:lang w:eastAsia="ko-KR" w:bidi="ar-SA"/>
        </w:rPr>
        <w:t>we want storage there</w:t>
      </w:r>
      <w:r>
        <w:rPr>
          <w:i/>
          <w:lang w:eastAsia="ko-KR" w:bidi="ar-SA"/>
        </w:rPr>
        <w:t>’ just because it's storage – t</w:t>
      </w:r>
      <w:r w:rsidRPr="007D2B86">
        <w:rPr>
          <w:i/>
          <w:lang w:eastAsia="ko-KR" w:bidi="ar-SA"/>
        </w:rPr>
        <w:t xml:space="preserve">here's no point. Only if it's economically </w:t>
      </w:r>
      <w:r>
        <w:rPr>
          <w:i/>
          <w:lang w:eastAsia="ko-KR" w:bidi="ar-SA"/>
        </w:rPr>
        <w:t>viable and system-wise viable – t</w:t>
      </w:r>
      <w:r w:rsidRPr="007D2B86">
        <w:rPr>
          <w:i/>
          <w:lang w:eastAsia="ko-KR" w:bidi="ar-SA"/>
        </w:rPr>
        <w:t>hen it's relev</w:t>
      </w:r>
      <w:r>
        <w:rPr>
          <w:i/>
          <w:lang w:eastAsia="ko-KR" w:bidi="ar-SA"/>
        </w:rPr>
        <w:t>ant. Solar and wind you want anyway – t</w:t>
      </w:r>
      <w:r w:rsidRPr="007D2B86">
        <w:rPr>
          <w:i/>
          <w:lang w:eastAsia="ko-KR" w:bidi="ar-SA"/>
        </w:rPr>
        <w:t>hat's the goal because it reduces emissions. Storage doesn't reduce emissions</w:t>
      </w:r>
      <w:r w:rsidR="00FD3DF4">
        <w:rPr>
          <w:i/>
          <w:lang w:eastAsia="ko-KR" w:bidi="ar-SA"/>
        </w:rPr>
        <w:t>, but should be seen as a means to integrate more variable renewables</w:t>
      </w:r>
      <w:r w:rsidRPr="007D2B86">
        <w:rPr>
          <w:i/>
          <w:lang w:eastAsia="ko-KR" w:bidi="ar-SA"/>
        </w:rPr>
        <w:t>.</w:t>
      </w:r>
      <w:r>
        <w:rPr>
          <w:lang w:eastAsia="ko-KR" w:bidi="ar-SA"/>
        </w:rPr>
        <w:t>”</w:t>
      </w:r>
      <w:r w:rsidRPr="007D2B86">
        <w:rPr>
          <w:lang w:eastAsia="ko-KR" w:bidi="ar-SA"/>
        </w:rPr>
        <w:t> </w:t>
      </w:r>
    </w:p>
    <w:p w14:paraId="60B3124C" w14:textId="77777777" w:rsidR="00554CE2" w:rsidRDefault="00554CE2" w:rsidP="00554CE2">
      <w:pPr>
        <w:ind w:left="1134" w:right="567"/>
        <w:jc w:val="both"/>
        <w:rPr>
          <w:lang w:eastAsia="ko-KR" w:bidi="ar-SA"/>
        </w:rPr>
      </w:pPr>
    </w:p>
    <w:p w14:paraId="50D1E651" w14:textId="77777777" w:rsidR="00554CE2" w:rsidRDefault="00554CE2" w:rsidP="00554CE2">
      <w:pPr>
        <w:jc w:val="both"/>
        <w:rPr>
          <w:lang w:eastAsia="ko-KR" w:bidi="ar-SA"/>
        </w:rPr>
      </w:pPr>
      <w:r>
        <w:rPr>
          <w:lang w:eastAsia="ko-KR" w:bidi="ar-SA"/>
        </w:rPr>
        <w:t xml:space="preserve">This interviewee, however, did acknowledge the need for flexibility, including storage: </w:t>
      </w:r>
    </w:p>
    <w:p w14:paraId="1F7DA32B" w14:textId="77777777" w:rsidR="00554CE2" w:rsidRDefault="00554CE2" w:rsidP="00554CE2">
      <w:pPr>
        <w:jc w:val="both"/>
        <w:rPr>
          <w:lang w:eastAsia="ko-KR" w:bidi="ar-SA"/>
        </w:rPr>
      </w:pPr>
    </w:p>
    <w:p w14:paraId="31E9781F" w14:textId="77777777" w:rsidR="00554CE2" w:rsidRDefault="00554CE2" w:rsidP="00554CE2">
      <w:pPr>
        <w:ind w:left="1134" w:right="567"/>
        <w:jc w:val="both"/>
        <w:rPr>
          <w:lang w:eastAsia="ko-KR" w:bidi="ar-SA"/>
        </w:rPr>
      </w:pPr>
      <w:r>
        <w:rPr>
          <w:lang w:eastAsia="ko-KR" w:bidi="ar-SA"/>
        </w:rPr>
        <w:t>“</w:t>
      </w:r>
      <w:r w:rsidRPr="002D5D77">
        <w:rPr>
          <w:i/>
          <w:lang w:eastAsia="ko-KR" w:bidi="ar-SA"/>
        </w:rPr>
        <w:t>You want to</w:t>
      </w:r>
      <w:r>
        <w:rPr>
          <w:i/>
          <w:lang w:eastAsia="ko-KR" w:bidi="ar-SA"/>
        </w:rPr>
        <w:t xml:space="preserve"> create a level playing field – t</w:t>
      </w:r>
      <w:r w:rsidRPr="002D5D77">
        <w:rPr>
          <w:i/>
          <w:lang w:eastAsia="ko-KR" w:bidi="ar-SA"/>
        </w:rPr>
        <w:t>hat's really what you want to achieve. Create a level playing field to have storage, demand response, flexible power plants, and grid connection</w:t>
      </w:r>
      <w:r>
        <w:rPr>
          <w:i/>
          <w:lang w:eastAsia="ko-KR" w:bidi="ar-SA"/>
        </w:rPr>
        <w:t>s</w:t>
      </w:r>
      <w:r w:rsidRPr="002D5D77">
        <w:rPr>
          <w:i/>
          <w:lang w:eastAsia="ko-KR" w:bidi="ar-SA"/>
        </w:rPr>
        <w:t xml:space="preserve"> to be able to evenly participate in the market.”</w:t>
      </w:r>
    </w:p>
    <w:p w14:paraId="64B20C62" w14:textId="77777777" w:rsidR="00554CE2" w:rsidRDefault="00554CE2" w:rsidP="00554CE2">
      <w:pPr>
        <w:jc w:val="both"/>
        <w:rPr>
          <w:lang w:eastAsia="ko-KR" w:bidi="ar-SA"/>
        </w:rPr>
      </w:pPr>
    </w:p>
    <w:p w14:paraId="1D92049D" w14:textId="780394F1" w:rsidR="00554CE2" w:rsidRDefault="00554CE2" w:rsidP="00554CE2">
      <w:pPr>
        <w:jc w:val="both"/>
        <w:rPr>
          <w:lang w:eastAsia="ko-KR" w:bidi="ar-SA"/>
        </w:rPr>
      </w:pPr>
      <w:r>
        <w:rPr>
          <w:lang w:eastAsia="ko-KR" w:bidi="ar-SA"/>
        </w:rPr>
        <w:t>Indeed, Interviewee H saw the importance of connecting markets, storage, grids and different energy carriers in order to facilitate the energy transition, and along with Interviewee E, saw an increased role for energy conversion in the future. Energy conversion is the process of converting energy from one form to another; the term ‘Power-to-X’ is commonly used, where ‘X’ can be a number of energy forms. For example, electrical energy generated by a wind or solar farm can be used to split water (H</w:t>
      </w:r>
      <w:r>
        <w:rPr>
          <w:vertAlign w:val="subscript"/>
          <w:lang w:eastAsia="ko-KR" w:bidi="ar-SA"/>
        </w:rPr>
        <w:t>2</w:t>
      </w:r>
      <w:r>
        <w:rPr>
          <w:lang w:eastAsia="ko-KR" w:bidi="ar-SA"/>
        </w:rPr>
        <w:t>O) into hydrogen (H) and oxygen (O). The hydrogen can be stored and transported, used as a fuel, and could be converted back to electricity at a later date if so required</w:t>
      </w:r>
      <w:r w:rsidR="005437AD">
        <w:rPr>
          <w:lang w:eastAsia="ko-KR" w:bidi="ar-SA"/>
        </w:rPr>
        <w:t xml:space="preserve"> (albeit with energy losses during the conversion processes)</w:t>
      </w:r>
      <w:r>
        <w:rPr>
          <w:lang w:eastAsia="ko-KR" w:bidi="ar-SA"/>
        </w:rPr>
        <w:t>. In this example, the ‘X’ in the terminology would refer to hydrogen, although it could refer to a variety of other terms such as ‘heat’ or ‘mobility’. Although Interviewee E and Interviewee I stated that the did not see Power-to-Gas being viable for at least the next five years, they, and a number of other interviewees did see it becoming a future prospect. For example, Interviewee H stated that energy conversion would offer additional flexibility in the energy system and saw the need for energy conversion alongside storage. Electricity converted to gas could be used to power vehicles or injected into the existing gas grid to make the existing system cleaner, whilst converting electricity into another form at the point of production could avoid grid investments. Power could also be converted to heat: surplus energy generated by a wind or solar farm could be converted into steam in an electric boiler, for example. Stored heat can be used for applications such as district heating or horticulture. The role of electric vehicles (EVs) may also be of increased importance in the future, as they become more widely used. For example, while an EV is parked</w:t>
      </w:r>
      <w:r w:rsidR="00873745">
        <w:rPr>
          <w:lang w:eastAsia="ko-KR" w:bidi="ar-SA"/>
        </w:rPr>
        <w:t xml:space="preserve"> and plugged in it could provide ‘</w:t>
      </w:r>
      <w:r w:rsidR="00992954">
        <w:rPr>
          <w:lang w:eastAsia="ko-KR" w:bidi="ar-SA"/>
        </w:rPr>
        <w:t>vehicle</w:t>
      </w:r>
      <w:r w:rsidR="00873745">
        <w:rPr>
          <w:lang w:eastAsia="ko-KR" w:bidi="ar-SA"/>
        </w:rPr>
        <w:t>-to</w:t>
      </w:r>
      <w:r w:rsidR="00992954">
        <w:rPr>
          <w:lang w:eastAsia="ko-KR" w:bidi="ar-SA"/>
        </w:rPr>
        <w:t>-</w:t>
      </w:r>
      <w:r w:rsidR="00873745">
        <w:rPr>
          <w:lang w:eastAsia="ko-KR" w:bidi="ar-SA"/>
        </w:rPr>
        <w:t>grid’ services, whereby</w:t>
      </w:r>
      <w:r>
        <w:rPr>
          <w:lang w:eastAsia="ko-KR" w:bidi="ar-SA"/>
        </w:rPr>
        <w:t xml:space="preserve"> its battery could be </w:t>
      </w:r>
      <w:r w:rsidR="00873745">
        <w:rPr>
          <w:lang w:eastAsia="ko-KR" w:bidi="ar-SA"/>
        </w:rPr>
        <w:t>utilised</w:t>
      </w:r>
      <w:r>
        <w:rPr>
          <w:lang w:eastAsia="ko-KR" w:bidi="ar-SA"/>
        </w:rPr>
        <w:t xml:space="preserve"> to </w:t>
      </w:r>
      <w:r w:rsidR="00873745">
        <w:rPr>
          <w:lang w:eastAsia="ko-KR" w:bidi="ar-SA"/>
        </w:rPr>
        <w:t xml:space="preserve">charge or </w:t>
      </w:r>
      <w:r>
        <w:rPr>
          <w:lang w:eastAsia="ko-KR" w:bidi="ar-SA"/>
        </w:rPr>
        <w:t xml:space="preserve">discharge to the grid if </w:t>
      </w:r>
      <w:r w:rsidR="00873745">
        <w:rPr>
          <w:lang w:eastAsia="ko-KR" w:bidi="ar-SA"/>
        </w:rPr>
        <w:t>required</w:t>
      </w:r>
      <w:r>
        <w:rPr>
          <w:lang w:eastAsia="ko-KR" w:bidi="ar-SA"/>
        </w:rPr>
        <w:t>. In the future, there could be additional market opportunities for applications such as t</w:t>
      </w:r>
      <w:r w:rsidR="00406FBE">
        <w:rPr>
          <w:lang w:eastAsia="ko-KR" w:bidi="ar-SA"/>
        </w:rPr>
        <w:t>his</w:t>
      </w:r>
      <w:r>
        <w:rPr>
          <w:lang w:eastAsia="ko-KR" w:bidi="ar-SA"/>
        </w:rPr>
        <w:t>, w</w:t>
      </w:r>
      <w:r w:rsidR="00873745">
        <w:rPr>
          <w:lang w:eastAsia="ko-KR" w:bidi="ar-SA"/>
        </w:rPr>
        <w:t>hen more flexibility is needed</w:t>
      </w:r>
      <w:r>
        <w:rPr>
          <w:lang w:eastAsia="ko-KR" w:bidi="ar-SA"/>
        </w:rPr>
        <w:t xml:space="preserve">. </w:t>
      </w:r>
      <w:r w:rsidR="00992954">
        <w:rPr>
          <w:lang w:eastAsia="ko-KR" w:bidi="ar-SA"/>
        </w:rPr>
        <w:t xml:space="preserve">However, even if there are market opportunities for these (and other) options, new regulation would likely be required before they could become part of the energy system. </w:t>
      </w:r>
    </w:p>
    <w:p w14:paraId="296C5329" w14:textId="77777777" w:rsidR="00554CE2" w:rsidRDefault="00554CE2" w:rsidP="00554CE2">
      <w:pPr>
        <w:jc w:val="both"/>
        <w:rPr>
          <w:lang w:eastAsia="ko-KR" w:bidi="ar-SA"/>
        </w:rPr>
      </w:pPr>
    </w:p>
    <w:p w14:paraId="3BBF1074" w14:textId="77777777" w:rsidR="00554CE2" w:rsidRDefault="00554CE2" w:rsidP="00671B0F">
      <w:pPr>
        <w:pStyle w:val="Heading2"/>
        <w:rPr>
          <w:lang w:eastAsia="ko-KR" w:bidi="ar-SA"/>
        </w:rPr>
      </w:pPr>
      <w:bookmarkStart w:id="71" w:name="_Ref486930599"/>
      <w:bookmarkStart w:id="72" w:name="_Toc490566989"/>
      <w:r>
        <w:rPr>
          <w:lang w:eastAsia="ko-KR" w:bidi="ar-SA"/>
        </w:rPr>
        <w:t>Discussion</w:t>
      </w:r>
      <w:bookmarkEnd w:id="71"/>
      <w:r>
        <w:rPr>
          <w:lang w:eastAsia="ko-KR" w:bidi="ar-SA"/>
        </w:rPr>
        <w:t xml:space="preserve"> and Recommendations</w:t>
      </w:r>
      <w:bookmarkEnd w:id="72"/>
    </w:p>
    <w:p w14:paraId="2BE713B3" w14:textId="5838BE91" w:rsidR="00554CE2" w:rsidRDefault="00F27B87" w:rsidP="00554CE2">
      <w:pPr>
        <w:jc w:val="both"/>
        <w:rPr>
          <w:i/>
        </w:rPr>
      </w:pPr>
      <w:r>
        <w:rPr>
          <w:lang w:eastAsia="ko-KR" w:bidi="ar-SA"/>
        </w:rPr>
        <w:t>The main r</w:t>
      </w:r>
      <w:r w:rsidR="00554CE2">
        <w:rPr>
          <w:lang w:eastAsia="ko-KR" w:bidi="ar-SA"/>
        </w:rPr>
        <w:t>esea</w:t>
      </w:r>
      <w:r>
        <w:rPr>
          <w:lang w:eastAsia="ko-KR" w:bidi="ar-SA"/>
        </w:rPr>
        <w:t>rch q</w:t>
      </w:r>
      <w:r w:rsidR="00554CE2">
        <w:rPr>
          <w:lang w:eastAsia="ko-KR" w:bidi="ar-SA"/>
        </w:rPr>
        <w:t xml:space="preserve">uestion of this thesis asked: </w:t>
      </w:r>
      <w:r w:rsidR="000B63FB">
        <w:rPr>
          <w:i/>
        </w:rPr>
        <w:t>how can</w:t>
      </w:r>
      <w:r w:rsidR="00554CE2">
        <w:rPr>
          <w:i/>
        </w:rPr>
        <w:t xml:space="preserve"> ESS technologies transition from niche to become established technologies at the regime level?</w:t>
      </w:r>
    </w:p>
    <w:p w14:paraId="5AEB8089" w14:textId="77777777" w:rsidR="00554CE2" w:rsidRDefault="00554CE2" w:rsidP="00554CE2">
      <w:pPr>
        <w:jc w:val="both"/>
        <w:rPr>
          <w:lang w:eastAsia="ko-KR" w:bidi="ar-SA"/>
        </w:rPr>
      </w:pPr>
    </w:p>
    <w:p w14:paraId="17AEDEB0" w14:textId="60D2580F" w:rsidR="00554CE2" w:rsidRDefault="00554CE2" w:rsidP="00554CE2">
      <w:pPr>
        <w:jc w:val="both"/>
        <w:rPr>
          <w:lang w:eastAsia="ko-KR" w:bidi="ar-SA"/>
        </w:rPr>
      </w:pPr>
      <w:r>
        <w:rPr>
          <w:lang w:eastAsia="ko-KR" w:bidi="ar-SA"/>
        </w:rPr>
        <w:t xml:space="preserve">Based on the results described in the previous section it is possible to answer this question using the Theoretical Framework formulated in Section </w:t>
      </w:r>
      <w:r>
        <w:rPr>
          <w:lang w:eastAsia="ko-KR" w:bidi="ar-SA"/>
        </w:rPr>
        <w:fldChar w:fldCharType="begin"/>
      </w:r>
      <w:r>
        <w:rPr>
          <w:lang w:eastAsia="ko-KR" w:bidi="ar-SA"/>
        </w:rPr>
        <w:instrText xml:space="preserve"> REF _Ref484011179 \r \h </w:instrText>
      </w:r>
      <w:r>
        <w:rPr>
          <w:lang w:eastAsia="ko-KR" w:bidi="ar-SA"/>
        </w:rPr>
      </w:r>
      <w:r>
        <w:rPr>
          <w:lang w:eastAsia="ko-KR" w:bidi="ar-SA"/>
        </w:rPr>
        <w:fldChar w:fldCharType="separate"/>
      </w:r>
      <w:r>
        <w:rPr>
          <w:lang w:eastAsia="ko-KR" w:bidi="ar-SA"/>
        </w:rPr>
        <w:t>3.4</w:t>
      </w:r>
      <w:r>
        <w:rPr>
          <w:lang w:eastAsia="ko-KR" w:bidi="ar-SA"/>
        </w:rPr>
        <w:fldChar w:fldCharType="end"/>
      </w:r>
      <w:r>
        <w:rPr>
          <w:lang w:eastAsia="ko-KR" w:bidi="ar-SA"/>
        </w:rPr>
        <w:t xml:space="preserve">. </w:t>
      </w:r>
      <w:r w:rsidR="00F27B87">
        <w:rPr>
          <w:lang w:eastAsia="ko-KR" w:bidi="ar-SA"/>
        </w:rPr>
        <w:t>T</w:t>
      </w:r>
      <w:r>
        <w:rPr>
          <w:lang w:eastAsia="ko-KR" w:bidi="ar-SA"/>
        </w:rPr>
        <w:t>he research sub-questions will first be discussed</w:t>
      </w:r>
      <w:r w:rsidR="00F27B87">
        <w:rPr>
          <w:lang w:eastAsia="ko-KR" w:bidi="ar-SA"/>
        </w:rPr>
        <w:t xml:space="preserve"> in the following three sub-sections, before the main research question is addressed in Section </w:t>
      </w:r>
      <w:r w:rsidR="00F27B87">
        <w:rPr>
          <w:lang w:eastAsia="ko-KR" w:bidi="ar-SA"/>
        </w:rPr>
        <w:fldChar w:fldCharType="begin"/>
      </w:r>
      <w:r w:rsidR="00F27B87">
        <w:rPr>
          <w:lang w:eastAsia="ko-KR" w:bidi="ar-SA"/>
        </w:rPr>
        <w:instrText xml:space="preserve"> REF _Ref490643036 \r \h </w:instrText>
      </w:r>
      <w:r w:rsidR="00F27B87">
        <w:rPr>
          <w:lang w:eastAsia="ko-KR" w:bidi="ar-SA"/>
        </w:rPr>
      </w:r>
      <w:r w:rsidR="00F27B87">
        <w:rPr>
          <w:lang w:eastAsia="ko-KR" w:bidi="ar-SA"/>
        </w:rPr>
        <w:fldChar w:fldCharType="separate"/>
      </w:r>
      <w:r w:rsidR="00F27B87">
        <w:rPr>
          <w:lang w:eastAsia="ko-KR" w:bidi="ar-SA"/>
        </w:rPr>
        <w:t>6.3.4</w:t>
      </w:r>
      <w:r w:rsidR="00F27B87">
        <w:rPr>
          <w:lang w:eastAsia="ko-KR" w:bidi="ar-SA"/>
        </w:rPr>
        <w:fldChar w:fldCharType="end"/>
      </w:r>
      <w:r>
        <w:rPr>
          <w:lang w:eastAsia="ko-KR" w:bidi="ar-SA"/>
        </w:rPr>
        <w:t>.</w:t>
      </w:r>
    </w:p>
    <w:p w14:paraId="2AA1D464" w14:textId="77777777" w:rsidR="00554CE2" w:rsidRDefault="00554CE2" w:rsidP="00671B0F">
      <w:pPr>
        <w:pStyle w:val="Heading3"/>
        <w:rPr>
          <w:lang w:eastAsia="ko-KR" w:bidi="ar-SA"/>
        </w:rPr>
      </w:pPr>
      <w:r>
        <w:rPr>
          <w:lang w:eastAsia="ko-KR" w:bidi="ar-SA"/>
        </w:rPr>
        <w:t>Sub-question 1</w:t>
      </w:r>
    </w:p>
    <w:p w14:paraId="1D5DBAA0" w14:textId="309B0669" w:rsidR="00554CE2" w:rsidRPr="005B3555" w:rsidRDefault="00554CE2" w:rsidP="00535DD3">
      <w:pPr>
        <w:jc w:val="both"/>
      </w:pPr>
      <w:r w:rsidRPr="005B3555">
        <w:rPr>
          <w:i/>
        </w:rPr>
        <w:t>What role did different policy instruments play in the transition of solar and wind energy production (across different scales from domestic to large-scale) from niche to commercial adoption and diffusion in the Netherlands?</w:t>
      </w:r>
      <w:r w:rsidRPr="005B3555">
        <w:t xml:space="preserve"> </w:t>
      </w:r>
    </w:p>
    <w:p w14:paraId="24653114" w14:textId="77777777" w:rsidR="00554CE2" w:rsidRDefault="00554CE2" w:rsidP="00554CE2">
      <w:pPr>
        <w:pStyle w:val="Nummeringlijst"/>
        <w:numPr>
          <w:ilvl w:val="0"/>
          <w:numId w:val="0"/>
        </w:numPr>
        <w:spacing w:after="160"/>
        <w:ind w:left="924" w:hanging="357"/>
        <w:jc w:val="both"/>
        <w:rPr>
          <w:i/>
        </w:rPr>
      </w:pPr>
    </w:p>
    <w:p w14:paraId="59188A88" w14:textId="7D37032A" w:rsidR="00554CE2" w:rsidRDefault="00554CE2" w:rsidP="00554CE2">
      <w:pPr>
        <w:pStyle w:val="Nummeringlijst"/>
        <w:numPr>
          <w:ilvl w:val="0"/>
          <w:numId w:val="0"/>
        </w:numPr>
        <w:spacing w:after="160"/>
        <w:ind w:left="567"/>
        <w:jc w:val="both"/>
      </w:pPr>
      <w:r>
        <w:lastRenderedPageBreak/>
        <w:t>As the focus of this thesis was on the transition of ESS technologies (as opposed to the transition of solar and wind energy production) the results of the research somewhat overlooked this sub-question; the number of previous policy instruments used over several decades to facilitate the transition of wind and solar energy production was too large to fully cover them all in this research. Therefore, only a small number of instruments were covered in relation to this question. However, the results that were gathered show the majority of government spending on energy policy was on renewable energy production subsidies. These instruments have evolved over time and were generally considered to be successful in facilitating wind and solar energy production at levels above the domestic. Furthermore, the net metering scheme has been successful i</w:t>
      </w:r>
      <w:r w:rsidR="000E58FC">
        <w:t>n encouraging domestic solar PV</w:t>
      </w:r>
      <w:r>
        <w:t xml:space="preserve"> and the interviewees overwhelmingly agreed that the transition of wind and solar energy production was no longer niche and commercial adoption had occurred. </w:t>
      </w:r>
    </w:p>
    <w:p w14:paraId="1D875B13" w14:textId="77777777" w:rsidR="00554CE2" w:rsidRDefault="00554CE2" w:rsidP="00554CE2">
      <w:pPr>
        <w:pStyle w:val="Nummeringlijst"/>
        <w:numPr>
          <w:ilvl w:val="0"/>
          <w:numId w:val="0"/>
        </w:numPr>
        <w:spacing w:after="160"/>
        <w:ind w:left="567"/>
        <w:jc w:val="both"/>
      </w:pPr>
    </w:p>
    <w:p w14:paraId="43FB4782" w14:textId="70B56785" w:rsidR="00554CE2" w:rsidRDefault="00554CE2" w:rsidP="00554CE2">
      <w:pPr>
        <w:pStyle w:val="Nummeringlijst"/>
        <w:numPr>
          <w:ilvl w:val="0"/>
          <w:numId w:val="0"/>
        </w:numPr>
        <w:spacing w:after="160"/>
        <w:ind w:left="567"/>
        <w:jc w:val="both"/>
      </w:pPr>
      <w:r>
        <w:t>However, without a vastly more wide-ranging study it is not possible for this research to comprehensive</w:t>
      </w:r>
      <w:r w:rsidR="003529CD">
        <w:t>ly answer this sub-question, although</w:t>
      </w:r>
      <w:r>
        <w:t xml:space="preserve"> it can be concluded that the previously made assumption that wind and solar energy production are no longer considered to utilise ‘ni</w:t>
      </w:r>
      <w:r w:rsidR="003529CD">
        <w:t>che’ technologies is c</w:t>
      </w:r>
      <w:r>
        <w:t>orrect.</w:t>
      </w:r>
      <w:r w:rsidR="000E58FC">
        <w:t xml:space="preserve"> Indeed, Statistics Netherlands (2015) reports that the Dutch government’s climate change mitigation policy (of which the budget is spent primarily on renewable energy production subsidies) resulted in raising the share of renewable energy sources in the total energy supply.</w:t>
      </w:r>
      <w:r>
        <w:t xml:space="preserve"> Therefore</w:t>
      </w:r>
      <w:r w:rsidR="00C81008">
        <w:t>,</w:t>
      </w:r>
      <w:r>
        <w:t xml:space="preserve"> it can be con</w:t>
      </w:r>
      <w:r w:rsidR="000E58FC">
        <w:t>cluded</w:t>
      </w:r>
      <w:r>
        <w:t xml:space="preserve"> that the policy instruments utilised have been </w:t>
      </w:r>
      <w:r w:rsidR="00F8575A">
        <w:t xml:space="preserve">largely </w:t>
      </w:r>
      <w:r>
        <w:t xml:space="preserve">successful. </w:t>
      </w:r>
    </w:p>
    <w:p w14:paraId="2183626F" w14:textId="77777777" w:rsidR="00554CE2" w:rsidRPr="00F94331" w:rsidRDefault="00554CE2" w:rsidP="00671B0F">
      <w:pPr>
        <w:pStyle w:val="Heading3"/>
        <w:rPr>
          <w:lang w:eastAsia="ko-KR" w:bidi="ar-SA"/>
        </w:rPr>
      </w:pPr>
      <w:r>
        <w:rPr>
          <w:lang w:eastAsia="ko-KR" w:bidi="ar-SA"/>
        </w:rPr>
        <w:t>Sub-question 2</w:t>
      </w:r>
    </w:p>
    <w:p w14:paraId="4863F80B" w14:textId="05D98C22" w:rsidR="00554CE2" w:rsidRPr="006977AA" w:rsidRDefault="00554CE2" w:rsidP="00535DD3">
      <w:pPr>
        <w:jc w:val="both"/>
      </w:pPr>
      <w:r w:rsidRPr="005B3555">
        <w:rPr>
          <w:i/>
        </w:rPr>
        <w:t>What role do different policy instruments play in the ongoing integration of ESS with solar and wind energy production (across different scales from domestic to large-scale) in the Netherlands?</w:t>
      </w:r>
    </w:p>
    <w:p w14:paraId="003A88EA" w14:textId="77777777" w:rsidR="00554CE2" w:rsidRDefault="00554CE2" w:rsidP="00554CE2">
      <w:pPr>
        <w:pStyle w:val="Nummeringlijst"/>
        <w:numPr>
          <w:ilvl w:val="0"/>
          <w:numId w:val="0"/>
        </w:numPr>
        <w:ind w:left="567"/>
        <w:jc w:val="both"/>
        <w:rPr>
          <w:i/>
        </w:rPr>
      </w:pPr>
    </w:p>
    <w:p w14:paraId="60A31AA6" w14:textId="77777777" w:rsidR="00554CE2" w:rsidRDefault="00554CE2" w:rsidP="00554CE2">
      <w:pPr>
        <w:pStyle w:val="Nummeringlijst"/>
        <w:numPr>
          <w:ilvl w:val="0"/>
          <w:numId w:val="0"/>
        </w:numPr>
        <w:ind w:left="567"/>
        <w:jc w:val="both"/>
      </w:pPr>
      <w:r>
        <w:t xml:space="preserve">In contrast to the results from Sub-question 1, policy instruments utilised to facilitate the integration of ESS with solar and wind energy production can generally considered to be unsuccessful. The instruments most widely mentioned and discussed by the interviewees were the net metering scheme – aimed at encouraging investment in solar PV at the domestic-level – and the ‘double’ energy tax. These schemes were generally considered to be holding back the integration of batteries within the home. Furthermore, the stepped tax system is a disincentive for larger electricity consumers to invest in ESS, and indeed can even encourage energy over-consumption. </w:t>
      </w:r>
    </w:p>
    <w:p w14:paraId="6C42417F" w14:textId="77777777" w:rsidR="00554CE2" w:rsidRDefault="00554CE2" w:rsidP="00554CE2">
      <w:pPr>
        <w:pStyle w:val="Nummeringlijst"/>
        <w:numPr>
          <w:ilvl w:val="0"/>
          <w:numId w:val="0"/>
        </w:numPr>
        <w:ind w:left="567"/>
        <w:jc w:val="both"/>
      </w:pPr>
    </w:p>
    <w:p w14:paraId="44D7A2A4" w14:textId="33C607BC" w:rsidR="00554CE2" w:rsidRDefault="00554CE2" w:rsidP="00554CE2">
      <w:pPr>
        <w:pStyle w:val="Nummeringlijst"/>
        <w:numPr>
          <w:ilvl w:val="0"/>
          <w:numId w:val="0"/>
        </w:numPr>
        <w:ind w:left="567"/>
        <w:jc w:val="both"/>
      </w:pPr>
      <w:r>
        <w:t>Furthermore, problems were noted with organisational- and information-based instruments. For example, there are problems with communication mechanisms between different actors such as different governmental levels, and a lack of standards is holding in</w:t>
      </w:r>
      <w:r w:rsidR="00426B18">
        <w:t>tegration</w:t>
      </w:r>
      <w:r>
        <w:t xml:space="preserve"> back. A lack of understanding from various actors in regards</w:t>
      </w:r>
      <w:r w:rsidR="00143410">
        <w:t xml:space="preserve"> to</w:t>
      </w:r>
      <w:r>
        <w:t xml:space="preserve"> ownership and location of storage systems was also holding back its integration within the grid. Current regulation also holds back ESS in some situations; for example, the </w:t>
      </w:r>
      <w:r w:rsidR="0005288F">
        <w:t xml:space="preserve">European </w:t>
      </w:r>
      <w:r>
        <w:t>regulation fo</w:t>
      </w:r>
      <w:r w:rsidR="00F86FA9">
        <w:t>rbidding the TSO and the DSOs from</w:t>
      </w:r>
      <w:r>
        <w:t xml:space="preserve"> own</w:t>
      </w:r>
      <w:r w:rsidR="00F86FA9">
        <w:t>ing</w:t>
      </w:r>
      <w:r>
        <w:t xml:space="preserve"> ESS </w:t>
      </w:r>
      <w:r w:rsidR="004B0FD8">
        <w:t xml:space="preserve">which </w:t>
      </w:r>
      <w:r w:rsidR="00F86FA9">
        <w:t>might</w:t>
      </w:r>
      <w:r>
        <w:t xml:space="preserve"> in</w:t>
      </w:r>
      <w:r w:rsidR="00CF6301">
        <w:t>fluence</w:t>
      </w:r>
      <w:r>
        <w:t xml:space="preserve"> markets. </w:t>
      </w:r>
    </w:p>
    <w:p w14:paraId="1F875103" w14:textId="77777777" w:rsidR="00554CE2" w:rsidRDefault="00554CE2" w:rsidP="00554CE2">
      <w:pPr>
        <w:pStyle w:val="Nummeringlijst"/>
        <w:numPr>
          <w:ilvl w:val="0"/>
          <w:numId w:val="0"/>
        </w:numPr>
        <w:ind w:left="567"/>
        <w:jc w:val="both"/>
      </w:pPr>
      <w:r>
        <w:t xml:space="preserve">  </w:t>
      </w:r>
    </w:p>
    <w:p w14:paraId="722FD2B4" w14:textId="067E39F9" w:rsidR="008B3ABE" w:rsidRDefault="00554CE2" w:rsidP="00426B18">
      <w:pPr>
        <w:pStyle w:val="Nummeringlijst"/>
        <w:numPr>
          <w:ilvl w:val="0"/>
          <w:numId w:val="0"/>
        </w:numPr>
        <w:ind w:left="567"/>
        <w:jc w:val="both"/>
      </w:pPr>
      <w:r>
        <w:t xml:space="preserve">However, a number of positives can be seen. Strong steps towards the energy transition are being made </w:t>
      </w:r>
      <w:r w:rsidR="00CF6301">
        <w:t>by certain large companies, with</w:t>
      </w:r>
      <w:r w:rsidR="00130B3B">
        <w:t xml:space="preserve"> voluntary agreements in place</w:t>
      </w:r>
      <w:r w:rsidR="001F175A">
        <w:t>.</w:t>
      </w:r>
      <w:r w:rsidR="00130B3B">
        <w:t xml:space="preserve"> </w:t>
      </w:r>
      <w:r w:rsidR="001F175A">
        <w:t>A</w:t>
      </w:r>
      <w:r>
        <w:t>t the communi</w:t>
      </w:r>
      <w:r w:rsidR="00A34F1A">
        <w:t>ty-</w:t>
      </w:r>
      <w:r w:rsidR="00B34EE4">
        <w:t>level there are also a variety</w:t>
      </w:r>
      <w:r>
        <w:t xml:space="preserve"> of encou</w:t>
      </w:r>
      <w:r w:rsidR="008B3ABE">
        <w:t xml:space="preserve">raging signs such as </w:t>
      </w:r>
      <w:r w:rsidR="00910AEF">
        <w:t>farmer</w:t>
      </w:r>
      <w:r>
        <w:t>s</w:t>
      </w:r>
      <w:r w:rsidR="00910AEF">
        <w:t>’</w:t>
      </w:r>
      <w:r>
        <w:t xml:space="preserve"> cooperatives working with local residents to provide renewable energy. </w:t>
      </w:r>
      <w:r w:rsidR="00910AEF">
        <w:t xml:space="preserve">However, as previously stated, there </w:t>
      </w:r>
      <w:r w:rsidR="00DE6BB9">
        <w:t>are questions over ownership and who should take responsibility for ESS integration.</w:t>
      </w:r>
      <w:r w:rsidR="00130B3B">
        <w:t xml:space="preserve"> </w:t>
      </w:r>
    </w:p>
    <w:p w14:paraId="56E365D1" w14:textId="77777777" w:rsidR="008B3ABE" w:rsidRDefault="008B3ABE" w:rsidP="00426B18">
      <w:pPr>
        <w:pStyle w:val="Nummeringlijst"/>
        <w:numPr>
          <w:ilvl w:val="0"/>
          <w:numId w:val="0"/>
        </w:numPr>
        <w:ind w:left="567"/>
        <w:jc w:val="both"/>
      </w:pPr>
    </w:p>
    <w:p w14:paraId="46CD5949" w14:textId="1AC994AB" w:rsidR="00554CE2" w:rsidRDefault="00DE6BB9" w:rsidP="00426B18">
      <w:pPr>
        <w:pStyle w:val="Nummeringlijst"/>
        <w:numPr>
          <w:ilvl w:val="0"/>
          <w:numId w:val="0"/>
        </w:numPr>
        <w:ind w:left="567"/>
        <w:jc w:val="both"/>
      </w:pPr>
      <w:r>
        <w:t xml:space="preserve">Other positives include the use of pilot </w:t>
      </w:r>
      <w:r w:rsidR="00EC03B7">
        <w:t>schemes,</w:t>
      </w:r>
      <w:r w:rsidR="00554CE2">
        <w:t xml:space="preserve"> and </w:t>
      </w:r>
      <w:r w:rsidR="008B3ABE">
        <w:t>the TSO</w:t>
      </w:r>
      <w:r w:rsidR="00554CE2">
        <w:t xml:space="preserve"> considering reducing the capacity </w:t>
      </w:r>
      <w:r w:rsidR="008B3ABE">
        <w:t xml:space="preserve">provision </w:t>
      </w:r>
      <w:r w:rsidR="00CF6301">
        <w:t xml:space="preserve">level </w:t>
      </w:r>
      <w:r w:rsidR="008B3ABE">
        <w:t>for the P</w:t>
      </w:r>
      <w:r w:rsidR="00554CE2">
        <w:t>CR mar</w:t>
      </w:r>
      <w:r w:rsidR="00EC03B7">
        <w:t xml:space="preserve">ket. Projects such as </w:t>
      </w:r>
      <w:r w:rsidR="00DF3660">
        <w:t xml:space="preserve">the </w:t>
      </w:r>
      <w:r w:rsidR="00DF3660" w:rsidRPr="000C7C14">
        <w:rPr>
          <w:i/>
        </w:rPr>
        <w:t>CrowdNett</w:t>
      </w:r>
      <w:r w:rsidR="00DF3660">
        <w:t xml:space="preserve"> and </w:t>
      </w:r>
      <w:r w:rsidR="00DF3660" w:rsidRPr="000C7C14">
        <w:rPr>
          <w:i/>
        </w:rPr>
        <w:t xml:space="preserve">Your Energy </w:t>
      </w:r>
      <w:r w:rsidR="00554CE2" w:rsidRPr="000C7C14">
        <w:rPr>
          <w:i/>
        </w:rPr>
        <w:t>Moment</w:t>
      </w:r>
      <w:r w:rsidR="00554CE2">
        <w:t xml:space="preserve"> schemes</w:t>
      </w:r>
      <w:r w:rsidR="00EC03B7">
        <w:t xml:space="preserve"> might also encourage storage, whilst</w:t>
      </w:r>
      <w:r w:rsidR="004974E2">
        <w:t xml:space="preserve"> </w:t>
      </w:r>
      <w:r w:rsidR="00EC03B7">
        <w:t>s</w:t>
      </w:r>
      <w:r w:rsidR="004974E2">
        <w:t xml:space="preserve">ubsidies for R&amp;D or to help ESS technologies scale up or to enter the market can also be useful in helping the ESS integration. </w:t>
      </w:r>
    </w:p>
    <w:p w14:paraId="5E06DCD6" w14:textId="60BF767F" w:rsidR="00554CE2" w:rsidRPr="00993688" w:rsidRDefault="00554CE2" w:rsidP="00671B0F">
      <w:pPr>
        <w:pStyle w:val="Heading3"/>
      </w:pPr>
      <w:r>
        <w:t>Sub-question 3</w:t>
      </w:r>
    </w:p>
    <w:p w14:paraId="72858998" w14:textId="17138A35" w:rsidR="00E9504A" w:rsidRDefault="00E9504A" w:rsidP="00554CE2">
      <w:pPr>
        <w:pStyle w:val="Nummeringlijst"/>
        <w:numPr>
          <w:ilvl w:val="0"/>
          <w:numId w:val="0"/>
        </w:numPr>
        <w:ind w:left="567"/>
        <w:jc w:val="both"/>
        <w:rPr>
          <w:i/>
        </w:rPr>
      </w:pPr>
      <w:r>
        <w:rPr>
          <w:i/>
        </w:rPr>
        <w:t xml:space="preserve">a) </w:t>
      </w:r>
      <w:r w:rsidR="00554CE2" w:rsidRPr="006977AA">
        <w:rPr>
          <w:i/>
        </w:rPr>
        <w:t>Which</w:t>
      </w:r>
      <w:r w:rsidR="00554CE2">
        <w:rPr>
          <w:i/>
        </w:rPr>
        <w:t xml:space="preserve"> policy and technology</w:t>
      </w:r>
      <w:r w:rsidR="00554CE2" w:rsidRPr="006977AA">
        <w:rPr>
          <w:i/>
        </w:rPr>
        <w:t xml:space="preserve"> options </w:t>
      </w:r>
      <w:r w:rsidR="00554CE2">
        <w:rPr>
          <w:i/>
        </w:rPr>
        <w:t xml:space="preserve">and instruments </w:t>
      </w:r>
      <w:r w:rsidR="00554CE2" w:rsidRPr="006977AA">
        <w:rPr>
          <w:i/>
        </w:rPr>
        <w:t xml:space="preserve">are most suitable to facilitate the </w:t>
      </w:r>
      <w:r>
        <w:rPr>
          <w:i/>
        </w:rPr>
        <w:t>transition</w:t>
      </w:r>
      <w:r w:rsidRPr="006977AA">
        <w:rPr>
          <w:i/>
        </w:rPr>
        <w:t xml:space="preserve"> </w:t>
      </w:r>
      <w:r w:rsidR="00554CE2" w:rsidRPr="006977AA">
        <w:rPr>
          <w:i/>
        </w:rPr>
        <w:t>of ESS from niche to become commercial</w:t>
      </w:r>
      <w:r w:rsidR="00554CE2">
        <w:rPr>
          <w:i/>
        </w:rPr>
        <w:t>ly adopted and integrated with solar and wind energy</w:t>
      </w:r>
      <w:r w:rsidR="00554CE2" w:rsidRPr="006977AA">
        <w:rPr>
          <w:i/>
        </w:rPr>
        <w:t xml:space="preserve"> production (across different scales from domestic to large-scale) in the Netherlands?</w:t>
      </w:r>
    </w:p>
    <w:p w14:paraId="1F0FAE3C" w14:textId="058FC1B3" w:rsidR="00E9504A" w:rsidRDefault="00E9504A" w:rsidP="00E9504A">
      <w:pPr>
        <w:jc w:val="both"/>
      </w:pPr>
      <w:r>
        <w:t xml:space="preserve">b) </w:t>
      </w:r>
      <w:r w:rsidRPr="005B3555">
        <w:rPr>
          <w:i/>
        </w:rPr>
        <w:t xml:space="preserve">Where does this ongoing </w:t>
      </w:r>
      <w:r>
        <w:rPr>
          <w:i/>
        </w:rPr>
        <w:t>transition</w:t>
      </w:r>
      <w:r w:rsidRPr="005B3555">
        <w:rPr>
          <w:i/>
        </w:rPr>
        <w:t xml:space="preserve"> sit in relation to the policy and technology domains?</w:t>
      </w:r>
    </w:p>
    <w:p w14:paraId="379C08C4" w14:textId="77777777" w:rsidR="00E9504A" w:rsidRPr="006977AA" w:rsidRDefault="00E9504A" w:rsidP="00E9504A">
      <w:pPr>
        <w:jc w:val="both"/>
      </w:pPr>
      <w:r>
        <w:t xml:space="preserve">c) </w:t>
      </w:r>
      <w:r w:rsidRPr="005B3555">
        <w:rPr>
          <w:i/>
        </w:rPr>
        <w:t>What roles do policymakers and technology actors play in this transition?</w:t>
      </w:r>
      <w:r w:rsidRPr="006977AA">
        <w:t xml:space="preserve"> </w:t>
      </w:r>
    </w:p>
    <w:p w14:paraId="321EA783" w14:textId="19E0BD87" w:rsidR="00554CE2" w:rsidRDefault="00554CE2" w:rsidP="00554CE2">
      <w:pPr>
        <w:pStyle w:val="Nummeringlijst"/>
        <w:numPr>
          <w:ilvl w:val="0"/>
          <w:numId w:val="0"/>
        </w:numPr>
        <w:ind w:left="567"/>
        <w:jc w:val="both"/>
        <w:rPr>
          <w:i/>
        </w:rPr>
      </w:pPr>
    </w:p>
    <w:p w14:paraId="5D0D0F6D" w14:textId="77777777" w:rsidR="00554CE2" w:rsidRDefault="00554CE2" w:rsidP="00554CE2">
      <w:pPr>
        <w:pStyle w:val="Nummeringlijst"/>
        <w:numPr>
          <w:ilvl w:val="0"/>
          <w:numId w:val="0"/>
        </w:numPr>
        <w:ind w:left="567"/>
        <w:jc w:val="both"/>
      </w:pPr>
      <w:r>
        <w:t>Operational goal 3 of Article 14 of the Dutch budget contains five sub-goals:</w:t>
      </w:r>
    </w:p>
    <w:p w14:paraId="5915A356" w14:textId="77777777" w:rsidR="00554CE2" w:rsidRDefault="00554CE2" w:rsidP="00554CE2">
      <w:pPr>
        <w:pStyle w:val="Nummeringlijst"/>
        <w:numPr>
          <w:ilvl w:val="0"/>
          <w:numId w:val="0"/>
        </w:numPr>
        <w:ind w:left="567"/>
        <w:jc w:val="both"/>
      </w:pPr>
    </w:p>
    <w:p w14:paraId="2E27F2CF" w14:textId="77777777" w:rsidR="00554CE2" w:rsidRDefault="00554CE2" w:rsidP="00F85B88">
      <w:pPr>
        <w:pStyle w:val="Nummeringlijst"/>
        <w:numPr>
          <w:ilvl w:val="0"/>
          <w:numId w:val="9"/>
        </w:numPr>
      </w:pPr>
      <w:r>
        <w:t>Energy innovation;</w:t>
      </w:r>
    </w:p>
    <w:p w14:paraId="4D9ABD80" w14:textId="77777777" w:rsidR="00554CE2" w:rsidRDefault="00554CE2" w:rsidP="00F85B88">
      <w:pPr>
        <w:pStyle w:val="Nummeringlijst"/>
        <w:numPr>
          <w:ilvl w:val="0"/>
          <w:numId w:val="8"/>
        </w:numPr>
      </w:pPr>
      <w:r>
        <w:t>Energy saving;</w:t>
      </w:r>
    </w:p>
    <w:p w14:paraId="4464AA39" w14:textId="77777777" w:rsidR="00554CE2" w:rsidRDefault="00554CE2" w:rsidP="00F85B88">
      <w:pPr>
        <w:pStyle w:val="Nummeringlijst"/>
        <w:numPr>
          <w:ilvl w:val="0"/>
          <w:numId w:val="8"/>
        </w:numPr>
      </w:pPr>
      <w:r>
        <w:t>Sustainable energy production;</w:t>
      </w:r>
    </w:p>
    <w:p w14:paraId="64E31490" w14:textId="678AD160" w:rsidR="00554CE2" w:rsidRDefault="00554CE2" w:rsidP="00F85B88">
      <w:pPr>
        <w:pStyle w:val="Nummeringlijst"/>
        <w:numPr>
          <w:ilvl w:val="0"/>
          <w:numId w:val="8"/>
        </w:numPr>
      </w:pPr>
      <w:r>
        <w:t>CO</w:t>
      </w:r>
      <w:r>
        <w:rPr>
          <w:vertAlign w:val="subscript"/>
        </w:rPr>
        <w:t>2</w:t>
      </w:r>
      <w:r w:rsidR="003423D5">
        <w:t xml:space="preserve"> reduction; </w:t>
      </w:r>
      <w:r>
        <w:t xml:space="preserve"> </w:t>
      </w:r>
    </w:p>
    <w:p w14:paraId="7698B991" w14:textId="7CD2718A" w:rsidR="00554CE2" w:rsidRDefault="00554CE2" w:rsidP="00F85B88">
      <w:pPr>
        <w:pStyle w:val="Nummeringlijst"/>
        <w:numPr>
          <w:ilvl w:val="0"/>
          <w:numId w:val="8"/>
        </w:numPr>
      </w:pPr>
      <w:r>
        <w:t>Nuclear safety and radiation protection</w:t>
      </w:r>
      <w:r w:rsidR="00535DD3">
        <w:t xml:space="preserve"> </w:t>
      </w:r>
      <w:r w:rsidR="00535DD3">
        <w:rPr>
          <w:noProof/>
        </w:rPr>
        <w:t>(EZ, 2014, in Dutch)</w:t>
      </w:r>
      <w:r>
        <w:t xml:space="preserve">. </w:t>
      </w:r>
    </w:p>
    <w:p w14:paraId="5C13E709" w14:textId="77777777" w:rsidR="00554CE2" w:rsidRDefault="00554CE2" w:rsidP="00554CE2">
      <w:pPr>
        <w:pStyle w:val="Nummeringlijst"/>
        <w:numPr>
          <w:ilvl w:val="0"/>
          <w:numId w:val="0"/>
        </w:numPr>
        <w:ind w:left="567"/>
        <w:jc w:val="both"/>
      </w:pPr>
    </w:p>
    <w:p w14:paraId="02932BC0" w14:textId="65CBB2D8" w:rsidR="00554CE2" w:rsidRDefault="00554CE2" w:rsidP="004018B9">
      <w:pPr>
        <w:pStyle w:val="Nummeringlijst"/>
        <w:numPr>
          <w:ilvl w:val="0"/>
          <w:numId w:val="0"/>
        </w:numPr>
        <w:ind w:left="567"/>
        <w:jc w:val="both"/>
      </w:pPr>
      <w:r>
        <w:t>Assuming that the OGs (and sub-goals) remain the same in coming years, it is recommended that there is sufficient expenditure towards</w:t>
      </w:r>
      <w:r w:rsidR="004018B9">
        <w:t xml:space="preserve"> the</w:t>
      </w:r>
      <w:r>
        <w:t xml:space="preserve"> other sub-goals</w:t>
      </w:r>
      <w:r w:rsidR="004018B9">
        <w:t xml:space="preserve"> within OG1. Currently</w:t>
      </w:r>
      <w:r w:rsidR="00A34F1A">
        <w:t>,</w:t>
      </w:r>
      <w:r w:rsidR="004018B9">
        <w:t xml:space="preserve"> the majority of the energy budget is spent on Sub-goal 3, but other areas are important in achieving the energy transition; ESS could arguably also have a role to play in Sub-goals 1, 2, and 4. </w:t>
      </w:r>
      <w:r>
        <w:t xml:space="preserve">Furthermore, OG2 (security of supply) will be important if RES and ESS technologies are to be further implemented. As a number of interviewees stated, there is uncertainty over the best locations for storage systems and how they will fit into the existing grid. There is also uncertainty within different levels of government and at times there is a lack of communication or cooperation; large companies are also sometimes considered to be ahead of the government in regards </w:t>
      </w:r>
      <w:r w:rsidR="00143410">
        <w:t xml:space="preserve">to </w:t>
      </w:r>
      <w:r>
        <w:t xml:space="preserve">the energy transition. It is likely that regulatory instruments, such as standards, will need to be developed to allow technologies to be more easily integrated safely and efficiently, and to allow a continued secure supply of electricity. This will require cooperation between different actors (e.g. DSOs, TSOs, municipalities, ESS owners) and will require long-term thinking and learning-by-doing; for example, as there is uncertainty with regards the optimal placement of ESS systems within the grid, experimentation might be required until the ideal location(s) are found. </w:t>
      </w:r>
    </w:p>
    <w:p w14:paraId="6302124E" w14:textId="77777777" w:rsidR="00554CE2" w:rsidRDefault="00554CE2" w:rsidP="00554CE2">
      <w:pPr>
        <w:pStyle w:val="Nummeringlijst"/>
        <w:numPr>
          <w:ilvl w:val="0"/>
          <w:numId w:val="0"/>
        </w:numPr>
        <w:ind w:left="567"/>
        <w:jc w:val="both"/>
        <w:rPr>
          <w:color w:val="FF0000"/>
        </w:rPr>
      </w:pPr>
    </w:p>
    <w:p w14:paraId="6029D4A6" w14:textId="44868799" w:rsidR="00C842D5" w:rsidRDefault="00554CE2" w:rsidP="00415037">
      <w:pPr>
        <w:pStyle w:val="Nummeringlijst"/>
        <w:numPr>
          <w:ilvl w:val="0"/>
          <w:numId w:val="0"/>
        </w:numPr>
        <w:ind w:left="567"/>
        <w:jc w:val="both"/>
      </w:pPr>
      <w:r>
        <w:t xml:space="preserve">Changes in the net metering scheme and the current tax regime would </w:t>
      </w:r>
      <w:r w:rsidR="0061775E">
        <w:t xml:space="preserve">likely </w:t>
      </w:r>
      <w:r>
        <w:t>be needed to encourage households to invest in batteries alongside their solar PV. If an incr</w:t>
      </w:r>
      <w:r w:rsidR="00C842D5">
        <w:t>ease in domestic batteries i</w:t>
      </w:r>
      <w:r>
        <w:t xml:space="preserve">s a desired outcome, the net metering scheme would require system improvement so that the existing trajectory of integration of solar PV can continue, but alongside an integration with batteries. The net metering scheme currently encourages investment in solar PV, and so removing </w:t>
      </w:r>
      <w:r w:rsidR="00BD6316">
        <w:t>it completely cou</w:t>
      </w:r>
      <w:r w:rsidR="000E56EF">
        <w:t xml:space="preserve">ld have </w:t>
      </w:r>
      <w:r w:rsidR="00A06B8B">
        <w:t>undesired</w:t>
      </w:r>
      <w:r w:rsidR="000E56EF">
        <w:t xml:space="preserve"> consequences in regards</w:t>
      </w:r>
      <w:r w:rsidR="00BD6316">
        <w:t xml:space="preserve"> </w:t>
      </w:r>
      <w:r w:rsidR="00143410">
        <w:t xml:space="preserve">to </w:t>
      </w:r>
      <w:r w:rsidR="000E56EF">
        <w:t xml:space="preserve">domestic solar </w:t>
      </w:r>
      <w:r w:rsidR="00646B8A">
        <w:t>PV installations</w:t>
      </w:r>
      <w:r w:rsidR="000E56EF">
        <w:t xml:space="preserve"> </w:t>
      </w:r>
      <w:r>
        <w:t xml:space="preserve">if a new or modified scheme is not introduced. </w:t>
      </w:r>
      <w:r w:rsidR="008B625A">
        <w:t>Herein lies what appears to be discord between domains within the socio-technical regime, with policymakers facing conflict when making decisions</w:t>
      </w:r>
      <w:r>
        <w:t>. For example, if a decision were made to remove the net metering scheme battery sales might increase for</w:t>
      </w:r>
      <w:r w:rsidR="00646B8A">
        <w:t xml:space="preserve"> those</w:t>
      </w:r>
      <w:r>
        <w:t xml:space="preserve"> households with solar PV already installed, but </w:t>
      </w:r>
      <w:r>
        <w:lastRenderedPageBreak/>
        <w:t>homeowners currently without solar PV might be discouraged from investing in panels a</w:t>
      </w:r>
      <w:r w:rsidR="00CF6301">
        <w:t>nd ther</w:t>
      </w:r>
      <w:r w:rsidR="00646B8A">
        <w:t>efore there is less incentive for them</w:t>
      </w:r>
      <w:r w:rsidR="00CF6301">
        <w:t xml:space="preserve"> investing in a</w:t>
      </w:r>
      <w:r>
        <w:t xml:space="preserve"> battery. </w:t>
      </w:r>
      <w:r w:rsidR="00ED54E1">
        <w:t>Policymakers face a</w:t>
      </w:r>
      <w:r>
        <w:t xml:space="preserve"> dilemma over the best course of action</w:t>
      </w:r>
      <w:r w:rsidR="00ED54E1">
        <w:t xml:space="preserve"> to take</w:t>
      </w:r>
      <w:r>
        <w:t xml:space="preserve">, but incremental improvements of the existing trajectory might be the most pertinent </w:t>
      </w:r>
      <w:r w:rsidR="00ED54E1">
        <w:t>strategy</w:t>
      </w:r>
      <w:r>
        <w:t>.</w:t>
      </w:r>
      <w:r w:rsidR="00C92256">
        <w:t xml:space="preserve"> </w:t>
      </w:r>
      <w:r w:rsidR="00415037">
        <w:t>Indeed, the</w:t>
      </w:r>
      <w:r w:rsidR="00646B8A">
        <w:t xml:space="preserve"> net meterin</w:t>
      </w:r>
      <w:r w:rsidR="003B7BE2">
        <w:t>g</w:t>
      </w:r>
      <w:r w:rsidR="00415037">
        <w:t xml:space="preserve"> scheme has previously been modified, such as when the limit for the amount that could be offset was first raised from 3,000 kWh per year to 5,000 kWh per year (in 2011), before it was made unlimited (in 2013). </w:t>
      </w:r>
    </w:p>
    <w:p w14:paraId="24D48888" w14:textId="77777777" w:rsidR="00C842D5" w:rsidRDefault="00C842D5" w:rsidP="00415037">
      <w:pPr>
        <w:pStyle w:val="Nummeringlijst"/>
        <w:numPr>
          <w:ilvl w:val="0"/>
          <w:numId w:val="0"/>
        </w:numPr>
        <w:ind w:left="567"/>
        <w:jc w:val="both"/>
      </w:pPr>
    </w:p>
    <w:p w14:paraId="7F990767" w14:textId="50BFEBFF" w:rsidR="00635F33" w:rsidRDefault="00C842D5" w:rsidP="00C842D5">
      <w:pPr>
        <w:pStyle w:val="Nummeringlijst"/>
        <w:numPr>
          <w:ilvl w:val="0"/>
          <w:numId w:val="0"/>
        </w:numPr>
        <w:ind w:left="567"/>
        <w:jc w:val="both"/>
      </w:pPr>
      <w:r>
        <w:t>There has been discussion from policymakers in regards</w:t>
      </w:r>
      <w:r w:rsidR="00143410">
        <w:t xml:space="preserve"> to</w:t>
      </w:r>
      <w:r>
        <w:t xml:space="preserve"> whether the net metering scheme will continue, and during the writing of this thesis (July 2017) the decision was made to continue the scheme until at least 2023 (it was previously due to continue until </w:t>
      </w:r>
      <w:r w:rsidR="00646B8A">
        <w:t xml:space="preserve">at least </w:t>
      </w:r>
      <w:r>
        <w:t xml:space="preserve">2020); </w:t>
      </w:r>
      <w:r w:rsidR="00C51AF0">
        <w:t xml:space="preserve">at the time of writing </w:t>
      </w:r>
      <w:r w:rsidR="00C92256">
        <w:t xml:space="preserve">it is not currently clear what (if any) changes will be made to the scheme after this date. van de Water (2014) discussed a number of </w:t>
      </w:r>
      <w:r w:rsidR="00154F3A">
        <w:t xml:space="preserve">scenarios, </w:t>
      </w:r>
      <w:r w:rsidR="00C92256">
        <w:t>variations</w:t>
      </w:r>
      <w:r w:rsidR="00154F3A">
        <w:t>,</w:t>
      </w:r>
      <w:r w:rsidR="00C92256">
        <w:t xml:space="preserve"> or alternatives to net metering; these included: </w:t>
      </w:r>
      <w:r w:rsidR="009C5D9B">
        <w:t xml:space="preserve">continuing the system </w:t>
      </w:r>
      <w:r w:rsidR="00646B8A">
        <w:t>in its current format</w:t>
      </w:r>
      <w:r w:rsidR="009C5D9B">
        <w:t xml:space="preserve">, </w:t>
      </w:r>
      <w:r w:rsidR="00C92256">
        <w:t xml:space="preserve">imposing a maximum on the amount of electricity which can be netted, modifying the time frame, modifying tariffs, restricting eligibility to certain target groups, changing the system to a feed-in tariff, </w:t>
      </w:r>
      <w:r w:rsidR="00154F3A">
        <w:t>abolishing net metering</w:t>
      </w:r>
      <w:r w:rsidR="00C92256">
        <w:t xml:space="preserve">, replacing with a tax reduction which </w:t>
      </w:r>
      <w:r w:rsidR="00154F3A">
        <w:t>declines over time, or replacing with a tax rebate guaranteed for a number of years (for example fifteen years)</w:t>
      </w:r>
      <w:r w:rsidR="00415037">
        <w:t xml:space="preserve">. </w:t>
      </w:r>
      <w:r w:rsidR="009C5D9B">
        <w:t xml:space="preserve">It is beyond the scope of this research to investigate each scenario and make recommendations for action, </w:t>
      </w:r>
      <w:r w:rsidR="00635F33">
        <w:t>but although the sch</w:t>
      </w:r>
      <w:r w:rsidR="00646B8A">
        <w:t>eme is now guaranteed past 2020</w:t>
      </w:r>
      <w:r w:rsidR="00635F33">
        <w:t xml:space="preserve"> another decision on the course of action past 2023 will need to be made within a few years. </w:t>
      </w:r>
    </w:p>
    <w:p w14:paraId="3C371EB3" w14:textId="77777777" w:rsidR="00EE6E00" w:rsidRDefault="00EE6E00" w:rsidP="00554CE2">
      <w:pPr>
        <w:pStyle w:val="Nummeringlijst"/>
        <w:numPr>
          <w:ilvl w:val="0"/>
          <w:numId w:val="0"/>
        </w:numPr>
        <w:ind w:left="567"/>
        <w:jc w:val="both"/>
        <w:rPr>
          <w:lang w:eastAsia="ko-KR" w:bidi="ar-SA"/>
        </w:rPr>
      </w:pPr>
    </w:p>
    <w:p w14:paraId="16D8BD04" w14:textId="079A0ED1" w:rsidR="00554CE2" w:rsidRDefault="00554CE2" w:rsidP="00554CE2">
      <w:pPr>
        <w:pStyle w:val="Nummeringlijst"/>
        <w:numPr>
          <w:ilvl w:val="0"/>
          <w:numId w:val="0"/>
        </w:numPr>
        <w:ind w:left="567"/>
        <w:jc w:val="both"/>
        <w:rPr>
          <w:lang w:eastAsia="ko-KR" w:bidi="ar-SA"/>
        </w:rPr>
      </w:pPr>
      <w:r>
        <w:rPr>
          <w:lang w:eastAsia="ko-KR" w:bidi="ar-SA"/>
        </w:rPr>
        <w:t>Changes to the tax regimes could encourage both storage and the reduction of electricity consumption. Interviewee L suggested a new system whereby tax payable is relative to the price that consumers pay; this could stimulate consumers to respond better to the supply and demand of electricity. As the tax system currently stands, if electricity prices are low then consumers might be likely to use more electricity than when prices are high, simply because their bill may be lower even though they use more electricity. However, if tax payable is relative to the amount of electricity consumed, then large consumers pay more tax relative to small consumers</w:t>
      </w:r>
      <w:r w:rsidR="006E7C95">
        <w:rPr>
          <w:lang w:eastAsia="ko-KR" w:bidi="ar-SA"/>
        </w:rPr>
        <w:t>, although they are on the same tax rate</w:t>
      </w:r>
      <w:r>
        <w:rPr>
          <w:lang w:eastAsia="ko-KR" w:bidi="ar-SA"/>
        </w:rPr>
        <w:t xml:space="preserve">. This could discourage electricity consumption, even when prices are low. A scheme such as this can stimulate demand response, and if demand response is stimulated there is a better incentive to use ESS. However, any changes would require long-term thinking, planning, and communication mechanisms would need to be robust. </w:t>
      </w:r>
    </w:p>
    <w:p w14:paraId="13D7F256" w14:textId="77777777" w:rsidR="00554CE2" w:rsidRDefault="00554CE2" w:rsidP="00554CE2">
      <w:pPr>
        <w:pStyle w:val="Nummeringlijst"/>
        <w:numPr>
          <w:ilvl w:val="0"/>
          <w:numId w:val="0"/>
        </w:numPr>
        <w:ind w:left="567"/>
        <w:jc w:val="both"/>
        <w:rPr>
          <w:lang w:eastAsia="ko-KR" w:bidi="ar-SA"/>
        </w:rPr>
      </w:pPr>
    </w:p>
    <w:p w14:paraId="3F2FE215" w14:textId="0E48497B" w:rsidR="002C41EA" w:rsidRDefault="00554CE2" w:rsidP="002C41EA">
      <w:pPr>
        <w:pStyle w:val="Nummeringlijst"/>
        <w:numPr>
          <w:ilvl w:val="0"/>
          <w:numId w:val="0"/>
        </w:numPr>
        <w:ind w:left="567"/>
        <w:jc w:val="both"/>
      </w:pPr>
      <w:r>
        <w:t xml:space="preserve">Although limited, the results from Sub-question 1 appear to show that policy instruments have been mainly positive in encouraging the transition of wind and solar energy production – the fact that these technologies are no longer niche is testament to that. </w:t>
      </w:r>
      <w:r w:rsidR="00635F33">
        <w:t>Large amounts of government spending on energy policy goes towards renewa</w:t>
      </w:r>
      <w:r w:rsidR="00F073B3">
        <w:t>ble energy production subsidies</w:t>
      </w:r>
      <w:r w:rsidR="00635F33">
        <w:t xml:space="preserve"> but ESS technologies d</w:t>
      </w:r>
      <w:r w:rsidR="00F073B3">
        <w:t xml:space="preserve">o not produce energy themselves. </w:t>
      </w:r>
      <w:r w:rsidR="00843E54">
        <w:t>T</w:t>
      </w:r>
      <w:r w:rsidR="00635F33">
        <w:t>herefore</w:t>
      </w:r>
      <w:r w:rsidR="0061775E">
        <w:t>,</w:t>
      </w:r>
      <w:r w:rsidR="00635F33">
        <w:t xml:space="preserve"> energy production subsidies are unlikely to work effectively in regards</w:t>
      </w:r>
      <w:r w:rsidR="00143410">
        <w:t xml:space="preserve"> to</w:t>
      </w:r>
      <w:r w:rsidR="00635F33">
        <w:t xml:space="preserve"> ESS – a different</w:t>
      </w:r>
      <w:r w:rsidR="00843E54">
        <w:t xml:space="preserve"> form of subsidy</w:t>
      </w:r>
      <w:r w:rsidR="00F073B3">
        <w:t xml:space="preserve"> or funding</w:t>
      </w:r>
      <w:r w:rsidR="00843E54">
        <w:t xml:space="preserve"> is</w:t>
      </w:r>
      <w:r w:rsidR="00635F33">
        <w:t xml:space="preserve"> likely to be needed.</w:t>
      </w:r>
      <w:r w:rsidR="00F073B3">
        <w:t xml:space="preserve"> </w:t>
      </w:r>
      <w:r w:rsidR="002C41EA">
        <w:t xml:space="preserve">R&amp;D funding can help innovative technologies, and if the government decides that the integration of ESS is a desired outcome then the government being prepared to take on financial risks that are too big for individuals or companies could help achieve this. However, there must be a place in the market for products, no matter how much funding or subsidising they receive, or else they will ultimately fail to attract investments and will not achieve commercialisation. The results of the research do suggest, however, that </w:t>
      </w:r>
      <w:r>
        <w:t xml:space="preserve">as new market opportunities arise there will be increased scope for ESS integration. </w:t>
      </w:r>
    </w:p>
    <w:p w14:paraId="414A6325" w14:textId="77777777" w:rsidR="002C41EA" w:rsidRDefault="002C41EA" w:rsidP="002C41EA">
      <w:pPr>
        <w:pStyle w:val="Nummeringlijst"/>
        <w:numPr>
          <w:ilvl w:val="0"/>
          <w:numId w:val="0"/>
        </w:numPr>
        <w:ind w:left="567"/>
        <w:jc w:val="both"/>
      </w:pPr>
    </w:p>
    <w:p w14:paraId="577CDED5" w14:textId="1C128657" w:rsidR="00554CE2" w:rsidRDefault="00EE6E00" w:rsidP="001A4810">
      <w:pPr>
        <w:pStyle w:val="Nummeringlijst"/>
        <w:numPr>
          <w:ilvl w:val="0"/>
          <w:numId w:val="0"/>
        </w:numPr>
        <w:ind w:left="567"/>
        <w:jc w:val="both"/>
      </w:pPr>
      <w:r>
        <w:lastRenderedPageBreak/>
        <w:t>Furthermore, m</w:t>
      </w:r>
      <w:r w:rsidR="002C41EA">
        <w:t>arkets such as P</w:t>
      </w:r>
      <w:r w:rsidR="00554CE2">
        <w:t xml:space="preserve">CR </w:t>
      </w:r>
      <w:r w:rsidR="002C41EA">
        <w:t xml:space="preserve">can </w:t>
      </w:r>
      <w:r w:rsidR="00554CE2">
        <w:t>allow battery owners to earn revenue from providing capacity of their bat</w:t>
      </w:r>
      <w:r w:rsidR="001A4810">
        <w:t>teries for grid services</w:t>
      </w:r>
      <w:r w:rsidR="002C41EA">
        <w:t>,</w:t>
      </w:r>
      <w:r w:rsidR="001A4810">
        <w:t xml:space="preserve"> but</w:t>
      </w:r>
      <w:r w:rsidR="002C41EA">
        <w:t xml:space="preserve"> as new markets are created it is likely that new or updated regulatory measures will also need to be introduced. </w:t>
      </w:r>
      <w:r w:rsidR="001A4810">
        <w:t xml:space="preserve">However, if they have the necessary funding (from government or elsewhere), pilot schemes are sometimes able to bypass regulation in specific circumstances. Pilot schemes can therefore be a useful tool for facilitating system innovation or improvement. </w:t>
      </w:r>
    </w:p>
    <w:p w14:paraId="7DDC62D4" w14:textId="77777777" w:rsidR="00554CE2" w:rsidRDefault="00554CE2" w:rsidP="00671B0F">
      <w:pPr>
        <w:pStyle w:val="Heading3"/>
      </w:pPr>
      <w:bookmarkStart w:id="73" w:name="_Ref490643036"/>
      <w:r>
        <w:t>Main Research Question</w:t>
      </w:r>
      <w:bookmarkEnd w:id="73"/>
    </w:p>
    <w:p w14:paraId="0AC867EA" w14:textId="0DEE04B9" w:rsidR="00554CE2" w:rsidRDefault="00DD1675" w:rsidP="00CF6301">
      <w:pPr>
        <w:jc w:val="both"/>
        <w:rPr>
          <w:i/>
        </w:rPr>
      </w:pPr>
      <w:r>
        <w:rPr>
          <w:i/>
        </w:rPr>
        <w:t>How can</w:t>
      </w:r>
      <w:r w:rsidR="00554CE2">
        <w:rPr>
          <w:i/>
        </w:rPr>
        <w:t xml:space="preserve"> ESS technologies transition from niche to become established technologies at the regime level?</w:t>
      </w:r>
    </w:p>
    <w:p w14:paraId="45472A17" w14:textId="54A60689" w:rsidR="00554CE2" w:rsidRDefault="00554CE2" w:rsidP="00074029">
      <w:pPr>
        <w:ind w:left="0"/>
        <w:jc w:val="both"/>
        <w:rPr>
          <w:lang w:eastAsia="ko-KR" w:bidi="ar-SA"/>
        </w:rPr>
      </w:pPr>
    </w:p>
    <w:p w14:paraId="27912869" w14:textId="1A3C07BF" w:rsidR="00A4657E" w:rsidRDefault="00554CE2" w:rsidP="00902756">
      <w:pPr>
        <w:jc w:val="both"/>
        <w:rPr>
          <w:lang w:eastAsia="ko-KR" w:bidi="ar-SA"/>
        </w:rPr>
      </w:pPr>
      <w:r>
        <w:rPr>
          <w:lang w:eastAsia="ko-KR" w:bidi="ar-SA"/>
        </w:rPr>
        <w:t>Policy instrument choice should consider TM theory</w:t>
      </w:r>
      <w:r w:rsidR="0041151D">
        <w:rPr>
          <w:lang w:eastAsia="ko-KR" w:bidi="ar-SA"/>
        </w:rPr>
        <w:t xml:space="preserve"> when attempting to facilitate the integration of ESS technologies to the regime level</w:t>
      </w:r>
      <w:r>
        <w:rPr>
          <w:lang w:eastAsia="ko-KR" w:bidi="ar-SA"/>
        </w:rPr>
        <w:t>. Firstly, there are a large number of options available to actors in both th</w:t>
      </w:r>
      <w:r w:rsidR="005F6653">
        <w:rPr>
          <w:lang w:eastAsia="ko-KR" w:bidi="ar-SA"/>
        </w:rPr>
        <w:t>e technology and policy domains. S</w:t>
      </w:r>
      <w:r>
        <w:rPr>
          <w:lang w:eastAsia="ko-KR" w:bidi="ar-SA"/>
        </w:rPr>
        <w:t xml:space="preserve">torage from the small- to utility-scale is currently </w:t>
      </w:r>
      <w:r w:rsidR="0041151D">
        <w:rPr>
          <w:lang w:eastAsia="ko-KR" w:bidi="ar-SA"/>
        </w:rPr>
        <w:t>feasible</w:t>
      </w:r>
      <w:r>
        <w:rPr>
          <w:lang w:eastAsia="ko-KR" w:bidi="ar-SA"/>
        </w:rPr>
        <w:t xml:space="preserve"> using a variety of different technologies, many of which have the potential to be scaled up indefinitely assuming there are no constraints financially or due to location</w:t>
      </w:r>
      <w:r w:rsidR="00646B8A">
        <w:rPr>
          <w:lang w:eastAsia="ko-KR" w:bidi="ar-SA"/>
        </w:rPr>
        <w:t>al issues; f</w:t>
      </w:r>
      <w:r>
        <w:rPr>
          <w:lang w:eastAsia="ko-KR" w:bidi="ar-SA"/>
        </w:rPr>
        <w:t>rom a technological perspective, storage co</w:t>
      </w:r>
      <w:r w:rsidR="00902756">
        <w:rPr>
          <w:lang w:eastAsia="ko-KR" w:bidi="ar-SA"/>
        </w:rPr>
        <w:t xml:space="preserve">uld be integrated immediately. </w:t>
      </w:r>
      <w:r>
        <w:rPr>
          <w:lang w:eastAsia="ko-KR" w:bidi="ar-SA"/>
        </w:rPr>
        <w:t>However, the results ma</w:t>
      </w:r>
      <w:r w:rsidR="0041151D">
        <w:rPr>
          <w:lang w:eastAsia="ko-KR" w:bidi="ar-SA"/>
        </w:rPr>
        <w:t>ke it clear that storage i</w:t>
      </w:r>
      <w:r>
        <w:rPr>
          <w:lang w:eastAsia="ko-KR" w:bidi="ar-SA"/>
        </w:rPr>
        <w:t xml:space="preserve">s not necessarily the desired outcome – the desired outcome is a </w:t>
      </w:r>
      <w:r>
        <w:t>clean-energy future based on renewable energy sources</w:t>
      </w:r>
      <w:r w:rsidR="00646B8A">
        <w:t>. Energy storage can help achieve this</w:t>
      </w:r>
      <w:r>
        <w:t xml:space="preserve"> but policymaker</w:t>
      </w:r>
      <w:r w:rsidR="00646B8A">
        <w:t xml:space="preserve">s must make decisions whether it is the best approach, </w:t>
      </w:r>
      <w:r w:rsidR="0041151D">
        <w:t>taking into account</w:t>
      </w:r>
      <w:r w:rsidR="00646B8A">
        <w:t xml:space="preserve"> other</w:t>
      </w:r>
      <w:r>
        <w:t xml:space="preserve"> options </w:t>
      </w:r>
      <w:r w:rsidR="00646B8A">
        <w:t>such as</w:t>
      </w:r>
      <w:r>
        <w:t xml:space="preserve"> power-to-gas or </w:t>
      </w:r>
      <w:r w:rsidR="0010114B">
        <w:t>vehicle-to-grid</w:t>
      </w:r>
      <w:r>
        <w:t xml:space="preserve">. </w:t>
      </w:r>
      <w:r w:rsidR="00646B8A">
        <w:t>When making decisions</w:t>
      </w:r>
      <w:r w:rsidR="00020D47">
        <w:t>,</w:t>
      </w:r>
      <w:r w:rsidR="00646B8A">
        <w:t xml:space="preserve"> p</w:t>
      </w:r>
      <w:r>
        <w:t>olicymakers need to consider the long-</w:t>
      </w:r>
      <w:r w:rsidR="00020D47">
        <w:t>term options that are available; for example,</w:t>
      </w:r>
      <w:r>
        <w:t xml:space="preserve"> considering whether ESS might be cheaper to install than replacing copper cables when the need arises over the coming years, or considering if the exi</w:t>
      </w:r>
      <w:r w:rsidR="00020D47">
        <w:t>sting gas grid could be utilised with</w:t>
      </w:r>
      <w:r>
        <w:t xml:space="preserve"> gas </w:t>
      </w:r>
      <w:r w:rsidR="00020D47">
        <w:t>converted from</w:t>
      </w:r>
      <w:r w:rsidR="0010114B">
        <w:t xml:space="preserve"> electricity generated </w:t>
      </w:r>
      <w:r w:rsidR="00843E54">
        <w:t>from wind</w:t>
      </w:r>
      <w:r>
        <w:t xml:space="preserve"> or solar</w:t>
      </w:r>
      <w:r w:rsidR="0010114B">
        <w:t xml:space="preserve"> energy</w:t>
      </w:r>
      <w:r>
        <w:t>. Once decisions are made, short-term implementation of options could be introduced as part of a process of learning-by-doing</w:t>
      </w:r>
      <w:r w:rsidR="00A43454">
        <w:t xml:space="preserve"> – bring</w:t>
      </w:r>
      <w:r w:rsidR="0010114B">
        <w:t>ing</w:t>
      </w:r>
      <w:r w:rsidR="00A43454">
        <w:t xml:space="preserve"> about change in a stepwise manner</w:t>
      </w:r>
      <w:r>
        <w:t xml:space="preserve">. For example, due to the uncertainty surrounding the optimal placement of </w:t>
      </w:r>
      <w:r w:rsidR="00A41ED4">
        <w:t>ESS</w:t>
      </w:r>
      <w:r>
        <w:t xml:space="preserve"> within the grid, test projects and pilot schemes could be utilised to test different options and make gradual improvements along the chosen t</w:t>
      </w:r>
      <w:r w:rsidR="00021241">
        <w:t xml:space="preserve">rajectory. </w:t>
      </w:r>
      <w:r w:rsidR="00C06EE0">
        <w:t>Furthermore, in achieving an energy transition over a timescale of years to decades a huge number of options are available for consideration by policymakers; learning through experimentation</w:t>
      </w:r>
      <w:r w:rsidR="00FA5AB5">
        <w:t xml:space="preserve"> </w:t>
      </w:r>
      <w:r w:rsidR="00C06EE0">
        <w:t xml:space="preserve">can also help to </w:t>
      </w:r>
      <w:r w:rsidR="00FA5AB5">
        <w:t>reduce the number of option</w:t>
      </w:r>
      <w:r w:rsidR="00A41ED4">
        <w:t>s to a more manageable amount</w:t>
      </w:r>
      <w:r w:rsidR="00C06EE0">
        <w:t xml:space="preserve"> as time progresses and the trajectory is stabilised.</w:t>
      </w:r>
    </w:p>
    <w:p w14:paraId="2AAA9125" w14:textId="607342EB" w:rsidR="00635F33" w:rsidRDefault="00635F33" w:rsidP="00A4657E">
      <w:pPr>
        <w:jc w:val="both"/>
      </w:pPr>
    </w:p>
    <w:p w14:paraId="2F75E7B5" w14:textId="69B14849" w:rsidR="00635F33" w:rsidRDefault="00635F33" w:rsidP="00A4657E">
      <w:pPr>
        <w:jc w:val="both"/>
      </w:pPr>
      <w:r>
        <w:t xml:space="preserve">Indeed, it can be seen that learning processes have been utilised </w:t>
      </w:r>
      <w:r w:rsidR="00843E54">
        <w:t xml:space="preserve">in regards </w:t>
      </w:r>
      <w:r w:rsidR="00143410">
        <w:t xml:space="preserve">to </w:t>
      </w:r>
      <w:r w:rsidR="00843E54">
        <w:t xml:space="preserve">the renewable energy production subsidies and </w:t>
      </w:r>
      <w:r>
        <w:t xml:space="preserve">shorter-term policy instruments </w:t>
      </w:r>
      <w:r w:rsidR="00D375EC">
        <w:t>that have previously been used</w:t>
      </w:r>
      <w:r>
        <w:t xml:space="preserve"> </w:t>
      </w:r>
      <w:r w:rsidR="00D375EC">
        <w:t xml:space="preserve">in regards </w:t>
      </w:r>
      <w:r w:rsidR="00143410">
        <w:t xml:space="preserve">to </w:t>
      </w:r>
      <w:r w:rsidR="00D375EC">
        <w:t>RES</w:t>
      </w:r>
      <w:r w:rsidR="00F33D76">
        <w:t>. T</w:t>
      </w:r>
      <w:r>
        <w:t>he MEP scheme ran from 2003 to 2</w:t>
      </w:r>
      <w:r w:rsidR="00F33D76">
        <w:t xml:space="preserve">006; SDE from 2008 to 2011; </w:t>
      </w:r>
      <w:r>
        <w:t>S</w:t>
      </w:r>
      <w:r w:rsidR="00F33D76">
        <w:t xml:space="preserve">DE+ from 2011 to present. The </w:t>
      </w:r>
      <w:r>
        <w:t xml:space="preserve">approaches </w:t>
      </w:r>
      <w:r w:rsidR="00F33D76">
        <w:t xml:space="preserve">have evolved </w:t>
      </w:r>
      <w:r w:rsidR="009D4443">
        <w:t xml:space="preserve">over time </w:t>
      </w:r>
      <w:r w:rsidR="00F33D76">
        <w:t xml:space="preserve">and can be considered to have </w:t>
      </w:r>
      <w:r>
        <w:t>improv</w:t>
      </w:r>
      <w:r w:rsidR="00F33D76">
        <w:t>ed</w:t>
      </w:r>
      <w:r>
        <w:t xml:space="preserve"> in a process of learning-by-doing. It can also be argued that the evolution of the subsidy schemes can be seen as both system im</w:t>
      </w:r>
      <w:r w:rsidR="009D4443">
        <w:t>provement and system innovation. Indeed,</w:t>
      </w:r>
      <w:r>
        <w:t xml:space="preserve"> </w:t>
      </w:r>
      <w:r w:rsidR="00F33D76">
        <w:t>according to Interviewee O</w:t>
      </w:r>
      <w:r w:rsidR="005F6653">
        <w:t>,</w:t>
      </w:r>
      <w:r w:rsidR="00F33D76">
        <w:t xml:space="preserve"> </w:t>
      </w:r>
      <w:r>
        <w:t xml:space="preserve">MEP originally focussed on electricity production by biomass, whereas SDE focussed on biomass and wind energy, with separate budgets for each RES. SDE+ had a combined budget for all renewable energy sources, allowing the market more choice – it is not constrained by smaller, individual budgets. This could be viewed as system innovation – changing the trajectory towards other forms of RES if the market called for them. Indeed, Interviewee O believes that the auction system currently used by SDE+ </w:t>
      </w:r>
      <w:r w:rsidR="00A31B39">
        <w:t xml:space="preserve">for off-shore wind </w:t>
      </w:r>
      <w:r>
        <w:t xml:space="preserve">drives innovation; cheaper solutions must be found or potential investors or innovators will be pushed out of the </w:t>
      </w:r>
      <w:r>
        <w:lastRenderedPageBreak/>
        <w:t xml:space="preserve">market. Furthermore, there have been changes within the schemes themselves. For example, at the end of </w:t>
      </w:r>
      <w:r w:rsidR="005F6653">
        <w:t>2015</w:t>
      </w:r>
      <w:r w:rsidR="005C2689">
        <w:t>,</w:t>
      </w:r>
      <w:r w:rsidR="005F6653">
        <w:t xml:space="preserve"> the SDE+ scheme was modified</w:t>
      </w:r>
      <w:r>
        <w:t xml:space="preserve"> to differentiate between on- and off-shore wind energy production, and </w:t>
      </w:r>
      <w:r w:rsidR="00F33D76">
        <w:t>a different</w:t>
      </w:r>
      <w:r>
        <w:t xml:space="preserve"> tender process </w:t>
      </w:r>
      <w:r w:rsidR="00F33D76">
        <w:t xml:space="preserve">was introduced </w:t>
      </w:r>
      <w:r>
        <w:t>for off-shore. The evolution of the subsidy schemes can be viewed as system improvement.</w:t>
      </w:r>
      <w:r w:rsidR="00843E54">
        <w:t xml:space="preserve"> </w:t>
      </w:r>
      <w:r w:rsidR="00F33D76">
        <w:t>However,</w:t>
      </w:r>
      <w:r w:rsidR="00843E54">
        <w:t xml:space="preserve"> a </w:t>
      </w:r>
      <w:r w:rsidR="00F33D76">
        <w:t>production subsidy</w:t>
      </w:r>
      <w:r w:rsidR="00843E54">
        <w:t xml:space="preserve"> is not likely to be suitable for ESS (because ESS do not produce energy)</w:t>
      </w:r>
      <w:r w:rsidR="00F33D76">
        <w:t>, so</w:t>
      </w:r>
      <w:r w:rsidR="00843E54">
        <w:t xml:space="preserve"> a similar process of learning would likely be needed for any policy instruments used to help facilitate the integration of ESS – the ‘perfect’ instrument</w:t>
      </w:r>
      <w:r w:rsidR="00BA452E">
        <w:t xml:space="preserve"> will not be developed immediately. Furthermore, shifting social, economic, political, and other factors mean that</w:t>
      </w:r>
      <w:r w:rsidR="00882E86">
        <w:t>,</w:t>
      </w:r>
      <w:r w:rsidR="00BA452E">
        <w:t xml:space="preserve"> </w:t>
      </w:r>
      <w:r w:rsidR="00882E86">
        <w:t>over time, amendments</w:t>
      </w:r>
      <w:r w:rsidR="00BA452E">
        <w:t xml:space="preserve"> to instruments will be needed in order for them to </w:t>
      </w:r>
      <w:r w:rsidR="00882E86">
        <w:t xml:space="preserve">continue to </w:t>
      </w:r>
      <w:r w:rsidR="00BA452E">
        <w:t>work effectively</w:t>
      </w:r>
      <w:r w:rsidR="00882E86">
        <w:t xml:space="preserve"> and efficiently</w:t>
      </w:r>
      <w:r w:rsidR="00BA452E">
        <w:t xml:space="preserve">. </w:t>
      </w:r>
    </w:p>
    <w:p w14:paraId="456FA703" w14:textId="77777777" w:rsidR="00A4657E" w:rsidRDefault="00A4657E" w:rsidP="00BF4D12">
      <w:pPr>
        <w:jc w:val="both"/>
      </w:pPr>
    </w:p>
    <w:p w14:paraId="78D82E35" w14:textId="3F336399" w:rsidR="00BF4D12" w:rsidRDefault="00ED6117" w:rsidP="00591D4C">
      <w:pPr>
        <w:jc w:val="both"/>
      </w:pPr>
      <w:r>
        <w:t xml:space="preserve">In addition, </w:t>
      </w:r>
      <w:r w:rsidR="001C4B96">
        <w:t xml:space="preserve">as previously stated, governments can act as either facilitator, stimulator, controller, or director of transitions, and have a guiding role. They can introduce measures to ensure a real market is created, and can help make the market more attractive to newcomers. They can create the right conditions for market processes through tax policies and can create and manage niches </w:t>
      </w:r>
      <w:r w:rsidR="001C4B96">
        <w:rPr>
          <w:noProof/>
        </w:rPr>
        <w:t>(Rotmans, et al., 2001)</w:t>
      </w:r>
      <w:r w:rsidR="001C4B96">
        <w:t xml:space="preserve">. </w:t>
      </w:r>
      <w:r w:rsidR="00591D4C">
        <w:t xml:space="preserve">However, decisions must take into account both short- and long-term objectives, and </w:t>
      </w:r>
      <w:r w:rsidR="0031764B">
        <w:t xml:space="preserve">this is an area in which </w:t>
      </w:r>
      <w:r w:rsidR="00B76318">
        <w:t xml:space="preserve">there appears to be </w:t>
      </w:r>
      <w:r w:rsidR="0031764B">
        <w:t>problems with TM theory</w:t>
      </w:r>
      <w:r w:rsidR="00373D67">
        <w:t>;</w:t>
      </w:r>
      <w:r w:rsidR="00021241">
        <w:t xml:space="preserve"> TM calls for long-term thinking as a framework for shaping short-term polic</w:t>
      </w:r>
      <w:r w:rsidR="00B4698F">
        <w:t>y</w:t>
      </w:r>
      <w:r w:rsidR="00F955B8">
        <w:t xml:space="preserve">, but, as </w:t>
      </w:r>
      <w:r w:rsidR="00F955B8">
        <w:rPr>
          <w:noProof/>
        </w:rPr>
        <w:t>Meadowcroft (2009) points out, the policy agenda is typically dominated in the short-term. I</w:t>
      </w:r>
      <w:r w:rsidR="00B4698F">
        <w:rPr>
          <w:noProof/>
        </w:rPr>
        <w:t xml:space="preserve">t could be argued that </w:t>
      </w:r>
      <w:r w:rsidR="00F955B8">
        <w:rPr>
          <w:noProof/>
        </w:rPr>
        <w:t>TM takes the</w:t>
      </w:r>
      <w:r w:rsidR="00B4698F">
        <w:rPr>
          <w:noProof/>
        </w:rPr>
        <w:t xml:space="preserve"> somewhat simplistic view </w:t>
      </w:r>
      <w:r w:rsidR="00F955B8">
        <w:rPr>
          <w:noProof/>
        </w:rPr>
        <w:t xml:space="preserve">that short-term policy will be decided upon taking into account the long-term goal, whereas this might not be the case. </w:t>
      </w:r>
      <w:r w:rsidR="00021241">
        <w:rPr>
          <w:noProof/>
        </w:rPr>
        <w:t>Indeed, Vergragt (2005, p305, cited in Kern &amp; Smith, 2008</w:t>
      </w:r>
      <w:r w:rsidR="00AD7B8E">
        <w:rPr>
          <w:noProof/>
        </w:rPr>
        <w:t>, p4101</w:t>
      </w:r>
      <w:r w:rsidR="00021241">
        <w:rPr>
          <w:noProof/>
        </w:rPr>
        <w:t>)</w:t>
      </w:r>
      <w:r w:rsidR="00AD7B8E">
        <w:rPr>
          <w:noProof/>
        </w:rPr>
        <w:t xml:space="preserve"> states that “the dilemma with long-term multi-stakeholder processes is that short-term objectives easily become dominant and long-term visions recede beyond the horizon”</w:t>
      </w:r>
      <w:r>
        <w:rPr>
          <w:noProof/>
        </w:rPr>
        <w:t>.</w:t>
      </w:r>
      <w:r w:rsidR="0010114B">
        <w:rPr>
          <w:noProof/>
        </w:rPr>
        <w:t xml:space="preserve"> </w:t>
      </w:r>
      <w:r>
        <w:rPr>
          <w:noProof/>
        </w:rPr>
        <w:t>C</w:t>
      </w:r>
      <w:r w:rsidR="00F955B8">
        <w:rPr>
          <w:noProof/>
        </w:rPr>
        <w:t>ertain interviewees also believe that there are no long-term guarante</w:t>
      </w:r>
      <w:r w:rsidR="00066796">
        <w:rPr>
          <w:noProof/>
        </w:rPr>
        <w:t>es from the government, and i</w:t>
      </w:r>
      <w:r w:rsidR="00753BE0">
        <w:rPr>
          <w:noProof/>
        </w:rPr>
        <w:t>f ESS te</w:t>
      </w:r>
      <w:r w:rsidR="00486617">
        <w:rPr>
          <w:noProof/>
        </w:rPr>
        <w:t xml:space="preserve">chnologies are to </w:t>
      </w:r>
      <w:r w:rsidR="00066796">
        <w:rPr>
          <w:noProof/>
        </w:rPr>
        <w:t xml:space="preserve">become further integrated </w:t>
      </w:r>
      <w:r w:rsidR="00486617">
        <w:rPr>
          <w:noProof/>
        </w:rPr>
        <w:t xml:space="preserve">it is important that </w:t>
      </w:r>
      <w:r w:rsidR="0010114B">
        <w:rPr>
          <w:noProof/>
        </w:rPr>
        <w:t xml:space="preserve">‘short-sightedness’ in decision-making should </w:t>
      </w:r>
      <w:r w:rsidR="00486617">
        <w:rPr>
          <w:noProof/>
        </w:rPr>
        <w:t xml:space="preserve">not hold </w:t>
      </w:r>
      <w:r w:rsidR="00066796">
        <w:rPr>
          <w:noProof/>
        </w:rPr>
        <w:t xml:space="preserve">their transition to commercialisation back. </w:t>
      </w:r>
    </w:p>
    <w:p w14:paraId="43D0645D" w14:textId="737AB5B8" w:rsidR="00554CE2" w:rsidRDefault="00554CE2" w:rsidP="00506E3A">
      <w:pPr>
        <w:ind w:left="0"/>
        <w:jc w:val="both"/>
      </w:pPr>
    </w:p>
    <w:p w14:paraId="0E23FD0D" w14:textId="4A16AC1E" w:rsidR="00635F33" w:rsidRDefault="00FF5125" w:rsidP="00554CE2">
      <w:pPr>
        <w:jc w:val="both"/>
      </w:pPr>
      <w:r>
        <w:t>Decisions also</w:t>
      </w:r>
      <w:r w:rsidR="00554CE2">
        <w:t xml:space="preserve"> need to take into account multiple domains, actors, and levels. For example, decisions surrounding the location of a battery system might involve </w:t>
      </w:r>
      <w:r w:rsidR="009D4443">
        <w:t>several</w:t>
      </w:r>
      <w:r w:rsidR="00554CE2">
        <w:t xml:space="preserve"> levels of government, the grid operator, the land owner, local communities, the battery owner, and a variety of other actors. The results of pilot projects should be communicated eff</w:t>
      </w:r>
      <w:r w:rsidR="00B67DD2">
        <w:t xml:space="preserve">ectively between and across different levels of government, </w:t>
      </w:r>
      <w:r w:rsidR="00554CE2">
        <w:t xml:space="preserve">and standards should be produced so that future projects can be completed more efficiently. </w:t>
      </w:r>
      <w:r w:rsidR="00DD1675">
        <w:t>If a certain municipality made a system improvement that can benefit other municipalities it is important that this s</w:t>
      </w:r>
      <w:r>
        <w:t>hould be shared; i</w:t>
      </w:r>
      <w:r w:rsidR="00DD1675">
        <w:t xml:space="preserve">t might be even more important </w:t>
      </w:r>
      <w:r>
        <w:t xml:space="preserve">for this to happen </w:t>
      </w:r>
      <w:r w:rsidR="00DD1675">
        <w:t>if a system innovation is made, whereby the system trajectory is changed. If this innovation could benefit all municipalities there should be instruments in</w:t>
      </w:r>
      <w:r>
        <w:t xml:space="preserve"> place to allow this to happen effectively. </w:t>
      </w:r>
    </w:p>
    <w:p w14:paraId="62D5CB25" w14:textId="04ED2E4E" w:rsidR="00074029" w:rsidRDefault="00074029" w:rsidP="00554CE2">
      <w:pPr>
        <w:jc w:val="both"/>
      </w:pPr>
    </w:p>
    <w:p w14:paraId="1A161C10" w14:textId="4C7CB638" w:rsidR="00074029" w:rsidRDefault="005938D2" w:rsidP="00671B0F">
      <w:pPr>
        <w:pStyle w:val="Heading2"/>
      </w:pPr>
      <w:bookmarkStart w:id="74" w:name="_Toc490566990"/>
      <w:r>
        <w:t xml:space="preserve">Limitations </w:t>
      </w:r>
      <w:r w:rsidR="00D919EF">
        <w:t>of the Research</w:t>
      </w:r>
      <w:bookmarkEnd w:id="74"/>
    </w:p>
    <w:p w14:paraId="7DDB1BCB" w14:textId="77777777" w:rsidR="00C93237" w:rsidRDefault="00D919EF" w:rsidP="00D919EF">
      <w:pPr>
        <w:jc w:val="both"/>
      </w:pPr>
      <w:r>
        <w:t>I</w:t>
      </w:r>
      <w:r w:rsidR="00074029">
        <w:t xml:space="preserve">n conducting this research project a number of </w:t>
      </w:r>
      <w:r w:rsidR="00235B70">
        <w:t>limitations</w:t>
      </w:r>
      <w:r w:rsidR="00074029">
        <w:t xml:space="preserve"> or areas for improvement were noted. First, the fact that the researcher is a non-Dutch speaker meant that searching for information from Dutch-language websites might have proved more difficult than it would have been for a Dutch speaker; translation websites were often needed to be used, and internship colleagues sometimes had to provide help in translating. However, it could be considered that there are certain advantages of a non-Dutch researcher conducting a study within the Netherlands – an ‘outsider’s’ viewpoint might illuminate certain areas which had not been considered before, for example. </w:t>
      </w:r>
    </w:p>
    <w:p w14:paraId="7E211AC5" w14:textId="77777777" w:rsidR="00C93237" w:rsidRDefault="00C93237" w:rsidP="00D919EF">
      <w:pPr>
        <w:jc w:val="both"/>
      </w:pPr>
    </w:p>
    <w:p w14:paraId="6297FEDE" w14:textId="77777777" w:rsidR="00C93237" w:rsidRDefault="00074029" w:rsidP="00D919EF">
      <w:pPr>
        <w:jc w:val="both"/>
      </w:pPr>
      <w:r>
        <w:t xml:space="preserve">Second, as previously mentioned, the amount of policy instruments that have been used in relation to wind and solar was too great to investigate each individually, and the focus needed to be narrowed down. This meant that the results for Sub-question 1 might not have been as useful as intended </w:t>
      </w:r>
      <w:r w:rsidR="002E10D2">
        <w:t>prior to beginning the research</w:t>
      </w:r>
      <w:r w:rsidR="00C93237">
        <w:t xml:space="preserve">. </w:t>
      </w:r>
    </w:p>
    <w:p w14:paraId="68DC3418" w14:textId="77777777" w:rsidR="00C93237" w:rsidRDefault="00C93237" w:rsidP="00D919EF">
      <w:pPr>
        <w:jc w:val="both"/>
      </w:pPr>
    </w:p>
    <w:p w14:paraId="08067BB7" w14:textId="2BACEA30" w:rsidR="00074029" w:rsidRDefault="00C93237" w:rsidP="00D919EF">
      <w:pPr>
        <w:jc w:val="both"/>
      </w:pPr>
      <w:r>
        <w:t>Third</w:t>
      </w:r>
      <w:r w:rsidR="00074029">
        <w:t xml:space="preserve">, although the interviewees came from a variety of </w:t>
      </w:r>
      <w:r w:rsidR="002E10D2">
        <w:t>fields</w:t>
      </w:r>
      <w:r w:rsidR="00074029">
        <w:t xml:space="preserve"> within the energy storage or renewable energy</w:t>
      </w:r>
      <w:r w:rsidR="002E10D2">
        <w:t xml:space="preserve"> sectors</w:t>
      </w:r>
      <w:r w:rsidR="00074029">
        <w:t xml:space="preserve">, there were still several companies or institutions that potentially could have provided useful information if an interview could have been arranged with them. For example, Energy Storage NL (who aim to act as a central platform for knowledge and “best practices” in the field of energy storage in the Netherlands </w:t>
      </w:r>
      <w:sdt>
        <w:sdtPr>
          <w:id w:val="-447244875"/>
          <w:citation/>
        </w:sdtPr>
        <w:sdtEndPr/>
        <w:sdtContent>
          <w:r w:rsidR="00074029">
            <w:fldChar w:fldCharType="begin"/>
          </w:r>
          <w:r w:rsidR="00074029">
            <w:instrText xml:space="preserve"> CITATION Ene171 \l 2057 </w:instrText>
          </w:r>
          <w:r w:rsidR="00074029">
            <w:fldChar w:fldCharType="separate"/>
          </w:r>
          <w:r w:rsidR="00074029">
            <w:rPr>
              <w:noProof/>
            </w:rPr>
            <w:t>(Energy Storage NL, 2017)</w:t>
          </w:r>
          <w:r w:rsidR="00074029">
            <w:fldChar w:fldCharType="end"/>
          </w:r>
        </w:sdtContent>
      </w:sdt>
      <w:r w:rsidR="00074029">
        <w:t xml:space="preserve">), the Netherlands Authority for Consumers and Markets (ACM) (who ensure fair competition between businesses, and protect customer interests </w:t>
      </w:r>
      <w:r w:rsidR="00074029">
        <w:rPr>
          <w:noProof/>
        </w:rPr>
        <w:t xml:space="preserve">(ACM, n.d.)), and the </w:t>
      </w:r>
      <w:r w:rsidR="00074029" w:rsidRPr="00B71E08">
        <w:rPr>
          <w:i/>
        </w:rPr>
        <w:t>Ministerie van Economische Zaken</w:t>
      </w:r>
      <w:r w:rsidR="00074029">
        <w:rPr>
          <w:i/>
        </w:rPr>
        <w:t xml:space="preserve"> </w:t>
      </w:r>
      <w:r w:rsidR="00074029">
        <w:t xml:space="preserve">(EZ) (Ministry of Economic Affairs) (which is the ministry responsible for energy policy, amongst other areas), amongst others, all might have provided information valuable for the research. </w:t>
      </w:r>
      <w:r w:rsidR="0058040B">
        <w:t>Indeed, an interview</w:t>
      </w:r>
      <w:r w:rsidR="002E10D2" w:rsidRPr="00E50379">
        <w:t xml:space="preserve"> had been arranged with a representative from Energy Storage NL, however this was postponed by the potential interviewee to a date which was considered by the researcher to be late in the research process. Therefore</w:t>
      </w:r>
      <w:r w:rsidR="00E50379">
        <w:t>,</w:t>
      </w:r>
      <w:r w:rsidR="002E10D2" w:rsidRPr="00E50379">
        <w:t xml:space="preserve"> the decision was </w:t>
      </w:r>
      <w:r w:rsidR="00E50379" w:rsidRPr="00E50379">
        <w:t>made</w:t>
      </w:r>
      <w:r w:rsidR="002E10D2" w:rsidRPr="00E50379">
        <w:t xml:space="preserve"> not to conduct this interview. </w:t>
      </w:r>
      <w:r w:rsidR="00E50379">
        <w:t>In addition, c</w:t>
      </w:r>
      <w:r w:rsidR="002E10D2" w:rsidRPr="00E50379">
        <w:t>ontact was made with the Ministry of Economic Affairs although it was not possible to arrange an interview</w:t>
      </w:r>
      <w:r w:rsidR="00E50379">
        <w:t xml:space="preserve">; the researcher was only made aware of the ACM until late in the research process. Again, a decision was made not to try and arrange as interview as it was considered that there must eventually be limits on </w:t>
      </w:r>
      <w:r w:rsidR="00B34EE4">
        <w:t>the number</w:t>
      </w:r>
      <w:r w:rsidR="00E50379">
        <w:t xml:space="preserve"> of interviews</w:t>
      </w:r>
      <w:r w:rsidR="00B34EE4">
        <w:t xml:space="preserve"> conducted</w:t>
      </w:r>
      <w:r w:rsidR="00E50379">
        <w:t xml:space="preserve"> and the timescale that they are conducted over.</w:t>
      </w:r>
    </w:p>
    <w:p w14:paraId="23A0F1EE" w14:textId="246C3521" w:rsidR="00C93237" w:rsidRDefault="00C93237" w:rsidP="00D919EF">
      <w:pPr>
        <w:jc w:val="both"/>
      </w:pPr>
    </w:p>
    <w:p w14:paraId="2FFD0357" w14:textId="766B759A" w:rsidR="002C1E5D" w:rsidRDefault="00C93237" w:rsidP="002C1E5D">
      <w:pPr>
        <w:jc w:val="both"/>
      </w:pPr>
      <w:r>
        <w:t xml:space="preserve">Finally, as stated in Section </w:t>
      </w:r>
      <w:r>
        <w:fldChar w:fldCharType="begin"/>
      </w:r>
      <w:r>
        <w:instrText xml:space="preserve"> REF _Ref484011179 \r \h </w:instrText>
      </w:r>
      <w:r>
        <w:fldChar w:fldCharType="separate"/>
      </w:r>
      <w:r>
        <w:t>3.4</w:t>
      </w:r>
      <w:r>
        <w:fldChar w:fldCharType="end"/>
      </w:r>
      <w:r>
        <w:t>, it is recognised that a wide range domains and actors (within a TM framework) are important and have an influence on the overall transition process. However, due to the fact that this research was concerned with how policy instrument choice influences the adoptio</w:t>
      </w:r>
      <w:r w:rsidR="002C1E5D">
        <w:t>n of innovative technologies, the study</w:t>
      </w:r>
      <w:r>
        <w:t xml:space="preserve"> chose to focus on the domains of policy and technology, alongside policymakers and technology actors. A more wide-ranging study which took into account a greater number of domains and actors might produce more </w:t>
      </w:r>
      <w:r w:rsidR="002C1E5D">
        <w:t xml:space="preserve">exhaustive results, for example such as how markets may influence policy choice and the transition of technologies. However, for the purposes of a research project of this size, the number of domains and actors needed to be limited and therefore the choice of selecting the policy and technology domains is justified. </w:t>
      </w:r>
    </w:p>
    <w:p w14:paraId="0F751C62" w14:textId="77777777" w:rsidR="00074029" w:rsidRDefault="00074029" w:rsidP="00554CE2"/>
    <w:p w14:paraId="0149DD28" w14:textId="77777777" w:rsidR="00554CE2" w:rsidRDefault="00554CE2" w:rsidP="00671B0F">
      <w:pPr>
        <w:pStyle w:val="Heading1"/>
      </w:pPr>
      <w:bookmarkStart w:id="75" w:name="_Ref486845228"/>
      <w:bookmarkStart w:id="76" w:name="_Toc490566991"/>
      <w:r>
        <w:t>CONCLUSION</w:t>
      </w:r>
      <w:bookmarkEnd w:id="75"/>
      <w:bookmarkEnd w:id="76"/>
    </w:p>
    <w:p w14:paraId="2379DFB5" w14:textId="56EBF3CE" w:rsidR="002D2382" w:rsidRDefault="002D2382" w:rsidP="002C74DB">
      <w:pPr>
        <w:jc w:val="both"/>
        <w:rPr>
          <w:lang w:eastAsia="ko-KR" w:bidi="ar-SA"/>
        </w:rPr>
      </w:pPr>
      <w:r>
        <w:rPr>
          <w:lang w:eastAsia="ko-KR" w:bidi="ar-SA"/>
        </w:rPr>
        <w:t>Wind</w:t>
      </w:r>
      <w:r w:rsidR="005F13F3">
        <w:rPr>
          <w:lang w:eastAsia="ko-KR" w:bidi="ar-SA"/>
        </w:rPr>
        <w:t xml:space="preserve"> and solar energy are the most commonly used </w:t>
      </w:r>
      <w:r>
        <w:rPr>
          <w:lang w:eastAsia="ko-KR" w:bidi="ar-SA"/>
        </w:rPr>
        <w:t>non-dispatchable renewable energy sour</w:t>
      </w:r>
      <w:r w:rsidR="002C74DB">
        <w:rPr>
          <w:lang w:eastAsia="ko-KR" w:bidi="ar-SA"/>
        </w:rPr>
        <w:t>ces in the Netherlands</w:t>
      </w:r>
      <w:r>
        <w:rPr>
          <w:lang w:eastAsia="ko-KR" w:bidi="ar-SA"/>
        </w:rPr>
        <w:t xml:space="preserve"> and can be considered to have made a transition </w:t>
      </w:r>
      <w:r w:rsidR="002C74DB">
        <w:rPr>
          <w:lang w:eastAsia="ko-KR" w:bidi="ar-SA"/>
        </w:rPr>
        <w:t>from niche to commercialisation. Furthermore,</w:t>
      </w:r>
      <w:r>
        <w:rPr>
          <w:lang w:eastAsia="ko-KR" w:bidi="ar-SA"/>
        </w:rPr>
        <w:t xml:space="preserve"> their utilisation is expected to grow over the coming</w:t>
      </w:r>
      <w:r w:rsidR="002C74DB">
        <w:rPr>
          <w:lang w:eastAsia="ko-KR" w:bidi="ar-SA"/>
        </w:rPr>
        <w:t xml:space="preserve"> decades</w:t>
      </w:r>
      <w:r>
        <w:rPr>
          <w:lang w:eastAsia="ko-KR" w:bidi="ar-SA"/>
        </w:rPr>
        <w:t xml:space="preserve"> and is encou</w:t>
      </w:r>
      <w:r w:rsidR="002C74DB">
        <w:rPr>
          <w:lang w:eastAsia="ko-KR" w:bidi="ar-SA"/>
        </w:rPr>
        <w:t>raged by the Dutch government</w:t>
      </w:r>
      <w:r w:rsidR="00AC17D6">
        <w:rPr>
          <w:lang w:eastAsia="ko-KR" w:bidi="ar-SA"/>
        </w:rPr>
        <w:t>; a</w:t>
      </w:r>
      <w:r w:rsidR="002C74DB">
        <w:rPr>
          <w:lang w:eastAsia="ko-KR" w:bidi="ar-SA"/>
        </w:rPr>
        <w:t>s their use continues to increase</w:t>
      </w:r>
      <w:r>
        <w:rPr>
          <w:lang w:eastAsia="ko-KR" w:bidi="ar-SA"/>
        </w:rPr>
        <w:t xml:space="preserve"> t</w:t>
      </w:r>
      <w:r w:rsidR="002C74DB">
        <w:rPr>
          <w:lang w:eastAsia="ko-KR" w:bidi="ar-SA"/>
        </w:rPr>
        <w:t>here will be a</w:t>
      </w:r>
      <w:r w:rsidR="00BB00A9">
        <w:rPr>
          <w:lang w:eastAsia="ko-KR" w:bidi="ar-SA"/>
        </w:rPr>
        <w:t xml:space="preserve"> </w:t>
      </w:r>
      <w:r w:rsidR="002C74DB">
        <w:rPr>
          <w:lang w:eastAsia="ko-KR" w:bidi="ar-SA"/>
        </w:rPr>
        <w:t xml:space="preserve">greater </w:t>
      </w:r>
      <w:r w:rsidR="00BB00A9">
        <w:rPr>
          <w:lang w:eastAsia="ko-KR" w:bidi="ar-SA"/>
        </w:rPr>
        <w:t>need for energy stor</w:t>
      </w:r>
      <w:r w:rsidR="00074029">
        <w:rPr>
          <w:lang w:eastAsia="ko-KR" w:bidi="ar-SA"/>
        </w:rPr>
        <w:t>age systems.</w:t>
      </w:r>
      <w:r w:rsidR="002C74DB">
        <w:rPr>
          <w:lang w:eastAsia="ko-KR" w:bidi="ar-SA"/>
        </w:rPr>
        <w:t xml:space="preserve"> </w:t>
      </w:r>
      <w:r w:rsidR="0016631A">
        <w:rPr>
          <w:lang w:eastAsia="ko-KR" w:bidi="ar-SA"/>
        </w:rPr>
        <w:t xml:space="preserve">By adapting Transition Management theory to </w:t>
      </w:r>
      <w:r w:rsidR="0016631A">
        <w:t>focus on policymakers and technology actors who can exert influence in the policy and technology domains a</w:t>
      </w:r>
      <w:r w:rsidR="002C74DB">
        <w:t>t the meso- and micro-levels</w:t>
      </w:r>
      <w:r w:rsidR="007F706D">
        <w:t>,</w:t>
      </w:r>
      <w:r w:rsidR="002C74DB">
        <w:t xml:space="preserve"> this</w:t>
      </w:r>
      <w:r w:rsidR="0016631A">
        <w:t xml:space="preserve"> research </w:t>
      </w:r>
      <w:r w:rsidR="002C74DB">
        <w:t xml:space="preserve">project </w:t>
      </w:r>
      <w:r w:rsidR="0016631A">
        <w:t>aimed to identify the policy instruments</w:t>
      </w:r>
      <w:r w:rsidR="009A2D56">
        <w:t xml:space="preserve"> (such as economic</w:t>
      </w:r>
      <w:r w:rsidR="0016631A">
        <w:t xml:space="preserve"> </w:t>
      </w:r>
      <w:r w:rsidR="009A2D56">
        <w:t xml:space="preserve">or command-and-control instruments) </w:t>
      </w:r>
      <w:r w:rsidR="0016631A">
        <w:t xml:space="preserve">used to facilitate (or hinder) the transition of </w:t>
      </w:r>
      <w:r>
        <w:t>wind and solar energy</w:t>
      </w:r>
      <w:r w:rsidR="0016631A">
        <w:t xml:space="preserve"> production technologies from niche to regime level.</w:t>
      </w:r>
      <w:r w:rsidR="0016631A">
        <w:rPr>
          <w:lang w:eastAsia="ko-KR" w:bidi="ar-SA"/>
        </w:rPr>
        <w:t xml:space="preserve"> </w:t>
      </w:r>
      <w:r>
        <w:rPr>
          <w:lang w:eastAsia="ko-KR" w:bidi="ar-SA"/>
        </w:rPr>
        <w:t xml:space="preserve">The research </w:t>
      </w:r>
      <w:r>
        <w:rPr>
          <w:lang w:eastAsia="ko-KR" w:bidi="ar-SA"/>
        </w:rPr>
        <w:lastRenderedPageBreak/>
        <w:t>investigated whether lessons learnt from the transition of w</w:t>
      </w:r>
      <w:r w:rsidR="00AC17D6">
        <w:rPr>
          <w:lang w:eastAsia="ko-KR" w:bidi="ar-SA"/>
        </w:rPr>
        <w:t>ind and solar energy production</w:t>
      </w:r>
      <w:r>
        <w:rPr>
          <w:lang w:eastAsia="ko-KR" w:bidi="ar-SA"/>
        </w:rPr>
        <w:t xml:space="preserve"> </w:t>
      </w:r>
      <w:r w:rsidR="00AC17D6">
        <w:rPr>
          <w:lang w:eastAsia="ko-KR" w:bidi="ar-SA"/>
        </w:rPr>
        <w:t>(</w:t>
      </w:r>
      <w:r>
        <w:rPr>
          <w:lang w:eastAsia="ko-KR" w:bidi="ar-SA"/>
        </w:rPr>
        <w:t>in rega</w:t>
      </w:r>
      <w:r w:rsidR="00AC17D6">
        <w:rPr>
          <w:lang w:eastAsia="ko-KR" w:bidi="ar-SA"/>
        </w:rPr>
        <w:t>rds to policy instrument choice)</w:t>
      </w:r>
      <w:r>
        <w:rPr>
          <w:lang w:eastAsia="ko-KR" w:bidi="ar-SA"/>
        </w:rPr>
        <w:t xml:space="preserve"> could be applied to the ongoing transition of ESS from niche to commercialisation across different levels, from domestic up to centralised. </w:t>
      </w:r>
    </w:p>
    <w:p w14:paraId="21B170CF" w14:textId="1DCA9E62" w:rsidR="002D2382" w:rsidRDefault="002D2382" w:rsidP="002D2382">
      <w:pPr>
        <w:ind w:left="0"/>
        <w:jc w:val="both"/>
        <w:rPr>
          <w:lang w:eastAsia="ko-KR" w:bidi="ar-SA"/>
        </w:rPr>
      </w:pPr>
    </w:p>
    <w:p w14:paraId="54D57C72" w14:textId="4325CB93" w:rsidR="004672EA" w:rsidRDefault="002C74DB" w:rsidP="002D2382">
      <w:pPr>
        <w:jc w:val="both"/>
        <w:rPr>
          <w:lang w:eastAsia="ko-KR" w:bidi="ar-SA"/>
        </w:rPr>
      </w:pPr>
      <w:r>
        <w:rPr>
          <w:lang w:eastAsia="ko-KR" w:bidi="ar-SA"/>
        </w:rPr>
        <w:t>The research</w:t>
      </w:r>
      <w:r w:rsidR="002D2382">
        <w:rPr>
          <w:lang w:eastAsia="ko-KR" w:bidi="ar-SA"/>
        </w:rPr>
        <w:t xml:space="preserve"> </w:t>
      </w:r>
      <w:r w:rsidR="008C2C3A">
        <w:rPr>
          <w:lang w:eastAsia="ko-KR" w:bidi="ar-SA"/>
        </w:rPr>
        <w:t>found that the number of policy instruments used in the wind and solar energy transition was too large to investigate fully (for a project of this size)</w:t>
      </w:r>
      <w:r>
        <w:rPr>
          <w:lang w:eastAsia="ko-KR" w:bidi="ar-SA"/>
        </w:rPr>
        <w:t>,</w:t>
      </w:r>
      <w:r w:rsidR="008C2C3A">
        <w:rPr>
          <w:lang w:eastAsia="ko-KR" w:bidi="ar-SA"/>
        </w:rPr>
        <w:t xml:space="preserve"> and therefore the focus was narrowed down to those instruments which received t</w:t>
      </w:r>
      <w:r w:rsidR="00397853">
        <w:rPr>
          <w:lang w:eastAsia="ko-KR" w:bidi="ar-SA"/>
        </w:rPr>
        <w:t xml:space="preserve">he largest government funding – </w:t>
      </w:r>
      <w:r w:rsidR="008C2C3A">
        <w:rPr>
          <w:lang w:eastAsia="ko-KR" w:bidi="ar-SA"/>
        </w:rPr>
        <w:t>renewabl</w:t>
      </w:r>
      <w:r w:rsidR="00397853">
        <w:rPr>
          <w:lang w:eastAsia="ko-KR" w:bidi="ar-SA"/>
        </w:rPr>
        <w:t xml:space="preserve">e energy production subsidies – </w:t>
      </w:r>
      <w:r w:rsidR="008C2C3A">
        <w:rPr>
          <w:lang w:eastAsia="ko-KR" w:bidi="ar-SA"/>
        </w:rPr>
        <w:t xml:space="preserve">and the net metering scheme. Overall, these instruments can be considered </w:t>
      </w:r>
      <w:r w:rsidR="002D2382">
        <w:rPr>
          <w:lang w:eastAsia="ko-KR" w:bidi="ar-SA"/>
        </w:rPr>
        <w:t xml:space="preserve">largely </w:t>
      </w:r>
      <w:r w:rsidR="008C2C3A">
        <w:rPr>
          <w:lang w:eastAsia="ko-KR" w:bidi="ar-SA"/>
        </w:rPr>
        <w:t xml:space="preserve">successful in facilitating the transition of wind and solar energy production from niche to commercialisation. </w:t>
      </w:r>
    </w:p>
    <w:p w14:paraId="372CCE0D" w14:textId="77777777" w:rsidR="004672EA" w:rsidRDefault="004672EA" w:rsidP="002D2382">
      <w:pPr>
        <w:jc w:val="both"/>
        <w:rPr>
          <w:lang w:eastAsia="ko-KR" w:bidi="ar-SA"/>
        </w:rPr>
      </w:pPr>
    </w:p>
    <w:p w14:paraId="02FDC18E" w14:textId="7FCEAF6C" w:rsidR="008C2C3A" w:rsidRDefault="008C2C3A" w:rsidP="002D2382">
      <w:pPr>
        <w:jc w:val="both"/>
        <w:rPr>
          <w:lang w:eastAsia="ko-KR" w:bidi="ar-SA"/>
        </w:rPr>
      </w:pPr>
      <w:r>
        <w:rPr>
          <w:lang w:eastAsia="ko-KR" w:bidi="ar-SA"/>
        </w:rPr>
        <w:t>However, although ESS is technologically feasible in the Netherlands (at least at the domestic and distributed levels)</w:t>
      </w:r>
      <w:r w:rsidR="002D2382">
        <w:rPr>
          <w:lang w:eastAsia="ko-KR" w:bidi="ar-SA"/>
        </w:rPr>
        <w:t>, the</w:t>
      </w:r>
      <w:r>
        <w:rPr>
          <w:lang w:eastAsia="ko-KR" w:bidi="ar-SA"/>
        </w:rPr>
        <w:t xml:space="preserve"> policy instruments currently used can generally b</w:t>
      </w:r>
      <w:r w:rsidR="002D2382">
        <w:rPr>
          <w:lang w:eastAsia="ko-KR" w:bidi="ar-SA"/>
        </w:rPr>
        <w:t>e considered to be holding ESS</w:t>
      </w:r>
      <w:r>
        <w:rPr>
          <w:lang w:eastAsia="ko-KR" w:bidi="ar-SA"/>
        </w:rPr>
        <w:t xml:space="preserve"> i</w:t>
      </w:r>
      <w:r w:rsidR="00F85B88">
        <w:rPr>
          <w:lang w:eastAsia="ko-KR" w:bidi="ar-SA"/>
        </w:rPr>
        <w:t xml:space="preserve">ntegration back. Furthermore, </w:t>
      </w:r>
      <w:r>
        <w:rPr>
          <w:lang w:eastAsia="ko-KR" w:bidi="ar-SA"/>
        </w:rPr>
        <w:t xml:space="preserve">it was </w:t>
      </w:r>
      <w:r w:rsidR="009A2D56">
        <w:rPr>
          <w:lang w:eastAsia="ko-KR" w:bidi="ar-SA"/>
        </w:rPr>
        <w:t xml:space="preserve">found that it is </w:t>
      </w:r>
      <w:r>
        <w:rPr>
          <w:lang w:eastAsia="ko-KR" w:bidi="ar-SA"/>
        </w:rPr>
        <w:t xml:space="preserve">difficult to apply lessons learnt from the wind and solar energy production transition to the ESS transition, as the policy instruments </w:t>
      </w:r>
      <w:r w:rsidR="009A2D56">
        <w:rPr>
          <w:lang w:eastAsia="ko-KR" w:bidi="ar-SA"/>
        </w:rPr>
        <w:t>investigated for</w:t>
      </w:r>
      <w:r>
        <w:rPr>
          <w:lang w:eastAsia="ko-KR" w:bidi="ar-SA"/>
        </w:rPr>
        <w:t xml:space="preserve"> the former </w:t>
      </w:r>
      <w:r w:rsidR="009A2D56">
        <w:rPr>
          <w:lang w:eastAsia="ko-KR" w:bidi="ar-SA"/>
        </w:rPr>
        <w:t>were either not</w:t>
      </w:r>
      <w:r>
        <w:rPr>
          <w:lang w:eastAsia="ko-KR" w:bidi="ar-SA"/>
        </w:rPr>
        <w:t xml:space="preserve"> suitable (in the case of renewable energy production subsidies)</w:t>
      </w:r>
      <w:r w:rsidR="002D2382">
        <w:rPr>
          <w:lang w:eastAsia="ko-KR" w:bidi="ar-SA"/>
        </w:rPr>
        <w:t>,</w:t>
      </w:r>
      <w:r>
        <w:rPr>
          <w:lang w:eastAsia="ko-KR" w:bidi="ar-SA"/>
        </w:rPr>
        <w:t xml:space="preserve"> or </w:t>
      </w:r>
      <w:r w:rsidR="002C74DB">
        <w:rPr>
          <w:lang w:eastAsia="ko-KR" w:bidi="ar-SA"/>
        </w:rPr>
        <w:t>hindered ESS integration</w:t>
      </w:r>
      <w:r w:rsidR="00F85B88">
        <w:rPr>
          <w:lang w:eastAsia="ko-KR" w:bidi="ar-SA"/>
        </w:rPr>
        <w:t xml:space="preserve"> (in the case of net metering).</w:t>
      </w:r>
    </w:p>
    <w:p w14:paraId="6D7C6D27" w14:textId="5D78368A" w:rsidR="006A41AD" w:rsidRDefault="006A41AD" w:rsidP="005C09F5">
      <w:pPr>
        <w:ind w:left="0"/>
        <w:jc w:val="both"/>
      </w:pPr>
    </w:p>
    <w:p w14:paraId="14DD0595" w14:textId="51B1DC53" w:rsidR="0015727A" w:rsidRDefault="005C09F5" w:rsidP="00397853">
      <w:pPr>
        <w:jc w:val="both"/>
      </w:pPr>
      <w:r>
        <w:t>In reaching the above conclusions,</w:t>
      </w:r>
      <w:r w:rsidR="006A41AD">
        <w:t xml:space="preserve"> a number of interviews with experts within the renewable energy and energy storage sectors</w:t>
      </w:r>
      <w:r w:rsidR="00074029">
        <w:t xml:space="preserve"> were conducted. The</w:t>
      </w:r>
      <w:r w:rsidR="00397853">
        <w:t>se</w:t>
      </w:r>
      <w:r w:rsidR="00074029">
        <w:t xml:space="preserve"> interviews identified</w:t>
      </w:r>
      <w:r w:rsidR="006A41AD">
        <w:t xml:space="preserve"> </w:t>
      </w:r>
      <w:r w:rsidR="00E53053">
        <w:t xml:space="preserve">a </w:t>
      </w:r>
      <w:r w:rsidR="00B34EE4">
        <w:t>variety</w:t>
      </w:r>
      <w:r w:rsidR="006A41AD">
        <w:t xml:space="preserve"> of themes which could be seen as generally hinderi</w:t>
      </w:r>
      <w:r w:rsidR="00397853">
        <w:t>ng the integration of ESS. The themes</w:t>
      </w:r>
      <w:r w:rsidR="006A41AD">
        <w:t xml:space="preserve"> included</w:t>
      </w:r>
      <w:r w:rsidR="0015727A">
        <w:t>:</w:t>
      </w:r>
    </w:p>
    <w:p w14:paraId="781F750A" w14:textId="77777777" w:rsidR="0015727A" w:rsidRDefault="0015727A" w:rsidP="00397853">
      <w:pPr>
        <w:jc w:val="both"/>
      </w:pPr>
    </w:p>
    <w:p w14:paraId="551DC678" w14:textId="1BA1AA29" w:rsidR="0015727A" w:rsidRDefault="00AC3087" w:rsidP="00550347">
      <w:pPr>
        <w:pStyle w:val="Opsomming1"/>
        <w:jc w:val="both"/>
      </w:pPr>
      <w:r>
        <w:t>U</w:t>
      </w:r>
      <w:r w:rsidR="00397853">
        <w:t>ncertainty over the optimal locations for</w:t>
      </w:r>
      <w:r w:rsidR="0015727A">
        <w:t xml:space="preserve"> placement of</w:t>
      </w:r>
      <w:r w:rsidR="00397853">
        <w:t xml:space="preserve"> ESS within the</w:t>
      </w:r>
      <w:r w:rsidR="0015727A">
        <w:t xml:space="preserve"> electricity</w:t>
      </w:r>
      <w:r w:rsidR="00397853">
        <w:t xml:space="preserve"> grid</w:t>
      </w:r>
      <w:r w:rsidR="0015727A">
        <w:t>;</w:t>
      </w:r>
    </w:p>
    <w:p w14:paraId="43F3E7BC" w14:textId="35AD5586" w:rsidR="0015727A" w:rsidRDefault="00AC3087" w:rsidP="00550347">
      <w:pPr>
        <w:pStyle w:val="Opsomming1"/>
        <w:jc w:val="both"/>
      </w:pPr>
      <w:r>
        <w:t>T</w:t>
      </w:r>
      <w:r w:rsidR="00397853">
        <w:t xml:space="preserve">he </w:t>
      </w:r>
      <w:r w:rsidR="0015727A">
        <w:t xml:space="preserve">relatively </w:t>
      </w:r>
      <w:r w:rsidR="00397853">
        <w:t>high financial cost of domestic battery systems and the relatively slow return on investment</w:t>
      </w:r>
      <w:r w:rsidR="0015727A">
        <w:t xml:space="preserve"> for purchasers;</w:t>
      </w:r>
    </w:p>
    <w:p w14:paraId="2434DBEE" w14:textId="3F054622" w:rsidR="00397853" w:rsidRDefault="00AC3087" w:rsidP="00550347">
      <w:pPr>
        <w:pStyle w:val="Opsomming1"/>
        <w:jc w:val="both"/>
      </w:pPr>
      <w:r>
        <w:t>C</w:t>
      </w:r>
      <w:r w:rsidR="0015727A">
        <w:t>onflict between the TSO and DSOs in regards to certain services which can be provided by energy storage;</w:t>
      </w:r>
    </w:p>
    <w:p w14:paraId="6A3F1A1A" w14:textId="0E9D57D0" w:rsidR="0015727A" w:rsidRDefault="00AC3087" w:rsidP="00550347">
      <w:pPr>
        <w:pStyle w:val="Opsomming1"/>
        <w:jc w:val="both"/>
      </w:pPr>
      <w:r>
        <w:t>T</w:t>
      </w:r>
      <w:r w:rsidR="0015727A">
        <w:t>he current net metering scheme;</w:t>
      </w:r>
    </w:p>
    <w:p w14:paraId="53D18234" w14:textId="6CE4BF33" w:rsidR="0015727A" w:rsidRDefault="00AC3087" w:rsidP="00550347">
      <w:pPr>
        <w:pStyle w:val="Opsomming1"/>
        <w:jc w:val="both"/>
      </w:pPr>
      <w:r>
        <w:t>T</w:t>
      </w:r>
      <w:r w:rsidR="0015727A">
        <w:t>he current tax regime;</w:t>
      </w:r>
    </w:p>
    <w:p w14:paraId="295E3FBF" w14:textId="58843AD5" w:rsidR="0015727A" w:rsidRDefault="005A16A9" w:rsidP="00550347">
      <w:pPr>
        <w:pStyle w:val="Opsomming1"/>
        <w:jc w:val="both"/>
      </w:pPr>
      <w:r>
        <w:t>R</w:t>
      </w:r>
      <w:r w:rsidR="0015727A">
        <w:t>egulation forbidding the TSO and DSOs to engage in market activities;</w:t>
      </w:r>
    </w:p>
    <w:p w14:paraId="7BC64542" w14:textId="2E52669D" w:rsidR="0015727A" w:rsidRDefault="00AC3087" w:rsidP="00550347">
      <w:pPr>
        <w:pStyle w:val="Opsomming1"/>
        <w:jc w:val="both"/>
      </w:pPr>
      <w:r>
        <w:t>Th</w:t>
      </w:r>
      <w:r w:rsidR="0015727A">
        <w:t xml:space="preserve">e </w:t>
      </w:r>
      <w:r w:rsidR="00550347">
        <w:t>generally</w:t>
      </w:r>
      <w:r w:rsidR="0015727A">
        <w:t>-perceived lack of government funding;</w:t>
      </w:r>
    </w:p>
    <w:p w14:paraId="32C4C606" w14:textId="520BE7C1" w:rsidR="00550347" w:rsidRDefault="00AC3087" w:rsidP="00550347">
      <w:pPr>
        <w:pStyle w:val="Opsomming1"/>
        <w:jc w:val="both"/>
      </w:pPr>
      <w:r>
        <w:t>T</w:t>
      </w:r>
      <w:r w:rsidR="00550347">
        <w:t>he generally-perceived lack of strong governmental leadership;</w:t>
      </w:r>
    </w:p>
    <w:p w14:paraId="68D2CF27" w14:textId="0CB657A3" w:rsidR="0015727A" w:rsidRDefault="00AC3087" w:rsidP="00550347">
      <w:pPr>
        <w:pStyle w:val="Opsomming1"/>
        <w:jc w:val="both"/>
      </w:pPr>
      <w:r>
        <w:t>T</w:t>
      </w:r>
      <w:r w:rsidR="0015727A">
        <w:t xml:space="preserve">he </w:t>
      </w:r>
      <w:r w:rsidR="00550347">
        <w:t>generally</w:t>
      </w:r>
      <w:r w:rsidR="0015727A">
        <w:t>-perceived lack of information-sharing withi</w:t>
      </w:r>
      <w:r w:rsidR="00550347">
        <w:t>n and across organisations.</w:t>
      </w:r>
    </w:p>
    <w:p w14:paraId="36E4096F" w14:textId="77777777" w:rsidR="00E53053" w:rsidRDefault="00E53053" w:rsidP="008F10F7">
      <w:pPr>
        <w:jc w:val="both"/>
      </w:pPr>
    </w:p>
    <w:p w14:paraId="61BFF7CA" w14:textId="666AF66E" w:rsidR="00D83BFE" w:rsidRDefault="00D83BFE" w:rsidP="008F10F7">
      <w:pPr>
        <w:jc w:val="both"/>
      </w:pPr>
      <w:r>
        <w:t>Howev</w:t>
      </w:r>
      <w:r w:rsidR="00550347">
        <w:t>er, themes</w:t>
      </w:r>
      <w:r w:rsidR="008D7DB1">
        <w:t xml:space="preserve"> in regards to aspects which potentially could facilitate the further integration of ESS</w:t>
      </w:r>
      <w:r>
        <w:t xml:space="preserve"> included:</w:t>
      </w:r>
    </w:p>
    <w:p w14:paraId="6FC309B2" w14:textId="6AF796E5" w:rsidR="000B559C" w:rsidRDefault="000B559C" w:rsidP="008F10F7">
      <w:pPr>
        <w:jc w:val="both"/>
      </w:pPr>
    </w:p>
    <w:p w14:paraId="3764C43B" w14:textId="716C3B84" w:rsidR="000B559C" w:rsidRDefault="005A16A9" w:rsidP="00550347">
      <w:pPr>
        <w:pStyle w:val="Opsomming1"/>
        <w:jc w:val="both"/>
      </w:pPr>
      <w:r>
        <w:t>T</w:t>
      </w:r>
      <w:r w:rsidR="00550347">
        <w:t>rials or pilot schemes to encourage new market opportunities or technology implementation;</w:t>
      </w:r>
    </w:p>
    <w:p w14:paraId="50A0C518" w14:textId="3DA50876" w:rsidR="00550347" w:rsidRDefault="005A16A9" w:rsidP="00550347">
      <w:pPr>
        <w:pStyle w:val="Opsomming1"/>
        <w:jc w:val="both"/>
      </w:pPr>
      <w:r>
        <w:t>T</w:t>
      </w:r>
      <w:r w:rsidR="00550347">
        <w:t xml:space="preserve">he </w:t>
      </w:r>
      <w:r w:rsidR="008D7DB1">
        <w:t xml:space="preserve">capacity to </w:t>
      </w:r>
      <w:r w:rsidR="00550347">
        <w:t>pool</w:t>
      </w:r>
      <w:r w:rsidR="008D7DB1">
        <w:t xml:space="preserve"> multiple battery systems to create ‘virtual power plants’</w:t>
      </w:r>
      <w:r w:rsidR="00550347">
        <w:t>;</w:t>
      </w:r>
    </w:p>
    <w:p w14:paraId="0AA148B8" w14:textId="6CD357DF" w:rsidR="00550347" w:rsidRDefault="005A16A9" w:rsidP="00550347">
      <w:pPr>
        <w:pStyle w:val="Opsomming1"/>
        <w:jc w:val="both"/>
      </w:pPr>
      <w:r>
        <w:t>T</w:t>
      </w:r>
      <w:r w:rsidR="00550347">
        <w:t>he potential for energy storage alongside distributed wind or solar energy production;</w:t>
      </w:r>
    </w:p>
    <w:p w14:paraId="5E34C21F" w14:textId="1ABE193B" w:rsidR="00550347" w:rsidRDefault="005A16A9" w:rsidP="00550347">
      <w:pPr>
        <w:pStyle w:val="Opsomming1"/>
        <w:jc w:val="both"/>
      </w:pPr>
      <w:r>
        <w:t>T</w:t>
      </w:r>
      <w:r w:rsidR="00550347">
        <w:t>he benefits of community-scale storage and co-operatives;</w:t>
      </w:r>
    </w:p>
    <w:p w14:paraId="232F2BB0" w14:textId="6D2AA16C" w:rsidR="00550347" w:rsidRDefault="005A16A9" w:rsidP="00550347">
      <w:pPr>
        <w:pStyle w:val="Opsomming1"/>
        <w:jc w:val="both"/>
      </w:pPr>
      <w:r>
        <w:t>A</w:t>
      </w:r>
      <w:r w:rsidR="00550347">
        <w:t>cceptance from companies towards ‘greener’ policies.</w:t>
      </w:r>
    </w:p>
    <w:p w14:paraId="36F3A53D" w14:textId="77777777" w:rsidR="00D83BFE" w:rsidRDefault="00D83BFE" w:rsidP="008F10F7">
      <w:pPr>
        <w:jc w:val="both"/>
      </w:pPr>
    </w:p>
    <w:p w14:paraId="1352F291" w14:textId="2530099E" w:rsidR="00E53053" w:rsidRDefault="00550347" w:rsidP="008F10F7">
      <w:pPr>
        <w:jc w:val="both"/>
      </w:pPr>
      <w:r>
        <w:t>It should, however, be noted</w:t>
      </w:r>
      <w:r w:rsidR="006A41AD">
        <w:t xml:space="preserve"> </w:t>
      </w:r>
      <w:r>
        <w:t xml:space="preserve">that there was sometimes </w:t>
      </w:r>
      <w:hyperlink r:id="rId25" w:history="1">
        <w:r w:rsidRPr="00550347">
          <w:t>contrariety</w:t>
        </w:r>
      </w:hyperlink>
      <w:r>
        <w:t xml:space="preserve"> within the results, such as whether the government was perceived to show strong or weak leadership, or whether the regulation forbidding the TSO and DSOs to engage in market activities was a positive or negative </w:t>
      </w:r>
      <w:r>
        <w:lastRenderedPageBreak/>
        <w:t xml:space="preserve">point. </w:t>
      </w:r>
      <w:r w:rsidR="008D7DB1">
        <w:t xml:space="preserve">In general, batteries were considered to be the most viable option, and larger-scale ESS such as CAES or PHS was not generally considered feasible within the Netherlands at the current time. </w:t>
      </w:r>
    </w:p>
    <w:p w14:paraId="260EA037" w14:textId="4E1C050F" w:rsidR="00E53053" w:rsidRDefault="00E53053" w:rsidP="00550347">
      <w:pPr>
        <w:ind w:left="0"/>
        <w:jc w:val="both"/>
      </w:pPr>
    </w:p>
    <w:p w14:paraId="52078BFF" w14:textId="5D97D44B" w:rsidR="005C09F5" w:rsidRDefault="0055294D" w:rsidP="008F10F7">
      <w:pPr>
        <w:jc w:val="both"/>
      </w:pPr>
      <w:r>
        <w:t>Overall, b</w:t>
      </w:r>
      <w:r w:rsidR="00074029">
        <w:t>y taking into account T</w:t>
      </w:r>
      <w:r w:rsidR="008F10F7">
        <w:t>M theory, the research concluded</w:t>
      </w:r>
      <w:r w:rsidR="00074029">
        <w:t xml:space="preserve"> that long-term thinking is needed to facilitate the transition of ESS from niche to commercialisation, with short-term implementation of options introduced as part of a learning process helping to narrow down the number of options available. System innovation and improvement will help the transition</w:t>
      </w:r>
      <w:r w:rsidR="008F10F7">
        <w:t>,</w:t>
      </w:r>
      <w:r w:rsidR="00074029">
        <w:t xml:space="preserve"> and </w:t>
      </w:r>
      <w:r w:rsidR="008F10F7">
        <w:t xml:space="preserve">policy </w:t>
      </w:r>
      <w:r w:rsidR="00074029">
        <w:t xml:space="preserve">decisions must be made </w:t>
      </w:r>
      <w:r w:rsidR="008F10F7">
        <w:t xml:space="preserve">which </w:t>
      </w:r>
      <w:r w:rsidR="00B34EE4">
        <w:t>consider</w:t>
      </w:r>
      <w:r w:rsidR="00074029">
        <w:t xml:space="preserve"> multiple actors, domains, and levels. </w:t>
      </w:r>
      <w:r w:rsidR="005C09F5">
        <w:rPr>
          <w:lang w:eastAsia="ko-KR" w:bidi="ar-SA"/>
        </w:rPr>
        <w:t xml:space="preserve">Furthermore, although a conclusion can be made </w:t>
      </w:r>
      <w:r w:rsidR="00E53053">
        <w:rPr>
          <w:lang w:eastAsia="ko-KR" w:bidi="ar-SA"/>
        </w:rPr>
        <w:t xml:space="preserve">that </w:t>
      </w:r>
      <w:r w:rsidR="005C09F5">
        <w:rPr>
          <w:lang w:eastAsia="ko-KR" w:bidi="ar-SA"/>
        </w:rPr>
        <w:t xml:space="preserve">the increased adoption of ESS will be needed in the future, it should not be </w:t>
      </w:r>
      <w:r w:rsidR="00B34EE4">
        <w:rPr>
          <w:lang w:eastAsia="ko-KR" w:bidi="ar-SA"/>
        </w:rPr>
        <w:t>viewed as</w:t>
      </w:r>
      <w:r w:rsidR="005C09F5">
        <w:rPr>
          <w:lang w:eastAsia="ko-KR" w:bidi="ar-SA"/>
        </w:rPr>
        <w:t xml:space="preserve"> the ultimate goal</w:t>
      </w:r>
      <w:r w:rsidR="005C09F5">
        <w:t xml:space="preserve">. Therefore, other options for flexibility (such as involving different sectors including power, gas, heat, and mobility) should also be considered. </w:t>
      </w:r>
    </w:p>
    <w:p w14:paraId="1D83514A" w14:textId="23F220EC" w:rsidR="007E124C" w:rsidRDefault="007E124C" w:rsidP="005C09F5">
      <w:pPr>
        <w:jc w:val="both"/>
      </w:pPr>
    </w:p>
    <w:p w14:paraId="7D6DF6F3" w14:textId="13B21C59" w:rsidR="00992C3B" w:rsidRDefault="005A16A9" w:rsidP="00992C3B">
      <w:pPr>
        <w:jc w:val="both"/>
      </w:pPr>
      <w:r>
        <w:t>Concluding this thesis, this</w:t>
      </w:r>
      <w:r w:rsidR="005C09F5">
        <w:t xml:space="preserve"> </w:t>
      </w:r>
      <w:r>
        <w:t xml:space="preserve">research </w:t>
      </w:r>
      <w:r w:rsidR="007E124C">
        <w:t xml:space="preserve">provides a stepping stone for </w:t>
      </w:r>
      <w:r w:rsidR="005C09F5">
        <w:t>future</w:t>
      </w:r>
      <w:r w:rsidR="008F10F7">
        <w:t xml:space="preserve"> studies</w:t>
      </w:r>
      <w:r w:rsidR="005C09F5">
        <w:t xml:space="preserve"> to investigate how current policy instruments could be improved to facilitate the increased adoption of ESS within the Netherlands, and how different options for flexibility over </w:t>
      </w:r>
      <w:r w:rsidR="008F10F7">
        <w:t>a variety of</w:t>
      </w:r>
      <w:r w:rsidR="005C09F5">
        <w:t xml:space="preserve"> sectors can help </w:t>
      </w:r>
      <w:r w:rsidR="008F10F7">
        <w:t>attain</w:t>
      </w:r>
      <w:r w:rsidR="005C09F5">
        <w:t xml:space="preserve"> </w:t>
      </w:r>
      <w:r w:rsidR="008F10F7">
        <w:t>targets</w:t>
      </w:r>
      <w:r w:rsidR="005C09F5">
        <w:t xml:space="preserve"> such as those defined in the </w:t>
      </w:r>
      <w:r w:rsidR="005C09F5" w:rsidRPr="008F6566">
        <w:t>Energy Agreement on Sustainable Growth</w:t>
      </w:r>
      <w:r w:rsidR="004672EA">
        <w:t>. Ultimately, this might help</w:t>
      </w:r>
      <w:r w:rsidR="005C09F5">
        <w:t xml:space="preserve"> </w:t>
      </w:r>
      <w:r w:rsidR="008F10F7">
        <w:t xml:space="preserve">achieve </w:t>
      </w:r>
      <w:r w:rsidR="005C09F5">
        <w:t xml:space="preserve">the overall </w:t>
      </w:r>
      <w:r w:rsidR="00165D39">
        <w:t>goal</w:t>
      </w:r>
      <w:r w:rsidR="005C09F5">
        <w:t xml:space="preserve"> of a </w:t>
      </w:r>
      <w:r w:rsidR="00165D39">
        <w:t>clean-energy future based on renewable energy sources</w:t>
      </w:r>
      <w:r w:rsidR="00793E88">
        <w:t>, thereby helping to reduce the negative environmental effects associated with greenhouse gases such as carbon dioxide</w:t>
      </w:r>
      <w:r w:rsidR="008F10F7">
        <w:t>.</w:t>
      </w:r>
    </w:p>
    <w:p w14:paraId="32F62ED7" w14:textId="4A89CEB1" w:rsidR="005A16A9" w:rsidRDefault="005A16A9" w:rsidP="00992C3B">
      <w:pPr>
        <w:jc w:val="both"/>
      </w:pPr>
    </w:p>
    <w:p w14:paraId="23CB4A5F" w14:textId="04699171" w:rsidR="005A16A9" w:rsidRDefault="005A16A9" w:rsidP="00992C3B">
      <w:pPr>
        <w:jc w:val="both"/>
      </w:pPr>
    </w:p>
    <w:p w14:paraId="60FD4C3A" w14:textId="6BC444C4" w:rsidR="005A16A9" w:rsidRDefault="005A16A9" w:rsidP="00992C3B">
      <w:pPr>
        <w:jc w:val="both"/>
      </w:pPr>
    </w:p>
    <w:p w14:paraId="638EFF8C" w14:textId="5B467CB8" w:rsidR="005A16A9" w:rsidRDefault="005A16A9" w:rsidP="00992C3B">
      <w:pPr>
        <w:jc w:val="both"/>
      </w:pPr>
    </w:p>
    <w:p w14:paraId="3A2B7A55" w14:textId="072F5A04" w:rsidR="005A16A9" w:rsidRDefault="005A16A9" w:rsidP="00992C3B">
      <w:pPr>
        <w:jc w:val="both"/>
      </w:pPr>
    </w:p>
    <w:p w14:paraId="3E9D084C" w14:textId="0E7D3EEB" w:rsidR="005A16A9" w:rsidRDefault="005A16A9" w:rsidP="00992C3B">
      <w:pPr>
        <w:jc w:val="both"/>
      </w:pPr>
    </w:p>
    <w:p w14:paraId="75E37A0F" w14:textId="34F97862" w:rsidR="005A16A9" w:rsidRDefault="005A16A9" w:rsidP="00992C3B">
      <w:pPr>
        <w:jc w:val="both"/>
      </w:pPr>
    </w:p>
    <w:p w14:paraId="618C1A19" w14:textId="7A4FCE25" w:rsidR="005A16A9" w:rsidRDefault="005A16A9" w:rsidP="00992C3B">
      <w:pPr>
        <w:jc w:val="both"/>
      </w:pPr>
    </w:p>
    <w:p w14:paraId="62A45E6C" w14:textId="3C188FBD" w:rsidR="005A16A9" w:rsidRDefault="005A16A9" w:rsidP="00992C3B">
      <w:pPr>
        <w:jc w:val="both"/>
      </w:pPr>
    </w:p>
    <w:p w14:paraId="154F293E" w14:textId="095900AF" w:rsidR="005A16A9" w:rsidRDefault="005A16A9" w:rsidP="00992C3B">
      <w:pPr>
        <w:jc w:val="both"/>
      </w:pPr>
    </w:p>
    <w:p w14:paraId="367BE662" w14:textId="2584F08B" w:rsidR="005A16A9" w:rsidRDefault="005A16A9" w:rsidP="00992C3B">
      <w:pPr>
        <w:jc w:val="both"/>
      </w:pPr>
    </w:p>
    <w:p w14:paraId="780CB845" w14:textId="38004E53" w:rsidR="005A16A9" w:rsidRDefault="005A16A9" w:rsidP="00992C3B">
      <w:pPr>
        <w:jc w:val="both"/>
      </w:pPr>
    </w:p>
    <w:p w14:paraId="7EC98DEE" w14:textId="7E88C669" w:rsidR="005A16A9" w:rsidRDefault="005A16A9" w:rsidP="00992C3B">
      <w:pPr>
        <w:jc w:val="both"/>
      </w:pPr>
    </w:p>
    <w:p w14:paraId="6030A673" w14:textId="777B4D77" w:rsidR="005A16A9" w:rsidRDefault="005A16A9" w:rsidP="00992C3B">
      <w:pPr>
        <w:jc w:val="both"/>
      </w:pPr>
    </w:p>
    <w:p w14:paraId="5057B8C7" w14:textId="26186FB1" w:rsidR="005A16A9" w:rsidRDefault="005A16A9" w:rsidP="00992C3B">
      <w:pPr>
        <w:jc w:val="both"/>
      </w:pPr>
    </w:p>
    <w:p w14:paraId="128199F8" w14:textId="57D2CB36" w:rsidR="005A16A9" w:rsidRDefault="005A16A9" w:rsidP="00992C3B">
      <w:pPr>
        <w:jc w:val="both"/>
      </w:pPr>
    </w:p>
    <w:p w14:paraId="4CCAC7FC" w14:textId="6CDF716B" w:rsidR="005A16A9" w:rsidRDefault="005A16A9" w:rsidP="00992C3B">
      <w:pPr>
        <w:jc w:val="both"/>
      </w:pPr>
    </w:p>
    <w:p w14:paraId="530F0D4E" w14:textId="4EDFACE3" w:rsidR="005A16A9" w:rsidRDefault="005A16A9" w:rsidP="00992C3B">
      <w:pPr>
        <w:jc w:val="both"/>
      </w:pPr>
    </w:p>
    <w:p w14:paraId="75F869E3" w14:textId="7972FCEF" w:rsidR="005A16A9" w:rsidRDefault="005A16A9" w:rsidP="00992C3B">
      <w:pPr>
        <w:jc w:val="both"/>
      </w:pPr>
    </w:p>
    <w:p w14:paraId="4B5E4460" w14:textId="014A3DD8" w:rsidR="005A16A9" w:rsidRDefault="005A16A9" w:rsidP="00992C3B">
      <w:pPr>
        <w:jc w:val="both"/>
      </w:pPr>
    </w:p>
    <w:p w14:paraId="18333195" w14:textId="6DC19794" w:rsidR="005A16A9" w:rsidRDefault="005A16A9" w:rsidP="00992C3B">
      <w:pPr>
        <w:jc w:val="both"/>
      </w:pPr>
    </w:p>
    <w:p w14:paraId="36E10A64" w14:textId="1951A2D5" w:rsidR="005A16A9" w:rsidRDefault="005A16A9" w:rsidP="00992C3B">
      <w:pPr>
        <w:jc w:val="both"/>
      </w:pPr>
    </w:p>
    <w:p w14:paraId="6BE091E1" w14:textId="6351E41F" w:rsidR="005A16A9" w:rsidRDefault="005A16A9" w:rsidP="00992C3B">
      <w:pPr>
        <w:jc w:val="both"/>
      </w:pPr>
    </w:p>
    <w:p w14:paraId="007D1F3A" w14:textId="4BE31D51" w:rsidR="00B318F5" w:rsidRPr="003423D5" w:rsidRDefault="00B318F5" w:rsidP="002F4EAC">
      <w:pPr>
        <w:ind w:left="0"/>
        <w:jc w:val="both"/>
      </w:pPr>
    </w:p>
    <w:bookmarkStart w:id="77" w:name="_Toc490566992" w:displacedByCustomXml="next"/>
    <w:sdt>
      <w:sdtPr>
        <w:rPr>
          <w:b w:val="0"/>
          <w:bCs w:val="0"/>
          <w:caps w:val="0"/>
          <w:color w:val="auto"/>
          <w:sz w:val="18"/>
          <w:szCs w:val="22"/>
        </w:rPr>
        <w:id w:val="923616464"/>
        <w:docPartObj>
          <w:docPartGallery w:val="Bibliographies"/>
          <w:docPartUnique/>
        </w:docPartObj>
      </w:sdtPr>
      <w:sdtEndPr/>
      <w:sdtContent>
        <w:p w14:paraId="5B23B2EF" w14:textId="159497E4" w:rsidR="00B318F5" w:rsidRDefault="00B33922" w:rsidP="00671B0F">
          <w:pPr>
            <w:pStyle w:val="Heading1"/>
            <w:numPr>
              <w:ilvl w:val="0"/>
              <w:numId w:val="0"/>
            </w:numPr>
          </w:pPr>
          <w:r>
            <w:t>REFERENCE LIST</w:t>
          </w:r>
          <w:bookmarkEnd w:id="77"/>
        </w:p>
        <w:sdt>
          <w:sdtPr>
            <w:id w:val="-573587230"/>
            <w:bibliography/>
          </w:sdtPr>
          <w:sdtEndPr/>
          <w:sdtContent>
            <w:p w14:paraId="07314564" w14:textId="06755723" w:rsidR="0083796A" w:rsidRPr="0083796A" w:rsidRDefault="00B318F5" w:rsidP="0083796A">
              <w:pPr>
                <w:pStyle w:val="Bibliography"/>
                <w:ind w:left="720" w:hanging="720"/>
                <w:rPr>
                  <w:noProof/>
                  <w:sz w:val="24"/>
                  <w:szCs w:val="24"/>
                </w:rPr>
              </w:pPr>
              <w:r>
                <w:fldChar w:fldCharType="begin"/>
              </w:r>
              <w:r>
                <w:instrText xml:space="preserve"> BIBLIOGRAPHY </w:instrText>
              </w:r>
              <w:r>
                <w:fldChar w:fldCharType="separate"/>
              </w:r>
              <w:r w:rsidR="0083796A">
                <w:rPr>
                  <w:noProof/>
                </w:rPr>
                <w:t xml:space="preserve">Authority for Consumers &amp; Markets. (n.d.). </w:t>
              </w:r>
              <w:r w:rsidR="0083796A">
                <w:rPr>
                  <w:i/>
                  <w:iCs/>
                  <w:noProof/>
                </w:rPr>
                <w:t>Authority for Consumers &amp; Markets</w:t>
              </w:r>
              <w:r w:rsidR="0083796A">
                <w:rPr>
                  <w:noProof/>
                </w:rPr>
                <w:t>. Retrieved July 20, 2017, from https://www.acm.nl/en/</w:t>
              </w:r>
            </w:p>
            <w:p w14:paraId="083FBA4A" w14:textId="77777777" w:rsidR="0083796A" w:rsidRDefault="0083796A" w:rsidP="0083796A">
              <w:pPr>
                <w:pStyle w:val="Bibliography"/>
                <w:ind w:left="720" w:hanging="720"/>
                <w:rPr>
                  <w:noProof/>
                </w:rPr>
              </w:pPr>
              <w:r>
                <w:rPr>
                  <w:noProof/>
                </w:rPr>
                <w:t xml:space="preserve">BEAMS. (2010). </w:t>
              </w:r>
              <w:r>
                <w:rPr>
                  <w:i/>
                  <w:iCs/>
                  <w:noProof/>
                </w:rPr>
                <w:t>Energy storage technologies for wind power integration.</w:t>
              </w:r>
              <w:r>
                <w:rPr>
                  <w:noProof/>
                </w:rPr>
                <w:t xml:space="preserve"> Brussels: Université libre de Bruxelles.</w:t>
              </w:r>
            </w:p>
            <w:p w14:paraId="0FDA5BC3" w14:textId="77777777" w:rsidR="0083796A" w:rsidRDefault="0083796A" w:rsidP="0083796A">
              <w:pPr>
                <w:pStyle w:val="Bibliography"/>
                <w:ind w:left="720" w:hanging="720"/>
                <w:rPr>
                  <w:noProof/>
                </w:rPr>
              </w:pPr>
              <w:r>
                <w:rPr>
                  <w:noProof/>
                </w:rPr>
                <w:t xml:space="preserve">Belastingdienst. (n.d.). </w:t>
              </w:r>
              <w:r>
                <w:rPr>
                  <w:i/>
                  <w:iCs/>
                  <w:noProof/>
                </w:rPr>
                <w:t>Tabellen tarieven milieubelastingen</w:t>
              </w:r>
              <w:r>
                <w:rPr>
                  <w:noProof/>
                </w:rPr>
                <w:t>. Retrieved July 10, 2017, from https://www.belastingdienst.nl/wps/wcm/connect/bldcontentnl/belastingdienst/zakelijk/overige_belastingen/belastingen_op_milieugrondslag/tarieven_milieubelastingen/tabellen_tarieven_milieubelastingen</w:t>
              </w:r>
            </w:p>
            <w:p w14:paraId="46FF0821" w14:textId="77777777" w:rsidR="0083796A" w:rsidRDefault="0083796A" w:rsidP="0083796A">
              <w:pPr>
                <w:pStyle w:val="Bibliography"/>
                <w:ind w:left="720" w:hanging="720"/>
                <w:rPr>
                  <w:noProof/>
                </w:rPr>
              </w:pPr>
              <w:r>
                <w:rPr>
                  <w:noProof/>
                </w:rPr>
                <w:t xml:space="preserve">Bell, J. (2005). </w:t>
              </w:r>
              <w:r>
                <w:rPr>
                  <w:i/>
                  <w:iCs/>
                  <w:noProof/>
                </w:rPr>
                <w:t>Doing your Research Project. A guide for first-time researchers in education, health and social science</w:t>
              </w:r>
              <w:r>
                <w:rPr>
                  <w:noProof/>
                </w:rPr>
                <w:t xml:space="preserve"> (4th ed.). Maidenhead: Open University Press.</w:t>
              </w:r>
            </w:p>
            <w:p w14:paraId="40E7ADFC" w14:textId="77777777" w:rsidR="0083796A" w:rsidRDefault="0083796A" w:rsidP="0083796A">
              <w:pPr>
                <w:pStyle w:val="Bibliography"/>
                <w:ind w:left="720" w:hanging="720"/>
                <w:rPr>
                  <w:noProof/>
                </w:rPr>
              </w:pPr>
              <w:r>
                <w:rPr>
                  <w:noProof/>
                </w:rPr>
                <w:t xml:space="preserve">Bennear, L. S., &amp; Stavins, R. N. (2007). Second-best theory and the use of multiple policy instruments. </w:t>
              </w:r>
              <w:r>
                <w:rPr>
                  <w:i/>
                  <w:iCs/>
                  <w:noProof/>
                </w:rPr>
                <w:t>Environmental Resource Economics, 37</w:t>
              </w:r>
              <w:r>
                <w:rPr>
                  <w:noProof/>
                </w:rPr>
                <w:t>, 111-129.</w:t>
              </w:r>
            </w:p>
            <w:p w14:paraId="130A67C7" w14:textId="77777777" w:rsidR="0083796A" w:rsidRDefault="0083796A" w:rsidP="0083796A">
              <w:pPr>
                <w:pStyle w:val="Bibliography"/>
                <w:ind w:left="720" w:hanging="720"/>
                <w:rPr>
                  <w:noProof/>
                </w:rPr>
              </w:pPr>
              <w:r>
                <w:rPr>
                  <w:noProof/>
                </w:rPr>
                <w:t xml:space="preserve">Blok, K. (2007). Energy Extraction and Conversion. In </w:t>
              </w:r>
              <w:r>
                <w:rPr>
                  <w:i/>
                  <w:iCs/>
                  <w:noProof/>
                </w:rPr>
                <w:t>Introduction to Energy Analysis.</w:t>
              </w:r>
              <w:r>
                <w:rPr>
                  <w:noProof/>
                </w:rPr>
                <w:t xml:space="preserve"> Amsterdam: Techne Press.</w:t>
              </w:r>
            </w:p>
            <w:p w14:paraId="113BFEDC" w14:textId="77777777" w:rsidR="0083796A" w:rsidRDefault="0083796A" w:rsidP="0083796A">
              <w:pPr>
                <w:pStyle w:val="Bibliography"/>
                <w:ind w:left="720" w:hanging="720"/>
                <w:rPr>
                  <w:noProof/>
                </w:rPr>
              </w:pPr>
              <w:r>
                <w:rPr>
                  <w:noProof/>
                </w:rPr>
                <w:t xml:space="preserve">Bosch &amp; Van Rijn. (n.d.). </w:t>
              </w:r>
              <w:r>
                <w:rPr>
                  <w:i/>
                  <w:iCs/>
                  <w:noProof/>
                </w:rPr>
                <w:t>STATISTIEK</w:t>
              </w:r>
              <w:r>
                <w:rPr>
                  <w:noProof/>
                </w:rPr>
                <w:t>. Retrieved July 20, 2017, from WINDSTATS.NL: http://windstats.nl/statistiek.php?p1=0&amp;p2=7500&amp;p=0&amp;gemeente=</w:t>
              </w:r>
            </w:p>
            <w:p w14:paraId="45ACEEED" w14:textId="77777777" w:rsidR="0083796A" w:rsidRDefault="0083796A" w:rsidP="0083796A">
              <w:pPr>
                <w:pStyle w:val="Bibliography"/>
                <w:ind w:left="720" w:hanging="720"/>
                <w:rPr>
                  <w:noProof/>
                </w:rPr>
              </w:pPr>
              <w:r>
                <w:rPr>
                  <w:noProof/>
                </w:rPr>
                <w:t xml:space="preserve">Centraal Bureau voor de Statistiek. (2017). </w:t>
              </w:r>
              <w:r>
                <w:rPr>
                  <w:i/>
                  <w:iCs/>
                  <w:noProof/>
                </w:rPr>
                <w:t>Share of Renewable Energy at 5.9% in 2016</w:t>
              </w:r>
              <w:r>
                <w:rPr>
                  <w:noProof/>
                </w:rPr>
                <w:t>. Retrieved July 11, 2017, from https://www.cbs.nl/en-gb/news/2017/22/share-of-renewable-energy-at-5-9-in-2016</w:t>
              </w:r>
            </w:p>
            <w:p w14:paraId="1656CBFF" w14:textId="77777777" w:rsidR="0083796A" w:rsidRDefault="0083796A" w:rsidP="0083796A">
              <w:pPr>
                <w:pStyle w:val="Bibliography"/>
                <w:ind w:left="720" w:hanging="720"/>
                <w:rPr>
                  <w:noProof/>
                </w:rPr>
              </w:pPr>
              <w:r>
                <w:rPr>
                  <w:noProof/>
                </w:rPr>
                <w:t xml:space="preserve">Crang, M. (2002). Qualitative methods: the new orthodoxy? . </w:t>
              </w:r>
              <w:r>
                <w:rPr>
                  <w:i/>
                  <w:iCs/>
                  <w:noProof/>
                </w:rPr>
                <w:t>Progress in Human Geography, 26</w:t>
              </w:r>
              <w:r>
                <w:rPr>
                  <w:noProof/>
                </w:rPr>
                <w:t>(5), 647-655.</w:t>
              </w:r>
            </w:p>
            <w:p w14:paraId="1ADCBD92" w14:textId="77777777" w:rsidR="0083796A" w:rsidRDefault="0083796A" w:rsidP="0083796A">
              <w:pPr>
                <w:pStyle w:val="Bibliography"/>
                <w:ind w:left="720" w:hanging="720"/>
                <w:rPr>
                  <w:noProof/>
                </w:rPr>
              </w:pPr>
              <w:r>
                <w:rPr>
                  <w:noProof/>
                </w:rPr>
                <w:t xml:space="preserve">Delft University of Technology. (2015). </w:t>
              </w:r>
              <w:r>
                <w:rPr>
                  <w:i/>
                  <w:iCs/>
                  <w:noProof/>
                </w:rPr>
                <w:t>The Delft Plan - The Netherlands as an Energy Gateway.</w:t>
              </w:r>
              <w:r>
                <w:rPr>
                  <w:noProof/>
                </w:rPr>
                <w:t xml:space="preserve"> Delft: TU Delft.</w:t>
              </w:r>
            </w:p>
            <w:p w14:paraId="21614BE7" w14:textId="77777777" w:rsidR="0083796A" w:rsidRDefault="0083796A" w:rsidP="0083796A">
              <w:pPr>
                <w:pStyle w:val="Bibliography"/>
                <w:ind w:left="720" w:hanging="720"/>
                <w:rPr>
                  <w:noProof/>
                </w:rPr>
              </w:pPr>
              <w:r>
                <w:rPr>
                  <w:noProof/>
                </w:rPr>
                <w:t xml:space="preserve">Díaz-González, F., Sumper, A., Gomis-Bellmunt, O., &amp; Villafáfila-Robles, R. (2012). A review of energy storage technologies for wind power application. </w:t>
              </w:r>
              <w:r>
                <w:rPr>
                  <w:i/>
                  <w:iCs/>
                  <w:noProof/>
                </w:rPr>
                <w:t>Renewable and Sustainable Energy Reviews, 16</w:t>
              </w:r>
              <w:r>
                <w:rPr>
                  <w:noProof/>
                </w:rPr>
                <w:t>, 2154-2171.</w:t>
              </w:r>
            </w:p>
            <w:p w14:paraId="2CA9A9CC" w14:textId="77777777" w:rsidR="0083796A" w:rsidRDefault="0083796A" w:rsidP="0083796A">
              <w:pPr>
                <w:pStyle w:val="Bibliography"/>
                <w:ind w:left="720" w:hanging="720"/>
                <w:rPr>
                  <w:noProof/>
                </w:rPr>
              </w:pPr>
              <w:r>
                <w:rPr>
                  <w:noProof/>
                </w:rPr>
                <w:t xml:space="preserve">DNV GL. (2015). </w:t>
              </w:r>
              <w:r>
                <w:rPr>
                  <w:i/>
                  <w:iCs/>
                  <w:noProof/>
                </w:rPr>
                <w:t>Energy Storage Roadmap NL 2030.</w:t>
              </w:r>
              <w:r>
                <w:rPr>
                  <w:noProof/>
                </w:rPr>
                <w:t xml:space="preserve"> KEMA Nederland B.V.</w:t>
              </w:r>
            </w:p>
            <w:p w14:paraId="03E3B887" w14:textId="77777777" w:rsidR="0083796A" w:rsidRDefault="0083796A" w:rsidP="0083796A">
              <w:pPr>
                <w:pStyle w:val="Bibliography"/>
                <w:ind w:left="720" w:hanging="720"/>
                <w:rPr>
                  <w:noProof/>
                </w:rPr>
              </w:pPr>
              <w:r>
                <w:rPr>
                  <w:noProof/>
                </w:rPr>
                <w:t xml:space="preserve">Donadei, S., &amp; Schneider, G.-S. (2014). </w:t>
              </w:r>
              <w:r>
                <w:rPr>
                  <w:i/>
                  <w:iCs/>
                  <w:noProof/>
                </w:rPr>
                <w:t>Long-term energy storage with compressed air storages.</w:t>
              </w:r>
              <w:r>
                <w:rPr>
                  <w:noProof/>
                </w:rPr>
                <w:t xml:space="preserve"> Retrieved March 20, 2017, from http://www.ees-magazine.com/long-term-energy-storage-with-compressed-air-storages/</w:t>
              </w:r>
            </w:p>
            <w:p w14:paraId="522AB61C" w14:textId="77777777" w:rsidR="0083796A" w:rsidRDefault="0083796A" w:rsidP="0083796A">
              <w:pPr>
                <w:pStyle w:val="Bibliography"/>
                <w:ind w:left="720" w:hanging="720"/>
                <w:rPr>
                  <w:noProof/>
                </w:rPr>
              </w:pPr>
              <w:r>
                <w:rPr>
                  <w:noProof/>
                </w:rPr>
                <w:t xml:space="preserve">Drew, C. J. (1980). </w:t>
              </w:r>
              <w:r>
                <w:rPr>
                  <w:i/>
                  <w:iCs/>
                  <w:noProof/>
                </w:rPr>
                <w:t>Introduction to Designing and Conducting Research</w:t>
              </w:r>
              <w:r>
                <w:rPr>
                  <w:noProof/>
                </w:rPr>
                <w:t xml:space="preserve"> (2nd ed.). Missouri: CB: Mosby Company.</w:t>
              </w:r>
            </w:p>
            <w:p w14:paraId="4B992A4F" w14:textId="77777777" w:rsidR="0083796A" w:rsidRDefault="0083796A" w:rsidP="0083796A">
              <w:pPr>
                <w:pStyle w:val="Bibliography"/>
                <w:ind w:left="720" w:hanging="720"/>
                <w:rPr>
                  <w:noProof/>
                </w:rPr>
              </w:pPr>
              <w:r>
                <w:rPr>
                  <w:noProof/>
                </w:rPr>
                <w:t xml:space="preserve">Drouin, R. (2015). </w:t>
              </w:r>
              <w:r>
                <w:rPr>
                  <w:i/>
                  <w:iCs/>
                  <w:noProof/>
                </w:rPr>
                <w:t>Wood Pellets: Green Energy or New Source of CO2 Emissions?</w:t>
              </w:r>
              <w:r>
                <w:rPr>
                  <w:noProof/>
                </w:rPr>
                <w:t xml:space="preserve"> Retrieved July 10, 2017, from http://e360.yale.edu/features/wood_pellets_green_energy_or_new_source_of_co2_emissions</w:t>
              </w:r>
            </w:p>
            <w:p w14:paraId="4DF9063E" w14:textId="77777777" w:rsidR="0083796A" w:rsidRDefault="0083796A" w:rsidP="0083796A">
              <w:pPr>
                <w:pStyle w:val="Bibliography"/>
                <w:ind w:left="720" w:hanging="720"/>
                <w:rPr>
                  <w:noProof/>
                </w:rPr>
              </w:pPr>
              <w:r>
                <w:rPr>
                  <w:noProof/>
                </w:rPr>
                <w:t xml:space="preserve">Enerdata. (2017). </w:t>
              </w:r>
              <w:r>
                <w:rPr>
                  <w:i/>
                  <w:iCs/>
                  <w:noProof/>
                </w:rPr>
                <w:t>Share of renewables in electricity production (including hydro)</w:t>
              </w:r>
              <w:r>
                <w:rPr>
                  <w:noProof/>
                </w:rPr>
                <w:t>. Retrieved July 24, 2017, from Global Energy Statistical Yearbook 2016: https://yearbook.enerdata.net/renewable-in-electricity-production-share-by-region.html</w:t>
              </w:r>
            </w:p>
            <w:p w14:paraId="657167CA" w14:textId="77777777" w:rsidR="0083796A" w:rsidRDefault="0083796A" w:rsidP="0083796A">
              <w:pPr>
                <w:pStyle w:val="Bibliography"/>
                <w:ind w:left="720" w:hanging="720"/>
                <w:rPr>
                  <w:noProof/>
                </w:rPr>
              </w:pPr>
              <w:r>
                <w:rPr>
                  <w:noProof/>
                </w:rPr>
                <w:t xml:space="preserve">Energy Research Centre of the Netherlands. (n.d.). </w:t>
              </w:r>
              <w:r>
                <w:rPr>
                  <w:i/>
                  <w:iCs/>
                  <w:noProof/>
                </w:rPr>
                <w:t>National Energy Outlook 2016.</w:t>
              </w:r>
              <w:r>
                <w:rPr>
                  <w:noProof/>
                </w:rPr>
                <w:t xml:space="preserve"> Petten: ECN.</w:t>
              </w:r>
            </w:p>
            <w:p w14:paraId="4AA7A678" w14:textId="77777777" w:rsidR="0083796A" w:rsidRDefault="0083796A" w:rsidP="0083796A">
              <w:pPr>
                <w:pStyle w:val="Bibliography"/>
                <w:ind w:left="720" w:hanging="720"/>
                <w:rPr>
                  <w:noProof/>
                </w:rPr>
              </w:pPr>
              <w:r>
                <w:rPr>
                  <w:noProof/>
                </w:rPr>
                <w:t xml:space="preserve">Energy Storage NL. (2017). </w:t>
              </w:r>
              <w:r>
                <w:rPr>
                  <w:i/>
                  <w:iCs/>
                  <w:noProof/>
                </w:rPr>
                <w:t>Organisation</w:t>
              </w:r>
              <w:r>
                <w:rPr>
                  <w:noProof/>
                </w:rPr>
                <w:t>. Retrieved July 20, 2017, from http://www.energystoragenl.nl/organisatie?lang=en</w:t>
              </w:r>
            </w:p>
            <w:p w14:paraId="1CAA2DA0" w14:textId="77777777" w:rsidR="0083796A" w:rsidRDefault="0083796A" w:rsidP="0083796A">
              <w:pPr>
                <w:pStyle w:val="Bibliography"/>
                <w:ind w:left="720" w:hanging="720"/>
                <w:rPr>
                  <w:noProof/>
                </w:rPr>
              </w:pPr>
              <w:r>
                <w:rPr>
                  <w:noProof/>
                </w:rPr>
                <w:t xml:space="preserve">European Association for Energy Storage &amp; European Energy Research Alliance. (2017). </w:t>
              </w:r>
              <w:r>
                <w:rPr>
                  <w:i/>
                  <w:iCs/>
                  <w:noProof/>
                </w:rPr>
                <w:t>Joint EASE-EERA Recommendations for a European Energy Storage Technology Development Roadmap Towards 2030 - Update.</w:t>
              </w:r>
              <w:r>
                <w:rPr>
                  <w:noProof/>
                </w:rPr>
                <w:t xml:space="preserve"> EASE-EERA.</w:t>
              </w:r>
            </w:p>
            <w:p w14:paraId="47A51968" w14:textId="77777777" w:rsidR="0083796A" w:rsidRDefault="0083796A" w:rsidP="0083796A">
              <w:pPr>
                <w:pStyle w:val="Bibliography"/>
                <w:ind w:left="720" w:hanging="720"/>
                <w:rPr>
                  <w:noProof/>
                </w:rPr>
              </w:pPr>
              <w:r>
                <w:rPr>
                  <w:noProof/>
                </w:rPr>
                <w:lastRenderedPageBreak/>
                <w:t xml:space="preserve">European Commission . (2017). </w:t>
              </w:r>
              <w:r>
                <w:rPr>
                  <w:i/>
                  <w:iCs/>
                  <w:noProof/>
                </w:rPr>
                <w:t>Energy storage - the role of electricity.</w:t>
              </w:r>
              <w:r>
                <w:rPr>
                  <w:noProof/>
                </w:rPr>
                <w:t xml:space="preserve"> Brussels: European Commission.</w:t>
              </w:r>
            </w:p>
            <w:p w14:paraId="23CC9329" w14:textId="77777777" w:rsidR="0083796A" w:rsidRDefault="0083796A" w:rsidP="0083796A">
              <w:pPr>
                <w:pStyle w:val="Bibliography"/>
                <w:ind w:left="720" w:hanging="720"/>
                <w:rPr>
                  <w:noProof/>
                </w:rPr>
              </w:pPr>
              <w:r>
                <w:rPr>
                  <w:noProof/>
                </w:rPr>
                <w:t xml:space="preserve">Geels, F. W. (2002). Technological transitions as evolutionary reconfiguration processes: a multi-level perspective and a case study. </w:t>
              </w:r>
              <w:r>
                <w:rPr>
                  <w:i/>
                  <w:iCs/>
                  <w:noProof/>
                </w:rPr>
                <w:t>Research Policy, 31</w:t>
              </w:r>
              <w:r>
                <w:rPr>
                  <w:noProof/>
                </w:rPr>
                <w:t>, 1257-1274.</w:t>
              </w:r>
            </w:p>
            <w:p w14:paraId="7A364057" w14:textId="77777777" w:rsidR="0083796A" w:rsidRDefault="0083796A" w:rsidP="0083796A">
              <w:pPr>
                <w:pStyle w:val="Bibliography"/>
                <w:ind w:left="720" w:hanging="720"/>
                <w:rPr>
                  <w:noProof/>
                </w:rPr>
              </w:pPr>
              <w:r>
                <w:rPr>
                  <w:noProof/>
                </w:rPr>
                <w:t xml:space="preserve">Geels, F. W., &amp; Schot, J. (2007). Typology of sociotechnical transition pathways. </w:t>
              </w:r>
              <w:r>
                <w:rPr>
                  <w:i/>
                  <w:iCs/>
                  <w:noProof/>
                </w:rPr>
                <w:t>Research Policy, 36</w:t>
              </w:r>
              <w:r>
                <w:rPr>
                  <w:noProof/>
                </w:rPr>
                <w:t>, 399-417.</w:t>
              </w:r>
            </w:p>
            <w:p w14:paraId="0E4F4F81" w14:textId="77777777" w:rsidR="0083796A" w:rsidRDefault="0083796A" w:rsidP="0083796A">
              <w:pPr>
                <w:pStyle w:val="Bibliography"/>
                <w:ind w:left="720" w:hanging="720"/>
                <w:rPr>
                  <w:noProof/>
                </w:rPr>
              </w:pPr>
              <w:r>
                <w:rPr>
                  <w:noProof/>
                </w:rPr>
                <w:t xml:space="preserve">Hall, J. P., &amp; Bain, E. J. (2008). Energy-storage technologies and electricity generation. </w:t>
              </w:r>
              <w:r>
                <w:rPr>
                  <w:i/>
                  <w:iCs/>
                  <w:noProof/>
                </w:rPr>
                <w:t>Energy Policy, 36</w:t>
              </w:r>
              <w:r>
                <w:rPr>
                  <w:noProof/>
                </w:rPr>
                <w:t>, 4352-4355.</w:t>
              </w:r>
            </w:p>
            <w:p w14:paraId="13A9D21F" w14:textId="77777777" w:rsidR="0083796A" w:rsidRDefault="0083796A" w:rsidP="0083796A">
              <w:pPr>
                <w:pStyle w:val="Bibliography"/>
                <w:ind w:left="720" w:hanging="720"/>
                <w:rPr>
                  <w:noProof/>
                </w:rPr>
              </w:pPr>
              <w:r>
                <w:rPr>
                  <w:noProof/>
                </w:rPr>
                <w:t xml:space="preserve">Hanania, J., Stenhouse, K., &amp; Donev, J. (n.d.). </w:t>
              </w:r>
              <w:r>
                <w:rPr>
                  <w:i/>
                  <w:iCs/>
                  <w:noProof/>
                </w:rPr>
                <w:t>Non-dispatchable source of electricity</w:t>
              </w:r>
              <w:r>
                <w:rPr>
                  <w:noProof/>
                </w:rPr>
                <w:t>. Retrieved 3 16, 2017, from http://energyeducation.ca/encyclopedia/Non-dispatchable_source_of_electricity</w:t>
              </w:r>
            </w:p>
            <w:p w14:paraId="74EEA2F6" w14:textId="77777777" w:rsidR="0083796A" w:rsidRDefault="0083796A" w:rsidP="0083796A">
              <w:pPr>
                <w:pStyle w:val="Bibliography"/>
                <w:ind w:left="720" w:hanging="720"/>
                <w:rPr>
                  <w:noProof/>
                </w:rPr>
              </w:pPr>
              <w:r>
                <w:rPr>
                  <w:noProof/>
                </w:rPr>
                <w:t xml:space="preserve">Hepburn, C. (2006). Regulation by Prices, Quantities, or Both: A Review of Instrument Choice. </w:t>
              </w:r>
              <w:r>
                <w:rPr>
                  <w:i/>
                  <w:iCs/>
                  <w:noProof/>
                </w:rPr>
                <w:t>Oxford Review of Economic Policy, 22</w:t>
              </w:r>
              <w:r>
                <w:rPr>
                  <w:noProof/>
                </w:rPr>
                <w:t>(2), 226-247.</w:t>
              </w:r>
            </w:p>
            <w:p w14:paraId="01EE9DF3" w14:textId="77777777" w:rsidR="0083796A" w:rsidRDefault="0083796A" w:rsidP="0083796A">
              <w:pPr>
                <w:pStyle w:val="Bibliography"/>
                <w:ind w:left="720" w:hanging="720"/>
                <w:rPr>
                  <w:noProof/>
                </w:rPr>
              </w:pPr>
              <w:r>
                <w:rPr>
                  <w:noProof/>
                </w:rPr>
                <w:t xml:space="preserve">Honoré, A. (2017). </w:t>
              </w:r>
              <w:r>
                <w:rPr>
                  <w:i/>
                  <w:iCs/>
                  <w:noProof/>
                </w:rPr>
                <w:t>The Dutch Gas Market: trials, tribulations and trends.</w:t>
              </w:r>
              <w:r>
                <w:rPr>
                  <w:noProof/>
                </w:rPr>
                <w:t xml:space="preserve"> Oxford: The Oxford Institute for Energy Studies.</w:t>
              </w:r>
            </w:p>
            <w:p w14:paraId="3A2E1A04" w14:textId="77777777" w:rsidR="0083796A" w:rsidRDefault="0083796A" w:rsidP="0083796A">
              <w:pPr>
                <w:pStyle w:val="Bibliography"/>
                <w:ind w:left="720" w:hanging="720"/>
                <w:rPr>
                  <w:noProof/>
                </w:rPr>
              </w:pPr>
              <w:r>
                <w:rPr>
                  <w:noProof/>
                </w:rPr>
                <w:t xml:space="preserve">Howard, K., &amp; Sharp, J. A. (1983). </w:t>
              </w:r>
              <w:r>
                <w:rPr>
                  <w:i/>
                  <w:iCs/>
                  <w:noProof/>
                </w:rPr>
                <w:t>The Management of a Student Research Project.</w:t>
              </w:r>
              <w:r>
                <w:rPr>
                  <w:noProof/>
                </w:rPr>
                <w:t xml:space="preserve"> Aldershot: Gower.</w:t>
              </w:r>
            </w:p>
            <w:p w14:paraId="15A8E1C7" w14:textId="77777777" w:rsidR="0083796A" w:rsidRDefault="0083796A" w:rsidP="0083796A">
              <w:pPr>
                <w:pStyle w:val="Bibliography"/>
                <w:ind w:left="720" w:hanging="720"/>
                <w:rPr>
                  <w:noProof/>
                </w:rPr>
              </w:pPr>
              <w:r>
                <w:rPr>
                  <w:noProof/>
                </w:rPr>
                <w:t xml:space="preserve">Howlett, M., Ramesh, M., &amp; Perl, A. (2009). </w:t>
              </w:r>
              <w:r>
                <w:rPr>
                  <w:i/>
                  <w:iCs/>
                  <w:noProof/>
                </w:rPr>
                <w:t>Studying Public Policy: Policy Cycles &amp; Policy Subsystems</w:t>
              </w:r>
              <w:r>
                <w:rPr>
                  <w:noProof/>
                </w:rPr>
                <w:t xml:space="preserve"> (3rd ed.). Oxford: Oxford University Press.</w:t>
              </w:r>
            </w:p>
            <w:p w14:paraId="0AEA3D01" w14:textId="77777777" w:rsidR="0083796A" w:rsidRDefault="0083796A" w:rsidP="0083796A">
              <w:pPr>
                <w:pStyle w:val="Bibliography"/>
                <w:ind w:left="720" w:hanging="720"/>
                <w:rPr>
                  <w:noProof/>
                </w:rPr>
              </w:pPr>
              <w:r>
                <w:rPr>
                  <w:noProof/>
                </w:rPr>
                <w:t xml:space="preserve">Huber, R. M., Ruitenbeek, J., &amp; Seroa da Motta, R. (1998). </w:t>
              </w:r>
              <w:r>
                <w:rPr>
                  <w:i/>
                  <w:iCs/>
                  <w:noProof/>
                </w:rPr>
                <w:t>Market-Based Instruments for Environmental Policymaking in Latin America and the Caribbean - Lessons from Eleven Countries.</w:t>
              </w:r>
              <w:r>
                <w:rPr>
                  <w:noProof/>
                </w:rPr>
                <w:t xml:space="preserve"> Washington, D.C.: The World Bank.</w:t>
              </w:r>
            </w:p>
            <w:p w14:paraId="5732FB32" w14:textId="77777777" w:rsidR="0083796A" w:rsidRDefault="0083796A" w:rsidP="0083796A">
              <w:pPr>
                <w:pStyle w:val="Bibliography"/>
                <w:ind w:left="720" w:hanging="720"/>
                <w:rPr>
                  <w:noProof/>
                </w:rPr>
              </w:pPr>
              <w:r>
                <w:rPr>
                  <w:noProof/>
                </w:rPr>
                <w:t xml:space="preserve">Intergovernmental Panel on Climate Change. (2014). </w:t>
              </w:r>
              <w:r>
                <w:rPr>
                  <w:i/>
                  <w:iCs/>
                  <w:noProof/>
                </w:rPr>
                <w:t>Climate Change 2014 - Synthesis Report.</w:t>
              </w:r>
              <w:r>
                <w:rPr>
                  <w:noProof/>
                </w:rPr>
                <w:t xml:space="preserve"> Geneva: Intergovernmental Panel on Climate Change.</w:t>
              </w:r>
            </w:p>
            <w:p w14:paraId="59DB90F8" w14:textId="77777777" w:rsidR="0083796A" w:rsidRDefault="0083796A" w:rsidP="0083796A">
              <w:pPr>
                <w:pStyle w:val="Bibliography"/>
                <w:ind w:left="720" w:hanging="720"/>
                <w:rPr>
                  <w:noProof/>
                </w:rPr>
              </w:pPr>
              <w:r>
                <w:rPr>
                  <w:noProof/>
                </w:rPr>
                <w:t xml:space="preserve">International Energy Agency. (2014). </w:t>
              </w:r>
              <w:r>
                <w:rPr>
                  <w:i/>
                  <w:iCs/>
                  <w:noProof/>
                </w:rPr>
                <w:t>Energy Policies of IEA Countries - The Netherlands 2014 Review.</w:t>
              </w:r>
              <w:r>
                <w:rPr>
                  <w:noProof/>
                </w:rPr>
                <w:t xml:space="preserve"> Paris: International Energy Agency.</w:t>
              </w:r>
            </w:p>
            <w:p w14:paraId="575551D5" w14:textId="77777777" w:rsidR="0083796A" w:rsidRDefault="0083796A" w:rsidP="0083796A">
              <w:pPr>
                <w:pStyle w:val="Bibliography"/>
                <w:ind w:left="720" w:hanging="720"/>
                <w:rPr>
                  <w:noProof/>
                </w:rPr>
              </w:pPr>
              <w:r>
                <w:rPr>
                  <w:noProof/>
                </w:rPr>
                <w:t xml:space="preserve">International Energy Agency. (2016a). </w:t>
              </w:r>
              <w:r>
                <w:rPr>
                  <w:i/>
                  <w:iCs/>
                  <w:noProof/>
                </w:rPr>
                <w:t>Netherlands - Energy System Overview</w:t>
              </w:r>
              <w:r>
                <w:rPr>
                  <w:noProof/>
                </w:rPr>
                <w:t>. Retrieved April 13, 2017, from http://www.iea.org/media/countries/Netherlands.pdf</w:t>
              </w:r>
            </w:p>
            <w:p w14:paraId="7F314D1D" w14:textId="77777777" w:rsidR="0083796A" w:rsidRDefault="0083796A" w:rsidP="0083796A">
              <w:pPr>
                <w:pStyle w:val="Bibliography"/>
                <w:ind w:left="720" w:hanging="720"/>
                <w:rPr>
                  <w:noProof/>
                </w:rPr>
              </w:pPr>
              <w:r>
                <w:rPr>
                  <w:noProof/>
                </w:rPr>
                <w:t xml:space="preserve">International Energy Agency. (2016b). </w:t>
              </w:r>
              <w:r>
                <w:rPr>
                  <w:i/>
                  <w:iCs/>
                  <w:noProof/>
                </w:rPr>
                <w:t>Global Renewable Energy. IEA/IRENA Joint Policies and Measures database. Netherlands statistics</w:t>
              </w:r>
              <w:r>
                <w:rPr>
                  <w:noProof/>
                </w:rPr>
                <w:t>. Retrieved July 10, 2017, from https://www.iea.org/policiesandmeasures/renewableenergy/?country=Netherlands</w:t>
              </w:r>
            </w:p>
            <w:p w14:paraId="21685197" w14:textId="77777777" w:rsidR="0083796A" w:rsidRDefault="0083796A" w:rsidP="0083796A">
              <w:pPr>
                <w:pStyle w:val="Bibliography"/>
                <w:ind w:left="720" w:hanging="720"/>
                <w:rPr>
                  <w:noProof/>
                </w:rPr>
              </w:pPr>
              <w:r>
                <w:rPr>
                  <w:noProof/>
                </w:rPr>
                <w:t xml:space="preserve">International Energy Agency. (2017). </w:t>
              </w:r>
              <w:r>
                <w:rPr>
                  <w:i/>
                  <w:iCs/>
                  <w:noProof/>
                </w:rPr>
                <w:t>Netherlands: Natural gas for 2014</w:t>
              </w:r>
              <w:r>
                <w:rPr>
                  <w:noProof/>
                </w:rPr>
                <w:t>. Retrieved July 10, 2017, from https://www.iea.org/statistics/statisticssearch/report/?year=2014&amp;country=NETHLAND&amp;product=NaturalGas</w:t>
              </w:r>
            </w:p>
            <w:p w14:paraId="3A0ED1AB" w14:textId="77777777" w:rsidR="0083796A" w:rsidRDefault="0083796A" w:rsidP="0083796A">
              <w:pPr>
                <w:pStyle w:val="Bibliography"/>
                <w:ind w:left="720" w:hanging="720"/>
                <w:rPr>
                  <w:noProof/>
                </w:rPr>
              </w:pPr>
              <w:r>
                <w:rPr>
                  <w:noProof/>
                </w:rPr>
                <w:t xml:space="preserve">Kern, F., &amp; Smith, A. (2008). Restructuring energy systems for sustainability? Energy transition policy in the Netherlands. </w:t>
              </w:r>
              <w:r>
                <w:rPr>
                  <w:i/>
                  <w:iCs/>
                  <w:noProof/>
                </w:rPr>
                <w:t>Energy Policy</w:t>
              </w:r>
              <w:r>
                <w:rPr>
                  <w:noProof/>
                </w:rPr>
                <w:t>, 4093-4103.</w:t>
              </w:r>
            </w:p>
            <w:p w14:paraId="658E4F5B" w14:textId="77777777" w:rsidR="0083796A" w:rsidRDefault="0083796A" w:rsidP="0083796A">
              <w:pPr>
                <w:pStyle w:val="Bibliography"/>
                <w:ind w:left="720" w:hanging="720"/>
                <w:rPr>
                  <w:noProof/>
                </w:rPr>
              </w:pPr>
              <w:r>
                <w:rPr>
                  <w:noProof/>
                </w:rPr>
                <w:t xml:space="preserve">Kitchin, R., &amp; Tate, N. J. (2000). </w:t>
              </w:r>
              <w:r>
                <w:rPr>
                  <w:i/>
                  <w:iCs/>
                  <w:noProof/>
                </w:rPr>
                <w:t>Conducting Research into Human Geography. Theory, methodology and practice.</w:t>
              </w:r>
              <w:r>
                <w:rPr>
                  <w:noProof/>
                </w:rPr>
                <w:t xml:space="preserve"> Harlow: Pearson Education Limited.</w:t>
              </w:r>
            </w:p>
            <w:p w14:paraId="1F8745C7" w14:textId="77777777" w:rsidR="0083796A" w:rsidRDefault="0083796A" w:rsidP="0083796A">
              <w:pPr>
                <w:pStyle w:val="Bibliography"/>
                <w:ind w:left="720" w:hanging="720"/>
                <w:rPr>
                  <w:noProof/>
                </w:rPr>
              </w:pPr>
              <w:r>
                <w:rPr>
                  <w:noProof/>
                </w:rPr>
                <w:t xml:space="preserve">Kocsis, V., &amp; Hof, B. (2016). Energy policy evaluation in practice: the case of production subsidies and DEN-B in the Netherlands. </w:t>
              </w:r>
              <w:r>
                <w:rPr>
                  <w:i/>
                  <w:iCs/>
                  <w:noProof/>
                </w:rPr>
                <w:t>Environment, Development and Sustainability</w:t>
              </w:r>
              <w:r>
                <w:rPr>
                  <w:noProof/>
                </w:rPr>
                <w:t>, 18:1433-1455.</w:t>
              </w:r>
            </w:p>
            <w:p w14:paraId="238CB677" w14:textId="77777777" w:rsidR="0083796A" w:rsidRDefault="0083796A" w:rsidP="0083796A">
              <w:pPr>
                <w:pStyle w:val="Bibliography"/>
                <w:ind w:left="720" w:hanging="720"/>
                <w:rPr>
                  <w:noProof/>
                </w:rPr>
              </w:pPr>
              <w:r>
                <w:rPr>
                  <w:noProof/>
                </w:rPr>
                <w:t xml:space="preserve">Krozer, Y. (2008). </w:t>
              </w:r>
              <w:r>
                <w:rPr>
                  <w:i/>
                  <w:iCs/>
                  <w:noProof/>
                </w:rPr>
                <w:t>Innovations and the Environment</w:t>
              </w:r>
              <w:r>
                <w:rPr>
                  <w:noProof/>
                </w:rPr>
                <w:t xml:space="preserve"> (1st ed.). London: Springer.</w:t>
              </w:r>
            </w:p>
            <w:p w14:paraId="6840BE88" w14:textId="77777777" w:rsidR="0083796A" w:rsidRDefault="0083796A" w:rsidP="0083796A">
              <w:pPr>
                <w:pStyle w:val="Bibliography"/>
                <w:ind w:left="720" w:hanging="720"/>
                <w:rPr>
                  <w:noProof/>
                </w:rPr>
              </w:pPr>
              <w:r>
                <w:rPr>
                  <w:noProof/>
                </w:rPr>
                <w:t xml:space="preserve">Loorbach, D., &amp; Rotmans, J. (n.d.). </w:t>
              </w:r>
              <w:r>
                <w:rPr>
                  <w:i/>
                  <w:iCs/>
                  <w:noProof/>
                </w:rPr>
                <w:t>Managing Transitions for Sustainable Development.</w:t>
              </w:r>
              <w:r>
                <w:rPr>
                  <w:noProof/>
                </w:rPr>
                <w:t xml:space="preserve"> International Center for Integrative Studies (ICIS), Maastricht University.</w:t>
              </w:r>
            </w:p>
            <w:p w14:paraId="16DA564E" w14:textId="77777777" w:rsidR="0083796A" w:rsidRDefault="0083796A" w:rsidP="0083796A">
              <w:pPr>
                <w:pStyle w:val="Bibliography"/>
                <w:ind w:left="720" w:hanging="720"/>
                <w:rPr>
                  <w:noProof/>
                </w:rPr>
              </w:pPr>
              <w:r>
                <w:rPr>
                  <w:noProof/>
                </w:rPr>
                <w:t xml:space="preserve">Luo, X., Wang, J., Dooner, M., &amp; Clarke, J. (2015). Overview of current development in electrical energy storage technologies and the application potential in power system operation. </w:t>
              </w:r>
              <w:r>
                <w:rPr>
                  <w:i/>
                  <w:iCs/>
                  <w:noProof/>
                </w:rPr>
                <w:t>Applied Energy, 137</w:t>
              </w:r>
              <w:r>
                <w:rPr>
                  <w:noProof/>
                </w:rPr>
                <w:t>, 511-536.</w:t>
              </w:r>
            </w:p>
            <w:p w14:paraId="512D9B38" w14:textId="77777777" w:rsidR="0083796A" w:rsidRDefault="0083796A" w:rsidP="0083796A">
              <w:pPr>
                <w:pStyle w:val="Bibliography"/>
                <w:ind w:left="720" w:hanging="720"/>
                <w:rPr>
                  <w:noProof/>
                </w:rPr>
              </w:pPr>
              <w:r>
                <w:rPr>
                  <w:noProof/>
                </w:rPr>
                <w:t xml:space="preserve">Meadowcroft, J. (2009). What about the politics? Sustainable development, transition management, and long term energy transitions. </w:t>
              </w:r>
              <w:r>
                <w:rPr>
                  <w:i/>
                  <w:iCs/>
                  <w:noProof/>
                </w:rPr>
                <w:t>Policy Sciences, 42</w:t>
              </w:r>
              <w:r>
                <w:rPr>
                  <w:noProof/>
                </w:rPr>
                <w:t>, 323-340.</w:t>
              </w:r>
            </w:p>
            <w:p w14:paraId="5DA8859D" w14:textId="77777777" w:rsidR="0083796A" w:rsidRDefault="0083796A" w:rsidP="0083796A">
              <w:pPr>
                <w:pStyle w:val="Bibliography"/>
                <w:ind w:left="720" w:hanging="720"/>
                <w:rPr>
                  <w:noProof/>
                </w:rPr>
              </w:pPr>
              <w:r>
                <w:rPr>
                  <w:noProof/>
                </w:rPr>
                <w:lastRenderedPageBreak/>
                <w:t xml:space="preserve">Meckling, J., &amp; Jenner, S. (2016). Varieties of market-based policy: Instrument choice in Climate Policy. </w:t>
              </w:r>
              <w:r>
                <w:rPr>
                  <w:i/>
                  <w:iCs/>
                  <w:noProof/>
                </w:rPr>
                <w:t>Environmental Politics, 25</w:t>
              </w:r>
              <w:r>
                <w:rPr>
                  <w:noProof/>
                </w:rPr>
                <w:t>(5), 853-874.</w:t>
              </w:r>
            </w:p>
            <w:p w14:paraId="251AC2CF" w14:textId="77777777" w:rsidR="0083796A" w:rsidRDefault="0083796A" w:rsidP="0083796A">
              <w:pPr>
                <w:pStyle w:val="Bibliography"/>
                <w:ind w:left="720" w:hanging="720"/>
                <w:rPr>
                  <w:noProof/>
                </w:rPr>
              </w:pPr>
              <w:r>
                <w:rPr>
                  <w:noProof/>
                </w:rPr>
                <w:t xml:space="preserve">Ministerie van Economische Zaken. (2014). </w:t>
              </w:r>
              <w:r>
                <w:rPr>
                  <w:i/>
                  <w:iCs/>
                  <w:noProof/>
                </w:rPr>
                <w:t>Beleidsdoorlichting. Artikel 14: Energiebeleid 2007-2012. Eindrapportage.</w:t>
              </w:r>
              <w:r>
                <w:rPr>
                  <w:noProof/>
                </w:rPr>
                <w:t xml:space="preserve"> Ministerie van Economische Zaken.</w:t>
              </w:r>
            </w:p>
            <w:p w14:paraId="0EB052D3" w14:textId="77777777" w:rsidR="0083796A" w:rsidRDefault="0083796A" w:rsidP="0083796A">
              <w:pPr>
                <w:pStyle w:val="Bibliography"/>
                <w:ind w:left="720" w:hanging="720"/>
                <w:rPr>
                  <w:noProof/>
                </w:rPr>
              </w:pPr>
              <w:r>
                <w:rPr>
                  <w:noProof/>
                </w:rPr>
                <w:t xml:space="preserve">Ministry of Economic Affairs of the Netherlands. (2016). </w:t>
              </w:r>
              <w:r>
                <w:rPr>
                  <w:i/>
                  <w:iCs/>
                  <w:noProof/>
                </w:rPr>
                <w:t>Energy Report - Transition to sustainable energy.</w:t>
              </w:r>
              <w:r>
                <w:rPr>
                  <w:noProof/>
                </w:rPr>
                <w:t xml:space="preserve"> The Hague: Ministry of Economic Affairs.</w:t>
              </w:r>
            </w:p>
            <w:p w14:paraId="1D66110B" w14:textId="77777777" w:rsidR="0083796A" w:rsidRDefault="0083796A" w:rsidP="0083796A">
              <w:pPr>
                <w:pStyle w:val="Bibliography"/>
                <w:ind w:left="720" w:hanging="720"/>
                <w:rPr>
                  <w:noProof/>
                </w:rPr>
              </w:pPr>
              <w:r>
                <w:rPr>
                  <w:noProof/>
                </w:rPr>
                <w:t xml:space="preserve">O'Leary, Z. (2004). </w:t>
              </w:r>
              <w:r>
                <w:rPr>
                  <w:i/>
                  <w:iCs/>
                  <w:noProof/>
                </w:rPr>
                <w:t>The Essential Guide to Doing Resarch.</w:t>
              </w:r>
              <w:r>
                <w:rPr>
                  <w:noProof/>
                </w:rPr>
                <w:t xml:space="preserve"> London: SAGE Publications Ltd.</w:t>
              </w:r>
            </w:p>
            <w:p w14:paraId="6FA882CC" w14:textId="77777777" w:rsidR="0083796A" w:rsidRDefault="0083796A" w:rsidP="0083796A">
              <w:pPr>
                <w:pStyle w:val="Bibliography"/>
                <w:ind w:left="720" w:hanging="720"/>
                <w:rPr>
                  <w:noProof/>
                </w:rPr>
              </w:pPr>
              <w:r>
                <w:rPr>
                  <w:noProof/>
                </w:rPr>
                <w:t xml:space="preserve">PBL Netherlands Environmental Assessment Agency. (2014). </w:t>
              </w:r>
              <w:r>
                <w:rPr>
                  <w:i/>
                  <w:iCs/>
                  <w:noProof/>
                </w:rPr>
                <w:t>Biomass: wishes and limitations</w:t>
              </w:r>
              <w:r>
                <w:rPr>
                  <w:noProof/>
                </w:rPr>
                <w:t>. Retrieved July 10, 2017, from http://infographics.pbl.nl/biomass/</w:t>
              </w:r>
            </w:p>
            <w:p w14:paraId="2EAEC7F8" w14:textId="77777777" w:rsidR="0083796A" w:rsidRDefault="0083796A" w:rsidP="0083796A">
              <w:pPr>
                <w:pStyle w:val="Bibliography"/>
                <w:ind w:left="720" w:hanging="720"/>
                <w:rPr>
                  <w:noProof/>
                </w:rPr>
              </w:pPr>
              <w:r>
                <w:rPr>
                  <w:noProof/>
                </w:rPr>
                <w:t xml:space="preserve">Phelan, C., &amp; Wren, J. (n.d.). </w:t>
              </w:r>
              <w:r>
                <w:rPr>
                  <w:i/>
                  <w:iCs/>
                  <w:noProof/>
                </w:rPr>
                <w:t>Exploring reliability in academic assessment</w:t>
              </w:r>
              <w:r>
                <w:rPr>
                  <w:noProof/>
                </w:rPr>
                <w:t>. Retrieved March 27, 2017, from https://www.uni.edu/chfasoa/reliabilityandvalidity.htm</w:t>
              </w:r>
            </w:p>
            <w:p w14:paraId="023A3250" w14:textId="77777777" w:rsidR="0083796A" w:rsidRDefault="0083796A" w:rsidP="0083796A">
              <w:pPr>
                <w:pStyle w:val="Bibliography"/>
                <w:ind w:left="720" w:hanging="720"/>
                <w:rPr>
                  <w:noProof/>
                </w:rPr>
              </w:pPr>
              <w:r>
                <w:rPr>
                  <w:noProof/>
                </w:rPr>
                <w:t xml:space="preserve">Raven, R. (2005). </w:t>
              </w:r>
              <w:r>
                <w:rPr>
                  <w:i/>
                  <w:iCs/>
                  <w:noProof/>
                </w:rPr>
                <w:t>Strategic Niche Management for Biomass: A comparative study on the experimental introduction of bioenergy technologies in the Netherlands and Denmark.</w:t>
              </w:r>
              <w:r>
                <w:rPr>
                  <w:noProof/>
                </w:rPr>
                <w:t xml:space="preserve"> Eindhoven: Eindhoven University Press.</w:t>
              </w:r>
            </w:p>
            <w:p w14:paraId="0DA8E9E7" w14:textId="77777777" w:rsidR="0083796A" w:rsidRDefault="0083796A" w:rsidP="0083796A">
              <w:pPr>
                <w:pStyle w:val="Bibliography"/>
                <w:ind w:left="720" w:hanging="720"/>
                <w:rPr>
                  <w:noProof/>
                </w:rPr>
              </w:pPr>
              <w:r>
                <w:rPr>
                  <w:noProof/>
                </w:rPr>
                <w:t xml:space="preserve">Rotmans, J., &amp; Loorbach, D. (2009). Complexity and Transition Management. </w:t>
              </w:r>
              <w:r>
                <w:rPr>
                  <w:i/>
                  <w:iCs/>
                  <w:noProof/>
                </w:rPr>
                <w:t>Journal of Industrial Ecology, 13</w:t>
              </w:r>
              <w:r>
                <w:rPr>
                  <w:noProof/>
                </w:rPr>
                <w:t>(2), 184-194.</w:t>
              </w:r>
            </w:p>
            <w:p w14:paraId="2421F74C" w14:textId="77777777" w:rsidR="0083796A" w:rsidRDefault="0083796A" w:rsidP="0083796A">
              <w:pPr>
                <w:pStyle w:val="Bibliography"/>
                <w:ind w:left="720" w:hanging="720"/>
                <w:rPr>
                  <w:noProof/>
                </w:rPr>
              </w:pPr>
              <w:r>
                <w:rPr>
                  <w:noProof/>
                </w:rPr>
                <w:t xml:space="preserve">Rotmans, J., Kemp, R., &amp; van Asselt, M. (2001). More Evolution than Revolution: Transition Management in Public Policy. </w:t>
              </w:r>
              <w:r>
                <w:rPr>
                  <w:i/>
                  <w:iCs/>
                  <w:noProof/>
                </w:rPr>
                <w:t>Foresight, 3</w:t>
              </w:r>
              <w:r>
                <w:rPr>
                  <w:noProof/>
                </w:rPr>
                <w:t>(1), 15-31.</w:t>
              </w:r>
            </w:p>
            <w:p w14:paraId="4618E7D0" w14:textId="77777777" w:rsidR="0083796A" w:rsidRDefault="0083796A" w:rsidP="0083796A">
              <w:pPr>
                <w:pStyle w:val="Bibliography"/>
                <w:ind w:left="720" w:hanging="720"/>
                <w:rPr>
                  <w:noProof/>
                </w:rPr>
              </w:pPr>
              <w:r>
                <w:rPr>
                  <w:noProof/>
                </w:rPr>
                <w:t xml:space="preserve">Schleisner, L. (2000). Life cycle assessment of a wind farm and related externalities. </w:t>
              </w:r>
              <w:r>
                <w:rPr>
                  <w:i/>
                  <w:iCs/>
                  <w:noProof/>
                </w:rPr>
                <w:t>Renewable Energy, 20</w:t>
              </w:r>
              <w:r>
                <w:rPr>
                  <w:noProof/>
                </w:rPr>
                <w:t>, 279-288.</w:t>
              </w:r>
            </w:p>
            <w:p w14:paraId="44820229" w14:textId="77777777" w:rsidR="0083796A" w:rsidRDefault="0083796A" w:rsidP="0083796A">
              <w:pPr>
                <w:pStyle w:val="Bibliography"/>
                <w:ind w:left="720" w:hanging="720"/>
                <w:rPr>
                  <w:noProof/>
                </w:rPr>
              </w:pPr>
              <w:r>
                <w:rPr>
                  <w:noProof/>
                </w:rPr>
                <w:t xml:space="preserve">Schot, J., &amp; Geels, F. W. (2008). Strategic niche management and sustainable innovation journeys: theory, findings, research agenda, and policy. </w:t>
              </w:r>
              <w:r>
                <w:rPr>
                  <w:i/>
                  <w:iCs/>
                  <w:noProof/>
                </w:rPr>
                <w:t>Technology Analysis &amp; Strategic Management, 20</w:t>
              </w:r>
              <w:r>
                <w:rPr>
                  <w:noProof/>
                </w:rPr>
                <w:t>(5), 537-554.</w:t>
              </w:r>
            </w:p>
            <w:p w14:paraId="4A99B270" w14:textId="77777777" w:rsidR="0083796A" w:rsidRDefault="0083796A" w:rsidP="0083796A">
              <w:pPr>
                <w:pStyle w:val="Bibliography"/>
                <w:ind w:left="720" w:hanging="720"/>
                <w:rPr>
                  <w:noProof/>
                </w:rPr>
              </w:pPr>
              <w:r>
                <w:rPr>
                  <w:noProof/>
                </w:rPr>
                <w:t xml:space="preserve">Social and Economic Council. (2013). </w:t>
              </w:r>
              <w:r>
                <w:rPr>
                  <w:i/>
                  <w:iCs/>
                  <w:noProof/>
                </w:rPr>
                <w:t>Summary of: Energy Agreement for Sustainable Growth .</w:t>
              </w:r>
              <w:r>
                <w:rPr>
                  <w:noProof/>
                </w:rPr>
                <w:t xml:space="preserve"> Social and Economic Council.</w:t>
              </w:r>
            </w:p>
            <w:p w14:paraId="055F60D6" w14:textId="77777777" w:rsidR="0083796A" w:rsidRDefault="0083796A" w:rsidP="0083796A">
              <w:pPr>
                <w:pStyle w:val="Bibliography"/>
                <w:ind w:left="720" w:hanging="720"/>
                <w:rPr>
                  <w:noProof/>
                </w:rPr>
              </w:pPr>
              <w:r>
                <w:rPr>
                  <w:noProof/>
                </w:rPr>
                <w:t xml:space="preserve">Statistics Netherlands. (2015). </w:t>
              </w:r>
              <w:r>
                <w:rPr>
                  <w:i/>
                  <w:iCs/>
                  <w:noProof/>
                </w:rPr>
                <w:t>Green growth in the Netherlands 2015.</w:t>
              </w:r>
              <w:r>
                <w:rPr>
                  <w:noProof/>
                </w:rPr>
                <w:t xml:space="preserve"> The Hague: Statistics Netherlands.</w:t>
              </w:r>
            </w:p>
            <w:p w14:paraId="3712A5AB" w14:textId="77777777" w:rsidR="0083796A" w:rsidRDefault="0083796A" w:rsidP="0083796A">
              <w:pPr>
                <w:pStyle w:val="Bibliography"/>
                <w:ind w:left="720" w:hanging="720"/>
                <w:rPr>
                  <w:noProof/>
                </w:rPr>
              </w:pPr>
              <w:r>
                <w:rPr>
                  <w:noProof/>
                </w:rPr>
                <w:t xml:space="preserve">Stewart, R. B. (2008). Instrument Choice. In D. Bodansky, J. Brunné, &amp; E. Hey (Eds.), </w:t>
              </w:r>
              <w:r>
                <w:rPr>
                  <w:i/>
                  <w:iCs/>
                  <w:noProof/>
                </w:rPr>
                <w:t>Handbook of International Environmental Law</w:t>
              </w:r>
              <w:r>
                <w:rPr>
                  <w:noProof/>
                </w:rPr>
                <w:t xml:space="preserve"> (pp. 147-181). Oxford: Oxford University Press.</w:t>
              </w:r>
            </w:p>
            <w:p w14:paraId="616A663D" w14:textId="77777777" w:rsidR="0083796A" w:rsidRDefault="0083796A" w:rsidP="0083796A">
              <w:pPr>
                <w:pStyle w:val="Bibliography"/>
                <w:ind w:left="720" w:hanging="720"/>
                <w:rPr>
                  <w:noProof/>
                </w:rPr>
              </w:pPr>
              <w:r>
                <w:rPr>
                  <w:noProof/>
                </w:rPr>
                <w:t xml:space="preserve">TenneT. (n.d.). </w:t>
              </w:r>
              <w:r>
                <w:rPr>
                  <w:i/>
                  <w:iCs/>
                  <w:noProof/>
                </w:rPr>
                <w:t>Primary Reserve</w:t>
              </w:r>
              <w:r>
                <w:rPr>
                  <w:noProof/>
                </w:rPr>
                <w:t>. Retrieved July 1, 2017, from TenneT: http://www.tennet.org/english/operational_management/system_data_preparation/primary_reserve.aspx</w:t>
              </w:r>
            </w:p>
            <w:p w14:paraId="49E11930" w14:textId="77777777" w:rsidR="0083796A" w:rsidRDefault="0083796A" w:rsidP="0083796A">
              <w:pPr>
                <w:pStyle w:val="Bibliography"/>
                <w:ind w:left="720" w:hanging="720"/>
                <w:rPr>
                  <w:noProof/>
                </w:rPr>
              </w:pPr>
              <w:r>
                <w:rPr>
                  <w:noProof/>
                </w:rPr>
                <w:t xml:space="preserve">Tesla. (2017). </w:t>
              </w:r>
              <w:r>
                <w:rPr>
                  <w:i/>
                  <w:iCs/>
                  <w:noProof/>
                </w:rPr>
                <w:t>Solar Roof</w:t>
              </w:r>
              <w:r>
                <w:rPr>
                  <w:noProof/>
                </w:rPr>
                <w:t>. Retrieved July 27, 2017, from https://www.tesla.com/en_GB/solarroof?redirect=no</w:t>
              </w:r>
            </w:p>
            <w:p w14:paraId="5B9016E9" w14:textId="77777777" w:rsidR="0083796A" w:rsidRDefault="0083796A" w:rsidP="0083796A">
              <w:pPr>
                <w:pStyle w:val="Bibliography"/>
                <w:ind w:left="720" w:hanging="720"/>
                <w:rPr>
                  <w:noProof/>
                </w:rPr>
              </w:pPr>
              <w:r>
                <w:rPr>
                  <w:noProof/>
                </w:rPr>
                <w:t xml:space="preserve">The BErkeley Atmospheric CO2 Observation Network. (2017). </w:t>
              </w:r>
              <w:r>
                <w:rPr>
                  <w:i/>
                  <w:iCs/>
                  <w:noProof/>
                </w:rPr>
                <w:t>What is a Greenhouse Gas?</w:t>
              </w:r>
              <w:r>
                <w:rPr>
                  <w:noProof/>
                </w:rPr>
                <w:t xml:space="preserve"> Retrieved July 24, 2017, from The BErkeley Atmospheric CO2 Observation Network: http://beacon.berkeley.edu/GHGs.aspx</w:t>
              </w:r>
            </w:p>
            <w:p w14:paraId="41CBC5A1" w14:textId="77777777" w:rsidR="0083796A" w:rsidRDefault="0083796A" w:rsidP="0083796A">
              <w:pPr>
                <w:pStyle w:val="Bibliography"/>
                <w:ind w:left="720" w:hanging="720"/>
                <w:rPr>
                  <w:noProof/>
                </w:rPr>
              </w:pPr>
              <w:r>
                <w:rPr>
                  <w:noProof/>
                </w:rPr>
                <w:t xml:space="preserve">The Windpower. (2017). </w:t>
              </w:r>
              <w:r>
                <w:rPr>
                  <w:i/>
                  <w:iCs/>
                  <w:noProof/>
                </w:rPr>
                <w:t>Production capacities. Netherlands</w:t>
              </w:r>
              <w:r>
                <w:rPr>
                  <w:noProof/>
                </w:rPr>
                <w:t>. Retrieved July 20, 2017</w:t>
              </w:r>
            </w:p>
            <w:p w14:paraId="41699B4A" w14:textId="77777777" w:rsidR="0083796A" w:rsidRDefault="0083796A" w:rsidP="0083796A">
              <w:pPr>
                <w:pStyle w:val="Bibliography"/>
                <w:ind w:left="720" w:hanging="720"/>
                <w:rPr>
                  <w:noProof/>
                </w:rPr>
              </w:pPr>
              <w:r>
                <w:rPr>
                  <w:noProof/>
                </w:rPr>
                <w:t xml:space="preserve">The World Bank. (1997). </w:t>
              </w:r>
              <w:r>
                <w:rPr>
                  <w:i/>
                  <w:iCs/>
                  <w:noProof/>
                </w:rPr>
                <w:t>Five Years After Rio: Innovations in Environmental Policy.</w:t>
              </w:r>
              <w:r>
                <w:rPr>
                  <w:noProof/>
                </w:rPr>
                <w:t xml:space="preserve"> Washington, D.C.: The International Bank for Reconstruction and Development/The World Bank.</w:t>
              </w:r>
            </w:p>
            <w:p w14:paraId="0B772BA5" w14:textId="77777777" w:rsidR="0083796A" w:rsidRDefault="0083796A" w:rsidP="0083796A">
              <w:pPr>
                <w:pStyle w:val="Bibliography"/>
                <w:ind w:left="720" w:hanging="720"/>
                <w:rPr>
                  <w:noProof/>
                </w:rPr>
              </w:pPr>
              <w:r>
                <w:rPr>
                  <w:noProof/>
                </w:rPr>
                <w:t xml:space="preserve">Thomas, G. (2013). </w:t>
              </w:r>
              <w:r>
                <w:rPr>
                  <w:i/>
                  <w:iCs/>
                  <w:noProof/>
                </w:rPr>
                <w:t>How to do your research project: a guide for students in education and applied social sciences.</w:t>
              </w:r>
              <w:r>
                <w:rPr>
                  <w:noProof/>
                </w:rPr>
                <w:t xml:space="preserve"> London: SAGE Publications Ltd.</w:t>
              </w:r>
            </w:p>
            <w:p w14:paraId="75D21089" w14:textId="77777777" w:rsidR="0083796A" w:rsidRDefault="0083796A" w:rsidP="0083796A">
              <w:pPr>
                <w:pStyle w:val="Bibliography"/>
                <w:ind w:left="720" w:hanging="720"/>
                <w:rPr>
                  <w:noProof/>
                </w:rPr>
              </w:pPr>
              <w:r>
                <w:rPr>
                  <w:noProof/>
                </w:rPr>
                <w:t xml:space="preserve">Twidell, J., &amp; Weir, T. (2006). </w:t>
              </w:r>
              <w:r>
                <w:rPr>
                  <w:i/>
                  <w:iCs/>
                  <w:noProof/>
                </w:rPr>
                <w:t>Renewable Energy Resources</w:t>
              </w:r>
              <w:r>
                <w:rPr>
                  <w:noProof/>
                </w:rPr>
                <w:t xml:space="preserve"> (2nd ed.). Abingdon, Oxon: E&amp;FN Spon Ltd.</w:t>
              </w:r>
            </w:p>
            <w:p w14:paraId="16D14F6F" w14:textId="77777777" w:rsidR="0083796A" w:rsidRDefault="0083796A" w:rsidP="0083796A">
              <w:pPr>
                <w:pStyle w:val="Bibliography"/>
                <w:ind w:left="720" w:hanging="720"/>
                <w:rPr>
                  <w:noProof/>
                </w:rPr>
              </w:pPr>
              <w:r>
                <w:rPr>
                  <w:noProof/>
                </w:rPr>
                <w:t xml:space="preserve">U.S. Environmental Protection Agency. (2016). </w:t>
              </w:r>
              <w:r>
                <w:rPr>
                  <w:i/>
                  <w:iCs/>
                  <w:noProof/>
                </w:rPr>
                <w:t>Climate change indicators in the United States, 2016, Fourth Edition.</w:t>
              </w:r>
              <w:r>
                <w:rPr>
                  <w:noProof/>
                </w:rPr>
                <w:t xml:space="preserve"> EPA 430-R-16-004.</w:t>
              </w:r>
            </w:p>
            <w:p w14:paraId="76E10BF2" w14:textId="77777777" w:rsidR="0083796A" w:rsidRDefault="0083796A" w:rsidP="0083796A">
              <w:pPr>
                <w:pStyle w:val="Bibliography"/>
                <w:ind w:left="720" w:hanging="720"/>
                <w:rPr>
                  <w:noProof/>
                </w:rPr>
              </w:pPr>
              <w:r>
                <w:rPr>
                  <w:noProof/>
                </w:rPr>
                <w:lastRenderedPageBreak/>
                <w:t xml:space="preserve">United Nations . (n.d.). </w:t>
              </w:r>
              <w:r>
                <w:rPr>
                  <w:i/>
                  <w:iCs/>
                  <w:noProof/>
                </w:rPr>
                <w:t>The Paris Agreement</w:t>
              </w:r>
              <w:r>
                <w:rPr>
                  <w:noProof/>
                </w:rPr>
                <w:t>. Retrieved July 24, 2017, from United Nations Framework Convention on Climate Change: http://unfccc.int/paris_agreement/items/9485.php</w:t>
              </w:r>
            </w:p>
            <w:p w14:paraId="32942CB7" w14:textId="77777777" w:rsidR="0083796A" w:rsidRDefault="0083796A" w:rsidP="0083796A">
              <w:pPr>
                <w:pStyle w:val="Bibliography"/>
                <w:ind w:left="720" w:hanging="720"/>
                <w:rPr>
                  <w:noProof/>
                </w:rPr>
              </w:pPr>
              <w:r>
                <w:rPr>
                  <w:noProof/>
                </w:rPr>
                <w:t xml:space="preserve">United Nations Development Programme. (2000). </w:t>
              </w:r>
              <w:r>
                <w:rPr>
                  <w:i/>
                  <w:iCs/>
                  <w:noProof/>
                </w:rPr>
                <w:t>World Energy Assessment. Energy and the challenge of sustainability.</w:t>
              </w:r>
              <w:r>
                <w:rPr>
                  <w:noProof/>
                </w:rPr>
                <w:t xml:space="preserve"> New York: UNDP.</w:t>
              </w:r>
            </w:p>
            <w:p w14:paraId="79842E3C" w14:textId="77777777" w:rsidR="0083796A" w:rsidRDefault="0083796A" w:rsidP="0083796A">
              <w:pPr>
                <w:pStyle w:val="Bibliography"/>
                <w:ind w:left="720" w:hanging="720"/>
                <w:rPr>
                  <w:noProof/>
                </w:rPr>
              </w:pPr>
              <w:r>
                <w:rPr>
                  <w:noProof/>
                </w:rPr>
                <w:t xml:space="preserve">University of California, Berkeley. (2017). </w:t>
              </w:r>
              <w:r>
                <w:rPr>
                  <w:i/>
                  <w:iCs/>
                  <w:noProof/>
                </w:rPr>
                <w:t>What is a Greenhouse Gas?</w:t>
              </w:r>
              <w:r>
                <w:rPr>
                  <w:noProof/>
                </w:rPr>
                <w:t xml:space="preserve"> Retrieved March 20, 2017, from http://beacon.berkeley.edu/GHGs.aspx</w:t>
              </w:r>
            </w:p>
            <w:p w14:paraId="5EEEB81E" w14:textId="77777777" w:rsidR="0083796A" w:rsidRDefault="0083796A" w:rsidP="0083796A">
              <w:pPr>
                <w:pStyle w:val="Bibliography"/>
                <w:ind w:left="720" w:hanging="720"/>
                <w:rPr>
                  <w:noProof/>
                </w:rPr>
              </w:pPr>
              <w:r>
                <w:rPr>
                  <w:noProof/>
                </w:rPr>
                <w:t xml:space="preserve">van de Water, S. (2014). </w:t>
              </w:r>
              <w:r>
                <w:rPr>
                  <w:i/>
                  <w:iCs/>
                  <w:noProof/>
                </w:rPr>
                <w:t>The impact of net metering regulations on the Dutch solar PV market. An analysis of past developments and the impact of future alternatives.</w:t>
              </w:r>
              <w:r>
                <w:rPr>
                  <w:noProof/>
                </w:rPr>
                <w:t xml:space="preserve"> Eindhoven: Eindhoven University of Technology.</w:t>
              </w:r>
            </w:p>
            <w:p w14:paraId="071A4EB6" w14:textId="77777777" w:rsidR="0083796A" w:rsidRDefault="0083796A" w:rsidP="0083796A">
              <w:pPr>
                <w:pStyle w:val="Bibliography"/>
                <w:ind w:left="720" w:hanging="720"/>
                <w:rPr>
                  <w:noProof/>
                </w:rPr>
              </w:pPr>
              <w:r>
                <w:rPr>
                  <w:noProof/>
                </w:rPr>
                <w:t xml:space="preserve">Verdolini, E., &amp; Bosetti, V. (2017). Environmental Policy and the International Diffusion of Cleaner Energy Technologies. </w:t>
              </w:r>
              <w:r>
                <w:rPr>
                  <w:i/>
                  <w:iCs/>
                  <w:noProof/>
                </w:rPr>
                <w:t>Environmental Resource Economics, 66</w:t>
              </w:r>
              <w:r>
                <w:rPr>
                  <w:noProof/>
                </w:rPr>
                <w:t>, 497-536.</w:t>
              </w:r>
            </w:p>
            <w:p w14:paraId="174A609B" w14:textId="77777777" w:rsidR="0083796A" w:rsidRDefault="0083796A" w:rsidP="0083796A">
              <w:pPr>
                <w:pStyle w:val="Bibliography"/>
                <w:ind w:left="720" w:hanging="720"/>
                <w:rPr>
                  <w:noProof/>
                </w:rPr>
              </w:pPr>
              <w:r>
                <w:rPr>
                  <w:noProof/>
                </w:rPr>
                <w:t xml:space="preserve">Vollebergh, H. (2014). </w:t>
              </w:r>
              <w:r>
                <w:rPr>
                  <w:i/>
                  <w:iCs/>
                  <w:noProof/>
                </w:rPr>
                <w:t>Green tax reform: Energy tax challenges for the Netherlands.</w:t>
              </w:r>
              <w:r>
                <w:rPr>
                  <w:noProof/>
                </w:rPr>
                <w:t xml:space="preserve"> The Hague: PBL Netherlands Environmental Assessment Agency.</w:t>
              </w:r>
            </w:p>
            <w:p w14:paraId="1B68CE89" w14:textId="77777777" w:rsidR="0083796A" w:rsidRDefault="0083796A" w:rsidP="0083796A">
              <w:pPr>
                <w:pStyle w:val="Bibliography"/>
                <w:ind w:left="720" w:hanging="720"/>
                <w:rPr>
                  <w:noProof/>
                </w:rPr>
              </w:pPr>
              <w:r>
                <w:rPr>
                  <w:noProof/>
                </w:rPr>
                <w:t xml:space="preserve">World Commission on Environment and Development. (1987). </w:t>
              </w:r>
              <w:r>
                <w:rPr>
                  <w:i/>
                  <w:iCs/>
                  <w:noProof/>
                </w:rPr>
                <w:t>Our Common Future.</w:t>
              </w:r>
              <w:r>
                <w:rPr>
                  <w:noProof/>
                </w:rPr>
                <w:t xml:space="preserve"> WCED.</w:t>
              </w:r>
            </w:p>
            <w:p w14:paraId="1EC82867" w14:textId="77777777" w:rsidR="0083796A" w:rsidRDefault="0083796A" w:rsidP="0083796A">
              <w:pPr>
                <w:pStyle w:val="Bibliography"/>
                <w:ind w:left="720" w:hanging="720"/>
                <w:rPr>
                  <w:noProof/>
                </w:rPr>
              </w:pPr>
              <w:r>
                <w:rPr>
                  <w:noProof/>
                </w:rPr>
                <w:t xml:space="preserve">World Energy Council. (2016). </w:t>
              </w:r>
              <w:r>
                <w:rPr>
                  <w:i/>
                  <w:iCs/>
                  <w:noProof/>
                </w:rPr>
                <w:t>World Energy Resources 2016 Summary.</w:t>
              </w:r>
              <w:r>
                <w:rPr>
                  <w:noProof/>
                </w:rPr>
                <w:t xml:space="preserve"> London: World Energy Council.</w:t>
              </w:r>
            </w:p>
            <w:p w14:paraId="7FC2A798" w14:textId="77777777" w:rsidR="0083796A" w:rsidRDefault="0083796A" w:rsidP="0083796A">
              <w:pPr>
                <w:pStyle w:val="Bibliography"/>
                <w:ind w:left="720" w:hanging="720"/>
                <w:rPr>
                  <w:noProof/>
                </w:rPr>
              </w:pPr>
              <w:r>
                <w:rPr>
                  <w:noProof/>
                </w:rPr>
                <w:t xml:space="preserve">World Energy Council. (2017). </w:t>
              </w:r>
              <w:r>
                <w:rPr>
                  <w:i/>
                  <w:iCs/>
                  <w:noProof/>
                </w:rPr>
                <w:t>Energy Resources: Solar</w:t>
              </w:r>
              <w:r>
                <w:rPr>
                  <w:noProof/>
                </w:rPr>
                <w:t>. Retrieved July 11, 2017, from https://www.worldenergy.org/data/resources/resource/solar/</w:t>
              </w:r>
            </w:p>
            <w:p w14:paraId="69A46A8D" w14:textId="77777777" w:rsidR="0083796A" w:rsidRDefault="0083796A" w:rsidP="0083796A">
              <w:pPr>
                <w:pStyle w:val="Bibliography"/>
                <w:ind w:left="720" w:hanging="720"/>
                <w:rPr>
                  <w:noProof/>
                </w:rPr>
              </w:pPr>
              <w:r>
                <w:rPr>
                  <w:noProof/>
                </w:rPr>
                <w:t xml:space="preserve">Zhao, H., Wu, Q., Hu, S., Xu, H., &amp; Rasmussen, C. N. (2015). Review of energy storage system for wind power integration support. </w:t>
              </w:r>
              <w:r>
                <w:rPr>
                  <w:i/>
                  <w:iCs/>
                  <w:noProof/>
                </w:rPr>
                <w:t>Applied Energy, 137</w:t>
              </w:r>
              <w:r>
                <w:rPr>
                  <w:noProof/>
                </w:rPr>
                <w:t>, 545-553.</w:t>
              </w:r>
            </w:p>
            <w:p w14:paraId="039463E1" w14:textId="675DAEFA" w:rsidR="00B318F5" w:rsidRDefault="00B318F5" w:rsidP="0083796A">
              <w:r>
                <w:rPr>
                  <w:b/>
                  <w:bCs/>
                  <w:noProof/>
                </w:rPr>
                <w:fldChar w:fldCharType="end"/>
              </w:r>
            </w:p>
          </w:sdtContent>
        </w:sdt>
      </w:sdtContent>
    </w:sdt>
    <w:p w14:paraId="1A12C211" w14:textId="77777777" w:rsidR="00903B81" w:rsidRDefault="00903B81" w:rsidP="005676F6">
      <w:pPr>
        <w:pStyle w:val="Samenvatting"/>
        <w:ind w:left="0"/>
      </w:pPr>
    </w:p>
    <w:p w14:paraId="3298DC61" w14:textId="77777777" w:rsidR="00903B81" w:rsidRDefault="00903B81" w:rsidP="005676F6">
      <w:pPr>
        <w:pStyle w:val="Samenvatting"/>
        <w:ind w:left="0"/>
      </w:pPr>
    </w:p>
    <w:p w14:paraId="163FDC9A" w14:textId="77777777" w:rsidR="00903B81" w:rsidRDefault="00903B81" w:rsidP="005676F6">
      <w:pPr>
        <w:pStyle w:val="Samenvatting"/>
        <w:ind w:left="0"/>
      </w:pPr>
    </w:p>
    <w:p w14:paraId="770F1682" w14:textId="77777777" w:rsidR="00903B81" w:rsidRDefault="00903B81" w:rsidP="005676F6">
      <w:pPr>
        <w:pStyle w:val="Samenvatting"/>
        <w:ind w:left="0"/>
      </w:pPr>
    </w:p>
    <w:p w14:paraId="4F2A7031" w14:textId="77777777" w:rsidR="00903B81" w:rsidRDefault="00903B81" w:rsidP="005676F6">
      <w:pPr>
        <w:pStyle w:val="Samenvatting"/>
        <w:ind w:left="0"/>
      </w:pPr>
    </w:p>
    <w:p w14:paraId="266D0113" w14:textId="77777777" w:rsidR="00903B81" w:rsidRDefault="00903B81" w:rsidP="005676F6">
      <w:pPr>
        <w:pStyle w:val="Samenvatting"/>
        <w:ind w:left="0"/>
      </w:pPr>
    </w:p>
    <w:p w14:paraId="5C24363B" w14:textId="77777777" w:rsidR="00903B81" w:rsidRDefault="00903B81" w:rsidP="005676F6">
      <w:pPr>
        <w:pStyle w:val="Samenvatting"/>
        <w:ind w:left="0"/>
      </w:pPr>
    </w:p>
    <w:p w14:paraId="49B13D5B" w14:textId="77777777" w:rsidR="00903B81" w:rsidRDefault="00903B81" w:rsidP="005676F6">
      <w:pPr>
        <w:pStyle w:val="Samenvatting"/>
        <w:ind w:left="0"/>
      </w:pPr>
    </w:p>
    <w:p w14:paraId="7A4CEA26" w14:textId="6DE00F9E" w:rsidR="00903B81" w:rsidRDefault="00903B81" w:rsidP="005676F6">
      <w:pPr>
        <w:pStyle w:val="Samenvatting"/>
        <w:ind w:left="0"/>
      </w:pPr>
    </w:p>
    <w:p w14:paraId="47C40AA6" w14:textId="77777777" w:rsidR="005A16A9" w:rsidRPr="005A16A9" w:rsidRDefault="005A16A9" w:rsidP="005A16A9"/>
    <w:p w14:paraId="30095731" w14:textId="77777777" w:rsidR="00903B81" w:rsidRDefault="00903B81" w:rsidP="005676F6">
      <w:pPr>
        <w:pStyle w:val="Samenvatting"/>
        <w:ind w:left="0"/>
      </w:pPr>
    </w:p>
    <w:p w14:paraId="070B248A" w14:textId="09DAF583" w:rsidR="00554CE2" w:rsidRDefault="005676F6" w:rsidP="005676F6">
      <w:pPr>
        <w:pStyle w:val="Samenvatting"/>
        <w:ind w:left="0"/>
      </w:pPr>
      <w:r>
        <w:lastRenderedPageBreak/>
        <w:t>Appendices</w:t>
      </w:r>
    </w:p>
    <w:p w14:paraId="2A1434E1" w14:textId="4945B785" w:rsidR="00BE346F" w:rsidRPr="005676F6" w:rsidRDefault="00BE346F" w:rsidP="00B03D70">
      <w:pPr>
        <w:pStyle w:val="Samenvatting"/>
        <w:ind w:left="0" w:right="849"/>
        <w:rPr>
          <w:sz w:val="24"/>
          <w:szCs w:val="24"/>
        </w:rPr>
      </w:pPr>
      <w:r w:rsidRPr="005676F6">
        <w:rPr>
          <w:sz w:val="24"/>
          <w:szCs w:val="24"/>
        </w:rPr>
        <w:t>A</w:t>
      </w:r>
      <w:r w:rsidR="005676F6">
        <w:rPr>
          <w:caps w:val="0"/>
          <w:sz w:val="24"/>
          <w:szCs w:val="24"/>
        </w:rPr>
        <w:t>ppendix A – List of I</w:t>
      </w:r>
      <w:r w:rsidR="005676F6" w:rsidRPr="005676F6">
        <w:rPr>
          <w:caps w:val="0"/>
          <w:sz w:val="24"/>
          <w:szCs w:val="24"/>
        </w:rPr>
        <w:t>nterviewees</w:t>
      </w:r>
    </w:p>
    <w:p w14:paraId="45092EE2" w14:textId="0C586541" w:rsidR="00BE346F" w:rsidRDefault="00BE346F" w:rsidP="00BE346F"/>
    <w:tbl>
      <w:tblPr>
        <w:tblStyle w:val="Tabellen"/>
        <w:tblW w:w="0" w:type="auto"/>
        <w:jc w:val="center"/>
        <w:tblInd w:w="0" w:type="dxa"/>
        <w:tblLook w:val="04A0" w:firstRow="1" w:lastRow="0" w:firstColumn="1" w:lastColumn="0" w:noHBand="0" w:noVBand="1"/>
      </w:tblPr>
      <w:tblGrid>
        <w:gridCol w:w="2376"/>
        <w:gridCol w:w="5442"/>
      </w:tblGrid>
      <w:tr w:rsidR="00BE346F" w14:paraId="0EA99655" w14:textId="77777777" w:rsidTr="00BE346F">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376" w:type="dxa"/>
            <w:hideMark/>
          </w:tcPr>
          <w:p w14:paraId="652FA837" w14:textId="77777777" w:rsidR="00BE346F" w:rsidRDefault="00BE346F">
            <w:pPr>
              <w:ind w:left="0"/>
              <w:rPr>
                <w:lang w:val="nl-NL"/>
              </w:rPr>
            </w:pPr>
            <w:r>
              <w:rPr>
                <w:lang w:val="nl-NL"/>
              </w:rPr>
              <w:t xml:space="preserve">Interviewee Reference </w:t>
            </w:r>
          </w:p>
        </w:tc>
        <w:tc>
          <w:tcPr>
            <w:tcW w:w="5442" w:type="dxa"/>
            <w:hideMark/>
          </w:tcPr>
          <w:p w14:paraId="70552CEE" w14:textId="77777777" w:rsidR="00BE346F" w:rsidRDefault="00BE346F">
            <w:pPr>
              <w:ind w:left="0"/>
              <w:cnfStyle w:val="100000000000" w:firstRow="1" w:lastRow="0" w:firstColumn="0" w:lastColumn="0" w:oddVBand="0" w:evenVBand="0" w:oddHBand="0" w:evenHBand="0" w:firstRowFirstColumn="0" w:firstRowLastColumn="0" w:lastRowFirstColumn="0" w:lastRowLastColumn="0"/>
              <w:rPr>
                <w:lang w:val="nl-NL"/>
              </w:rPr>
            </w:pPr>
            <w:r>
              <w:rPr>
                <w:lang w:val="nl-NL"/>
              </w:rPr>
              <w:t xml:space="preserve">Role / Job Description </w:t>
            </w:r>
          </w:p>
        </w:tc>
      </w:tr>
      <w:tr w:rsidR="00BE346F" w14:paraId="1F1A6A9C"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1AF8F5B3" w14:textId="77777777" w:rsidR="00BE346F" w:rsidRDefault="00BE346F">
            <w:pPr>
              <w:ind w:left="0"/>
              <w:rPr>
                <w:lang w:val="nl-NL"/>
              </w:rPr>
            </w:pPr>
            <w:r>
              <w:rPr>
                <w:lang w:val="nl-NL"/>
              </w:rPr>
              <w:t>Interviewee A</w:t>
            </w:r>
          </w:p>
        </w:tc>
        <w:tc>
          <w:tcPr>
            <w:tcW w:w="5442" w:type="dxa"/>
            <w:hideMark/>
          </w:tcPr>
          <w:p w14:paraId="5BF69E0E"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Company Founder: Developer of Flow Battery Systems</w:t>
            </w:r>
          </w:p>
        </w:tc>
      </w:tr>
      <w:tr w:rsidR="00BE346F" w14:paraId="78DB1014"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5378AF3F" w14:textId="77777777" w:rsidR="00BE346F" w:rsidRDefault="00BE346F">
            <w:pPr>
              <w:ind w:left="0"/>
              <w:rPr>
                <w:lang w:val="nl-NL"/>
              </w:rPr>
            </w:pPr>
            <w:r>
              <w:rPr>
                <w:lang w:val="nl-NL"/>
              </w:rPr>
              <w:t>Interviewee B</w:t>
            </w:r>
          </w:p>
        </w:tc>
        <w:tc>
          <w:tcPr>
            <w:tcW w:w="5442" w:type="dxa"/>
            <w:hideMark/>
          </w:tcPr>
          <w:p w14:paraId="57E7F627" w14:textId="77777777"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 xml:space="preserve">Postdoctoral fellow researcher: DC Systems, Energy Conversion and Storage </w:t>
            </w:r>
          </w:p>
        </w:tc>
      </w:tr>
      <w:tr w:rsidR="00BE346F" w14:paraId="23EB4BB7"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0704CE46" w14:textId="77777777" w:rsidR="00BE346F" w:rsidRDefault="00BE346F">
            <w:pPr>
              <w:ind w:left="0"/>
              <w:rPr>
                <w:lang w:val="nl-NL"/>
              </w:rPr>
            </w:pPr>
            <w:r>
              <w:rPr>
                <w:lang w:val="nl-NL"/>
              </w:rPr>
              <w:t>Interviewee C</w:t>
            </w:r>
          </w:p>
        </w:tc>
        <w:tc>
          <w:tcPr>
            <w:tcW w:w="5442" w:type="dxa"/>
            <w:hideMark/>
          </w:tcPr>
          <w:p w14:paraId="5E6A0268" w14:textId="2ACFED23" w:rsidR="00BE346F" w:rsidRDefault="0024342B">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Director/</w:t>
            </w:r>
            <w:r>
              <w:t>E</w:t>
            </w:r>
            <w:r w:rsidRPr="0024342B">
              <w:rPr>
                <w:lang w:val="nl-NL"/>
              </w:rPr>
              <w:t>ntrepreneur</w:t>
            </w:r>
            <w:r w:rsidR="00BE346F">
              <w:rPr>
                <w:lang w:val="nl-NL"/>
              </w:rPr>
              <w:t>: Supplier of industrial energy storage systems</w:t>
            </w:r>
          </w:p>
        </w:tc>
      </w:tr>
      <w:tr w:rsidR="00BE346F" w14:paraId="60F8CFF6"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14C46F98" w14:textId="77777777" w:rsidR="00BE346F" w:rsidRDefault="00BE346F">
            <w:pPr>
              <w:ind w:left="0"/>
              <w:rPr>
                <w:lang w:val="nl-NL"/>
              </w:rPr>
            </w:pPr>
            <w:r>
              <w:rPr>
                <w:lang w:val="nl-NL"/>
              </w:rPr>
              <w:t>Interviewee D</w:t>
            </w:r>
          </w:p>
        </w:tc>
        <w:tc>
          <w:tcPr>
            <w:tcW w:w="5442" w:type="dxa"/>
            <w:hideMark/>
          </w:tcPr>
          <w:p w14:paraId="4EF9D1F7" w14:textId="238694EF"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Advisor / Business</w:t>
            </w:r>
            <w:r w:rsidR="00ED0D25">
              <w:rPr>
                <w:lang w:val="nl-NL"/>
              </w:rPr>
              <w:t xml:space="preserve"> Developer: Transmission System</w:t>
            </w:r>
            <w:r>
              <w:rPr>
                <w:lang w:val="nl-NL"/>
              </w:rPr>
              <w:t xml:space="preserve"> Operator</w:t>
            </w:r>
          </w:p>
        </w:tc>
      </w:tr>
      <w:tr w:rsidR="00BE346F" w14:paraId="5517CF0D"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444F0B66" w14:textId="77777777" w:rsidR="00BE346F" w:rsidRDefault="00BE346F">
            <w:pPr>
              <w:ind w:left="0"/>
              <w:rPr>
                <w:lang w:val="nl-NL"/>
              </w:rPr>
            </w:pPr>
            <w:r>
              <w:rPr>
                <w:lang w:val="nl-NL"/>
              </w:rPr>
              <w:t>Interviewee E</w:t>
            </w:r>
          </w:p>
        </w:tc>
        <w:tc>
          <w:tcPr>
            <w:tcW w:w="5442" w:type="dxa"/>
            <w:hideMark/>
          </w:tcPr>
          <w:p w14:paraId="27752BA3"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Consultant: Energy storage solutions</w:t>
            </w:r>
          </w:p>
        </w:tc>
      </w:tr>
      <w:tr w:rsidR="00BE346F" w14:paraId="7C657B9F"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0D6F0077" w14:textId="77777777" w:rsidR="00BE346F" w:rsidRDefault="00BE346F">
            <w:pPr>
              <w:ind w:left="0"/>
              <w:rPr>
                <w:lang w:val="nl-NL"/>
              </w:rPr>
            </w:pPr>
            <w:r>
              <w:rPr>
                <w:lang w:val="nl-NL"/>
              </w:rPr>
              <w:t>Interviewee F</w:t>
            </w:r>
          </w:p>
        </w:tc>
        <w:tc>
          <w:tcPr>
            <w:tcW w:w="5442" w:type="dxa"/>
            <w:hideMark/>
          </w:tcPr>
          <w:p w14:paraId="7671876E" w14:textId="77777777"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Managing Consultant and CEO: Specialist in renewable energy generation and storage</w:t>
            </w:r>
          </w:p>
        </w:tc>
      </w:tr>
      <w:tr w:rsidR="00BE346F" w14:paraId="67C0B9F4"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5C447BEB" w14:textId="77777777" w:rsidR="00BE346F" w:rsidRDefault="00BE346F">
            <w:pPr>
              <w:ind w:left="0"/>
              <w:rPr>
                <w:lang w:val="nl-NL"/>
              </w:rPr>
            </w:pPr>
            <w:r>
              <w:rPr>
                <w:lang w:val="nl-NL"/>
              </w:rPr>
              <w:t>Interviewee G</w:t>
            </w:r>
          </w:p>
        </w:tc>
        <w:tc>
          <w:tcPr>
            <w:tcW w:w="5442" w:type="dxa"/>
            <w:hideMark/>
          </w:tcPr>
          <w:p w14:paraId="4A52DBA2"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Team Manager Renewable Energy: International engineering consultancy</w:t>
            </w:r>
          </w:p>
        </w:tc>
      </w:tr>
      <w:tr w:rsidR="00BE346F" w14:paraId="44ECDDD6"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67AAB941" w14:textId="77777777" w:rsidR="00BE346F" w:rsidRDefault="00BE346F">
            <w:pPr>
              <w:ind w:left="0"/>
              <w:rPr>
                <w:lang w:val="nl-NL"/>
              </w:rPr>
            </w:pPr>
            <w:r>
              <w:rPr>
                <w:lang w:val="nl-NL"/>
              </w:rPr>
              <w:t>Interviewee H</w:t>
            </w:r>
          </w:p>
        </w:tc>
        <w:tc>
          <w:tcPr>
            <w:tcW w:w="5442" w:type="dxa"/>
            <w:hideMark/>
          </w:tcPr>
          <w:p w14:paraId="1B91D6DF" w14:textId="640C8464"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Marketing Manager Business Development: Distribution S</w:t>
            </w:r>
            <w:r w:rsidR="00ED0D25">
              <w:rPr>
                <w:lang w:val="nl-NL"/>
              </w:rPr>
              <w:t>ystem</w:t>
            </w:r>
            <w:r>
              <w:rPr>
                <w:lang w:val="nl-NL"/>
              </w:rPr>
              <w:t xml:space="preserve"> Operator</w:t>
            </w:r>
          </w:p>
        </w:tc>
      </w:tr>
      <w:tr w:rsidR="00BE346F" w14:paraId="0D73D5B2"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4E0736C1" w14:textId="77777777" w:rsidR="00BE346F" w:rsidRDefault="00BE346F">
            <w:pPr>
              <w:ind w:left="0"/>
              <w:rPr>
                <w:lang w:val="nl-NL"/>
              </w:rPr>
            </w:pPr>
            <w:r>
              <w:rPr>
                <w:lang w:val="nl-NL"/>
              </w:rPr>
              <w:t>Interviewee I</w:t>
            </w:r>
          </w:p>
        </w:tc>
        <w:tc>
          <w:tcPr>
            <w:tcW w:w="5442" w:type="dxa"/>
            <w:hideMark/>
          </w:tcPr>
          <w:p w14:paraId="05CC660E"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Co-director: Company developing and marketing new technologies in the field of energy storage and energy efficiency</w:t>
            </w:r>
          </w:p>
        </w:tc>
      </w:tr>
      <w:tr w:rsidR="00BE346F" w14:paraId="2A80A33C"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2FD9C064" w14:textId="77777777" w:rsidR="00BE346F" w:rsidRDefault="00BE346F">
            <w:pPr>
              <w:ind w:left="0"/>
              <w:rPr>
                <w:lang w:val="nl-NL"/>
              </w:rPr>
            </w:pPr>
            <w:r>
              <w:rPr>
                <w:lang w:val="nl-NL"/>
              </w:rPr>
              <w:t>Interviewee J</w:t>
            </w:r>
          </w:p>
        </w:tc>
        <w:tc>
          <w:tcPr>
            <w:tcW w:w="5442" w:type="dxa"/>
            <w:hideMark/>
          </w:tcPr>
          <w:p w14:paraId="4FB6950B" w14:textId="77777777"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Director, sustainable energy, policy advisor public and European affairs: Municipality within the Netherlands</w:t>
            </w:r>
          </w:p>
        </w:tc>
      </w:tr>
      <w:tr w:rsidR="00BE346F" w14:paraId="2A439645"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2402FF47" w14:textId="77777777" w:rsidR="00BE346F" w:rsidRDefault="00BE346F">
            <w:pPr>
              <w:ind w:left="0"/>
              <w:rPr>
                <w:lang w:val="nl-NL"/>
              </w:rPr>
            </w:pPr>
            <w:r>
              <w:rPr>
                <w:lang w:val="nl-NL"/>
              </w:rPr>
              <w:t>Interviewee K</w:t>
            </w:r>
          </w:p>
        </w:tc>
        <w:tc>
          <w:tcPr>
            <w:tcW w:w="5442" w:type="dxa"/>
            <w:hideMark/>
          </w:tcPr>
          <w:p w14:paraId="22080F67" w14:textId="7AAA5FC0"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Consultant, energy transition: Distribution S</w:t>
            </w:r>
            <w:r w:rsidR="00ED0D25">
              <w:rPr>
                <w:lang w:val="nl-NL"/>
              </w:rPr>
              <w:t>ystem</w:t>
            </w:r>
            <w:r>
              <w:rPr>
                <w:lang w:val="nl-NL"/>
              </w:rPr>
              <w:t xml:space="preserve"> Operator</w:t>
            </w:r>
          </w:p>
        </w:tc>
      </w:tr>
      <w:tr w:rsidR="00BE346F" w14:paraId="4ED6A23C"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7DE8A337" w14:textId="77777777" w:rsidR="00BE346F" w:rsidRDefault="00BE346F">
            <w:pPr>
              <w:ind w:left="0"/>
              <w:rPr>
                <w:lang w:val="nl-NL"/>
              </w:rPr>
            </w:pPr>
            <w:r>
              <w:rPr>
                <w:lang w:val="nl-NL"/>
              </w:rPr>
              <w:t>Interviewee L</w:t>
            </w:r>
          </w:p>
        </w:tc>
        <w:tc>
          <w:tcPr>
            <w:tcW w:w="5442" w:type="dxa"/>
            <w:hideMark/>
          </w:tcPr>
          <w:p w14:paraId="60CA6020" w14:textId="77777777"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Business analyst / Co-founder: Tech company, expert in the field of demand respond software and energy</w:t>
            </w:r>
          </w:p>
        </w:tc>
      </w:tr>
      <w:tr w:rsidR="00BE346F" w14:paraId="00301CCA"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1B1AC63E" w14:textId="77777777" w:rsidR="00BE346F" w:rsidRDefault="00BE346F">
            <w:pPr>
              <w:ind w:left="0"/>
              <w:rPr>
                <w:lang w:val="nl-NL"/>
              </w:rPr>
            </w:pPr>
            <w:r>
              <w:rPr>
                <w:lang w:val="nl-NL"/>
              </w:rPr>
              <w:t>Interviewee M</w:t>
            </w:r>
          </w:p>
        </w:tc>
        <w:tc>
          <w:tcPr>
            <w:tcW w:w="5442" w:type="dxa"/>
            <w:hideMark/>
          </w:tcPr>
          <w:p w14:paraId="6D340852"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Business leader, energy storage: International advisory service</w:t>
            </w:r>
          </w:p>
        </w:tc>
      </w:tr>
      <w:tr w:rsidR="00BE346F" w14:paraId="752A0A90" w14:textId="77777777" w:rsidTr="00BE346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50CD338B" w14:textId="77777777" w:rsidR="00BE346F" w:rsidRDefault="00BE346F">
            <w:pPr>
              <w:ind w:left="0"/>
              <w:rPr>
                <w:lang w:val="nl-NL"/>
              </w:rPr>
            </w:pPr>
            <w:r>
              <w:rPr>
                <w:lang w:val="nl-NL"/>
              </w:rPr>
              <w:t>Interviewee N</w:t>
            </w:r>
          </w:p>
        </w:tc>
        <w:tc>
          <w:tcPr>
            <w:tcW w:w="5442" w:type="dxa"/>
            <w:hideMark/>
          </w:tcPr>
          <w:p w14:paraId="6B3F443F" w14:textId="77777777" w:rsidR="00BE346F" w:rsidRDefault="00BE346F">
            <w:pPr>
              <w:ind w:left="0"/>
              <w:cnfStyle w:val="000000010000" w:firstRow="0" w:lastRow="0" w:firstColumn="0" w:lastColumn="0" w:oddVBand="0" w:evenVBand="0" w:oddHBand="0" w:evenHBand="1" w:firstRowFirstColumn="0" w:firstRowLastColumn="0" w:lastRowFirstColumn="0" w:lastRowLastColumn="0"/>
              <w:rPr>
                <w:lang w:val="nl-NL"/>
              </w:rPr>
            </w:pPr>
            <w:r>
              <w:rPr>
                <w:lang w:val="nl-NL"/>
              </w:rPr>
              <w:t>Director: Cooperation representing wind turbine owners and others</w:t>
            </w:r>
          </w:p>
        </w:tc>
      </w:tr>
      <w:tr w:rsidR="00BE346F" w14:paraId="11B14F09" w14:textId="77777777" w:rsidTr="00BE346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76" w:type="dxa"/>
            <w:hideMark/>
          </w:tcPr>
          <w:p w14:paraId="68E422E2" w14:textId="77777777" w:rsidR="00BE346F" w:rsidRDefault="00BE346F">
            <w:pPr>
              <w:ind w:left="0"/>
              <w:rPr>
                <w:lang w:val="nl-NL"/>
              </w:rPr>
            </w:pPr>
            <w:r>
              <w:rPr>
                <w:lang w:val="nl-NL"/>
              </w:rPr>
              <w:t>Interviewee O</w:t>
            </w:r>
          </w:p>
        </w:tc>
        <w:tc>
          <w:tcPr>
            <w:tcW w:w="5442" w:type="dxa"/>
            <w:hideMark/>
          </w:tcPr>
          <w:p w14:paraId="131B1996" w14:textId="77777777" w:rsidR="00BE346F" w:rsidRDefault="00BE346F">
            <w:pPr>
              <w:ind w:left="0"/>
              <w:cnfStyle w:val="000000100000" w:firstRow="0" w:lastRow="0" w:firstColumn="0" w:lastColumn="0" w:oddVBand="0" w:evenVBand="0" w:oddHBand="1" w:evenHBand="0" w:firstRowFirstColumn="0" w:firstRowLastColumn="0" w:lastRowFirstColumn="0" w:lastRowLastColumn="0"/>
              <w:rPr>
                <w:lang w:val="nl-NL"/>
              </w:rPr>
            </w:pPr>
            <w:r>
              <w:rPr>
                <w:lang w:val="nl-NL"/>
              </w:rPr>
              <w:t>Senior sustainable energy and environmental management adviser / partner: Specialist in wind energy</w:t>
            </w:r>
          </w:p>
        </w:tc>
      </w:tr>
    </w:tbl>
    <w:p w14:paraId="3631173A" w14:textId="666CD0ED" w:rsidR="00BE346F" w:rsidRDefault="00BE346F" w:rsidP="00BE346F"/>
    <w:p w14:paraId="7797F9FF" w14:textId="4DD9B1CE" w:rsidR="00862277" w:rsidRDefault="00862277" w:rsidP="00BE346F"/>
    <w:p w14:paraId="3386FC16" w14:textId="788CDCB4" w:rsidR="00862277" w:rsidRDefault="00862277" w:rsidP="00BE346F"/>
    <w:p w14:paraId="4EFBCE37" w14:textId="687A6F48" w:rsidR="00862277" w:rsidRDefault="00862277" w:rsidP="00BE346F"/>
    <w:p w14:paraId="3C0C06CE" w14:textId="0A70E836" w:rsidR="00862277" w:rsidRDefault="00862277" w:rsidP="00BE346F"/>
    <w:p w14:paraId="288921A1" w14:textId="7E16F612" w:rsidR="00862277" w:rsidRDefault="00862277" w:rsidP="00BE346F"/>
    <w:p w14:paraId="51EB038E" w14:textId="33BCD4BD" w:rsidR="00862277" w:rsidRDefault="00862277" w:rsidP="00BE346F"/>
    <w:p w14:paraId="6E3A3285" w14:textId="41EE3A2E" w:rsidR="00862277" w:rsidRDefault="00862277" w:rsidP="00BE346F"/>
    <w:p w14:paraId="6B3AE06F" w14:textId="5C149C1C" w:rsidR="00862277" w:rsidRDefault="00862277" w:rsidP="00BE346F"/>
    <w:p w14:paraId="0334C46D" w14:textId="77777777" w:rsidR="00862277" w:rsidRDefault="00862277" w:rsidP="00194226"/>
    <w:p w14:paraId="0AA825E3" w14:textId="75A6E0C7" w:rsidR="00862277" w:rsidRDefault="00862277" w:rsidP="003423D5">
      <w:pPr>
        <w:ind w:left="0"/>
      </w:pPr>
    </w:p>
    <w:p w14:paraId="635D4451" w14:textId="56C497AC" w:rsidR="00862277" w:rsidRDefault="005676F6" w:rsidP="005676F6">
      <w:pPr>
        <w:pStyle w:val="Samenvatting"/>
        <w:ind w:left="0" w:right="849"/>
      </w:pPr>
      <w:r>
        <w:rPr>
          <w:caps w:val="0"/>
          <w:sz w:val="24"/>
          <w:szCs w:val="24"/>
        </w:rPr>
        <w:lastRenderedPageBreak/>
        <w:t>Appendix B – O</w:t>
      </w:r>
      <w:r w:rsidRPr="005676F6">
        <w:rPr>
          <w:caps w:val="0"/>
          <w:sz w:val="24"/>
          <w:szCs w:val="24"/>
        </w:rPr>
        <w:t xml:space="preserve">verview of </w:t>
      </w:r>
      <w:r>
        <w:rPr>
          <w:caps w:val="0"/>
          <w:sz w:val="24"/>
          <w:szCs w:val="24"/>
        </w:rPr>
        <w:t>ESS T</w:t>
      </w:r>
      <w:r w:rsidRPr="005676F6">
        <w:rPr>
          <w:caps w:val="0"/>
          <w:sz w:val="24"/>
          <w:szCs w:val="24"/>
        </w:rPr>
        <w:t>echnologies</w:t>
      </w:r>
    </w:p>
    <w:p w14:paraId="05EBCFE3" w14:textId="41DB4773" w:rsidR="00862277" w:rsidRPr="00862277" w:rsidRDefault="00862277" w:rsidP="00862277">
      <w:pPr>
        <w:pStyle w:val="Samenvatting"/>
        <w:rPr>
          <w:sz w:val="24"/>
          <w:szCs w:val="24"/>
        </w:rPr>
      </w:pPr>
      <w:bookmarkStart w:id="78" w:name="_Toc476583754"/>
      <w:r w:rsidRPr="00862277">
        <w:rPr>
          <w:sz w:val="24"/>
          <w:szCs w:val="24"/>
        </w:rPr>
        <w:t>M</w:t>
      </w:r>
      <w:bookmarkEnd w:id="78"/>
      <w:r>
        <w:rPr>
          <w:caps w:val="0"/>
          <w:sz w:val="24"/>
          <w:szCs w:val="24"/>
        </w:rPr>
        <w:t>echanical</w:t>
      </w:r>
    </w:p>
    <w:p w14:paraId="4292DF7A" w14:textId="10D3E118" w:rsidR="00862277" w:rsidRPr="00862277" w:rsidRDefault="00862277" w:rsidP="00862277">
      <w:pPr>
        <w:pStyle w:val="Samenvatting"/>
        <w:rPr>
          <w:sz w:val="20"/>
          <w:szCs w:val="20"/>
        </w:rPr>
      </w:pPr>
      <w:r>
        <w:rPr>
          <w:caps w:val="0"/>
          <w:sz w:val="20"/>
          <w:szCs w:val="20"/>
        </w:rPr>
        <w:t>Pumped-hydro Storage (PHS</w:t>
      </w:r>
      <w:r w:rsidRPr="00862277">
        <w:rPr>
          <w:caps w:val="0"/>
          <w:sz w:val="20"/>
          <w:szCs w:val="20"/>
        </w:rPr>
        <w:t>)</w:t>
      </w:r>
    </w:p>
    <w:p w14:paraId="17942503" w14:textId="6DE39D84" w:rsidR="00862277" w:rsidRDefault="00862277" w:rsidP="00862277">
      <w:pPr>
        <w:jc w:val="both"/>
        <w:rPr>
          <w:rStyle w:val="CommentReference"/>
        </w:rPr>
      </w:pPr>
      <w:r>
        <w:t>Pumped-hydro Storage (PHS) is a large-scale ESS with a long history, high technical maturity, and large energy capacity</w:t>
      </w:r>
      <w:r>
        <w:rPr>
          <w:rStyle w:val="EndnoteReference"/>
        </w:rPr>
        <w:endnoteReference w:customMarkFollows="1" w:id="1"/>
        <w:t>[1]</w:t>
      </w:r>
      <w:r>
        <w:rPr>
          <w:rStyle w:val="EndnoteReference"/>
        </w:rPr>
        <w:endnoteReference w:customMarkFollows="1" w:id="2"/>
        <w:t>[2]</w:t>
      </w:r>
      <w:r>
        <w:t>. A typical PHS plant consists of two water reservoirs at different elevations. During off-peak electricity demand hours</w:t>
      </w:r>
      <w:r w:rsidR="00B34EE4">
        <w:t>,</w:t>
      </w:r>
      <w:r>
        <w:t xml:space="preserve"> water is pumped into the higher elevation reservoir; at peak times the water can be released back into the lower level reservoir. During discharge, the water flows powers turbine units in order to generate electricity</w:t>
      </w:r>
      <w:r>
        <w:rPr>
          <w:vertAlign w:val="superscript"/>
        </w:rPr>
        <w:t>[1]</w:t>
      </w:r>
      <w:r>
        <w:rPr>
          <w:rStyle w:val="EndnoteReference"/>
        </w:rPr>
        <w:endnoteReference w:customMarkFollows="1" w:id="3"/>
        <w:t>[3]</w:t>
      </w:r>
      <w:r>
        <w:t>.</w:t>
      </w:r>
      <w:r>
        <w:rPr>
          <w:rStyle w:val="CommentReference"/>
        </w:rPr>
        <w:t xml:space="preserve"> </w:t>
      </w:r>
    </w:p>
    <w:p w14:paraId="62F84FDE" w14:textId="77777777" w:rsidR="00862277" w:rsidRDefault="00862277" w:rsidP="00862277">
      <w:pPr>
        <w:jc w:val="both"/>
      </w:pPr>
    </w:p>
    <w:p w14:paraId="295CA7D4" w14:textId="77777777" w:rsidR="00862277" w:rsidRPr="00862277" w:rsidRDefault="00862277" w:rsidP="00862277">
      <w:pPr>
        <w:pStyle w:val="Samenvatting"/>
        <w:rPr>
          <w:caps w:val="0"/>
          <w:sz w:val="20"/>
          <w:szCs w:val="20"/>
        </w:rPr>
      </w:pPr>
      <w:bookmarkStart w:id="79" w:name="_Ref475967029"/>
      <w:r w:rsidRPr="00862277">
        <w:rPr>
          <w:caps w:val="0"/>
          <w:sz w:val="20"/>
          <w:szCs w:val="20"/>
        </w:rPr>
        <w:t>Compressed Air Energy Storage (CAES)</w:t>
      </w:r>
      <w:bookmarkEnd w:id="79"/>
    </w:p>
    <w:p w14:paraId="629F2B48" w14:textId="224F1613" w:rsidR="00862277" w:rsidRDefault="00862277" w:rsidP="00862277">
      <w:pPr>
        <w:jc w:val="both"/>
      </w:pPr>
      <w:r w:rsidRPr="0065295D">
        <w:t>Compressed Air Energy Storage (CAES) is a large-scale EES technology capable of providing over 100 MW power outpu</w:t>
      </w:r>
      <w:r>
        <w:t>t with a single unit</w:t>
      </w:r>
      <w:r w:rsidRPr="008D72CE">
        <w:rPr>
          <w:vertAlign w:val="superscript"/>
        </w:rPr>
        <w:t>[1]</w:t>
      </w:r>
      <w:r>
        <w:t>. In conventional (known as</w:t>
      </w:r>
      <w:r w:rsidRPr="0065295D">
        <w:t xml:space="preserve"> diabatic) CAES systems, air is compressed using electrical compressors and then stored at high-pressure in underground structures, such as empty salt caverns, or in above ground tanks. When power production cannot meet demand, the compressed air can be released and mixed with natural gas, burned and expanded in a gas turbine driving a generator for power production.</w:t>
      </w:r>
    </w:p>
    <w:p w14:paraId="4F0E92C5" w14:textId="77777777" w:rsidR="00862277" w:rsidRDefault="00862277" w:rsidP="00862277">
      <w:pPr>
        <w:jc w:val="both"/>
      </w:pPr>
    </w:p>
    <w:p w14:paraId="0F4C5D00" w14:textId="77777777" w:rsidR="00862277" w:rsidRPr="00862277" w:rsidRDefault="00862277" w:rsidP="00862277">
      <w:pPr>
        <w:pStyle w:val="Samenvatting"/>
        <w:rPr>
          <w:caps w:val="0"/>
          <w:sz w:val="20"/>
          <w:szCs w:val="20"/>
        </w:rPr>
      </w:pPr>
      <w:r w:rsidRPr="00862277">
        <w:rPr>
          <w:caps w:val="0"/>
          <w:sz w:val="20"/>
          <w:szCs w:val="20"/>
        </w:rPr>
        <w:t>Flywheel Energy Storage (FES)</w:t>
      </w:r>
    </w:p>
    <w:p w14:paraId="7F98756E" w14:textId="77777777" w:rsidR="00862277" w:rsidRDefault="00862277" w:rsidP="00862277">
      <w:pPr>
        <w:jc w:val="both"/>
      </w:pPr>
      <w:r w:rsidRPr="0065295D">
        <w:t>Flywheel Energy Storage (FES) uses the mechanical inertia contained within a rotating flywh</w:t>
      </w:r>
      <w:r>
        <w:t>eel to store energy</w:t>
      </w:r>
      <w:r>
        <w:rPr>
          <w:rStyle w:val="EndnoteReference"/>
        </w:rPr>
        <w:endnoteReference w:customMarkFollows="1" w:id="4"/>
        <w:t>[4]</w:t>
      </w:r>
      <w:r w:rsidRPr="0065295D">
        <w:t xml:space="preserve">. During charge, the flywheel is spun by a motor; during discharge the same motor acts as a generator producing electricity from the rotational energy of </w:t>
      </w:r>
      <w:r>
        <w:t>the flywheel</w:t>
      </w:r>
      <w:r>
        <w:rPr>
          <w:rStyle w:val="EndnoteReference"/>
        </w:rPr>
        <w:endnoteReference w:customMarkFollows="1" w:id="5"/>
        <w:t>[5]</w:t>
      </w:r>
      <w:r w:rsidRPr="0065295D">
        <w:t>. Energy is stored by keeping the rotating body at a constant</w:t>
      </w:r>
      <w:r>
        <w:t xml:space="preserve"> speed</w:t>
      </w:r>
      <w:r w:rsidRPr="0065295D">
        <w:t xml:space="preserve">, and the amount of energy stored is dependent on the rotating speed of the flywheel and its inertia. </w:t>
      </w:r>
    </w:p>
    <w:p w14:paraId="16DDF227" w14:textId="77777777" w:rsidR="00862277" w:rsidRDefault="00862277" w:rsidP="00862277">
      <w:pPr>
        <w:jc w:val="both"/>
      </w:pPr>
    </w:p>
    <w:p w14:paraId="5B9F78F0" w14:textId="5304B29D" w:rsidR="00862277" w:rsidRDefault="00862277" w:rsidP="00862277">
      <w:pPr>
        <w:pStyle w:val="Samenvatting"/>
      </w:pPr>
      <w:bookmarkStart w:id="80" w:name="_Toc476583755"/>
      <w:r w:rsidRPr="00862277">
        <w:rPr>
          <w:caps w:val="0"/>
          <w:sz w:val="24"/>
          <w:szCs w:val="24"/>
        </w:rPr>
        <w:t>Electrochemical</w:t>
      </w:r>
      <w:bookmarkEnd w:id="80"/>
    </w:p>
    <w:p w14:paraId="0FEF86ED" w14:textId="77777777" w:rsidR="00862277" w:rsidRPr="00862277" w:rsidRDefault="00862277" w:rsidP="00862277">
      <w:pPr>
        <w:pStyle w:val="Samenvatting"/>
        <w:rPr>
          <w:caps w:val="0"/>
          <w:sz w:val="20"/>
          <w:szCs w:val="20"/>
        </w:rPr>
      </w:pPr>
      <w:r w:rsidRPr="00862277">
        <w:rPr>
          <w:caps w:val="0"/>
          <w:sz w:val="20"/>
          <w:szCs w:val="20"/>
        </w:rPr>
        <w:t>Secondary (Rechargeable) Batteries</w:t>
      </w:r>
    </w:p>
    <w:p w14:paraId="7317EF9C" w14:textId="4CCA3F5E" w:rsidR="00862277" w:rsidRDefault="00862277" w:rsidP="00862277">
      <w:pPr>
        <w:jc w:val="both"/>
      </w:pPr>
      <w:r w:rsidRPr="0065295D">
        <w:t xml:space="preserve">Rechargeable batteries are one of the most widely used </w:t>
      </w:r>
      <w:r>
        <w:t>EES technologies</w:t>
      </w:r>
      <w:r>
        <w:rPr>
          <w:vertAlign w:val="superscript"/>
        </w:rPr>
        <w:t>[1][2</w:t>
      </w:r>
      <w:r w:rsidRPr="00F91DB0">
        <w:rPr>
          <w:vertAlign w:val="superscript"/>
        </w:rPr>
        <w:t>]</w:t>
      </w:r>
      <w:r w:rsidRPr="0065295D">
        <w:t>. Battery Ene</w:t>
      </w:r>
      <w:r>
        <w:t>rgy Storage (BES) systems store</w:t>
      </w:r>
      <w:r w:rsidRPr="0065295D">
        <w:t xml:space="preserve"> electricity</w:t>
      </w:r>
      <w:r>
        <w:t xml:space="preserve"> in the form of chemical energy</w:t>
      </w:r>
      <w:r w:rsidRPr="0065295D">
        <w:t xml:space="preserve"> in a set of multiple cells, connected either in series, in parallel, or both, in order to obtain the desired volta</w:t>
      </w:r>
      <w:r>
        <w:t>ge and capacity</w:t>
      </w:r>
      <w:r>
        <w:rPr>
          <w:vertAlign w:val="superscript"/>
        </w:rPr>
        <w:t>[2</w:t>
      </w:r>
      <w:r w:rsidRPr="00F91DB0">
        <w:rPr>
          <w:vertAlign w:val="superscript"/>
        </w:rPr>
        <w:t>]</w:t>
      </w:r>
      <w:r w:rsidRPr="0065295D">
        <w:t xml:space="preserve">. Each cell consists of a liquid, paste, or solid electrolyte together </w:t>
      </w:r>
      <w:r>
        <w:t>with an anode and cathode</w:t>
      </w:r>
      <w:r w:rsidRPr="00F91DB0">
        <w:rPr>
          <w:vertAlign w:val="superscript"/>
        </w:rPr>
        <w:t>[3]</w:t>
      </w:r>
      <w:r w:rsidRPr="0065295D">
        <w:t>. Many different types of battery have been developed for comme</w:t>
      </w:r>
      <w:r w:rsidR="00784AFD">
        <w:t>rcial use (for example Li-ion, Lead Acid (LA),</w:t>
      </w:r>
      <w:r>
        <w:t xml:space="preserve"> </w:t>
      </w:r>
      <w:r w:rsidRPr="0065295D">
        <w:t>Nickel Cadmium (NiCd), and ZEBRA batteries (NaNiCl)). When a potential is applied to the electrodes the battery is charged by an internal chemical reaction. This reaction is reversible and allows the battery to deliver the absorbed chemical energy when discharging.</w:t>
      </w:r>
    </w:p>
    <w:p w14:paraId="069623CB" w14:textId="77777777" w:rsidR="00862277" w:rsidRDefault="00862277" w:rsidP="00862277">
      <w:pPr>
        <w:jc w:val="both"/>
      </w:pPr>
    </w:p>
    <w:p w14:paraId="785038BE" w14:textId="77777777" w:rsidR="00862277" w:rsidRPr="00862277" w:rsidRDefault="00862277" w:rsidP="00862277">
      <w:pPr>
        <w:pStyle w:val="Samenvatting"/>
        <w:rPr>
          <w:caps w:val="0"/>
          <w:sz w:val="20"/>
          <w:szCs w:val="20"/>
        </w:rPr>
      </w:pPr>
      <w:bookmarkStart w:id="81" w:name="_Ref476056079"/>
      <w:r w:rsidRPr="00862277">
        <w:rPr>
          <w:caps w:val="0"/>
          <w:sz w:val="20"/>
          <w:szCs w:val="20"/>
        </w:rPr>
        <w:t>Flow Batteries</w:t>
      </w:r>
      <w:bookmarkEnd w:id="81"/>
    </w:p>
    <w:p w14:paraId="389DC1A4" w14:textId="77777777" w:rsidR="00862277" w:rsidRDefault="00862277" w:rsidP="00862277">
      <w:pPr>
        <w:jc w:val="both"/>
      </w:pPr>
      <w:r w:rsidRPr="00B6088C">
        <w:t>Flow batteries are a relatively young technology which operate based on reversib</w:t>
      </w:r>
      <w:r>
        <w:t>le chemical reactions</w:t>
      </w:r>
      <w:r>
        <w:rPr>
          <w:vertAlign w:val="superscript"/>
        </w:rPr>
        <w:t>[2</w:t>
      </w:r>
      <w:r w:rsidRPr="003D122C">
        <w:rPr>
          <w:vertAlign w:val="superscript"/>
        </w:rPr>
        <w:t>]</w:t>
      </w:r>
      <w:r w:rsidRPr="00B6088C">
        <w:t>. They use two liquid electrolytes, one positively charged and one negativel</w:t>
      </w:r>
      <w:r>
        <w:t>y, as the energy carriers</w:t>
      </w:r>
      <w:r w:rsidRPr="00B6088C">
        <w:t xml:space="preserve">. During charging one electrolyte is oxidised at the anode and another is reduced at the cathode with selected ions passing through </w:t>
      </w:r>
      <w:r>
        <w:t>an ion-selective membrane</w:t>
      </w:r>
      <w:r w:rsidRPr="00B6088C">
        <w:t xml:space="preserve"> and the electrical </w:t>
      </w:r>
      <w:r w:rsidRPr="00B6088C">
        <w:lastRenderedPageBreak/>
        <w:t>energy being converted to chemical energy. The process is reverse</w:t>
      </w:r>
      <w:r>
        <w:t>d in the discharging phase</w:t>
      </w:r>
      <w:r w:rsidRPr="00B6088C">
        <w:t>. In contrast to conventional batteries, flow batteries store energy in</w:t>
      </w:r>
      <w:r>
        <w:t xml:space="preserve"> the electrolyte solution</w:t>
      </w:r>
      <w:r w:rsidRPr="00B6088C">
        <w:t xml:space="preserve">.  </w:t>
      </w:r>
      <w:r>
        <w:t>There are several different types of flow battery, including: Vanadium Redox Battery (VRB), Polysulphide Bromide (PSB), and Zinc Bromine (ZnBr). Flow batteries have been built in the MW class</w:t>
      </w:r>
      <w:r w:rsidRPr="00FA0E87">
        <w:rPr>
          <w:vertAlign w:val="superscript"/>
        </w:rPr>
        <w:t>[3]</w:t>
      </w:r>
      <w:r w:rsidRPr="00163AFC">
        <w:rPr>
          <w:b/>
          <w:vertAlign w:val="subscript"/>
        </w:rPr>
        <w:t>.</w:t>
      </w:r>
      <w:r>
        <w:rPr>
          <w:vertAlign w:val="subscript"/>
        </w:rPr>
        <w:t xml:space="preserve"> </w:t>
      </w:r>
    </w:p>
    <w:p w14:paraId="171A8AB8" w14:textId="77777777" w:rsidR="00862277" w:rsidRDefault="00862277" w:rsidP="00862277"/>
    <w:p w14:paraId="70487C06" w14:textId="77777777" w:rsidR="00862277" w:rsidRPr="00862277" w:rsidRDefault="00862277" w:rsidP="00862277">
      <w:pPr>
        <w:pStyle w:val="Samenvatting"/>
        <w:rPr>
          <w:caps w:val="0"/>
          <w:sz w:val="24"/>
          <w:szCs w:val="24"/>
        </w:rPr>
      </w:pPr>
      <w:bookmarkStart w:id="82" w:name="_Toc476583756"/>
      <w:r w:rsidRPr="00862277">
        <w:rPr>
          <w:caps w:val="0"/>
          <w:sz w:val="24"/>
          <w:szCs w:val="24"/>
        </w:rPr>
        <w:t>Chemical</w:t>
      </w:r>
      <w:bookmarkEnd w:id="82"/>
    </w:p>
    <w:p w14:paraId="27CAE173" w14:textId="77777777" w:rsidR="00862277" w:rsidRPr="00862277" w:rsidRDefault="00862277" w:rsidP="00862277">
      <w:pPr>
        <w:pStyle w:val="Samenvatting"/>
        <w:rPr>
          <w:caps w:val="0"/>
          <w:sz w:val="20"/>
          <w:szCs w:val="20"/>
        </w:rPr>
      </w:pPr>
      <w:r w:rsidRPr="00862277">
        <w:rPr>
          <w:caps w:val="0"/>
          <w:sz w:val="20"/>
          <w:szCs w:val="20"/>
        </w:rPr>
        <w:t>Hydrogen Fuel Cells</w:t>
      </w:r>
    </w:p>
    <w:p w14:paraId="2D37C894" w14:textId="77777777" w:rsidR="00862277" w:rsidRDefault="00862277" w:rsidP="00862277">
      <w:pPr>
        <w:jc w:val="both"/>
      </w:pPr>
      <w:r w:rsidRPr="006144D6">
        <w:t>Hydrogen, produced alongside oxygen when water is electrolysed, can be stored. When electricity generation is required, stored hydrogen (or hydrogen-rich fuel) can be passed through a fuel cell which can convert chemical energy in hydrogen and oxygen (fr</w:t>
      </w:r>
      <w:r>
        <w:t>om the air) to electricity</w:t>
      </w:r>
      <w:r w:rsidRPr="006718CB">
        <w:rPr>
          <w:vertAlign w:val="superscript"/>
        </w:rPr>
        <w:t>[1]</w:t>
      </w:r>
      <w:r w:rsidRPr="006144D6">
        <w:t>. Heat and water are a</w:t>
      </w:r>
      <w:r>
        <w:t>lso released as a by-product</w:t>
      </w:r>
      <w:r>
        <w:rPr>
          <w:vertAlign w:val="superscript"/>
        </w:rPr>
        <w:t>[4</w:t>
      </w:r>
      <w:r w:rsidRPr="006718CB">
        <w:rPr>
          <w:vertAlign w:val="superscript"/>
        </w:rPr>
        <w:t>]</w:t>
      </w:r>
      <w:r w:rsidRPr="006144D6">
        <w:t>.</w:t>
      </w:r>
    </w:p>
    <w:p w14:paraId="50169A66" w14:textId="77777777" w:rsidR="00862277" w:rsidRDefault="00862277" w:rsidP="00862277">
      <w:pPr>
        <w:jc w:val="both"/>
      </w:pPr>
    </w:p>
    <w:p w14:paraId="0E2E2395" w14:textId="77777777" w:rsidR="00862277" w:rsidRPr="00862277" w:rsidRDefault="00862277" w:rsidP="00862277">
      <w:pPr>
        <w:pStyle w:val="Samenvatting"/>
        <w:rPr>
          <w:caps w:val="0"/>
          <w:sz w:val="24"/>
          <w:szCs w:val="24"/>
        </w:rPr>
      </w:pPr>
      <w:bookmarkStart w:id="83" w:name="_Toc476583757"/>
      <w:r w:rsidRPr="00862277">
        <w:rPr>
          <w:caps w:val="0"/>
          <w:sz w:val="24"/>
          <w:szCs w:val="24"/>
        </w:rPr>
        <w:t>Electromagnetic</w:t>
      </w:r>
      <w:bookmarkEnd w:id="83"/>
    </w:p>
    <w:p w14:paraId="1B17CD85" w14:textId="77777777" w:rsidR="00862277" w:rsidRPr="00862277" w:rsidRDefault="00862277" w:rsidP="00862277">
      <w:pPr>
        <w:pStyle w:val="Samenvatting"/>
        <w:rPr>
          <w:caps w:val="0"/>
          <w:sz w:val="20"/>
          <w:szCs w:val="20"/>
        </w:rPr>
      </w:pPr>
      <w:r w:rsidRPr="00862277">
        <w:rPr>
          <w:caps w:val="0"/>
          <w:sz w:val="20"/>
          <w:szCs w:val="20"/>
        </w:rPr>
        <w:t>Capacitor and Supercapacitor</w:t>
      </w:r>
    </w:p>
    <w:p w14:paraId="7B34183E" w14:textId="11A9EB6A" w:rsidR="00862277" w:rsidRDefault="00862277" w:rsidP="00862277">
      <w:pPr>
        <w:jc w:val="both"/>
      </w:pPr>
      <w:r w:rsidRPr="00C27793">
        <w:t>A capacitor is composed of at least two electrical conductors (normally made of metal foils) separated by a thin layer of insulator (normally made of ceramic, glass, or a plastic film). When charged, energy is stored</w:t>
      </w:r>
      <w:r>
        <w:t xml:space="preserve"> in an electrostatic field</w:t>
      </w:r>
      <w:r w:rsidRPr="00762CAC">
        <w:rPr>
          <w:vertAlign w:val="superscript"/>
        </w:rPr>
        <w:t>[1]</w:t>
      </w:r>
      <w:r w:rsidRPr="00C27793">
        <w:t>. Supercapacitors contain two conductor electrodes, an electrolyte, and a porous membrane separator. Energy is stored in the form of a static charge on the surfaces between the electrolyte and th</w:t>
      </w:r>
      <w:r>
        <w:t>e two conductor electrodes</w:t>
      </w:r>
      <w:r w:rsidRPr="00762CAC">
        <w:rPr>
          <w:vertAlign w:val="superscript"/>
        </w:rPr>
        <w:t>[1]</w:t>
      </w:r>
      <w:r w:rsidRPr="00C27793">
        <w:t>.</w:t>
      </w:r>
    </w:p>
    <w:p w14:paraId="3EB8F85B" w14:textId="77777777" w:rsidR="00862277" w:rsidRDefault="00862277" w:rsidP="00862277">
      <w:pPr>
        <w:jc w:val="both"/>
      </w:pPr>
    </w:p>
    <w:p w14:paraId="1892F3D1" w14:textId="77777777" w:rsidR="00862277" w:rsidRPr="00862277" w:rsidRDefault="00862277" w:rsidP="00862277">
      <w:pPr>
        <w:pStyle w:val="Samenvatting"/>
        <w:rPr>
          <w:caps w:val="0"/>
          <w:sz w:val="20"/>
          <w:szCs w:val="20"/>
        </w:rPr>
      </w:pPr>
      <w:r w:rsidRPr="00862277">
        <w:rPr>
          <w:caps w:val="0"/>
          <w:sz w:val="20"/>
          <w:szCs w:val="20"/>
        </w:rPr>
        <w:t>Superconducting Magnetic Energy Storage (SMES)</w:t>
      </w:r>
    </w:p>
    <w:p w14:paraId="58A064FA" w14:textId="77777777" w:rsidR="00862277" w:rsidRDefault="00862277" w:rsidP="00862277">
      <w:pPr>
        <w:jc w:val="both"/>
      </w:pPr>
      <w:r w:rsidRPr="00B87D50">
        <w:t>Superconducting Magnetic Energy Storage (SMES) is a large cryogenically cooled superconducting coil capable of storing energy in the m</w:t>
      </w:r>
      <w:r>
        <w:t>agnetic field generated by the d</w:t>
      </w:r>
      <w:r w:rsidRPr="00B87D50">
        <w:t>i</w:t>
      </w:r>
      <w:r>
        <w:t>rect c</w:t>
      </w:r>
      <w:r w:rsidRPr="00B87D50">
        <w:t>urrent (DC) flowing throu</w:t>
      </w:r>
      <w:r>
        <w:t>gh it</w:t>
      </w:r>
      <w:r>
        <w:rPr>
          <w:rStyle w:val="EndnoteReference"/>
        </w:rPr>
        <w:endnoteReference w:customMarkFollows="1" w:id="6"/>
        <w:t>[6]</w:t>
      </w:r>
      <w:r w:rsidRPr="00B87D50">
        <w:t xml:space="preserve">. A coil made from a superconducting material (e.g. Niobium-Titanium) under its superconducting state (usually at very low temperature) provides zero resistance when </w:t>
      </w:r>
      <w:r>
        <w:t xml:space="preserve">a current is passed through it; </w:t>
      </w:r>
      <w:r w:rsidRPr="00B87D50">
        <w:t>the electrical e</w:t>
      </w:r>
      <w:r>
        <w:t>nergy can be stored</w:t>
      </w:r>
      <w:r w:rsidRPr="00A226DA">
        <w:rPr>
          <w:vertAlign w:val="superscript"/>
        </w:rPr>
        <w:t>[1]</w:t>
      </w:r>
      <w:r w:rsidRPr="00B87D50">
        <w:t>.</w:t>
      </w:r>
    </w:p>
    <w:p w14:paraId="1C4EB2AC" w14:textId="77777777" w:rsidR="00862277" w:rsidRPr="00B87D50" w:rsidRDefault="00862277" w:rsidP="00862277">
      <w:pPr>
        <w:jc w:val="both"/>
      </w:pPr>
    </w:p>
    <w:p w14:paraId="122940E3" w14:textId="77777777" w:rsidR="00862277" w:rsidRPr="00862277" w:rsidRDefault="00862277" w:rsidP="00862277">
      <w:pPr>
        <w:pStyle w:val="Samenvatting"/>
        <w:rPr>
          <w:caps w:val="0"/>
          <w:sz w:val="24"/>
          <w:szCs w:val="24"/>
        </w:rPr>
      </w:pPr>
      <w:bookmarkStart w:id="84" w:name="_Toc476583758"/>
      <w:r w:rsidRPr="00862277">
        <w:rPr>
          <w:caps w:val="0"/>
          <w:sz w:val="24"/>
          <w:szCs w:val="24"/>
        </w:rPr>
        <w:t>Thermal</w:t>
      </w:r>
      <w:bookmarkEnd w:id="84"/>
    </w:p>
    <w:p w14:paraId="53AAF41E" w14:textId="77777777" w:rsidR="00862277" w:rsidRDefault="00862277" w:rsidP="00862277">
      <w:pPr>
        <w:jc w:val="both"/>
      </w:pPr>
      <w:r>
        <w:t>Thermal Energy Storage (TES) may refer to a number of technologies which store heat energy using different approaches in insulated reservoirs</w:t>
      </w:r>
      <w:r w:rsidRPr="007C1FDB">
        <w:rPr>
          <w:vertAlign w:val="superscript"/>
        </w:rPr>
        <w:t>[1]</w:t>
      </w:r>
      <w:r>
        <w:rPr>
          <w:rStyle w:val="EndnoteReference"/>
        </w:rPr>
        <w:endnoteReference w:customMarkFollows="1" w:id="7"/>
        <w:t>[7]</w:t>
      </w:r>
      <w:r>
        <w:t>. TES systems can either be classified as high-temperature TES (the reservoir is maintained at a higher temperature than that of the ambient environment), or low-temperature TES (the reservoir is maintained at a lower temperature than that of the ambient environment). High-temperature TES systems include: latent-fusion-heat TES, sensible heat TES, or concrete TES. Low-temperature systems include: aquiferous low-temperature TES, and cryogenic energy storage. These methods are briefly described below:</w:t>
      </w:r>
    </w:p>
    <w:p w14:paraId="606410D1" w14:textId="77777777" w:rsidR="00862277" w:rsidRDefault="00862277" w:rsidP="00862277">
      <w:pPr>
        <w:jc w:val="both"/>
      </w:pPr>
    </w:p>
    <w:p w14:paraId="79E60DAB" w14:textId="77777777" w:rsidR="00862277" w:rsidRDefault="00862277" w:rsidP="00862277">
      <w:pPr>
        <w:pStyle w:val="Opsomming1"/>
        <w:jc w:val="both"/>
      </w:pPr>
      <w:r>
        <w:t xml:space="preserve">Latent-fusion-heat TES uses Phase Change Materials (PCMs) as the storage media and uses the energy absorption or emission in liquid-solid transition of these PCMs at constant temperature. </w:t>
      </w:r>
    </w:p>
    <w:p w14:paraId="09A760F8" w14:textId="65A92939" w:rsidR="00862277" w:rsidRDefault="00862277" w:rsidP="00862277">
      <w:pPr>
        <w:pStyle w:val="Opsomming1"/>
        <w:jc w:val="both"/>
      </w:pPr>
      <w:r>
        <w:lastRenderedPageBreak/>
        <w:t>Sensible Heat TES systems store energy in the form of high temperature sensible heat in a well-insulated volume. Storage is achieved by heating a bulk material (e.g. molten salt); the heat energy is recovered to produce water vapour which drives a turbo-al</w:t>
      </w:r>
      <w:r w:rsidR="003423D5">
        <w:t>ternator to produce electricity;</w:t>
      </w:r>
      <w:r>
        <w:t xml:space="preserve"> </w:t>
      </w:r>
    </w:p>
    <w:p w14:paraId="753FC9B4" w14:textId="287FEB87" w:rsidR="00862277" w:rsidRDefault="00862277" w:rsidP="00862277">
      <w:pPr>
        <w:pStyle w:val="Opsomming1"/>
        <w:jc w:val="both"/>
      </w:pPr>
      <w:r>
        <w:t>Concrete TES utilises concrete or castabl</w:t>
      </w:r>
      <w:r w:rsidR="003423D5">
        <w:t>e ceramics to store heat energy;</w:t>
      </w:r>
      <w:r>
        <w:t xml:space="preserve"> </w:t>
      </w:r>
    </w:p>
    <w:p w14:paraId="77104048" w14:textId="0F52294A" w:rsidR="003423D5" w:rsidRDefault="00862277" w:rsidP="003423D5">
      <w:pPr>
        <w:pStyle w:val="Opsomming1"/>
        <w:jc w:val="both"/>
      </w:pPr>
      <w:r>
        <w:t>Aquiferous low-temperature TES systems cool or freeze water which is then stored and used later to meet c</w:t>
      </w:r>
      <w:r w:rsidR="003423D5">
        <w:t>ooling needs during peak times;</w:t>
      </w:r>
    </w:p>
    <w:p w14:paraId="065230CC" w14:textId="77777777" w:rsidR="00862277" w:rsidRDefault="00862277" w:rsidP="00862277">
      <w:pPr>
        <w:pStyle w:val="Opsomming1"/>
        <w:jc w:val="both"/>
      </w:pPr>
      <w:r>
        <w:t>Cryogenic TES uses a cryogen (e.g. liquid nitrogen or liquid air) to achieve the electrical and thermal energy conversion. When power is needed, heat from the surrounding environment boils the liquid. The heated cryogen is used to generate electricity using a cryogenic heat engine</w:t>
      </w:r>
      <w:r>
        <w:rPr>
          <w:vertAlign w:val="superscript"/>
        </w:rPr>
        <w:t>[1][7</w:t>
      </w:r>
      <w:r w:rsidRPr="00C074FC">
        <w:rPr>
          <w:vertAlign w:val="superscript"/>
        </w:rPr>
        <w:t>]</w:t>
      </w:r>
      <w:r>
        <w:t>.</w:t>
      </w:r>
    </w:p>
    <w:p w14:paraId="1A26C04D" w14:textId="77777777" w:rsidR="00862277" w:rsidRPr="003F41EF" w:rsidRDefault="00862277" w:rsidP="00862277">
      <w:pPr>
        <w:jc w:val="both"/>
      </w:pPr>
    </w:p>
    <w:p w14:paraId="5BAC1AAB" w14:textId="77777777" w:rsidR="00862277" w:rsidRPr="00862277" w:rsidRDefault="00862277" w:rsidP="00862277">
      <w:pPr>
        <w:pStyle w:val="Samenvatting"/>
        <w:rPr>
          <w:caps w:val="0"/>
          <w:sz w:val="24"/>
          <w:szCs w:val="24"/>
        </w:rPr>
      </w:pPr>
      <w:bookmarkStart w:id="85" w:name="_Toc476583759"/>
      <w:r w:rsidRPr="00862277">
        <w:rPr>
          <w:caps w:val="0"/>
          <w:sz w:val="24"/>
          <w:szCs w:val="24"/>
        </w:rPr>
        <w:t>Other</w:t>
      </w:r>
      <w:bookmarkEnd w:id="85"/>
    </w:p>
    <w:p w14:paraId="74880402" w14:textId="02713DDE" w:rsidR="00862277" w:rsidRDefault="00862277" w:rsidP="00862277">
      <w:pPr>
        <w:jc w:val="both"/>
      </w:pPr>
      <w:r>
        <w:t>There are a number of other ESS technologies which are still at concept or early stages of research or development. Several of these will briefly be introduced in this section.</w:t>
      </w:r>
    </w:p>
    <w:p w14:paraId="4D5F1DAD" w14:textId="77777777" w:rsidR="00862277" w:rsidRPr="005B4884" w:rsidRDefault="00862277" w:rsidP="00862277">
      <w:pPr>
        <w:jc w:val="both"/>
      </w:pPr>
    </w:p>
    <w:p w14:paraId="210EC487" w14:textId="77777777" w:rsidR="00862277" w:rsidRPr="00862277" w:rsidRDefault="00862277" w:rsidP="00862277">
      <w:pPr>
        <w:pStyle w:val="Samenvatting"/>
        <w:rPr>
          <w:caps w:val="0"/>
          <w:sz w:val="20"/>
          <w:szCs w:val="20"/>
        </w:rPr>
      </w:pPr>
      <w:r w:rsidRPr="00862277">
        <w:rPr>
          <w:caps w:val="0"/>
          <w:sz w:val="20"/>
          <w:szCs w:val="20"/>
        </w:rPr>
        <w:t>Solar</w:t>
      </w:r>
    </w:p>
    <w:p w14:paraId="4E963600" w14:textId="5502603F" w:rsidR="00862277" w:rsidRDefault="00862277" w:rsidP="00862277">
      <w:pPr>
        <w:jc w:val="both"/>
      </w:pPr>
      <w:r>
        <w:t>A number of fuels can be produced by solar energy which can be subsequently stored to provide the basis for later electricity generation. Methods to produce solar fuels include natural photosynthesis, artificial photosynthesis, and thermochemical approaches</w:t>
      </w:r>
      <w:r>
        <w:rPr>
          <w:vertAlign w:val="subscript"/>
        </w:rPr>
        <w:softHyphen/>
      </w:r>
      <w:r>
        <w:rPr>
          <w:vertAlign w:val="subscript"/>
        </w:rPr>
        <w:softHyphen/>
      </w:r>
      <w:r>
        <w:rPr>
          <w:vertAlign w:val="superscript"/>
        </w:rPr>
        <w:t>[1]</w:t>
      </w:r>
      <w:r>
        <w:t xml:space="preserve">. </w:t>
      </w:r>
    </w:p>
    <w:p w14:paraId="57333F08" w14:textId="77777777" w:rsidR="00862277" w:rsidRPr="00397227" w:rsidRDefault="00862277" w:rsidP="00862277">
      <w:pPr>
        <w:jc w:val="both"/>
      </w:pPr>
    </w:p>
    <w:p w14:paraId="73A2785C" w14:textId="77777777" w:rsidR="00862277" w:rsidRPr="00862277" w:rsidRDefault="00862277" w:rsidP="00862277">
      <w:pPr>
        <w:pStyle w:val="Samenvatting"/>
        <w:rPr>
          <w:caps w:val="0"/>
          <w:sz w:val="20"/>
          <w:szCs w:val="20"/>
        </w:rPr>
      </w:pPr>
      <w:r w:rsidRPr="00862277">
        <w:rPr>
          <w:caps w:val="0"/>
          <w:sz w:val="20"/>
          <w:szCs w:val="20"/>
        </w:rPr>
        <w:t>Gravity Power Module</w:t>
      </w:r>
    </w:p>
    <w:p w14:paraId="3AF063DF" w14:textId="6405F031" w:rsidR="00862277" w:rsidRDefault="00862277" w:rsidP="00862277">
      <w:pPr>
        <w:jc w:val="both"/>
      </w:pPr>
      <w:r>
        <w:t xml:space="preserve">The Gravity Power Module (GPM) is </w:t>
      </w:r>
      <w:r>
        <w:tab/>
        <w:t>a large piston suspended in a vertical water-filled shaft extending deep underground. When the piston drops, water is forced down the storage shaft, up a return pipe and through a turbine. This spins a motor/generator to produce electricity. Grid power can be used to drive the motor/generator in reverse in order to force water back into the shaft, therefore raising the piston</w:t>
      </w:r>
      <w:r>
        <w:rPr>
          <w:rStyle w:val="EndnoteReference"/>
        </w:rPr>
        <w:endnoteReference w:customMarkFollows="1" w:id="8"/>
        <w:t>[8]</w:t>
      </w:r>
      <w:r>
        <w:t xml:space="preserve">. </w:t>
      </w:r>
    </w:p>
    <w:p w14:paraId="52DC8348" w14:textId="77777777" w:rsidR="00862277" w:rsidRDefault="00862277" w:rsidP="00862277">
      <w:pPr>
        <w:jc w:val="both"/>
      </w:pPr>
    </w:p>
    <w:p w14:paraId="333444FE" w14:textId="77777777" w:rsidR="00862277" w:rsidRPr="00862277" w:rsidRDefault="00862277" w:rsidP="00862277">
      <w:pPr>
        <w:pStyle w:val="Samenvatting"/>
        <w:rPr>
          <w:caps w:val="0"/>
          <w:sz w:val="20"/>
          <w:szCs w:val="20"/>
        </w:rPr>
      </w:pPr>
      <w:r w:rsidRPr="00862277">
        <w:rPr>
          <w:caps w:val="0"/>
          <w:sz w:val="20"/>
          <w:szCs w:val="20"/>
        </w:rPr>
        <w:t>Metal-Air Batteries</w:t>
      </w:r>
    </w:p>
    <w:p w14:paraId="77479C16" w14:textId="70A5482E" w:rsidR="00862277" w:rsidRDefault="00862277" w:rsidP="00862277">
      <w:pPr>
        <w:jc w:val="both"/>
      </w:pPr>
      <w:r>
        <w:t>Metal-Air batteries (such as zinc-air batteries) are the most compact and potentially least expensive batteries. They have characteristics of both batteries and fuel cells. Development is in the early stages and electrical recharging is currently difficult and inefficient</w:t>
      </w:r>
      <w:r>
        <w:rPr>
          <w:vertAlign w:val="superscript"/>
        </w:rPr>
        <w:t>[7</w:t>
      </w:r>
      <w:r w:rsidRPr="0045567B">
        <w:rPr>
          <w:vertAlign w:val="superscript"/>
        </w:rPr>
        <w:t>]</w:t>
      </w:r>
      <w:r>
        <w:t>.</w:t>
      </w:r>
    </w:p>
    <w:p w14:paraId="0FCF038D" w14:textId="77777777" w:rsidR="00862277" w:rsidRPr="004E1744" w:rsidRDefault="00862277" w:rsidP="00862277">
      <w:pPr>
        <w:jc w:val="both"/>
      </w:pPr>
    </w:p>
    <w:p w14:paraId="113BF3B4" w14:textId="77777777" w:rsidR="00862277" w:rsidRPr="00862277" w:rsidRDefault="00862277" w:rsidP="00862277">
      <w:pPr>
        <w:pStyle w:val="Samenvatting"/>
        <w:rPr>
          <w:caps w:val="0"/>
          <w:sz w:val="20"/>
          <w:szCs w:val="20"/>
        </w:rPr>
      </w:pPr>
      <w:r w:rsidRPr="00862277">
        <w:rPr>
          <w:caps w:val="0"/>
          <w:sz w:val="20"/>
          <w:szCs w:val="20"/>
        </w:rPr>
        <w:t>Hybrid</w:t>
      </w:r>
    </w:p>
    <w:p w14:paraId="7748615B" w14:textId="0562FC39" w:rsidR="00862277" w:rsidRPr="003060F3" w:rsidRDefault="00862277" w:rsidP="003060F3">
      <w:r>
        <w:t xml:space="preserve">Hybrid ESS refers to the </w:t>
      </w:r>
      <w:r w:rsidRPr="00DC23A4">
        <w:t>integra</w:t>
      </w:r>
      <w:r>
        <w:t>t</w:t>
      </w:r>
      <w:r w:rsidRPr="00DC23A4">
        <w:t>ion</w:t>
      </w:r>
      <w:r>
        <w:t xml:space="preserve"> of at least two different ESS technologies into one system or application</w:t>
      </w:r>
      <w:r w:rsidRPr="00F9122E">
        <w:rPr>
          <w:vertAlign w:val="superscript"/>
        </w:rPr>
        <w:t>[1]</w:t>
      </w:r>
      <w:r>
        <w:t>. An example is the combination of supercapacitor and batteries in order to offer relatively large storage capacity and very fast charge and discharge rates</w:t>
      </w:r>
      <w:r w:rsidRPr="00F9122E">
        <w:rPr>
          <w:vertAlign w:val="superscript"/>
        </w:rPr>
        <w:t>[1]</w:t>
      </w:r>
      <w:r>
        <w:t>.</w:t>
      </w:r>
    </w:p>
    <w:p w14:paraId="403AA36B" w14:textId="76CF2113" w:rsidR="00862277" w:rsidRPr="00BE346F" w:rsidRDefault="00862277" w:rsidP="00BE346F"/>
    <w:sectPr w:rsidR="00862277" w:rsidRPr="00BE346F" w:rsidSect="005163B1">
      <w:footnotePr>
        <w:numRestart w:val="eachSect"/>
      </w:footnotePr>
      <w:pgSz w:w="11906" w:h="16838" w:code="9"/>
      <w:pgMar w:top="2268" w:right="1418" w:bottom="1843"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79049B" w14:textId="77777777" w:rsidR="00C841D8" w:rsidRDefault="00C841D8" w:rsidP="00F40A7A">
      <w:pPr>
        <w:spacing w:line="240" w:lineRule="auto"/>
      </w:pPr>
      <w:r>
        <w:separator/>
      </w:r>
    </w:p>
  </w:endnote>
  <w:endnote w:type="continuationSeparator" w:id="0">
    <w:p w14:paraId="5242F2ED" w14:textId="77777777" w:rsidR="00C841D8" w:rsidRDefault="00C841D8" w:rsidP="00F40A7A">
      <w:pPr>
        <w:spacing w:line="240" w:lineRule="auto"/>
      </w:pPr>
      <w:r>
        <w:continuationSeparator/>
      </w:r>
    </w:p>
  </w:endnote>
  <w:endnote w:id="1">
    <w:p w14:paraId="72F7648F" w14:textId="77777777" w:rsidR="00C841D8" w:rsidRDefault="00C841D8" w:rsidP="00862277">
      <w:pPr>
        <w:pStyle w:val="EndnoteText"/>
      </w:pPr>
      <w:r>
        <w:rPr>
          <w:rStyle w:val="EndnoteReference"/>
        </w:rPr>
        <w:t>[1]</w:t>
      </w:r>
      <w:r>
        <w:t xml:space="preserve"> </w:t>
      </w:r>
      <w:r w:rsidRPr="00EA473B">
        <w:t xml:space="preserve">Luo, X., Wang, J., Dooner, M. and Clarke, J. (2015) </w:t>
      </w:r>
      <w:r w:rsidRPr="00EA473B">
        <w:rPr>
          <w:i/>
        </w:rPr>
        <w:t xml:space="preserve">Overview of current development in electrical energy storage technologies and the application potential in power system operation. </w:t>
      </w:r>
      <w:r w:rsidRPr="00EA473B">
        <w:t>Applied Energy 137, 511-536</w:t>
      </w:r>
    </w:p>
    <w:p w14:paraId="17D9C24E" w14:textId="77777777" w:rsidR="00C841D8" w:rsidRDefault="00C841D8" w:rsidP="00862277">
      <w:pPr>
        <w:pStyle w:val="EndnoteText"/>
      </w:pPr>
    </w:p>
  </w:endnote>
  <w:endnote w:id="2">
    <w:p w14:paraId="17FFE3A9" w14:textId="77777777" w:rsidR="00C841D8" w:rsidRDefault="00C841D8" w:rsidP="00862277">
      <w:pPr>
        <w:pStyle w:val="EndnoteText"/>
      </w:pPr>
      <w:r>
        <w:rPr>
          <w:rStyle w:val="EndnoteReference"/>
        </w:rPr>
        <w:t>[2]</w:t>
      </w:r>
      <w:r>
        <w:t xml:space="preserve"> </w:t>
      </w:r>
      <w:r w:rsidRPr="00EA473B">
        <w:rPr>
          <w:rStyle w:val="Emphasis"/>
        </w:rPr>
        <w:t>Díaz</w:t>
      </w:r>
      <w:r w:rsidRPr="00EA473B">
        <w:rPr>
          <w:rStyle w:val="st"/>
          <w:i/>
        </w:rPr>
        <w:t>-</w:t>
      </w:r>
      <w:r w:rsidRPr="00EA473B">
        <w:rPr>
          <w:rStyle w:val="Emphasis"/>
        </w:rPr>
        <w:t xml:space="preserve">González, F., Sumper, A., Gomis-Bellmunt, O. and </w:t>
      </w:r>
      <w:r w:rsidRPr="00EA473B">
        <w:t xml:space="preserve">Villafáfila-Robles, R. (2012) </w:t>
      </w:r>
      <w:r w:rsidRPr="00EA473B">
        <w:rPr>
          <w:i/>
        </w:rPr>
        <w:t xml:space="preserve">A review of energy storage technologies for wind power application. </w:t>
      </w:r>
      <w:r w:rsidRPr="00EA473B">
        <w:t>Renewable and Sustainable Energy Reviews 16, 2154-2171.</w:t>
      </w:r>
    </w:p>
    <w:p w14:paraId="4ECD7C25" w14:textId="77777777" w:rsidR="00C841D8" w:rsidRDefault="00C841D8" w:rsidP="00862277">
      <w:pPr>
        <w:pStyle w:val="EndnoteText"/>
      </w:pPr>
    </w:p>
  </w:endnote>
  <w:endnote w:id="3">
    <w:p w14:paraId="3C2088A9" w14:textId="77777777" w:rsidR="00C841D8" w:rsidRDefault="00C841D8" w:rsidP="00862277">
      <w:pPr>
        <w:pStyle w:val="EndnoteText"/>
      </w:pPr>
      <w:r>
        <w:rPr>
          <w:rStyle w:val="EndnoteReference"/>
        </w:rPr>
        <w:t>[3]</w:t>
      </w:r>
      <w:r>
        <w:t xml:space="preserve"> </w:t>
      </w:r>
      <w:r w:rsidRPr="00EA473B">
        <w:t xml:space="preserve">Zhao, H., Wu, Q., Hu, S., Xu, H. and Rasmussen, C.N. (2015) </w:t>
      </w:r>
      <w:r w:rsidRPr="00EA473B">
        <w:rPr>
          <w:i/>
        </w:rPr>
        <w:t xml:space="preserve">Review of energy storage system for wind power integration support. </w:t>
      </w:r>
      <w:r w:rsidRPr="00EA473B">
        <w:t>Applied Energy 137, 545-553.</w:t>
      </w:r>
    </w:p>
    <w:p w14:paraId="4727807A" w14:textId="77777777" w:rsidR="00C841D8" w:rsidRDefault="00C841D8" w:rsidP="00862277">
      <w:pPr>
        <w:pStyle w:val="EndnoteText"/>
      </w:pPr>
    </w:p>
  </w:endnote>
  <w:endnote w:id="4">
    <w:p w14:paraId="5178B44B" w14:textId="77777777" w:rsidR="00C841D8" w:rsidRPr="00EA473B" w:rsidRDefault="00C841D8" w:rsidP="00862277">
      <w:pPr>
        <w:pStyle w:val="EndnoteText"/>
        <w:rPr>
          <w:i/>
        </w:rPr>
      </w:pPr>
      <w:r>
        <w:rPr>
          <w:rStyle w:val="EndnoteReference"/>
        </w:rPr>
        <w:t>[4]</w:t>
      </w:r>
      <w:r>
        <w:t xml:space="preserve"> </w:t>
      </w:r>
      <w:r w:rsidRPr="00EA473B">
        <w:t xml:space="preserve">ARUP (2015) </w:t>
      </w:r>
      <w:r w:rsidRPr="00EA473B">
        <w:rPr>
          <w:i/>
        </w:rPr>
        <w:t>Five Minute Guide: Electricity Storage Technologies.</w:t>
      </w:r>
    </w:p>
    <w:p w14:paraId="1EA97146" w14:textId="77777777" w:rsidR="00C841D8" w:rsidRDefault="00C841D8" w:rsidP="00862277">
      <w:pPr>
        <w:pStyle w:val="EndnoteText"/>
      </w:pPr>
    </w:p>
  </w:endnote>
  <w:endnote w:id="5">
    <w:p w14:paraId="656B3D9B" w14:textId="77777777" w:rsidR="00C841D8" w:rsidRDefault="00C841D8" w:rsidP="00862277">
      <w:pPr>
        <w:pStyle w:val="EndnoteText"/>
      </w:pPr>
      <w:r>
        <w:rPr>
          <w:rStyle w:val="EndnoteReference"/>
        </w:rPr>
        <w:t>[5]</w:t>
      </w:r>
      <w:r>
        <w:t xml:space="preserve"> </w:t>
      </w:r>
      <w:r w:rsidRPr="00EA473B">
        <w:t xml:space="preserve">Chen, H., Cong, T.N., Yang, W., Tan, C., Li, Y. and Ding, Y. (2009) </w:t>
      </w:r>
      <w:r w:rsidRPr="00EA473B">
        <w:rPr>
          <w:i/>
        </w:rPr>
        <w:t>Progress in electrical energy storage system: A cri</w:t>
      </w:r>
      <w:r>
        <w:rPr>
          <w:i/>
        </w:rPr>
        <w:t>ti</w:t>
      </w:r>
      <w:r w:rsidRPr="00EA473B">
        <w:rPr>
          <w:i/>
        </w:rPr>
        <w:t xml:space="preserve">cal review. </w:t>
      </w:r>
      <w:r w:rsidRPr="00EA473B">
        <w:t>Progress in Natural Science 19, 291-312.</w:t>
      </w:r>
    </w:p>
    <w:p w14:paraId="5E273F78" w14:textId="77777777" w:rsidR="00C841D8" w:rsidRDefault="00C841D8" w:rsidP="00862277">
      <w:pPr>
        <w:pStyle w:val="EndnoteText"/>
      </w:pPr>
    </w:p>
  </w:endnote>
  <w:endnote w:id="6">
    <w:p w14:paraId="22BAC878" w14:textId="77777777" w:rsidR="00C841D8" w:rsidRDefault="00C841D8" w:rsidP="00862277">
      <w:pPr>
        <w:pStyle w:val="EndnoteText"/>
      </w:pPr>
      <w:r>
        <w:rPr>
          <w:rStyle w:val="EndnoteReference"/>
        </w:rPr>
        <w:t>[6]</w:t>
      </w:r>
      <w:r>
        <w:t xml:space="preserve"> </w:t>
      </w:r>
      <w:r w:rsidRPr="00EA473B">
        <w:t xml:space="preserve">Ali, M.H., Wu, B. and Dougal, R.A. (2010) </w:t>
      </w:r>
      <w:r w:rsidRPr="00EA473B">
        <w:rPr>
          <w:i/>
        </w:rPr>
        <w:t xml:space="preserve">An Overview of SMES Applications in Power and Energy Systems. </w:t>
      </w:r>
      <w:r w:rsidRPr="00EA473B">
        <w:t>IEEE Transactions on Sustainable Energy 1, 38-47.</w:t>
      </w:r>
    </w:p>
    <w:p w14:paraId="72A97051" w14:textId="77777777" w:rsidR="00C841D8" w:rsidRDefault="00C841D8" w:rsidP="00862277">
      <w:pPr>
        <w:pStyle w:val="EndnoteText"/>
      </w:pPr>
    </w:p>
  </w:endnote>
  <w:endnote w:id="7">
    <w:p w14:paraId="6946D3A0" w14:textId="77777777" w:rsidR="00C841D8" w:rsidRDefault="00C841D8" w:rsidP="00862277">
      <w:pPr>
        <w:pStyle w:val="EndnoteText"/>
      </w:pPr>
      <w:r>
        <w:rPr>
          <w:rStyle w:val="EndnoteReference"/>
        </w:rPr>
        <w:t>[7]</w:t>
      </w:r>
      <w:r>
        <w:t xml:space="preserve"> </w:t>
      </w:r>
      <w:r w:rsidRPr="00EA473B">
        <w:t xml:space="preserve">BEAMS (2010) </w:t>
      </w:r>
      <w:r w:rsidRPr="00EA473B">
        <w:rPr>
          <w:i/>
        </w:rPr>
        <w:t xml:space="preserve">Energy storage technologies for wind power integration. </w:t>
      </w:r>
      <w:r w:rsidRPr="00EA473B">
        <w:rPr>
          <w:rStyle w:val="Emphasis"/>
        </w:rPr>
        <w:t>Université libre de Bruxelles.</w:t>
      </w:r>
    </w:p>
    <w:p w14:paraId="5D31993C" w14:textId="77777777" w:rsidR="00C841D8" w:rsidRDefault="00C841D8" w:rsidP="00862277">
      <w:pPr>
        <w:pStyle w:val="EndnoteText"/>
      </w:pPr>
    </w:p>
  </w:endnote>
  <w:endnote w:id="8">
    <w:p w14:paraId="52D07327" w14:textId="77777777" w:rsidR="00C841D8" w:rsidRPr="00EA473B" w:rsidRDefault="00C841D8" w:rsidP="00862277">
      <w:pPr>
        <w:pStyle w:val="EndnoteText"/>
      </w:pPr>
      <w:r>
        <w:rPr>
          <w:rStyle w:val="EndnoteReference"/>
        </w:rPr>
        <w:t>[8]</w:t>
      </w:r>
      <w:r>
        <w:t xml:space="preserve"> Wesoff, E. (2010) </w:t>
      </w:r>
      <w:r>
        <w:rPr>
          <w:i/>
        </w:rPr>
        <w:t>Gravity Power’s New Take on Pumped-Hydro Energy Storage</w:t>
      </w:r>
      <w:r>
        <w:t xml:space="preserve">. Greentech Media. Retrieved July, 20, 2017, from </w:t>
      </w:r>
      <w:hyperlink r:id="rId1" w:history="1">
        <w:r w:rsidRPr="00EA473B">
          <w:rPr>
            <w:rStyle w:val="Hyperlink"/>
            <w:color w:val="auto"/>
            <w:u w:val="none"/>
          </w:rPr>
          <w:t>https://www.greentechmedia.com/articles/read/Gravity-Power</w:t>
        </w:r>
      </w:hyperlink>
    </w:p>
    <w:p w14:paraId="21DE8FA3" w14:textId="77777777" w:rsidR="00C841D8" w:rsidRPr="00955127" w:rsidRDefault="00C841D8" w:rsidP="00862277">
      <w:pPr>
        <w:pStyle w:val="EndnoteText"/>
      </w:pPr>
    </w:p>
    <w:p w14:paraId="72392C57" w14:textId="77777777" w:rsidR="00C841D8" w:rsidRDefault="00C841D8" w:rsidP="00862277">
      <w:pPr>
        <w:pStyle w:val="EndnoteText"/>
      </w:pPr>
    </w:p>
    <w:p w14:paraId="1666F46D" w14:textId="77777777" w:rsidR="00C841D8" w:rsidRDefault="00C841D8" w:rsidP="00862277">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LT Std">
    <w:altName w:val="Arial"/>
    <w:panose1 w:val="00000000000000000000"/>
    <w:charset w:val="00"/>
    <w:family w:val="swiss"/>
    <w:notTrueType/>
    <w:pitch w:val="variable"/>
    <w:sig w:usb0="00000001" w:usb1="5000204A" w:usb2="00000000" w:usb3="00000000" w:csb0="00000005" w:csb1="00000000"/>
  </w:font>
  <w:font w:name="Univers">
    <w:altName w:val="Arial"/>
    <w:panose1 w:val="020B0603020202030204"/>
    <w:charset w:val="00"/>
    <w:family w:val="swiss"/>
    <w:pitch w:val="variable"/>
    <w:sig w:usb0="00000003" w:usb1="00000000" w:usb2="00000000" w:usb3="00000000" w:csb0="00000001" w:csb1="00000000"/>
  </w:font>
  <w:font w:name="Helvit">
    <w:altName w:val="Arial"/>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3677019"/>
      <w:docPartObj>
        <w:docPartGallery w:val="Page Numbers (Bottom of Page)"/>
        <w:docPartUnique/>
      </w:docPartObj>
    </w:sdtPr>
    <w:sdtEndPr>
      <w:rPr>
        <w:noProof/>
      </w:rPr>
    </w:sdtEndPr>
    <w:sdtContent>
      <w:p w14:paraId="66BF0CBD" w14:textId="2691982F" w:rsidR="00C841D8" w:rsidRDefault="00C841D8">
        <w:pPr>
          <w:pStyle w:val="Footer"/>
          <w:jc w:val="center"/>
        </w:pPr>
        <w:r>
          <w:fldChar w:fldCharType="begin"/>
        </w:r>
        <w:r>
          <w:instrText xml:space="preserve"> PAGE   \* MERGEFORMAT </w:instrText>
        </w:r>
        <w:r>
          <w:fldChar w:fldCharType="separate"/>
        </w:r>
        <w:r w:rsidR="00682B7A">
          <w:rPr>
            <w:noProof/>
          </w:rPr>
          <w:t>ii</w:t>
        </w:r>
        <w:r>
          <w:rPr>
            <w:noProof/>
          </w:rPr>
          <w:fldChar w:fldCharType="end"/>
        </w:r>
      </w:p>
    </w:sdtContent>
  </w:sdt>
  <w:p w14:paraId="21835D1D" w14:textId="77777777" w:rsidR="00C841D8" w:rsidRDefault="00C841D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6285356"/>
      <w:docPartObj>
        <w:docPartGallery w:val="Page Numbers (Bottom of Page)"/>
        <w:docPartUnique/>
      </w:docPartObj>
    </w:sdtPr>
    <w:sdtEndPr>
      <w:rPr>
        <w:noProof/>
      </w:rPr>
    </w:sdtEndPr>
    <w:sdtContent>
      <w:p w14:paraId="79573B95" w14:textId="5F068C98" w:rsidR="00C841D8" w:rsidRDefault="00C841D8">
        <w:pPr>
          <w:pStyle w:val="Footer"/>
          <w:jc w:val="center"/>
        </w:pPr>
        <w:r>
          <w:fldChar w:fldCharType="begin"/>
        </w:r>
        <w:r>
          <w:instrText xml:space="preserve"> PAGE   \* MERGEFORMAT </w:instrText>
        </w:r>
        <w:r>
          <w:fldChar w:fldCharType="separate"/>
        </w:r>
        <w:r w:rsidR="00682B7A">
          <w:rPr>
            <w:noProof/>
          </w:rPr>
          <w:t>i</w:t>
        </w:r>
        <w:r>
          <w:rPr>
            <w:noProof/>
          </w:rPr>
          <w:fldChar w:fldCharType="end"/>
        </w:r>
      </w:p>
    </w:sdtContent>
  </w:sdt>
  <w:p w14:paraId="45EEEDAD" w14:textId="217CAAE4" w:rsidR="00C841D8" w:rsidRPr="002623AD" w:rsidRDefault="00C841D8" w:rsidP="00776B93">
    <w:pPr>
      <w:pStyle w:val="Footer"/>
      <w:ind w:left="-851"/>
      <w:jc w:val="center"/>
      <w:rPr>
        <w:rFonts w:cs="Helvetica"/>
        <w:color w:val="696E38"/>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92BEB0" w14:textId="77777777" w:rsidR="00C841D8" w:rsidRPr="00EA15E2" w:rsidRDefault="00C841D8" w:rsidP="00EA15E2">
      <w:pPr>
        <w:pStyle w:val="Footer"/>
      </w:pPr>
    </w:p>
  </w:footnote>
  <w:footnote w:type="continuationSeparator" w:id="0">
    <w:p w14:paraId="50EB65B0" w14:textId="77777777" w:rsidR="00C841D8" w:rsidRDefault="00C841D8" w:rsidP="00F40A7A">
      <w:pPr>
        <w:spacing w:line="240" w:lineRule="auto"/>
      </w:pPr>
    </w:p>
  </w:footnote>
  <w:footnote w:type="continuationNotice" w:id="1">
    <w:p w14:paraId="7A7E3C41" w14:textId="77777777" w:rsidR="00C841D8" w:rsidRDefault="00C841D8">
      <w:pPr>
        <w:spacing w:line="240" w:lineRule="auto"/>
      </w:pPr>
    </w:p>
  </w:footnote>
  <w:footnote w:id="2">
    <w:p w14:paraId="550AF4E9" w14:textId="604C62F2" w:rsidR="00C841D8" w:rsidRDefault="00C841D8" w:rsidP="00554CE2">
      <w:pPr>
        <w:pStyle w:val="FootnoteText"/>
        <w:jc w:val="both"/>
      </w:pPr>
      <w:r>
        <w:rPr>
          <w:rStyle w:val="FootnoteReference"/>
        </w:rPr>
        <w:footnoteRef/>
      </w:r>
      <w:r>
        <w:t xml:space="preserve"> Different authors might use different terminology to describe the same instrument or category of instrument; for example, Hood (1986, cited in </w:t>
      </w:r>
      <w:r>
        <w:rPr>
          <w:noProof/>
        </w:rPr>
        <w:t>Howlett, et al., 2009) uses the term ‘treasure’ to describe what other authors term as ‘economic instruments’.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D4F4A"/>
    <w:multiLevelType w:val="multilevel"/>
    <w:tmpl w:val="E8802CEA"/>
    <w:lvl w:ilvl="0">
      <w:start w:val="1"/>
      <w:numFmt w:val="bullet"/>
      <w:pStyle w:val="Opsomming1"/>
      <w:lvlText w:val=""/>
      <w:lvlJc w:val="left"/>
      <w:pPr>
        <w:ind w:left="927" w:hanging="360"/>
      </w:pPr>
      <w:rPr>
        <w:rFonts w:ascii="Symbol" w:hAnsi="Symbol" w:hint="default"/>
        <w:color w:val="696E34"/>
      </w:rPr>
    </w:lvl>
    <w:lvl w:ilvl="1">
      <w:start w:val="1"/>
      <w:numFmt w:val="bullet"/>
      <w:pStyle w:val="Opsomming2"/>
      <w:lvlText w:val=""/>
      <w:lvlJc w:val="left"/>
      <w:pPr>
        <w:ind w:left="1287" w:hanging="360"/>
      </w:pPr>
      <w:rPr>
        <w:rFonts w:ascii="Symbol" w:hAnsi="Symbol" w:hint="default"/>
        <w:color w:val="696E34"/>
      </w:rPr>
    </w:lvl>
    <w:lvl w:ilvl="2">
      <w:start w:val="1"/>
      <w:numFmt w:val="bullet"/>
      <w:lvlText w:val=""/>
      <w:lvlJc w:val="left"/>
      <w:pPr>
        <w:ind w:left="1647" w:hanging="360"/>
      </w:pPr>
      <w:rPr>
        <w:rFonts w:ascii="Symbol" w:hAnsi="Symbol" w:hint="default"/>
        <w:color w:val="696E34"/>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rPr>
    </w:lvl>
    <w:lvl w:ilvl="5">
      <w:start w:val="1"/>
      <w:numFmt w:val="lowerRoman"/>
      <w:lvlText w:val="(%6)"/>
      <w:lvlJc w:val="left"/>
      <w:pPr>
        <w:ind w:left="2727" w:hanging="360"/>
      </w:pPr>
      <w:rPr>
        <w:rFonts w:hint="default"/>
      </w:rPr>
    </w:lvl>
    <w:lvl w:ilvl="6">
      <w:start w:val="1"/>
      <w:numFmt w:val="decimal"/>
      <w:lvlText w:val="%7."/>
      <w:lvlJc w:val="left"/>
      <w:pPr>
        <w:ind w:left="3087" w:hanging="360"/>
      </w:pPr>
      <w:rPr>
        <w:rFonts w:hint="default"/>
      </w:rPr>
    </w:lvl>
    <w:lvl w:ilvl="7">
      <w:start w:val="1"/>
      <w:numFmt w:val="lowerLetter"/>
      <w:lvlText w:val="%8."/>
      <w:lvlJc w:val="left"/>
      <w:pPr>
        <w:ind w:left="3447" w:hanging="360"/>
      </w:pPr>
      <w:rPr>
        <w:rFonts w:hint="default"/>
      </w:rPr>
    </w:lvl>
    <w:lvl w:ilvl="8">
      <w:start w:val="1"/>
      <w:numFmt w:val="lowerRoman"/>
      <w:lvlText w:val="%9."/>
      <w:lvlJc w:val="left"/>
      <w:pPr>
        <w:ind w:left="3807" w:hanging="360"/>
      </w:pPr>
      <w:rPr>
        <w:rFonts w:hint="default"/>
      </w:rPr>
    </w:lvl>
  </w:abstractNum>
  <w:abstractNum w:abstractNumId="1" w15:restartNumberingAfterBreak="0">
    <w:nsid w:val="20033C32"/>
    <w:multiLevelType w:val="hybridMultilevel"/>
    <w:tmpl w:val="FA78659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53CD37EE"/>
    <w:multiLevelType w:val="multilevel"/>
    <w:tmpl w:val="8FF4F0AE"/>
    <w:lvl w:ilvl="0">
      <w:start w:val="1"/>
      <w:numFmt w:val="decimal"/>
      <w:pStyle w:val="Heading1"/>
      <w:lvlText w:val="%1"/>
      <w:lvlJc w:val="right"/>
      <w:pPr>
        <w:tabs>
          <w:tab w:val="num" w:pos="91"/>
        </w:tabs>
        <w:ind w:left="567" w:hanging="279"/>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right"/>
      <w:pPr>
        <w:tabs>
          <w:tab w:val="num" w:pos="3402"/>
        </w:tabs>
        <w:ind w:left="567" w:hanging="279"/>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right"/>
      <w:pPr>
        <w:tabs>
          <w:tab w:val="num" w:pos="3402"/>
        </w:tabs>
        <w:ind w:left="567" w:hanging="279"/>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
      <w:lvlJc w:val="left"/>
      <w:pPr>
        <w:tabs>
          <w:tab w:val="num" w:pos="91"/>
        </w:tabs>
        <w:ind w:left="567" w:hanging="567"/>
      </w:pPr>
      <w:rPr>
        <w:rFonts w:hint="default"/>
      </w:rPr>
    </w:lvl>
    <w:lvl w:ilvl="4">
      <w:start w:val="1"/>
      <w:numFmt w:val="none"/>
      <w:lvlText w:val=""/>
      <w:lvlJc w:val="left"/>
      <w:pPr>
        <w:tabs>
          <w:tab w:val="num" w:pos="3402"/>
        </w:tabs>
        <w:ind w:left="567" w:hanging="567"/>
      </w:pPr>
      <w:rPr>
        <w:rFonts w:hint="default"/>
      </w:rPr>
    </w:lvl>
    <w:lvl w:ilvl="5">
      <w:start w:val="1"/>
      <w:numFmt w:val="none"/>
      <w:pStyle w:val="Heading6"/>
      <w:lvlText w:val=""/>
      <w:lvlJc w:val="left"/>
      <w:pPr>
        <w:tabs>
          <w:tab w:val="num" w:pos="3402"/>
        </w:tabs>
        <w:ind w:left="567" w:hanging="567"/>
      </w:pPr>
      <w:rPr>
        <w:rFonts w:hint="default"/>
      </w:rPr>
    </w:lvl>
    <w:lvl w:ilvl="6">
      <w:start w:val="1"/>
      <w:numFmt w:val="none"/>
      <w:pStyle w:val="Heading7"/>
      <w:lvlText w:val=""/>
      <w:lvlJc w:val="left"/>
      <w:pPr>
        <w:tabs>
          <w:tab w:val="num" w:pos="3402"/>
        </w:tabs>
        <w:ind w:left="567" w:hanging="567"/>
      </w:pPr>
      <w:rPr>
        <w:rFonts w:hint="default"/>
      </w:rPr>
    </w:lvl>
    <w:lvl w:ilvl="7">
      <w:start w:val="1"/>
      <w:numFmt w:val="none"/>
      <w:pStyle w:val="Heading8"/>
      <w:lvlText w:val=""/>
      <w:lvlJc w:val="left"/>
      <w:pPr>
        <w:tabs>
          <w:tab w:val="num" w:pos="3402"/>
        </w:tabs>
        <w:ind w:left="567" w:hanging="567"/>
      </w:pPr>
      <w:rPr>
        <w:rFonts w:hint="default"/>
      </w:rPr>
    </w:lvl>
    <w:lvl w:ilvl="8">
      <w:start w:val="1"/>
      <w:numFmt w:val="none"/>
      <w:pStyle w:val="Heading9"/>
      <w:lvlText w:val=""/>
      <w:lvlJc w:val="left"/>
      <w:pPr>
        <w:ind w:left="567" w:hanging="567"/>
      </w:pPr>
      <w:rPr>
        <w:rFonts w:hint="default"/>
      </w:rPr>
    </w:lvl>
  </w:abstractNum>
  <w:abstractNum w:abstractNumId="3" w15:restartNumberingAfterBreak="0">
    <w:nsid w:val="618F00DD"/>
    <w:multiLevelType w:val="hybridMultilevel"/>
    <w:tmpl w:val="54E2D0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6B9C7D9A"/>
    <w:multiLevelType w:val="hybridMultilevel"/>
    <w:tmpl w:val="31607E9E"/>
    <w:lvl w:ilvl="0" w:tplc="E9A0529E">
      <w:start w:val="1"/>
      <w:numFmt w:val="bullet"/>
      <w:pStyle w:val="TabelOpsomming"/>
      <w:lvlText w:val=""/>
      <w:lvlJc w:val="left"/>
      <w:pPr>
        <w:ind w:left="360" w:hanging="360"/>
      </w:pPr>
      <w:rPr>
        <w:rFonts w:ascii="Symbol" w:hAnsi="Symbol" w:hint="default"/>
        <w:color w:val="696E34"/>
      </w:rPr>
    </w:lvl>
    <w:lvl w:ilvl="1" w:tplc="F8685116">
      <w:start w:val="1"/>
      <w:numFmt w:val="bullet"/>
      <w:pStyle w:val="TabelOpsomming2"/>
      <w:lvlText w:val="o"/>
      <w:lvlJc w:val="left"/>
      <w:pPr>
        <w:ind w:left="357" w:hanging="357"/>
      </w:pPr>
      <w:rPr>
        <w:rFonts w:ascii="Courier New" w:hAnsi="Courier New" w:hint="default"/>
        <w:color w:val="696E34"/>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1BF70F6"/>
    <w:multiLevelType w:val="hybridMultilevel"/>
    <w:tmpl w:val="7A5A6276"/>
    <w:lvl w:ilvl="0" w:tplc="A5E24102">
      <w:start w:val="1"/>
      <w:numFmt w:val="decimal"/>
      <w:pStyle w:val="Nummeringlijst"/>
      <w:lvlText w:val="%1."/>
      <w:lvlJc w:val="left"/>
      <w:pPr>
        <w:ind w:left="1067" w:hanging="357"/>
      </w:pPr>
      <w:rPr>
        <w:rFonts w:hint="default"/>
        <w:color w:val="696E38"/>
      </w:rPr>
    </w:lvl>
    <w:lvl w:ilvl="1" w:tplc="34806CC6">
      <w:start w:val="1"/>
      <w:numFmt w:val="lowerLetter"/>
      <w:lvlText w:val="%2."/>
      <w:lvlJc w:val="left"/>
      <w:pPr>
        <w:ind w:left="1430" w:hanging="363"/>
      </w:pPr>
      <w:rPr>
        <w:rFonts w:hint="default"/>
        <w:color w:val="696E38"/>
      </w:rPr>
    </w:lvl>
    <w:lvl w:ilvl="2" w:tplc="0413001B">
      <w:start w:val="1"/>
      <w:numFmt w:val="lowerRoman"/>
      <w:lvlText w:val="%3."/>
      <w:lvlJc w:val="right"/>
      <w:pPr>
        <w:ind w:left="2084" w:hanging="180"/>
      </w:pPr>
    </w:lvl>
    <w:lvl w:ilvl="3" w:tplc="0413000F" w:tentative="1">
      <w:start w:val="1"/>
      <w:numFmt w:val="decimal"/>
      <w:lvlText w:val="%4."/>
      <w:lvlJc w:val="left"/>
      <w:pPr>
        <w:ind w:left="2804" w:hanging="360"/>
      </w:pPr>
    </w:lvl>
    <w:lvl w:ilvl="4" w:tplc="04130019" w:tentative="1">
      <w:start w:val="1"/>
      <w:numFmt w:val="lowerLetter"/>
      <w:lvlText w:val="%5."/>
      <w:lvlJc w:val="left"/>
      <w:pPr>
        <w:ind w:left="3524" w:hanging="360"/>
      </w:pPr>
    </w:lvl>
    <w:lvl w:ilvl="5" w:tplc="0413001B" w:tentative="1">
      <w:start w:val="1"/>
      <w:numFmt w:val="lowerRoman"/>
      <w:lvlText w:val="%6."/>
      <w:lvlJc w:val="right"/>
      <w:pPr>
        <w:ind w:left="4244" w:hanging="180"/>
      </w:pPr>
    </w:lvl>
    <w:lvl w:ilvl="6" w:tplc="0413000F" w:tentative="1">
      <w:start w:val="1"/>
      <w:numFmt w:val="decimal"/>
      <w:lvlText w:val="%7."/>
      <w:lvlJc w:val="left"/>
      <w:pPr>
        <w:ind w:left="4964" w:hanging="360"/>
      </w:pPr>
    </w:lvl>
    <w:lvl w:ilvl="7" w:tplc="04130019" w:tentative="1">
      <w:start w:val="1"/>
      <w:numFmt w:val="lowerLetter"/>
      <w:lvlText w:val="%8."/>
      <w:lvlJc w:val="left"/>
      <w:pPr>
        <w:ind w:left="5684" w:hanging="360"/>
      </w:pPr>
    </w:lvl>
    <w:lvl w:ilvl="8" w:tplc="0413001B" w:tentative="1">
      <w:start w:val="1"/>
      <w:numFmt w:val="lowerRoman"/>
      <w:lvlText w:val="%9."/>
      <w:lvlJc w:val="right"/>
      <w:pPr>
        <w:ind w:left="6404" w:hanging="180"/>
      </w:pPr>
    </w:lvl>
  </w:abstractNum>
  <w:num w:numId="1">
    <w:abstractNumId w:val="2"/>
  </w:num>
  <w:num w:numId="2">
    <w:abstractNumId w:val="4"/>
  </w:num>
  <w:num w:numId="3">
    <w:abstractNumId w:val="0"/>
  </w:num>
  <w:num w:numId="4">
    <w:abstractNumId w:val="5"/>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num>
  <w:num w:numId="9">
    <w:abstractNumId w:val="5"/>
    <w:lvlOverride w:ilvl="0">
      <w:startOverride w:val="1"/>
    </w:lvlOverride>
  </w:num>
  <w:num w:numId="10">
    <w:abstractNumId w:val="3"/>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3"/>
  <w:documentProtection w:edit="readOnly" w:enforcement="1"/>
  <w:defaultTabStop w:val="709"/>
  <w:hyphenationZone w:val="425"/>
  <w:drawingGridHorizontalSpacing w:val="90"/>
  <w:displayHorizontalDrawingGridEvery w:val="2"/>
  <w:displayVerticalDrawingGridEvery w:val="2"/>
  <w:characterSpacingControl w:val="doNotCompress"/>
  <w:hdrShapeDefaults>
    <o:shapedefaults v:ext="edit" spidmax="21505"/>
  </w:hdrShapeDefaults>
  <w:footnotePr>
    <w:numRestart w:val="eachSect"/>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750"/>
    <w:rsid w:val="00003F39"/>
    <w:rsid w:val="00011EDB"/>
    <w:rsid w:val="000148B7"/>
    <w:rsid w:val="000150F7"/>
    <w:rsid w:val="00015943"/>
    <w:rsid w:val="0002040D"/>
    <w:rsid w:val="00020D47"/>
    <w:rsid w:val="00021241"/>
    <w:rsid w:val="000240B7"/>
    <w:rsid w:val="00033C21"/>
    <w:rsid w:val="00041A81"/>
    <w:rsid w:val="00044417"/>
    <w:rsid w:val="0005288F"/>
    <w:rsid w:val="0005385C"/>
    <w:rsid w:val="00054566"/>
    <w:rsid w:val="00061AF8"/>
    <w:rsid w:val="00062EE0"/>
    <w:rsid w:val="00064B73"/>
    <w:rsid w:val="00066796"/>
    <w:rsid w:val="00066E08"/>
    <w:rsid w:val="00070BFF"/>
    <w:rsid w:val="00071A92"/>
    <w:rsid w:val="00074029"/>
    <w:rsid w:val="00074D83"/>
    <w:rsid w:val="00076C3D"/>
    <w:rsid w:val="00082C4A"/>
    <w:rsid w:val="00091077"/>
    <w:rsid w:val="000A144C"/>
    <w:rsid w:val="000A3130"/>
    <w:rsid w:val="000A5C8D"/>
    <w:rsid w:val="000B1FBD"/>
    <w:rsid w:val="000B40F4"/>
    <w:rsid w:val="000B559C"/>
    <w:rsid w:val="000B5D4F"/>
    <w:rsid w:val="000B5E59"/>
    <w:rsid w:val="000B63FB"/>
    <w:rsid w:val="000B6BA2"/>
    <w:rsid w:val="000B7643"/>
    <w:rsid w:val="000C7C14"/>
    <w:rsid w:val="000D1164"/>
    <w:rsid w:val="000D1D7F"/>
    <w:rsid w:val="000D5C16"/>
    <w:rsid w:val="000D62D7"/>
    <w:rsid w:val="000E115D"/>
    <w:rsid w:val="000E152C"/>
    <w:rsid w:val="000E47FE"/>
    <w:rsid w:val="000E56EF"/>
    <w:rsid w:val="000E58FC"/>
    <w:rsid w:val="000E5DA6"/>
    <w:rsid w:val="000E74D8"/>
    <w:rsid w:val="000F3E2A"/>
    <w:rsid w:val="0010114B"/>
    <w:rsid w:val="0010389D"/>
    <w:rsid w:val="001038F5"/>
    <w:rsid w:val="001079C5"/>
    <w:rsid w:val="00107B8B"/>
    <w:rsid w:val="001141A3"/>
    <w:rsid w:val="00114695"/>
    <w:rsid w:val="00115B7B"/>
    <w:rsid w:val="00115D1F"/>
    <w:rsid w:val="00117A19"/>
    <w:rsid w:val="0012012C"/>
    <w:rsid w:val="001268B4"/>
    <w:rsid w:val="00130769"/>
    <w:rsid w:val="00130B3B"/>
    <w:rsid w:val="00130BAC"/>
    <w:rsid w:val="00140FBF"/>
    <w:rsid w:val="00143410"/>
    <w:rsid w:val="0014789E"/>
    <w:rsid w:val="00147F5F"/>
    <w:rsid w:val="00151B4C"/>
    <w:rsid w:val="00154F3A"/>
    <w:rsid w:val="00155423"/>
    <w:rsid w:val="0015727A"/>
    <w:rsid w:val="001628D3"/>
    <w:rsid w:val="00164F46"/>
    <w:rsid w:val="001659C9"/>
    <w:rsid w:val="00165D39"/>
    <w:rsid w:val="0016631A"/>
    <w:rsid w:val="0016670D"/>
    <w:rsid w:val="00172CC2"/>
    <w:rsid w:val="00175C0D"/>
    <w:rsid w:val="0018123F"/>
    <w:rsid w:val="00181B7F"/>
    <w:rsid w:val="00184748"/>
    <w:rsid w:val="00185658"/>
    <w:rsid w:val="001866FE"/>
    <w:rsid w:val="0018748E"/>
    <w:rsid w:val="00191A5A"/>
    <w:rsid w:val="00194226"/>
    <w:rsid w:val="001A10AF"/>
    <w:rsid w:val="001A11F4"/>
    <w:rsid w:val="001A2636"/>
    <w:rsid w:val="001A43E5"/>
    <w:rsid w:val="001A4542"/>
    <w:rsid w:val="001A4810"/>
    <w:rsid w:val="001A56B6"/>
    <w:rsid w:val="001B3836"/>
    <w:rsid w:val="001B7512"/>
    <w:rsid w:val="001C0F33"/>
    <w:rsid w:val="001C1ED6"/>
    <w:rsid w:val="001C365A"/>
    <w:rsid w:val="001C4B96"/>
    <w:rsid w:val="001D00ED"/>
    <w:rsid w:val="001E1D71"/>
    <w:rsid w:val="001E2E11"/>
    <w:rsid w:val="001E2EA3"/>
    <w:rsid w:val="001E4A38"/>
    <w:rsid w:val="001E5AB7"/>
    <w:rsid w:val="001E6410"/>
    <w:rsid w:val="001F175A"/>
    <w:rsid w:val="001F3158"/>
    <w:rsid w:val="001F5B01"/>
    <w:rsid w:val="002004A4"/>
    <w:rsid w:val="00200B35"/>
    <w:rsid w:val="002044FD"/>
    <w:rsid w:val="00206709"/>
    <w:rsid w:val="00221D98"/>
    <w:rsid w:val="00222AF3"/>
    <w:rsid w:val="002233EB"/>
    <w:rsid w:val="00225C38"/>
    <w:rsid w:val="00235B70"/>
    <w:rsid w:val="00236974"/>
    <w:rsid w:val="0024342B"/>
    <w:rsid w:val="00243527"/>
    <w:rsid w:val="0024367D"/>
    <w:rsid w:val="00247267"/>
    <w:rsid w:val="00250861"/>
    <w:rsid w:val="00250C7F"/>
    <w:rsid w:val="002534C0"/>
    <w:rsid w:val="00253695"/>
    <w:rsid w:val="00255FBE"/>
    <w:rsid w:val="00256228"/>
    <w:rsid w:val="002661F6"/>
    <w:rsid w:val="00266E6A"/>
    <w:rsid w:val="00275BCE"/>
    <w:rsid w:val="00276C7F"/>
    <w:rsid w:val="0028146F"/>
    <w:rsid w:val="0028240E"/>
    <w:rsid w:val="00282E74"/>
    <w:rsid w:val="00284033"/>
    <w:rsid w:val="00285310"/>
    <w:rsid w:val="00285E44"/>
    <w:rsid w:val="00286E58"/>
    <w:rsid w:val="00287D73"/>
    <w:rsid w:val="00291F9E"/>
    <w:rsid w:val="00293535"/>
    <w:rsid w:val="00293F58"/>
    <w:rsid w:val="00294F47"/>
    <w:rsid w:val="002A1991"/>
    <w:rsid w:val="002A4EB3"/>
    <w:rsid w:val="002A7590"/>
    <w:rsid w:val="002B01D3"/>
    <w:rsid w:val="002B0320"/>
    <w:rsid w:val="002B1AEE"/>
    <w:rsid w:val="002C1869"/>
    <w:rsid w:val="002C1E5D"/>
    <w:rsid w:val="002C41EA"/>
    <w:rsid w:val="002C4718"/>
    <w:rsid w:val="002C7263"/>
    <w:rsid w:val="002C74DB"/>
    <w:rsid w:val="002D1674"/>
    <w:rsid w:val="002D18C9"/>
    <w:rsid w:val="002D202C"/>
    <w:rsid w:val="002D2382"/>
    <w:rsid w:val="002D7B01"/>
    <w:rsid w:val="002E03F0"/>
    <w:rsid w:val="002E10D2"/>
    <w:rsid w:val="002E290D"/>
    <w:rsid w:val="002F1C69"/>
    <w:rsid w:val="002F1D1F"/>
    <w:rsid w:val="002F4AF1"/>
    <w:rsid w:val="002F4EAC"/>
    <w:rsid w:val="003060F3"/>
    <w:rsid w:val="003065D1"/>
    <w:rsid w:val="00313B14"/>
    <w:rsid w:val="00315231"/>
    <w:rsid w:val="00316A51"/>
    <w:rsid w:val="00316FCC"/>
    <w:rsid w:val="0031764B"/>
    <w:rsid w:val="00321034"/>
    <w:rsid w:val="003319A6"/>
    <w:rsid w:val="00332BDD"/>
    <w:rsid w:val="0033347F"/>
    <w:rsid w:val="00333BCF"/>
    <w:rsid w:val="003347B0"/>
    <w:rsid w:val="003423D5"/>
    <w:rsid w:val="00343CEA"/>
    <w:rsid w:val="00351045"/>
    <w:rsid w:val="003529CD"/>
    <w:rsid w:val="00355497"/>
    <w:rsid w:val="00360544"/>
    <w:rsid w:val="003610CE"/>
    <w:rsid w:val="0036368E"/>
    <w:rsid w:val="00363D40"/>
    <w:rsid w:val="00367114"/>
    <w:rsid w:val="00370434"/>
    <w:rsid w:val="00370947"/>
    <w:rsid w:val="00373D67"/>
    <w:rsid w:val="00374208"/>
    <w:rsid w:val="00374855"/>
    <w:rsid w:val="00375070"/>
    <w:rsid w:val="00375A79"/>
    <w:rsid w:val="00383F0C"/>
    <w:rsid w:val="003843CA"/>
    <w:rsid w:val="00386952"/>
    <w:rsid w:val="00386AE1"/>
    <w:rsid w:val="003874EE"/>
    <w:rsid w:val="0039079D"/>
    <w:rsid w:val="0039384F"/>
    <w:rsid w:val="00395C28"/>
    <w:rsid w:val="00397853"/>
    <w:rsid w:val="00397DFC"/>
    <w:rsid w:val="003A0553"/>
    <w:rsid w:val="003A374B"/>
    <w:rsid w:val="003B1CD0"/>
    <w:rsid w:val="003B211A"/>
    <w:rsid w:val="003B3D60"/>
    <w:rsid w:val="003B4B6F"/>
    <w:rsid w:val="003B7BE2"/>
    <w:rsid w:val="003D2EA7"/>
    <w:rsid w:val="003D402B"/>
    <w:rsid w:val="003D4DA7"/>
    <w:rsid w:val="003E3FDD"/>
    <w:rsid w:val="003F079B"/>
    <w:rsid w:val="0040159C"/>
    <w:rsid w:val="004018B9"/>
    <w:rsid w:val="00406FBE"/>
    <w:rsid w:val="0041151D"/>
    <w:rsid w:val="004124C1"/>
    <w:rsid w:val="00413AE0"/>
    <w:rsid w:val="00414BEC"/>
    <w:rsid w:val="00415037"/>
    <w:rsid w:val="004155CF"/>
    <w:rsid w:val="00415841"/>
    <w:rsid w:val="00422169"/>
    <w:rsid w:val="00426655"/>
    <w:rsid w:val="00426B18"/>
    <w:rsid w:val="00436F86"/>
    <w:rsid w:val="004374A5"/>
    <w:rsid w:val="0044319C"/>
    <w:rsid w:val="004463DE"/>
    <w:rsid w:val="004503DC"/>
    <w:rsid w:val="00454FB7"/>
    <w:rsid w:val="0045769B"/>
    <w:rsid w:val="00457886"/>
    <w:rsid w:val="00464F6B"/>
    <w:rsid w:val="004672EA"/>
    <w:rsid w:val="00474445"/>
    <w:rsid w:val="00477ADD"/>
    <w:rsid w:val="004802ED"/>
    <w:rsid w:val="00480400"/>
    <w:rsid w:val="00481DAC"/>
    <w:rsid w:val="00483671"/>
    <w:rsid w:val="00483E13"/>
    <w:rsid w:val="00486617"/>
    <w:rsid w:val="0048710F"/>
    <w:rsid w:val="00491FA4"/>
    <w:rsid w:val="00494D37"/>
    <w:rsid w:val="004974E2"/>
    <w:rsid w:val="004B0DE0"/>
    <w:rsid w:val="004B0FD8"/>
    <w:rsid w:val="004B277E"/>
    <w:rsid w:val="004B7DDF"/>
    <w:rsid w:val="004C2FCB"/>
    <w:rsid w:val="004C55D2"/>
    <w:rsid w:val="004C5C49"/>
    <w:rsid w:val="004C5E1D"/>
    <w:rsid w:val="004D1EE3"/>
    <w:rsid w:val="004D24BE"/>
    <w:rsid w:val="004D336F"/>
    <w:rsid w:val="004D5C8C"/>
    <w:rsid w:val="004E00CA"/>
    <w:rsid w:val="004E054B"/>
    <w:rsid w:val="004E5D58"/>
    <w:rsid w:val="004E63A5"/>
    <w:rsid w:val="004E7EB9"/>
    <w:rsid w:val="004F0BD4"/>
    <w:rsid w:val="004F5555"/>
    <w:rsid w:val="0050463F"/>
    <w:rsid w:val="00506E3A"/>
    <w:rsid w:val="0051451E"/>
    <w:rsid w:val="00514A2C"/>
    <w:rsid w:val="005152EB"/>
    <w:rsid w:val="005163B1"/>
    <w:rsid w:val="0052303D"/>
    <w:rsid w:val="00526627"/>
    <w:rsid w:val="00527568"/>
    <w:rsid w:val="0053473F"/>
    <w:rsid w:val="00535DD3"/>
    <w:rsid w:val="0054145E"/>
    <w:rsid w:val="00542FC5"/>
    <w:rsid w:val="005437AD"/>
    <w:rsid w:val="005466F1"/>
    <w:rsid w:val="0054720F"/>
    <w:rsid w:val="005474CC"/>
    <w:rsid w:val="00547913"/>
    <w:rsid w:val="00550347"/>
    <w:rsid w:val="0055294D"/>
    <w:rsid w:val="00553242"/>
    <w:rsid w:val="00554CE2"/>
    <w:rsid w:val="00562CDA"/>
    <w:rsid w:val="005676F6"/>
    <w:rsid w:val="00572663"/>
    <w:rsid w:val="0058040B"/>
    <w:rsid w:val="00591D4C"/>
    <w:rsid w:val="00592676"/>
    <w:rsid w:val="005938D2"/>
    <w:rsid w:val="00594B8E"/>
    <w:rsid w:val="0059651A"/>
    <w:rsid w:val="005A16A9"/>
    <w:rsid w:val="005A35B8"/>
    <w:rsid w:val="005A4965"/>
    <w:rsid w:val="005A7DE8"/>
    <w:rsid w:val="005B1C1D"/>
    <w:rsid w:val="005B24AD"/>
    <w:rsid w:val="005B4602"/>
    <w:rsid w:val="005B6C55"/>
    <w:rsid w:val="005B7723"/>
    <w:rsid w:val="005C09F5"/>
    <w:rsid w:val="005C0C67"/>
    <w:rsid w:val="005C1C85"/>
    <w:rsid w:val="005C2689"/>
    <w:rsid w:val="005C7839"/>
    <w:rsid w:val="005D2586"/>
    <w:rsid w:val="005D28A8"/>
    <w:rsid w:val="005D3E77"/>
    <w:rsid w:val="005D6C83"/>
    <w:rsid w:val="005E183B"/>
    <w:rsid w:val="005E2821"/>
    <w:rsid w:val="005E3E0B"/>
    <w:rsid w:val="005E4A8E"/>
    <w:rsid w:val="005E4DA0"/>
    <w:rsid w:val="005E6B93"/>
    <w:rsid w:val="005F0292"/>
    <w:rsid w:val="005F13F3"/>
    <w:rsid w:val="005F533E"/>
    <w:rsid w:val="005F5AE2"/>
    <w:rsid w:val="005F639D"/>
    <w:rsid w:val="005F6653"/>
    <w:rsid w:val="005F71B2"/>
    <w:rsid w:val="006129B8"/>
    <w:rsid w:val="0061324B"/>
    <w:rsid w:val="00614DFC"/>
    <w:rsid w:val="0061775E"/>
    <w:rsid w:val="006233E5"/>
    <w:rsid w:val="006274EE"/>
    <w:rsid w:val="00631938"/>
    <w:rsid w:val="00634D3C"/>
    <w:rsid w:val="00635F33"/>
    <w:rsid w:val="00636F23"/>
    <w:rsid w:val="00646B8A"/>
    <w:rsid w:val="0065054B"/>
    <w:rsid w:val="00650828"/>
    <w:rsid w:val="00653A35"/>
    <w:rsid w:val="00654575"/>
    <w:rsid w:val="00654685"/>
    <w:rsid w:val="00666C39"/>
    <w:rsid w:val="00671B0F"/>
    <w:rsid w:val="00671EBB"/>
    <w:rsid w:val="00677F72"/>
    <w:rsid w:val="00682B7A"/>
    <w:rsid w:val="0068368F"/>
    <w:rsid w:val="006925AF"/>
    <w:rsid w:val="00694201"/>
    <w:rsid w:val="006958A3"/>
    <w:rsid w:val="006A29ED"/>
    <w:rsid w:val="006A32F6"/>
    <w:rsid w:val="006A37EA"/>
    <w:rsid w:val="006A41AD"/>
    <w:rsid w:val="006B071B"/>
    <w:rsid w:val="006B087A"/>
    <w:rsid w:val="006B0967"/>
    <w:rsid w:val="006B3BA0"/>
    <w:rsid w:val="006B71AB"/>
    <w:rsid w:val="006C1402"/>
    <w:rsid w:val="006C288E"/>
    <w:rsid w:val="006C3866"/>
    <w:rsid w:val="006C4214"/>
    <w:rsid w:val="006D2A4F"/>
    <w:rsid w:val="006D75C1"/>
    <w:rsid w:val="006E06E1"/>
    <w:rsid w:val="006E34C9"/>
    <w:rsid w:val="006E6276"/>
    <w:rsid w:val="006E7C95"/>
    <w:rsid w:val="006F37B7"/>
    <w:rsid w:val="006F74F1"/>
    <w:rsid w:val="00704CD7"/>
    <w:rsid w:val="00704D43"/>
    <w:rsid w:val="0071317A"/>
    <w:rsid w:val="00715734"/>
    <w:rsid w:val="00716316"/>
    <w:rsid w:val="0071791C"/>
    <w:rsid w:val="00717EB5"/>
    <w:rsid w:val="007213AD"/>
    <w:rsid w:val="007236E5"/>
    <w:rsid w:val="0072648C"/>
    <w:rsid w:val="00726BAC"/>
    <w:rsid w:val="00727DC7"/>
    <w:rsid w:val="0073098D"/>
    <w:rsid w:val="0073491E"/>
    <w:rsid w:val="00736A02"/>
    <w:rsid w:val="007418BE"/>
    <w:rsid w:val="00741ED6"/>
    <w:rsid w:val="00744454"/>
    <w:rsid w:val="00745F58"/>
    <w:rsid w:val="00746901"/>
    <w:rsid w:val="00746F20"/>
    <w:rsid w:val="00753BE0"/>
    <w:rsid w:val="0076180C"/>
    <w:rsid w:val="00762989"/>
    <w:rsid w:val="00770C64"/>
    <w:rsid w:val="007720CD"/>
    <w:rsid w:val="007725B0"/>
    <w:rsid w:val="007735C3"/>
    <w:rsid w:val="00773875"/>
    <w:rsid w:val="00776B93"/>
    <w:rsid w:val="00776F08"/>
    <w:rsid w:val="00777D8C"/>
    <w:rsid w:val="00783FCD"/>
    <w:rsid w:val="00784AFD"/>
    <w:rsid w:val="00785DE5"/>
    <w:rsid w:val="00785EA5"/>
    <w:rsid w:val="00786AD4"/>
    <w:rsid w:val="00786E31"/>
    <w:rsid w:val="007908B6"/>
    <w:rsid w:val="00793E88"/>
    <w:rsid w:val="00795786"/>
    <w:rsid w:val="007A3C1F"/>
    <w:rsid w:val="007A673C"/>
    <w:rsid w:val="007A6A76"/>
    <w:rsid w:val="007A7FDD"/>
    <w:rsid w:val="007B0506"/>
    <w:rsid w:val="007B2BD8"/>
    <w:rsid w:val="007B6FFD"/>
    <w:rsid w:val="007C1907"/>
    <w:rsid w:val="007C1C37"/>
    <w:rsid w:val="007C2000"/>
    <w:rsid w:val="007C2862"/>
    <w:rsid w:val="007C2AFF"/>
    <w:rsid w:val="007D4ABB"/>
    <w:rsid w:val="007D50AB"/>
    <w:rsid w:val="007D65C1"/>
    <w:rsid w:val="007D7067"/>
    <w:rsid w:val="007E124C"/>
    <w:rsid w:val="007E168C"/>
    <w:rsid w:val="007E4DA8"/>
    <w:rsid w:val="007E65E9"/>
    <w:rsid w:val="007F362A"/>
    <w:rsid w:val="007F406C"/>
    <w:rsid w:val="007F5A3C"/>
    <w:rsid w:val="007F6C8D"/>
    <w:rsid w:val="007F706D"/>
    <w:rsid w:val="008014B0"/>
    <w:rsid w:val="008037EE"/>
    <w:rsid w:val="00805B7F"/>
    <w:rsid w:val="008129DD"/>
    <w:rsid w:val="00826696"/>
    <w:rsid w:val="0082794A"/>
    <w:rsid w:val="0083012A"/>
    <w:rsid w:val="00833944"/>
    <w:rsid w:val="00833E04"/>
    <w:rsid w:val="008370C2"/>
    <w:rsid w:val="0083796A"/>
    <w:rsid w:val="00840E8A"/>
    <w:rsid w:val="00842B1F"/>
    <w:rsid w:val="00843E54"/>
    <w:rsid w:val="00844EDC"/>
    <w:rsid w:val="00846ECB"/>
    <w:rsid w:val="0084762E"/>
    <w:rsid w:val="008519C1"/>
    <w:rsid w:val="0085288E"/>
    <w:rsid w:val="0086146A"/>
    <w:rsid w:val="00861919"/>
    <w:rsid w:val="00862277"/>
    <w:rsid w:val="00873745"/>
    <w:rsid w:val="00882E86"/>
    <w:rsid w:val="00884A56"/>
    <w:rsid w:val="00886512"/>
    <w:rsid w:val="008938E9"/>
    <w:rsid w:val="00895B9E"/>
    <w:rsid w:val="008B0565"/>
    <w:rsid w:val="008B131E"/>
    <w:rsid w:val="008B3ABE"/>
    <w:rsid w:val="008B4579"/>
    <w:rsid w:val="008B625A"/>
    <w:rsid w:val="008B7418"/>
    <w:rsid w:val="008B7563"/>
    <w:rsid w:val="008B7600"/>
    <w:rsid w:val="008C05BC"/>
    <w:rsid w:val="008C1700"/>
    <w:rsid w:val="008C2C3A"/>
    <w:rsid w:val="008D182B"/>
    <w:rsid w:val="008D6427"/>
    <w:rsid w:val="008D6989"/>
    <w:rsid w:val="008D7DB1"/>
    <w:rsid w:val="008E05FB"/>
    <w:rsid w:val="008E4BA5"/>
    <w:rsid w:val="008E51E8"/>
    <w:rsid w:val="008E6555"/>
    <w:rsid w:val="008F0091"/>
    <w:rsid w:val="008F10F7"/>
    <w:rsid w:val="008F1F42"/>
    <w:rsid w:val="008F35EB"/>
    <w:rsid w:val="008F3E2D"/>
    <w:rsid w:val="008F6566"/>
    <w:rsid w:val="00900E80"/>
    <w:rsid w:val="00902756"/>
    <w:rsid w:val="009030AD"/>
    <w:rsid w:val="00903B81"/>
    <w:rsid w:val="00905EAE"/>
    <w:rsid w:val="00906811"/>
    <w:rsid w:val="00910AEF"/>
    <w:rsid w:val="00913281"/>
    <w:rsid w:val="0091467E"/>
    <w:rsid w:val="00916631"/>
    <w:rsid w:val="0092265B"/>
    <w:rsid w:val="00933DCE"/>
    <w:rsid w:val="00945CB5"/>
    <w:rsid w:val="0094645E"/>
    <w:rsid w:val="009479A4"/>
    <w:rsid w:val="009529B9"/>
    <w:rsid w:val="00952B09"/>
    <w:rsid w:val="00954B0E"/>
    <w:rsid w:val="00965750"/>
    <w:rsid w:val="00971179"/>
    <w:rsid w:val="00973D5B"/>
    <w:rsid w:val="0098007A"/>
    <w:rsid w:val="00981DEC"/>
    <w:rsid w:val="009857BB"/>
    <w:rsid w:val="00991A14"/>
    <w:rsid w:val="00992954"/>
    <w:rsid w:val="00992C3B"/>
    <w:rsid w:val="00994D4C"/>
    <w:rsid w:val="00997126"/>
    <w:rsid w:val="009A1B67"/>
    <w:rsid w:val="009A2D56"/>
    <w:rsid w:val="009A75C8"/>
    <w:rsid w:val="009B1DA5"/>
    <w:rsid w:val="009B7B8E"/>
    <w:rsid w:val="009C17D2"/>
    <w:rsid w:val="009C17E9"/>
    <w:rsid w:val="009C2BBB"/>
    <w:rsid w:val="009C5842"/>
    <w:rsid w:val="009C5D9B"/>
    <w:rsid w:val="009D0213"/>
    <w:rsid w:val="009D1CAC"/>
    <w:rsid w:val="009D4443"/>
    <w:rsid w:val="009D709E"/>
    <w:rsid w:val="009E1131"/>
    <w:rsid w:val="009E20DC"/>
    <w:rsid w:val="009E3268"/>
    <w:rsid w:val="009E45C4"/>
    <w:rsid w:val="009E52C8"/>
    <w:rsid w:val="009E5C7B"/>
    <w:rsid w:val="00A031AB"/>
    <w:rsid w:val="00A06B8B"/>
    <w:rsid w:val="00A06E28"/>
    <w:rsid w:val="00A16C46"/>
    <w:rsid w:val="00A20CAF"/>
    <w:rsid w:val="00A2202F"/>
    <w:rsid w:val="00A22668"/>
    <w:rsid w:val="00A24107"/>
    <w:rsid w:val="00A246CF"/>
    <w:rsid w:val="00A26F6A"/>
    <w:rsid w:val="00A2762B"/>
    <w:rsid w:val="00A3052F"/>
    <w:rsid w:val="00A31B39"/>
    <w:rsid w:val="00A34F1A"/>
    <w:rsid w:val="00A361C6"/>
    <w:rsid w:val="00A362CB"/>
    <w:rsid w:val="00A36EBF"/>
    <w:rsid w:val="00A41ED4"/>
    <w:rsid w:val="00A43454"/>
    <w:rsid w:val="00A45E22"/>
    <w:rsid w:val="00A4657E"/>
    <w:rsid w:val="00A47B25"/>
    <w:rsid w:val="00A554A8"/>
    <w:rsid w:val="00A579AF"/>
    <w:rsid w:val="00A65051"/>
    <w:rsid w:val="00A73529"/>
    <w:rsid w:val="00A77D27"/>
    <w:rsid w:val="00A80A4D"/>
    <w:rsid w:val="00A84221"/>
    <w:rsid w:val="00A86767"/>
    <w:rsid w:val="00A94000"/>
    <w:rsid w:val="00A94EE9"/>
    <w:rsid w:val="00A97A11"/>
    <w:rsid w:val="00AA5075"/>
    <w:rsid w:val="00AB1982"/>
    <w:rsid w:val="00AB5254"/>
    <w:rsid w:val="00AB6A85"/>
    <w:rsid w:val="00AC17D6"/>
    <w:rsid w:val="00AC1BB2"/>
    <w:rsid w:val="00AC3087"/>
    <w:rsid w:val="00AC5F66"/>
    <w:rsid w:val="00AC7163"/>
    <w:rsid w:val="00AD1408"/>
    <w:rsid w:val="00AD16B4"/>
    <w:rsid w:val="00AD4AE6"/>
    <w:rsid w:val="00AD6882"/>
    <w:rsid w:val="00AD7405"/>
    <w:rsid w:val="00AD7B8E"/>
    <w:rsid w:val="00AE71C7"/>
    <w:rsid w:val="00AF059A"/>
    <w:rsid w:val="00B001C5"/>
    <w:rsid w:val="00B02123"/>
    <w:rsid w:val="00B03D70"/>
    <w:rsid w:val="00B05D31"/>
    <w:rsid w:val="00B07BCE"/>
    <w:rsid w:val="00B10687"/>
    <w:rsid w:val="00B11D13"/>
    <w:rsid w:val="00B130AF"/>
    <w:rsid w:val="00B14373"/>
    <w:rsid w:val="00B25E71"/>
    <w:rsid w:val="00B26AF8"/>
    <w:rsid w:val="00B30B7F"/>
    <w:rsid w:val="00B318F5"/>
    <w:rsid w:val="00B32248"/>
    <w:rsid w:val="00B33922"/>
    <w:rsid w:val="00B34EE4"/>
    <w:rsid w:val="00B35073"/>
    <w:rsid w:val="00B40433"/>
    <w:rsid w:val="00B453E6"/>
    <w:rsid w:val="00B4545F"/>
    <w:rsid w:val="00B46551"/>
    <w:rsid w:val="00B4698F"/>
    <w:rsid w:val="00B56AC8"/>
    <w:rsid w:val="00B572E5"/>
    <w:rsid w:val="00B62528"/>
    <w:rsid w:val="00B656DD"/>
    <w:rsid w:val="00B67DD2"/>
    <w:rsid w:val="00B71E08"/>
    <w:rsid w:val="00B7223F"/>
    <w:rsid w:val="00B76318"/>
    <w:rsid w:val="00B95728"/>
    <w:rsid w:val="00B977DB"/>
    <w:rsid w:val="00B97B57"/>
    <w:rsid w:val="00BA09D4"/>
    <w:rsid w:val="00BA452E"/>
    <w:rsid w:val="00BA4A9E"/>
    <w:rsid w:val="00BA7310"/>
    <w:rsid w:val="00BB00A9"/>
    <w:rsid w:val="00BC1F3A"/>
    <w:rsid w:val="00BC3270"/>
    <w:rsid w:val="00BC4EB0"/>
    <w:rsid w:val="00BD0945"/>
    <w:rsid w:val="00BD1566"/>
    <w:rsid w:val="00BD16BB"/>
    <w:rsid w:val="00BD4632"/>
    <w:rsid w:val="00BD6316"/>
    <w:rsid w:val="00BD655D"/>
    <w:rsid w:val="00BE2428"/>
    <w:rsid w:val="00BE346F"/>
    <w:rsid w:val="00BE4CE6"/>
    <w:rsid w:val="00BF0627"/>
    <w:rsid w:val="00BF2AA8"/>
    <w:rsid w:val="00BF3E19"/>
    <w:rsid w:val="00BF4B2C"/>
    <w:rsid w:val="00BF4D12"/>
    <w:rsid w:val="00BF6E88"/>
    <w:rsid w:val="00C010D5"/>
    <w:rsid w:val="00C01C86"/>
    <w:rsid w:val="00C06EE0"/>
    <w:rsid w:val="00C06EFE"/>
    <w:rsid w:val="00C10504"/>
    <w:rsid w:val="00C12088"/>
    <w:rsid w:val="00C12F63"/>
    <w:rsid w:val="00C150AB"/>
    <w:rsid w:val="00C20A56"/>
    <w:rsid w:val="00C226E6"/>
    <w:rsid w:val="00C230AC"/>
    <w:rsid w:val="00C231CC"/>
    <w:rsid w:val="00C23219"/>
    <w:rsid w:val="00C23E1F"/>
    <w:rsid w:val="00C26FD6"/>
    <w:rsid w:val="00C27BF9"/>
    <w:rsid w:val="00C33B21"/>
    <w:rsid w:val="00C36480"/>
    <w:rsid w:val="00C41507"/>
    <w:rsid w:val="00C41F2E"/>
    <w:rsid w:val="00C453E1"/>
    <w:rsid w:val="00C465CE"/>
    <w:rsid w:val="00C47EB4"/>
    <w:rsid w:val="00C51AF0"/>
    <w:rsid w:val="00C521C3"/>
    <w:rsid w:val="00C56AFF"/>
    <w:rsid w:val="00C62C0B"/>
    <w:rsid w:val="00C63D73"/>
    <w:rsid w:val="00C658BF"/>
    <w:rsid w:val="00C65F84"/>
    <w:rsid w:val="00C7581E"/>
    <w:rsid w:val="00C80583"/>
    <w:rsid w:val="00C81008"/>
    <w:rsid w:val="00C819BC"/>
    <w:rsid w:val="00C830A5"/>
    <w:rsid w:val="00C841D8"/>
    <w:rsid w:val="00C842D5"/>
    <w:rsid w:val="00C85F3A"/>
    <w:rsid w:val="00C92256"/>
    <w:rsid w:val="00C92F91"/>
    <w:rsid w:val="00C93237"/>
    <w:rsid w:val="00C9467A"/>
    <w:rsid w:val="00CA0EEB"/>
    <w:rsid w:val="00CA13B2"/>
    <w:rsid w:val="00CA57A4"/>
    <w:rsid w:val="00CB5DB1"/>
    <w:rsid w:val="00CC3C2A"/>
    <w:rsid w:val="00CC7FEF"/>
    <w:rsid w:val="00CD1BBB"/>
    <w:rsid w:val="00CE1438"/>
    <w:rsid w:val="00CE3B47"/>
    <w:rsid w:val="00CF0CF0"/>
    <w:rsid w:val="00CF4340"/>
    <w:rsid w:val="00CF4B76"/>
    <w:rsid w:val="00CF6301"/>
    <w:rsid w:val="00D04DC4"/>
    <w:rsid w:val="00D0553B"/>
    <w:rsid w:val="00D06390"/>
    <w:rsid w:val="00D07141"/>
    <w:rsid w:val="00D0734F"/>
    <w:rsid w:val="00D12AA0"/>
    <w:rsid w:val="00D13758"/>
    <w:rsid w:val="00D222E0"/>
    <w:rsid w:val="00D31CCB"/>
    <w:rsid w:val="00D34976"/>
    <w:rsid w:val="00D35BD1"/>
    <w:rsid w:val="00D375EC"/>
    <w:rsid w:val="00D41F65"/>
    <w:rsid w:val="00D430A6"/>
    <w:rsid w:val="00D44672"/>
    <w:rsid w:val="00D4502D"/>
    <w:rsid w:val="00D4670F"/>
    <w:rsid w:val="00D55879"/>
    <w:rsid w:val="00D63B47"/>
    <w:rsid w:val="00D6771D"/>
    <w:rsid w:val="00D70061"/>
    <w:rsid w:val="00D7076C"/>
    <w:rsid w:val="00D72D65"/>
    <w:rsid w:val="00D72EC1"/>
    <w:rsid w:val="00D83BFE"/>
    <w:rsid w:val="00D840FA"/>
    <w:rsid w:val="00D8634A"/>
    <w:rsid w:val="00D86BBE"/>
    <w:rsid w:val="00D919EF"/>
    <w:rsid w:val="00D92B3B"/>
    <w:rsid w:val="00DA33DB"/>
    <w:rsid w:val="00DB3E85"/>
    <w:rsid w:val="00DB673F"/>
    <w:rsid w:val="00DC6025"/>
    <w:rsid w:val="00DC6D12"/>
    <w:rsid w:val="00DC7106"/>
    <w:rsid w:val="00DD1675"/>
    <w:rsid w:val="00DD1A11"/>
    <w:rsid w:val="00DD3124"/>
    <w:rsid w:val="00DD5009"/>
    <w:rsid w:val="00DE0807"/>
    <w:rsid w:val="00DE282D"/>
    <w:rsid w:val="00DE6BB9"/>
    <w:rsid w:val="00DE7450"/>
    <w:rsid w:val="00DF2EB3"/>
    <w:rsid w:val="00DF310A"/>
    <w:rsid w:val="00DF3402"/>
    <w:rsid w:val="00DF3660"/>
    <w:rsid w:val="00DF389F"/>
    <w:rsid w:val="00E0625B"/>
    <w:rsid w:val="00E07D22"/>
    <w:rsid w:val="00E10C13"/>
    <w:rsid w:val="00E16536"/>
    <w:rsid w:val="00E17278"/>
    <w:rsid w:val="00E21766"/>
    <w:rsid w:val="00E22FCB"/>
    <w:rsid w:val="00E23047"/>
    <w:rsid w:val="00E2309C"/>
    <w:rsid w:val="00E37D8A"/>
    <w:rsid w:val="00E43CFD"/>
    <w:rsid w:val="00E45C8A"/>
    <w:rsid w:val="00E46370"/>
    <w:rsid w:val="00E47433"/>
    <w:rsid w:val="00E50379"/>
    <w:rsid w:val="00E53053"/>
    <w:rsid w:val="00E53226"/>
    <w:rsid w:val="00E54189"/>
    <w:rsid w:val="00E562B4"/>
    <w:rsid w:val="00E56893"/>
    <w:rsid w:val="00E626F4"/>
    <w:rsid w:val="00E65879"/>
    <w:rsid w:val="00E7051F"/>
    <w:rsid w:val="00E723E1"/>
    <w:rsid w:val="00E8232B"/>
    <w:rsid w:val="00E857AF"/>
    <w:rsid w:val="00E858F8"/>
    <w:rsid w:val="00E871DC"/>
    <w:rsid w:val="00E91191"/>
    <w:rsid w:val="00E9504A"/>
    <w:rsid w:val="00E951E9"/>
    <w:rsid w:val="00EA0684"/>
    <w:rsid w:val="00EA1002"/>
    <w:rsid w:val="00EA15E2"/>
    <w:rsid w:val="00EA2FD6"/>
    <w:rsid w:val="00EA373B"/>
    <w:rsid w:val="00EB07EE"/>
    <w:rsid w:val="00EB094D"/>
    <w:rsid w:val="00EB0BFF"/>
    <w:rsid w:val="00EC03B7"/>
    <w:rsid w:val="00EC0D01"/>
    <w:rsid w:val="00EC1A2C"/>
    <w:rsid w:val="00EC1EFC"/>
    <w:rsid w:val="00EC50FC"/>
    <w:rsid w:val="00EC7DE5"/>
    <w:rsid w:val="00ED0493"/>
    <w:rsid w:val="00ED0D25"/>
    <w:rsid w:val="00ED212B"/>
    <w:rsid w:val="00ED30F7"/>
    <w:rsid w:val="00ED54E1"/>
    <w:rsid w:val="00ED6117"/>
    <w:rsid w:val="00ED682C"/>
    <w:rsid w:val="00EE5C94"/>
    <w:rsid w:val="00EE6E00"/>
    <w:rsid w:val="00EF243E"/>
    <w:rsid w:val="00EF2E76"/>
    <w:rsid w:val="00EF555C"/>
    <w:rsid w:val="00F049EE"/>
    <w:rsid w:val="00F073B3"/>
    <w:rsid w:val="00F07E23"/>
    <w:rsid w:val="00F11E8F"/>
    <w:rsid w:val="00F13E54"/>
    <w:rsid w:val="00F2053C"/>
    <w:rsid w:val="00F211FA"/>
    <w:rsid w:val="00F226D1"/>
    <w:rsid w:val="00F25450"/>
    <w:rsid w:val="00F27B87"/>
    <w:rsid w:val="00F31517"/>
    <w:rsid w:val="00F33D76"/>
    <w:rsid w:val="00F3456A"/>
    <w:rsid w:val="00F34E8A"/>
    <w:rsid w:val="00F36DC6"/>
    <w:rsid w:val="00F40A7A"/>
    <w:rsid w:val="00F410D1"/>
    <w:rsid w:val="00F431AD"/>
    <w:rsid w:val="00F44591"/>
    <w:rsid w:val="00F503D0"/>
    <w:rsid w:val="00F50E64"/>
    <w:rsid w:val="00F54D8A"/>
    <w:rsid w:val="00F60101"/>
    <w:rsid w:val="00F61AFD"/>
    <w:rsid w:val="00F62107"/>
    <w:rsid w:val="00F656A2"/>
    <w:rsid w:val="00F67AE8"/>
    <w:rsid w:val="00F80A54"/>
    <w:rsid w:val="00F8575A"/>
    <w:rsid w:val="00F85764"/>
    <w:rsid w:val="00F85B88"/>
    <w:rsid w:val="00F85CAC"/>
    <w:rsid w:val="00F86FA9"/>
    <w:rsid w:val="00F90E6F"/>
    <w:rsid w:val="00F955B8"/>
    <w:rsid w:val="00F97150"/>
    <w:rsid w:val="00FA0C13"/>
    <w:rsid w:val="00FA4661"/>
    <w:rsid w:val="00FA599B"/>
    <w:rsid w:val="00FA5AB5"/>
    <w:rsid w:val="00FA64E7"/>
    <w:rsid w:val="00FA7221"/>
    <w:rsid w:val="00FA76E1"/>
    <w:rsid w:val="00FB10D5"/>
    <w:rsid w:val="00FB350B"/>
    <w:rsid w:val="00FC21F0"/>
    <w:rsid w:val="00FD0884"/>
    <w:rsid w:val="00FD3DF4"/>
    <w:rsid w:val="00FD78FC"/>
    <w:rsid w:val="00FD7E45"/>
    <w:rsid w:val="00FE15F7"/>
    <w:rsid w:val="00FE4C83"/>
    <w:rsid w:val="00FE5398"/>
    <w:rsid w:val="00FF105C"/>
    <w:rsid w:val="00FF5125"/>
    <w:rsid w:val="00FF566C"/>
  </w:rsids>
  <m:mathPr>
    <m:mathFont m:val="Cambria Math"/>
    <m:brkBin m:val="before"/>
    <m:brkBinSub m:val="--"/>
    <m:smallFrac m:val="0"/>
    <m:dispDef/>
    <m:lMargin m:val="0"/>
    <m:rMargin m:val="0"/>
    <m:defJc m:val="centerGroup"/>
    <m:wrapIndent m:val="1440"/>
    <m:intLim m:val="subSup"/>
    <m:naryLim m:val="undOvr"/>
  </m:mathPr>
  <w:themeFontLang w:val="nl-NL" w:eastAsia="ko-KR"/>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5BC981F1"/>
  <w15:chartTrackingRefBased/>
  <w15:docId w15:val="{8D14738A-DD56-4C5D-A4AB-FE4A078FC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ajorEastAsia"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54CE2"/>
    <w:pPr>
      <w:spacing w:after="0" w:line="312" w:lineRule="auto"/>
      <w:ind w:left="567"/>
    </w:pPr>
    <w:rPr>
      <w:rFonts w:ascii="Helvetica" w:hAnsi="Helvetica" w:cstheme="majorBidi"/>
      <w:sz w:val="18"/>
      <w:lang w:val="en-GB" w:bidi="en-US"/>
    </w:rPr>
  </w:style>
  <w:style w:type="paragraph" w:styleId="Heading1">
    <w:name w:val="heading 1"/>
    <w:aliases w:val="Kop 1 - Hoofdstuktitel"/>
    <w:basedOn w:val="Normal"/>
    <w:next w:val="Normal"/>
    <w:link w:val="Heading1Char"/>
    <w:autoRedefine/>
    <w:uiPriority w:val="9"/>
    <w:qFormat/>
    <w:rsid w:val="00671B0F"/>
    <w:pPr>
      <w:keepNext/>
      <w:keepLines/>
      <w:numPr>
        <w:numId w:val="1"/>
      </w:numPr>
      <w:tabs>
        <w:tab w:val="left" w:pos="2552"/>
      </w:tabs>
      <w:spacing w:after="240" w:line="276" w:lineRule="auto"/>
      <w:contextualSpacing/>
      <w:outlineLvl w:val="0"/>
    </w:pPr>
    <w:rPr>
      <w:b/>
      <w:bCs/>
      <w:caps/>
      <w:color w:val="696E34"/>
      <w:sz w:val="28"/>
      <w:szCs w:val="28"/>
    </w:rPr>
  </w:style>
  <w:style w:type="paragraph" w:styleId="Heading2">
    <w:name w:val="heading 2"/>
    <w:aliases w:val="Kop 2 - Paragraaftitel"/>
    <w:basedOn w:val="Heading1"/>
    <w:next w:val="Normal"/>
    <w:link w:val="Heading2Char"/>
    <w:autoRedefine/>
    <w:uiPriority w:val="9"/>
    <w:unhideWhenUsed/>
    <w:qFormat/>
    <w:rsid w:val="00862277"/>
    <w:pPr>
      <w:numPr>
        <w:ilvl w:val="1"/>
      </w:numPr>
      <w:spacing w:before="40" w:after="100"/>
      <w:outlineLvl w:val="1"/>
    </w:pPr>
    <w:rPr>
      <w:bCs w:val="0"/>
      <w:caps w:val="0"/>
      <w:sz w:val="24"/>
      <w:szCs w:val="26"/>
    </w:rPr>
  </w:style>
  <w:style w:type="paragraph" w:styleId="Heading3">
    <w:name w:val="heading 3"/>
    <w:aliases w:val="Kop 3 - Sub-Paragraaftitel"/>
    <w:basedOn w:val="Heading2"/>
    <w:next w:val="Normal"/>
    <w:link w:val="Heading3Char"/>
    <w:uiPriority w:val="9"/>
    <w:unhideWhenUsed/>
    <w:qFormat/>
    <w:rsid w:val="003A374B"/>
    <w:pPr>
      <w:numPr>
        <w:ilvl w:val="2"/>
      </w:numPr>
      <w:spacing w:before="200"/>
      <w:outlineLvl w:val="2"/>
    </w:pPr>
    <w:rPr>
      <w:bCs/>
      <w:sz w:val="20"/>
    </w:rPr>
  </w:style>
  <w:style w:type="paragraph" w:styleId="Heading4">
    <w:name w:val="heading 4"/>
    <w:basedOn w:val="Normal"/>
    <w:next w:val="Normal"/>
    <w:link w:val="Heading4Char"/>
    <w:uiPriority w:val="9"/>
    <w:unhideWhenUsed/>
    <w:qFormat/>
    <w:rsid w:val="00D4670F"/>
    <w:pPr>
      <w:keepNext/>
      <w:keepLines/>
      <w:spacing w:before="200"/>
      <w:outlineLvl w:val="3"/>
    </w:pPr>
    <w:rPr>
      <w:b/>
      <w:bCs/>
      <w:iCs/>
      <w:color w:val="696E34"/>
    </w:rPr>
  </w:style>
  <w:style w:type="paragraph" w:styleId="Heading5">
    <w:name w:val="heading 5"/>
    <w:basedOn w:val="Normal"/>
    <w:next w:val="Normal"/>
    <w:link w:val="Heading5Char"/>
    <w:uiPriority w:val="9"/>
    <w:unhideWhenUsed/>
    <w:qFormat/>
    <w:rsid w:val="00D4670F"/>
    <w:pPr>
      <w:keepNext/>
      <w:keepLines/>
      <w:spacing w:before="200"/>
      <w:outlineLvl w:val="4"/>
    </w:pPr>
    <w:rPr>
      <w:i/>
      <w:color w:val="696E34"/>
    </w:rPr>
  </w:style>
  <w:style w:type="paragraph" w:styleId="Heading6">
    <w:name w:val="heading 6"/>
    <w:basedOn w:val="Normal"/>
    <w:next w:val="Normal"/>
    <w:link w:val="Heading6Char"/>
    <w:uiPriority w:val="9"/>
    <w:semiHidden/>
    <w:unhideWhenUsed/>
    <w:qFormat/>
    <w:rsid w:val="00B02123"/>
    <w:pPr>
      <w:keepNext/>
      <w:keepLines/>
      <w:numPr>
        <w:ilvl w:val="5"/>
        <w:numId w:val="1"/>
      </w:numPr>
      <w:spacing w:before="200"/>
      <w:outlineLvl w:val="5"/>
    </w:pPr>
    <w:rPr>
      <w:rFonts w:asciiTheme="majorHAnsi" w:hAnsiTheme="majorHAnsi"/>
      <w:i/>
      <w:iCs/>
      <w:color w:val="243F60" w:themeColor="accent1" w:themeShade="7F"/>
    </w:rPr>
  </w:style>
  <w:style w:type="paragraph" w:styleId="Heading7">
    <w:name w:val="heading 7"/>
    <w:basedOn w:val="Normal"/>
    <w:next w:val="Normal"/>
    <w:link w:val="Heading7Char"/>
    <w:uiPriority w:val="9"/>
    <w:semiHidden/>
    <w:unhideWhenUsed/>
    <w:qFormat/>
    <w:rsid w:val="00B02123"/>
    <w:pPr>
      <w:keepNext/>
      <w:keepLines/>
      <w:numPr>
        <w:ilvl w:val="6"/>
        <w:numId w:val="1"/>
      </w:numPr>
      <w:spacing w:before="200"/>
      <w:outlineLvl w:val="6"/>
    </w:pPr>
    <w:rPr>
      <w:rFonts w:asciiTheme="majorHAnsi" w:hAnsiTheme="majorHAnsi"/>
      <w:i/>
      <w:iCs/>
      <w:color w:val="404040" w:themeColor="text1" w:themeTint="BF"/>
    </w:rPr>
  </w:style>
  <w:style w:type="paragraph" w:styleId="Heading8">
    <w:name w:val="heading 8"/>
    <w:basedOn w:val="Normal"/>
    <w:next w:val="Normal"/>
    <w:link w:val="Heading8Char"/>
    <w:uiPriority w:val="9"/>
    <w:semiHidden/>
    <w:unhideWhenUsed/>
    <w:qFormat/>
    <w:rsid w:val="00B02123"/>
    <w:pPr>
      <w:keepNext/>
      <w:keepLines/>
      <w:numPr>
        <w:ilvl w:val="7"/>
        <w:numId w:val="1"/>
      </w:numPr>
      <w:spacing w:before="200"/>
      <w:outlineLvl w:val="7"/>
    </w:pPr>
    <w:rPr>
      <w:rFonts w:asciiTheme="majorHAnsi" w:hAnsiTheme="majorHAnsi"/>
      <w:color w:val="404040" w:themeColor="text1" w:themeTint="BF"/>
      <w:sz w:val="20"/>
      <w:szCs w:val="20"/>
    </w:rPr>
  </w:style>
  <w:style w:type="paragraph" w:styleId="Heading9">
    <w:name w:val="heading 9"/>
    <w:basedOn w:val="Normal"/>
    <w:next w:val="Normal"/>
    <w:link w:val="Heading9Char"/>
    <w:uiPriority w:val="9"/>
    <w:semiHidden/>
    <w:unhideWhenUsed/>
    <w:qFormat/>
    <w:rsid w:val="00B02123"/>
    <w:pPr>
      <w:keepNext/>
      <w:keepLines/>
      <w:numPr>
        <w:ilvl w:val="8"/>
        <w:numId w:val="1"/>
      </w:numPr>
      <w:spacing w:before="200"/>
      <w:outlineLvl w:val="8"/>
    </w:pPr>
    <w:rPr>
      <w:rFonts w:asciiTheme="majorHAnsi" w:hAnsiTheme="majorHAns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rsid w:val="00E54189"/>
    <w:pPr>
      <w:spacing w:after="0" w:line="240" w:lineRule="auto"/>
    </w:pPr>
    <w:rPr>
      <w:rFonts w:eastAsiaTheme="minorEastAsia"/>
      <w:lang w:eastAsia="nl-NL"/>
    </w:rPr>
  </w:style>
  <w:style w:type="character" w:customStyle="1" w:styleId="NoSpacingChar">
    <w:name w:val="No Spacing Char"/>
    <w:basedOn w:val="DefaultParagraphFont"/>
    <w:link w:val="NoSpacing"/>
    <w:uiPriority w:val="1"/>
    <w:rsid w:val="00E54189"/>
    <w:rPr>
      <w:rFonts w:eastAsiaTheme="minorEastAsia"/>
      <w:lang w:eastAsia="nl-NL"/>
    </w:rPr>
  </w:style>
  <w:style w:type="paragraph" w:styleId="BalloonText">
    <w:name w:val="Balloon Text"/>
    <w:basedOn w:val="Normal"/>
    <w:link w:val="BalloonTextChar"/>
    <w:uiPriority w:val="99"/>
    <w:semiHidden/>
    <w:unhideWhenUsed/>
    <w:rsid w:val="00E5418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189"/>
    <w:rPr>
      <w:rFonts w:ascii="Tahoma" w:eastAsiaTheme="majorEastAsia" w:hAnsi="Tahoma" w:cs="Tahoma"/>
      <w:sz w:val="16"/>
      <w:szCs w:val="16"/>
      <w:lang w:val="en-US" w:bidi="en-US"/>
    </w:rPr>
  </w:style>
  <w:style w:type="character" w:customStyle="1" w:styleId="Heading1Char">
    <w:name w:val="Heading 1 Char"/>
    <w:aliases w:val="Kop 1 - Hoofdstuktitel Char"/>
    <w:basedOn w:val="DefaultParagraphFont"/>
    <w:link w:val="Heading1"/>
    <w:uiPriority w:val="9"/>
    <w:rsid w:val="00671B0F"/>
    <w:rPr>
      <w:rFonts w:ascii="Helvetica" w:hAnsi="Helvetica" w:cstheme="majorBidi"/>
      <w:b/>
      <w:bCs/>
      <w:caps/>
      <w:color w:val="696E34"/>
      <w:sz w:val="28"/>
      <w:szCs w:val="28"/>
      <w:lang w:val="en-GB" w:bidi="en-US"/>
    </w:rPr>
  </w:style>
  <w:style w:type="character" w:customStyle="1" w:styleId="Heading2Char">
    <w:name w:val="Heading 2 Char"/>
    <w:aliases w:val="Kop 2 - Paragraaftitel Char"/>
    <w:basedOn w:val="DefaultParagraphFont"/>
    <w:link w:val="Heading2"/>
    <w:uiPriority w:val="9"/>
    <w:rsid w:val="00862277"/>
    <w:rPr>
      <w:rFonts w:ascii="Helvetica" w:hAnsi="Helvetica" w:cstheme="majorBidi"/>
      <w:b/>
      <w:color w:val="696E34"/>
      <w:sz w:val="24"/>
      <w:szCs w:val="26"/>
      <w:lang w:val="en-GB" w:bidi="en-US"/>
    </w:rPr>
  </w:style>
  <w:style w:type="character" w:customStyle="1" w:styleId="Heading3Char">
    <w:name w:val="Heading 3 Char"/>
    <w:aliases w:val="Kop 3 - Sub-Paragraaftitel Char"/>
    <w:basedOn w:val="DefaultParagraphFont"/>
    <w:link w:val="Heading3"/>
    <w:uiPriority w:val="9"/>
    <w:rsid w:val="003A374B"/>
    <w:rPr>
      <w:rFonts w:ascii="Helvetica" w:hAnsi="Helvetica" w:cstheme="majorBidi"/>
      <w:b/>
      <w:bCs/>
      <w:color w:val="696E34"/>
      <w:sz w:val="20"/>
      <w:szCs w:val="26"/>
      <w:lang w:val="en-GB" w:bidi="en-US"/>
    </w:rPr>
  </w:style>
  <w:style w:type="character" w:customStyle="1" w:styleId="Heading4Char">
    <w:name w:val="Heading 4 Char"/>
    <w:basedOn w:val="DefaultParagraphFont"/>
    <w:link w:val="Heading4"/>
    <w:uiPriority w:val="9"/>
    <w:rsid w:val="00D4670F"/>
    <w:rPr>
      <w:rFonts w:ascii="Helvetica" w:eastAsiaTheme="majorEastAsia" w:hAnsi="Helvetica" w:cstheme="majorBidi"/>
      <w:b/>
      <w:bCs/>
      <w:iCs/>
      <w:color w:val="696E34"/>
      <w:sz w:val="18"/>
      <w:lang w:bidi="en-US"/>
    </w:rPr>
  </w:style>
  <w:style w:type="character" w:customStyle="1" w:styleId="Heading5Char">
    <w:name w:val="Heading 5 Char"/>
    <w:basedOn w:val="DefaultParagraphFont"/>
    <w:link w:val="Heading5"/>
    <w:uiPriority w:val="9"/>
    <w:rsid w:val="00D4670F"/>
    <w:rPr>
      <w:rFonts w:ascii="Helvetica" w:eastAsiaTheme="majorEastAsia" w:hAnsi="Helvetica" w:cstheme="majorBidi"/>
      <w:i/>
      <w:color w:val="696E34"/>
      <w:sz w:val="18"/>
      <w:lang w:bidi="en-US"/>
    </w:rPr>
  </w:style>
  <w:style w:type="character" w:customStyle="1" w:styleId="Heading6Char">
    <w:name w:val="Heading 6 Char"/>
    <w:basedOn w:val="DefaultParagraphFont"/>
    <w:link w:val="Heading6"/>
    <w:uiPriority w:val="9"/>
    <w:semiHidden/>
    <w:rsid w:val="00B02123"/>
    <w:rPr>
      <w:rFonts w:asciiTheme="majorHAnsi" w:hAnsiTheme="majorHAnsi" w:cstheme="majorBidi"/>
      <w:i/>
      <w:iCs/>
      <w:color w:val="243F60" w:themeColor="accent1" w:themeShade="7F"/>
      <w:sz w:val="18"/>
      <w:lang w:val="en-GB" w:bidi="en-US"/>
    </w:rPr>
  </w:style>
  <w:style w:type="character" w:customStyle="1" w:styleId="Heading7Char">
    <w:name w:val="Heading 7 Char"/>
    <w:basedOn w:val="DefaultParagraphFont"/>
    <w:link w:val="Heading7"/>
    <w:uiPriority w:val="9"/>
    <w:semiHidden/>
    <w:rsid w:val="00B02123"/>
    <w:rPr>
      <w:rFonts w:asciiTheme="majorHAnsi" w:hAnsiTheme="majorHAnsi" w:cstheme="majorBidi"/>
      <w:i/>
      <w:iCs/>
      <w:color w:val="404040" w:themeColor="text1" w:themeTint="BF"/>
      <w:sz w:val="18"/>
      <w:lang w:val="en-GB" w:bidi="en-US"/>
    </w:rPr>
  </w:style>
  <w:style w:type="character" w:customStyle="1" w:styleId="Heading8Char">
    <w:name w:val="Heading 8 Char"/>
    <w:basedOn w:val="DefaultParagraphFont"/>
    <w:link w:val="Heading8"/>
    <w:uiPriority w:val="9"/>
    <w:semiHidden/>
    <w:rsid w:val="00B02123"/>
    <w:rPr>
      <w:rFonts w:asciiTheme="majorHAnsi" w:hAnsiTheme="majorHAnsi" w:cstheme="majorBidi"/>
      <w:color w:val="404040" w:themeColor="text1" w:themeTint="BF"/>
      <w:sz w:val="20"/>
      <w:szCs w:val="20"/>
      <w:lang w:val="en-GB" w:bidi="en-US"/>
    </w:rPr>
  </w:style>
  <w:style w:type="character" w:customStyle="1" w:styleId="Heading9Char">
    <w:name w:val="Heading 9 Char"/>
    <w:basedOn w:val="DefaultParagraphFont"/>
    <w:link w:val="Heading9"/>
    <w:uiPriority w:val="9"/>
    <w:semiHidden/>
    <w:rsid w:val="00B02123"/>
    <w:rPr>
      <w:rFonts w:asciiTheme="majorHAnsi" w:hAnsiTheme="majorHAnsi" w:cstheme="majorBidi"/>
      <w:i/>
      <w:iCs/>
      <w:color w:val="404040" w:themeColor="text1" w:themeTint="BF"/>
      <w:sz w:val="20"/>
      <w:szCs w:val="20"/>
      <w:lang w:val="en-GB" w:bidi="en-US"/>
    </w:rPr>
  </w:style>
  <w:style w:type="paragraph" w:styleId="ListParagraph">
    <w:name w:val="List Paragraph"/>
    <w:basedOn w:val="Normal"/>
    <w:link w:val="ListParagraphChar"/>
    <w:uiPriority w:val="34"/>
    <w:qFormat/>
    <w:rsid w:val="001A2636"/>
    <w:pPr>
      <w:ind w:left="720"/>
      <w:contextualSpacing/>
    </w:pPr>
  </w:style>
  <w:style w:type="paragraph" w:customStyle="1" w:styleId="Opsomming1">
    <w:name w:val="Opsomming 1"/>
    <w:basedOn w:val="ListParagraph"/>
    <w:link w:val="Opsomming1Char"/>
    <w:qFormat/>
    <w:rsid w:val="003843CA"/>
    <w:pPr>
      <w:numPr>
        <w:numId w:val="3"/>
      </w:numPr>
    </w:pPr>
  </w:style>
  <w:style w:type="paragraph" w:customStyle="1" w:styleId="Opsomming2">
    <w:name w:val="Opsomming2"/>
    <w:basedOn w:val="ListParagraph"/>
    <w:link w:val="Opsomming2Char"/>
    <w:qFormat/>
    <w:rsid w:val="003843CA"/>
    <w:pPr>
      <w:numPr>
        <w:ilvl w:val="1"/>
        <w:numId w:val="3"/>
      </w:numPr>
    </w:pPr>
  </w:style>
  <w:style w:type="character" w:customStyle="1" w:styleId="ListParagraphChar">
    <w:name w:val="List Paragraph Char"/>
    <w:basedOn w:val="DefaultParagraphFont"/>
    <w:link w:val="ListParagraph"/>
    <w:uiPriority w:val="34"/>
    <w:rsid w:val="001A2636"/>
    <w:rPr>
      <w:rFonts w:ascii="Helvetica" w:eastAsiaTheme="majorEastAsia" w:hAnsi="Helvetica" w:cstheme="majorBidi"/>
      <w:sz w:val="18"/>
      <w:lang w:val="en-US" w:bidi="en-US"/>
    </w:rPr>
  </w:style>
  <w:style w:type="character" w:customStyle="1" w:styleId="Opsomming1Char">
    <w:name w:val="Opsomming 1 Char"/>
    <w:basedOn w:val="ListParagraphChar"/>
    <w:link w:val="Opsomming1"/>
    <w:rsid w:val="003843CA"/>
    <w:rPr>
      <w:rFonts w:ascii="Helvetica" w:eastAsiaTheme="majorEastAsia" w:hAnsi="Helvetica" w:cstheme="majorBidi"/>
      <w:sz w:val="18"/>
      <w:lang w:val="en-GB" w:bidi="en-US"/>
    </w:rPr>
  </w:style>
  <w:style w:type="paragraph" w:styleId="Header">
    <w:name w:val="header"/>
    <w:basedOn w:val="Normal"/>
    <w:link w:val="HeaderChar"/>
    <w:unhideWhenUsed/>
    <w:rsid w:val="00F40A7A"/>
    <w:pPr>
      <w:tabs>
        <w:tab w:val="center" w:pos="4536"/>
        <w:tab w:val="right" w:pos="9072"/>
      </w:tabs>
      <w:spacing w:line="240" w:lineRule="auto"/>
    </w:pPr>
  </w:style>
  <w:style w:type="character" w:customStyle="1" w:styleId="Opsomming2Char">
    <w:name w:val="Opsomming2 Char"/>
    <w:basedOn w:val="ListParagraphChar"/>
    <w:link w:val="Opsomming2"/>
    <w:rsid w:val="003843CA"/>
    <w:rPr>
      <w:rFonts w:ascii="Helvetica" w:eastAsiaTheme="majorEastAsia" w:hAnsi="Helvetica" w:cstheme="majorBidi"/>
      <w:sz w:val="18"/>
      <w:lang w:val="en-GB" w:bidi="en-US"/>
    </w:rPr>
  </w:style>
  <w:style w:type="character" w:customStyle="1" w:styleId="HeaderChar">
    <w:name w:val="Header Char"/>
    <w:basedOn w:val="DefaultParagraphFont"/>
    <w:link w:val="Header"/>
    <w:rsid w:val="00F40A7A"/>
    <w:rPr>
      <w:rFonts w:ascii="Helvetica" w:eastAsiaTheme="majorEastAsia" w:hAnsi="Helvetica" w:cstheme="majorBidi"/>
      <w:sz w:val="18"/>
      <w:lang w:bidi="en-US"/>
    </w:rPr>
  </w:style>
  <w:style w:type="paragraph" w:styleId="Footer">
    <w:name w:val="footer"/>
    <w:basedOn w:val="Normal"/>
    <w:link w:val="FooterChar"/>
    <w:uiPriority w:val="99"/>
    <w:unhideWhenUsed/>
    <w:rsid w:val="00F40A7A"/>
    <w:pPr>
      <w:tabs>
        <w:tab w:val="center" w:pos="4536"/>
        <w:tab w:val="right" w:pos="9072"/>
      </w:tabs>
      <w:spacing w:line="240" w:lineRule="auto"/>
    </w:pPr>
  </w:style>
  <w:style w:type="character" w:customStyle="1" w:styleId="FooterChar">
    <w:name w:val="Footer Char"/>
    <w:basedOn w:val="DefaultParagraphFont"/>
    <w:link w:val="Footer"/>
    <w:uiPriority w:val="99"/>
    <w:rsid w:val="00F40A7A"/>
    <w:rPr>
      <w:rFonts w:ascii="Helvetica" w:eastAsiaTheme="majorEastAsia" w:hAnsi="Helvetica" w:cstheme="majorBidi"/>
      <w:sz w:val="18"/>
      <w:lang w:bidi="en-US"/>
    </w:rPr>
  </w:style>
  <w:style w:type="paragraph" w:customStyle="1" w:styleId="Samenvatting">
    <w:name w:val="Samenvatting"/>
    <w:basedOn w:val="Normal"/>
    <w:next w:val="Normal"/>
    <w:link w:val="SamenvattingChar"/>
    <w:qFormat/>
    <w:rsid w:val="00C56AFF"/>
    <w:pPr>
      <w:spacing w:line="480" w:lineRule="auto"/>
      <w:ind w:right="567"/>
      <w:contextualSpacing/>
    </w:pPr>
    <w:rPr>
      <w:b/>
      <w:caps/>
      <w:color w:val="696E34"/>
      <w:sz w:val="28"/>
      <w:szCs w:val="28"/>
    </w:rPr>
  </w:style>
  <w:style w:type="character" w:styleId="Hyperlink">
    <w:name w:val="Hyperlink"/>
    <w:basedOn w:val="DefaultParagraphFont"/>
    <w:uiPriority w:val="99"/>
    <w:unhideWhenUsed/>
    <w:rsid w:val="00A36EBF"/>
    <w:rPr>
      <w:color w:val="0000FF" w:themeColor="hyperlink"/>
      <w:u w:val="single"/>
    </w:rPr>
  </w:style>
  <w:style w:type="character" w:customStyle="1" w:styleId="SamenvattingChar">
    <w:name w:val="Samenvatting Char"/>
    <w:basedOn w:val="DefaultParagraphFont"/>
    <w:link w:val="Samenvatting"/>
    <w:rsid w:val="00C56AFF"/>
    <w:rPr>
      <w:rFonts w:ascii="Helvetica" w:eastAsiaTheme="majorEastAsia" w:hAnsi="Helvetica" w:cstheme="majorBidi"/>
      <w:b/>
      <w:caps/>
      <w:color w:val="696E34"/>
      <w:sz w:val="28"/>
      <w:szCs w:val="28"/>
      <w:lang w:bidi="en-US"/>
    </w:rPr>
  </w:style>
  <w:style w:type="paragraph" w:styleId="TOC1">
    <w:name w:val="toc 1"/>
    <w:basedOn w:val="Normal"/>
    <w:next w:val="Normal"/>
    <w:autoRedefine/>
    <w:uiPriority w:val="39"/>
    <w:unhideWhenUsed/>
    <w:rsid w:val="007F406C"/>
    <w:pPr>
      <w:tabs>
        <w:tab w:val="right" w:pos="8210"/>
      </w:tabs>
      <w:ind w:hanging="567"/>
    </w:pPr>
    <w:rPr>
      <w:b/>
      <w:color w:val="696E34"/>
    </w:rPr>
  </w:style>
  <w:style w:type="paragraph" w:styleId="TOC2">
    <w:name w:val="toc 2"/>
    <w:basedOn w:val="Normal"/>
    <w:next w:val="Normal"/>
    <w:autoRedefine/>
    <w:uiPriority w:val="39"/>
    <w:unhideWhenUsed/>
    <w:rsid w:val="00527568"/>
    <w:pPr>
      <w:tabs>
        <w:tab w:val="left" w:pos="660"/>
        <w:tab w:val="right" w:pos="8210"/>
      </w:tabs>
      <w:spacing w:after="300" w:line="360" w:lineRule="auto"/>
      <w:ind w:hanging="567"/>
      <w:contextualSpacing/>
    </w:pPr>
    <w:rPr>
      <w:color w:val="696E34"/>
    </w:rPr>
  </w:style>
  <w:style w:type="character" w:styleId="PlaceholderText">
    <w:name w:val="Placeholder Text"/>
    <w:basedOn w:val="DefaultParagraphFont"/>
    <w:uiPriority w:val="99"/>
    <w:semiHidden/>
    <w:rsid w:val="00783FCD"/>
    <w:rPr>
      <w:color w:val="808080"/>
    </w:rPr>
  </w:style>
  <w:style w:type="paragraph" w:styleId="TOC3">
    <w:name w:val="toc 3"/>
    <w:basedOn w:val="Normal"/>
    <w:next w:val="Normal"/>
    <w:autoRedefine/>
    <w:uiPriority w:val="39"/>
    <w:unhideWhenUsed/>
    <w:rsid w:val="00527568"/>
    <w:pPr>
      <w:spacing w:after="100"/>
      <w:ind w:left="0" w:firstLine="567"/>
    </w:pPr>
  </w:style>
  <w:style w:type="paragraph" w:styleId="FootnoteText">
    <w:name w:val="footnote text"/>
    <w:basedOn w:val="Normal"/>
    <w:link w:val="FootnoteTextChar"/>
    <w:uiPriority w:val="99"/>
    <w:unhideWhenUsed/>
    <w:rsid w:val="00CB5DB1"/>
    <w:pPr>
      <w:spacing w:line="240" w:lineRule="auto"/>
      <w:ind w:left="471"/>
    </w:pPr>
    <w:rPr>
      <w:color w:val="696E34"/>
      <w:sz w:val="16"/>
      <w:szCs w:val="20"/>
    </w:rPr>
  </w:style>
  <w:style w:type="character" w:customStyle="1" w:styleId="FootnoteTextChar">
    <w:name w:val="Footnote Text Char"/>
    <w:basedOn w:val="DefaultParagraphFont"/>
    <w:link w:val="FootnoteText"/>
    <w:uiPriority w:val="99"/>
    <w:rsid w:val="00CB5DB1"/>
    <w:rPr>
      <w:rFonts w:ascii="Helvetica" w:eastAsiaTheme="majorEastAsia" w:hAnsi="Helvetica" w:cstheme="majorBidi"/>
      <w:color w:val="696E34"/>
      <w:sz w:val="16"/>
      <w:szCs w:val="20"/>
      <w:lang w:bidi="en-US"/>
    </w:rPr>
  </w:style>
  <w:style w:type="character" w:styleId="FootnoteReference">
    <w:name w:val="footnote reference"/>
    <w:basedOn w:val="DefaultParagraphFont"/>
    <w:uiPriority w:val="99"/>
    <w:semiHidden/>
    <w:unhideWhenUsed/>
    <w:rsid w:val="00C36480"/>
    <w:rPr>
      <w:vertAlign w:val="superscript"/>
    </w:rPr>
  </w:style>
  <w:style w:type="table" w:styleId="TableGrid">
    <w:name w:val="Table Grid"/>
    <w:basedOn w:val="TableNormal"/>
    <w:uiPriority w:val="59"/>
    <w:rsid w:val="00E562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Opsomming">
    <w:name w:val="Tabel Opsomming"/>
    <w:basedOn w:val="ListParagraph"/>
    <w:link w:val="TabelOpsommingChar"/>
    <w:qFormat/>
    <w:rsid w:val="003B3D60"/>
    <w:pPr>
      <w:framePr w:wrap="around" w:vAnchor="text" w:hAnchor="text" w:y="1"/>
      <w:numPr>
        <w:numId w:val="2"/>
      </w:numPr>
    </w:pPr>
  </w:style>
  <w:style w:type="table" w:styleId="LightShading-Accent1">
    <w:name w:val="Light Shading Accent 1"/>
    <w:basedOn w:val="TableNormal"/>
    <w:uiPriority w:val="60"/>
    <w:rsid w:val="009030AD"/>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abelOpsommingChar">
    <w:name w:val="Tabel Opsomming Char"/>
    <w:basedOn w:val="ListParagraphChar"/>
    <w:link w:val="TabelOpsomming"/>
    <w:rsid w:val="003B3D60"/>
    <w:rPr>
      <w:rFonts w:ascii="Helvetica" w:eastAsiaTheme="majorEastAsia" w:hAnsi="Helvetica" w:cstheme="majorBidi"/>
      <w:sz w:val="18"/>
      <w:lang w:val="en-GB" w:bidi="en-US"/>
    </w:rPr>
  </w:style>
  <w:style w:type="table" w:styleId="LightList-Accent3">
    <w:name w:val="Light List Accent 3"/>
    <w:basedOn w:val="TableNormal"/>
    <w:uiPriority w:val="61"/>
    <w:rsid w:val="009030AD"/>
    <w:pPr>
      <w:spacing w:after="0" w:line="240" w:lineRule="auto"/>
    </w:pPr>
    <w:rPr>
      <w:rFonts w:ascii="Helvetica LT Std" w:hAnsi="Helvetica LT Std"/>
      <w:sz w:val="20"/>
    </w:rPr>
    <w:tblPr>
      <w:tblStyleRowBandSize w:val="1"/>
      <w:tblStyleColBandSize w:val="1"/>
    </w:tblPr>
    <w:tcPr>
      <w:shd w:val="clear" w:color="auto" w:fill="auto"/>
    </w:tcPr>
    <w:tblStylePr w:type="firstRow">
      <w:pPr>
        <w:spacing w:before="0" w:after="0" w:line="240" w:lineRule="auto"/>
      </w:pPr>
      <w:rPr>
        <w:rFonts w:ascii="Helvetica LT Std" w:hAnsi="Helvetica LT Std"/>
        <w:b/>
        <w:bCs/>
        <w:color w:val="auto"/>
        <w:sz w:val="20"/>
      </w:rPr>
      <w:tblPr/>
      <w:tcPr>
        <w:shd w:val="clear" w:color="auto" w:fill="C2D69B" w:themeFill="accent3" w:themeFillTint="99"/>
      </w:tcPr>
    </w:tblStylePr>
    <w:tblStylePr w:type="lastRow">
      <w:pPr>
        <w:spacing w:before="0" w:after="0" w:line="240" w:lineRule="auto"/>
      </w:pPr>
      <w:rPr>
        <w:rFonts w:ascii="Helvetica LT Std" w:hAnsi="Helvetica LT Std"/>
        <w:b/>
        <w:bCs/>
        <w:color w:val="auto"/>
        <w:sz w:val="20"/>
      </w:rPr>
      <w:tblPr/>
      <w:tcPr>
        <w:tcBorders>
          <w:top w:val="nil"/>
          <w:left w:val="nil"/>
          <w:bottom w:val="nil"/>
          <w:right w:val="nil"/>
          <w:insideH w:val="nil"/>
          <w:insideV w:val="nil"/>
          <w:tl2br w:val="nil"/>
          <w:tr2bl w:val="nil"/>
        </w:tcBorders>
        <w:shd w:val="clear" w:color="auto" w:fill="C2D69B" w:themeFill="accent3" w:themeFillTint="99"/>
      </w:tcPr>
    </w:tblStylePr>
    <w:tblStylePr w:type="firstCol">
      <w:rPr>
        <w:rFonts w:ascii="Helvetica LT Std" w:hAnsi="Helvetica LT Std"/>
        <w:b w:val="0"/>
        <w:bCs/>
        <w:color w:val="auto"/>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lastCol">
      <w:rPr>
        <w:b/>
        <w:bCs/>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1Vert">
      <w:rPr>
        <w:rFonts w:ascii="Helvetica LT Std" w:hAnsi="Helvetica LT Std"/>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2Vert">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1Horz">
      <w:rPr>
        <w:rFonts w:ascii="Helvetica LT Std" w:hAnsi="Helvetica LT Std"/>
        <w:b w:val="0"/>
        <w:color w:val="auto"/>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2Horz">
      <w:rPr>
        <w:rFonts w:ascii="Helvetica LT Std" w:hAnsi="Helvetica LT Std"/>
        <w:b w:val="0"/>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nwCell">
      <w:tblPr/>
      <w:tcPr>
        <w:shd w:val="clear" w:color="auto" w:fill="C2D69B" w:themeFill="accent3" w:themeFillTint="99"/>
      </w:tcPr>
    </w:tblStylePr>
  </w:style>
  <w:style w:type="table" w:customStyle="1" w:styleId="Tabellen">
    <w:name w:val="Tabellen"/>
    <w:basedOn w:val="LightList-Accent3"/>
    <w:uiPriority w:val="99"/>
    <w:rsid w:val="0052303D"/>
    <w:rPr>
      <w:sz w:val="16"/>
    </w:rPr>
    <w:tblPr>
      <w:tblInd w:w="68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57" w:type="dxa"/>
        <w:right w:w="57" w:type="dxa"/>
      </w:tblCellMar>
    </w:tblPr>
    <w:tcPr>
      <w:shd w:val="clear" w:color="auto" w:fill="auto"/>
      <w:vAlign w:val="center"/>
    </w:tcPr>
    <w:tblStylePr w:type="firstRow">
      <w:pPr>
        <w:spacing w:before="0" w:after="0" w:line="240" w:lineRule="auto"/>
      </w:pPr>
      <w:rPr>
        <w:rFonts w:ascii="Helvetica LT Std" w:hAnsi="Helvetica LT Std"/>
        <w:b/>
        <w:bCs/>
        <w:color w:val="auto"/>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nil"/>
          <w:insideV w:val="single" w:sz="4" w:space="0" w:color="FFFFFF" w:themeColor="background1"/>
          <w:tl2br w:val="nil"/>
          <w:tr2bl w:val="nil"/>
        </w:tcBorders>
        <w:shd w:val="clear" w:color="auto" w:fill="C2D69B" w:themeFill="accent3" w:themeFillTint="99"/>
      </w:tcPr>
    </w:tblStylePr>
    <w:tblStylePr w:type="lastRow">
      <w:pPr>
        <w:spacing w:before="0" w:after="0" w:line="240" w:lineRule="auto"/>
      </w:pPr>
      <w:rPr>
        <w:rFonts w:ascii="Helvetica LT Std" w:hAnsi="Helvetica LT Std"/>
        <w:b/>
        <w:bCs/>
        <w:color w:val="auto"/>
        <w:sz w:val="20"/>
      </w:rPr>
      <w:tblPr/>
      <w:tcPr>
        <w:tcBorders>
          <w:top w:val="nil"/>
          <w:left w:val="nil"/>
          <w:bottom w:val="nil"/>
          <w:right w:val="nil"/>
          <w:insideH w:val="nil"/>
          <w:insideV w:val="nil"/>
          <w:tl2br w:val="nil"/>
          <w:tr2bl w:val="nil"/>
        </w:tcBorders>
        <w:shd w:val="clear" w:color="auto" w:fill="C2D69B" w:themeFill="accent3" w:themeFillTint="99"/>
      </w:tcPr>
    </w:tblStylePr>
    <w:tblStylePr w:type="firstCol">
      <w:rPr>
        <w:rFonts w:ascii="Helvetica LT Std" w:hAnsi="Helvetica LT Std"/>
        <w:b w:val="0"/>
        <w:bCs/>
        <w:color w:val="auto"/>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lastCol">
      <w:rPr>
        <w:b w:val="0"/>
        <w:bCs/>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1Vert">
      <w:rPr>
        <w:rFonts w:ascii="Helvetica LT Std" w:hAnsi="Helvetica LT Std"/>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2Vert">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1Horz">
      <w:rPr>
        <w:rFonts w:ascii="Helvetica LT Std" w:hAnsi="Helvetica LT Std"/>
        <w:b w:val="0"/>
        <w:color w:val="auto"/>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band2Horz">
      <w:rPr>
        <w:rFonts w:ascii="Helvetica LT Std" w:hAnsi="Helvetica LT Std"/>
        <w:b w:val="0"/>
        <w:sz w:val="20"/>
      </w:rPr>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D6E3BC" w:themeFill="accent3" w:themeFillTint="66"/>
      </w:tcPr>
    </w:tblStylePr>
    <w:tblStylePr w:type="nwCell">
      <w:tblPr/>
      <w:tcPr>
        <w:shd w:val="clear" w:color="auto" w:fill="C2D69B" w:themeFill="accent3" w:themeFillTint="99"/>
      </w:tcPr>
    </w:tblStylePr>
  </w:style>
  <w:style w:type="paragraph" w:customStyle="1" w:styleId="TabelOpsomming2">
    <w:name w:val="Tabel Opsomming 2"/>
    <w:basedOn w:val="TabelOpsomming"/>
    <w:link w:val="TabelOpsomming2Char"/>
    <w:qFormat/>
    <w:rsid w:val="00547913"/>
    <w:pPr>
      <w:framePr w:wrap="around"/>
      <w:numPr>
        <w:ilvl w:val="1"/>
      </w:numPr>
    </w:pPr>
  </w:style>
  <w:style w:type="paragraph" w:customStyle="1" w:styleId="Kadertekst">
    <w:name w:val="Kadertekst"/>
    <w:basedOn w:val="Normal"/>
    <w:link w:val="KadertekstChar"/>
    <w:qFormat/>
    <w:rsid w:val="009529B9"/>
    <w:pPr>
      <w:ind w:left="0"/>
    </w:pPr>
    <w:rPr>
      <w:sz w:val="16"/>
      <w:szCs w:val="16"/>
    </w:rPr>
  </w:style>
  <w:style w:type="character" w:customStyle="1" w:styleId="TabelOpsomming2Char">
    <w:name w:val="Tabel Opsomming 2 Char"/>
    <w:basedOn w:val="TabelOpsommingChar"/>
    <w:link w:val="TabelOpsomming2"/>
    <w:rsid w:val="00547913"/>
    <w:rPr>
      <w:rFonts w:ascii="Helvetica" w:eastAsiaTheme="majorEastAsia" w:hAnsi="Helvetica" w:cstheme="majorBidi"/>
      <w:sz w:val="18"/>
      <w:lang w:val="en-GB" w:bidi="en-US"/>
    </w:rPr>
  </w:style>
  <w:style w:type="paragraph" w:customStyle="1" w:styleId="Kaderkop">
    <w:name w:val="Kaderkop"/>
    <w:basedOn w:val="Kadertekst"/>
    <w:link w:val="KaderkopChar"/>
    <w:qFormat/>
    <w:rsid w:val="006C4214"/>
    <w:rPr>
      <w:b/>
      <w:color w:val="696E34"/>
      <w:sz w:val="18"/>
      <w:szCs w:val="18"/>
    </w:rPr>
  </w:style>
  <w:style w:type="character" w:customStyle="1" w:styleId="KadertekstChar">
    <w:name w:val="Kadertekst Char"/>
    <w:basedOn w:val="DefaultParagraphFont"/>
    <w:link w:val="Kadertekst"/>
    <w:rsid w:val="009529B9"/>
    <w:rPr>
      <w:rFonts w:ascii="Helvetica" w:eastAsiaTheme="majorEastAsia" w:hAnsi="Helvetica" w:cstheme="majorBidi"/>
      <w:sz w:val="16"/>
      <w:szCs w:val="16"/>
      <w:lang w:bidi="en-US"/>
    </w:rPr>
  </w:style>
  <w:style w:type="paragraph" w:styleId="Caption">
    <w:name w:val="caption"/>
    <w:basedOn w:val="Normal"/>
    <w:next w:val="Normal"/>
    <w:link w:val="CaptionChar"/>
    <w:uiPriority w:val="35"/>
    <w:unhideWhenUsed/>
    <w:qFormat/>
    <w:rsid w:val="0018748E"/>
    <w:pPr>
      <w:spacing w:line="360" w:lineRule="auto"/>
    </w:pPr>
    <w:rPr>
      <w:b/>
      <w:color w:val="696E34"/>
      <w:sz w:val="16"/>
      <w:szCs w:val="16"/>
    </w:rPr>
  </w:style>
  <w:style w:type="character" w:customStyle="1" w:styleId="KaderkopChar">
    <w:name w:val="Kaderkop Char"/>
    <w:basedOn w:val="KadertekstChar"/>
    <w:link w:val="Kaderkop"/>
    <w:rsid w:val="006C4214"/>
    <w:rPr>
      <w:rFonts w:ascii="Helvetica" w:eastAsiaTheme="majorEastAsia" w:hAnsi="Helvetica" w:cstheme="majorBidi"/>
      <w:b/>
      <w:color w:val="696E34"/>
      <w:sz w:val="18"/>
      <w:szCs w:val="18"/>
      <w:lang w:bidi="en-US"/>
    </w:rPr>
  </w:style>
  <w:style w:type="paragraph" w:styleId="Quote">
    <w:name w:val="Quote"/>
    <w:basedOn w:val="Normal"/>
    <w:next w:val="Normal"/>
    <w:link w:val="QuoteChar"/>
    <w:uiPriority w:val="29"/>
    <w:qFormat/>
    <w:rsid w:val="00250861"/>
    <w:rPr>
      <w:i/>
      <w:iCs/>
      <w:color w:val="000000" w:themeColor="text1"/>
    </w:rPr>
  </w:style>
  <w:style w:type="character" w:customStyle="1" w:styleId="QuoteChar">
    <w:name w:val="Quote Char"/>
    <w:basedOn w:val="DefaultParagraphFont"/>
    <w:link w:val="Quote"/>
    <w:uiPriority w:val="29"/>
    <w:rsid w:val="00250861"/>
    <w:rPr>
      <w:rFonts w:ascii="Helvetica" w:eastAsiaTheme="majorEastAsia" w:hAnsi="Helvetica" w:cstheme="majorBidi"/>
      <w:i/>
      <w:iCs/>
      <w:color w:val="000000" w:themeColor="text1"/>
      <w:sz w:val="18"/>
      <w:lang w:bidi="en-US"/>
    </w:rPr>
  </w:style>
  <w:style w:type="paragraph" w:styleId="BodyText2">
    <w:name w:val="Body Text 2"/>
    <w:basedOn w:val="Normal"/>
    <w:link w:val="BodyText2Char"/>
    <w:rsid w:val="00EA1002"/>
    <w:pPr>
      <w:spacing w:after="120" w:line="480" w:lineRule="auto"/>
      <w:ind w:right="403"/>
    </w:pPr>
    <w:rPr>
      <w:rFonts w:eastAsia="Times New Roman" w:cs="Helvetica"/>
      <w:szCs w:val="18"/>
      <w:lang w:bidi="ar-SA"/>
    </w:rPr>
  </w:style>
  <w:style w:type="character" w:customStyle="1" w:styleId="BodyText2Char">
    <w:name w:val="Body Text 2 Char"/>
    <w:basedOn w:val="DefaultParagraphFont"/>
    <w:link w:val="BodyText2"/>
    <w:rsid w:val="00EA1002"/>
    <w:rPr>
      <w:rFonts w:ascii="Helvetica" w:eastAsia="Times New Roman" w:hAnsi="Helvetica" w:cs="Helvetica"/>
      <w:sz w:val="18"/>
      <w:szCs w:val="18"/>
    </w:rPr>
  </w:style>
  <w:style w:type="paragraph" w:styleId="TableofFigures">
    <w:name w:val="table of figures"/>
    <w:basedOn w:val="Normal"/>
    <w:next w:val="Normal"/>
    <w:uiPriority w:val="99"/>
    <w:unhideWhenUsed/>
    <w:rsid w:val="005152EB"/>
    <w:rPr>
      <w:b/>
      <w:color w:val="696E34"/>
      <w:sz w:val="16"/>
    </w:rPr>
  </w:style>
  <w:style w:type="paragraph" w:customStyle="1" w:styleId="Tabeltekst2">
    <w:name w:val="Tabeltekst2"/>
    <w:basedOn w:val="Normal"/>
    <w:qFormat/>
    <w:rsid w:val="00BD0945"/>
    <w:pPr>
      <w:ind w:left="0"/>
    </w:pPr>
    <w:rPr>
      <w:bCs/>
      <w:sz w:val="16"/>
      <w:szCs w:val="16"/>
    </w:rPr>
  </w:style>
  <w:style w:type="table" w:styleId="LightShading-Accent3">
    <w:name w:val="Light Shading Accent 3"/>
    <w:basedOn w:val="TableNormal"/>
    <w:uiPriority w:val="60"/>
    <w:rsid w:val="00EC7DE5"/>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Voetnoot10">
    <w:name w:val="Voetnoot &lt;10"/>
    <w:basedOn w:val="FootnoteText"/>
    <w:link w:val="Voetnoot10Char"/>
    <w:qFormat/>
    <w:rsid w:val="007C2862"/>
    <w:pPr>
      <w:ind w:left="567" w:hanging="113"/>
    </w:pPr>
  </w:style>
  <w:style w:type="character" w:customStyle="1" w:styleId="Voetnoot10Char">
    <w:name w:val="Voetnoot &lt;10 Char"/>
    <w:basedOn w:val="FootnoteTextChar"/>
    <w:link w:val="Voetnoot10"/>
    <w:rsid w:val="007C2862"/>
    <w:rPr>
      <w:rFonts w:ascii="Helvetica" w:eastAsiaTheme="majorEastAsia" w:hAnsi="Helvetica" w:cstheme="majorBidi"/>
      <w:color w:val="696E34"/>
      <w:sz w:val="16"/>
      <w:szCs w:val="20"/>
      <w:lang w:bidi="en-US"/>
    </w:rPr>
  </w:style>
  <w:style w:type="paragraph" w:customStyle="1" w:styleId="Voetnoot100">
    <w:name w:val="Voetnoot &gt;10"/>
    <w:basedOn w:val="FootnoteText"/>
    <w:link w:val="Voetnoot10Char0"/>
    <w:qFormat/>
    <w:rsid w:val="007C2862"/>
    <w:pPr>
      <w:tabs>
        <w:tab w:val="left" w:pos="1560"/>
      </w:tabs>
      <w:ind w:left="584" w:hanging="170"/>
    </w:pPr>
  </w:style>
  <w:style w:type="character" w:customStyle="1" w:styleId="Voetnoot10Char0">
    <w:name w:val="Voetnoot &gt;10 Char"/>
    <w:basedOn w:val="FootnoteTextChar"/>
    <w:link w:val="Voetnoot100"/>
    <w:rsid w:val="007C2862"/>
    <w:rPr>
      <w:rFonts w:ascii="Helvetica" w:eastAsiaTheme="majorEastAsia" w:hAnsi="Helvetica" w:cstheme="majorBidi"/>
      <w:color w:val="696E34"/>
      <w:sz w:val="16"/>
      <w:szCs w:val="20"/>
      <w:lang w:bidi="en-US"/>
    </w:rPr>
  </w:style>
  <w:style w:type="character" w:styleId="PageNumber">
    <w:name w:val="page number"/>
    <w:basedOn w:val="DefaultParagraphFont"/>
    <w:rsid w:val="00BD4632"/>
  </w:style>
  <w:style w:type="paragraph" w:customStyle="1" w:styleId="Nummeringlijst">
    <w:name w:val="Nummeringlijst"/>
    <w:basedOn w:val="ListParagraph"/>
    <w:link w:val="NummeringlijstChar"/>
    <w:qFormat/>
    <w:rsid w:val="001A4542"/>
    <w:pPr>
      <w:numPr>
        <w:numId w:val="4"/>
      </w:numPr>
    </w:pPr>
  </w:style>
  <w:style w:type="character" w:customStyle="1" w:styleId="NummeringlijstChar">
    <w:name w:val="Nummeringlijst Char"/>
    <w:basedOn w:val="ListParagraphChar"/>
    <w:link w:val="Nummeringlijst"/>
    <w:rsid w:val="001A4542"/>
    <w:rPr>
      <w:rFonts w:ascii="Helvetica" w:eastAsiaTheme="majorEastAsia" w:hAnsi="Helvetica" w:cstheme="majorBidi"/>
      <w:sz w:val="18"/>
      <w:lang w:val="en-GB" w:bidi="en-US"/>
    </w:rPr>
  </w:style>
  <w:style w:type="paragraph" w:customStyle="1" w:styleId="Brieftekst">
    <w:name w:val="Brieftekst"/>
    <w:basedOn w:val="Normal"/>
    <w:link w:val="BrieftekstChar"/>
    <w:qFormat/>
    <w:rsid w:val="00355497"/>
    <w:pPr>
      <w:ind w:left="-227"/>
    </w:pPr>
  </w:style>
  <w:style w:type="character" w:customStyle="1" w:styleId="BrieftekstChar">
    <w:name w:val="Brieftekst Char"/>
    <w:basedOn w:val="DefaultParagraphFont"/>
    <w:link w:val="Brieftekst"/>
    <w:rsid w:val="00355497"/>
    <w:rPr>
      <w:rFonts w:ascii="Helvetica" w:eastAsiaTheme="majorEastAsia" w:hAnsi="Helvetica" w:cstheme="majorBidi"/>
      <w:sz w:val="18"/>
      <w:lang w:bidi="en-US"/>
    </w:rPr>
  </w:style>
  <w:style w:type="paragraph" w:customStyle="1" w:styleId="Onderschrift">
    <w:name w:val="Onderschrift"/>
    <w:basedOn w:val="Caption"/>
    <w:link w:val="OnderschriftChar"/>
    <w:qFormat/>
    <w:rsid w:val="001A10AF"/>
    <w:rPr>
      <w:b w:val="0"/>
    </w:rPr>
  </w:style>
  <w:style w:type="character" w:customStyle="1" w:styleId="CaptionChar">
    <w:name w:val="Caption Char"/>
    <w:basedOn w:val="DefaultParagraphFont"/>
    <w:link w:val="Caption"/>
    <w:uiPriority w:val="35"/>
    <w:rsid w:val="001A10AF"/>
    <w:rPr>
      <w:rFonts w:ascii="Helvetica" w:eastAsiaTheme="majorEastAsia" w:hAnsi="Helvetica" w:cstheme="majorBidi"/>
      <w:b/>
      <w:color w:val="696E34"/>
      <w:sz w:val="16"/>
      <w:szCs w:val="16"/>
      <w:lang w:bidi="en-US"/>
    </w:rPr>
  </w:style>
  <w:style w:type="character" w:customStyle="1" w:styleId="OnderschriftChar">
    <w:name w:val="Onderschrift Char"/>
    <w:basedOn w:val="CaptionChar"/>
    <w:link w:val="Onderschrift"/>
    <w:rsid w:val="001A10AF"/>
    <w:rPr>
      <w:rFonts w:ascii="Helvetica" w:eastAsiaTheme="majorEastAsia" w:hAnsi="Helvetica" w:cstheme="majorBidi"/>
      <w:b w:val="0"/>
      <w:color w:val="696E34"/>
      <w:sz w:val="16"/>
      <w:szCs w:val="16"/>
      <w:lang w:bidi="en-US"/>
    </w:rPr>
  </w:style>
  <w:style w:type="paragraph" w:styleId="CommentText">
    <w:name w:val="annotation text"/>
    <w:basedOn w:val="Normal"/>
    <w:link w:val="CommentTextChar"/>
    <w:uiPriority w:val="99"/>
    <w:semiHidden/>
    <w:unhideWhenUsed/>
    <w:rsid w:val="00965750"/>
    <w:pPr>
      <w:spacing w:line="240" w:lineRule="auto"/>
    </w:pPr>
    <w:rPr>
      <w:sz w:val="20"/>
      <w:szCs w:val="20"/>
    </w:rPr>
  </w:style>
  <w:style w:type="character" w:customStyle="1" w:styleId="CommentTextChar">
    <w:name w:val="Comment Text Char"/>
    <w:basedOn w:val="DefaultParagraphFont"/>
    <w:link w:val="CommentText"/>
    <w:uiPriority w:val="99"/>
    <w:semiHidden/>
    <w:rsid w:val="00965750"/>
    <w:rPr>
      <w:rFonts w:ascii="Helvetica" w:hAnsi="Helvetica" w:cstheme="majorBidi"/>
      <w:sz w:val="20"/>
      <w:szCs w:val="20"/>
      <w:lang w:val="en-GB" w:bidi="en-US"/>
    </w:rPr>
  </w:style>
  <w:style w:type="character" w:styleId="CommentReference">
    <w:name w:val="annotation reference"/>
    <w:basedOn w:val="DefaultParagraphFont"/>
    <w:uiPriority w:val="99"/>
    <w:semiHidden/>
    <w:unhideWhenUsed/>
    <w:rsid w:val="00965750"/>
    <w:rPr>
      <w:sz w:val="16"/>
      <w:szCs w:val="16"/>
    </w:rPr>
  </w:style>
  <w:style w:type="paragraph" w:styleId="NormalWeb">
    <w:name w:val="Normal (Web)"/>
    <w:basedOn w:val="Normal"/>
    <w:uiPriority w:val="99"/>
    <w:semiHidden/>
    <w:unhideWhenUsed/>
    <w:rsid w:val="00965750"/>
    <w:pPr>
      <w:spacing w:before="100" w:beforeAutospacing="1" w:after="100" w:afterAutospacing="1" w:line="240" w:lineRule="auto"/>
      <w:ind w:left="0"/>
    </w:pPr>
    <w:rPr>
      <w:rFonts w:ascii="Times New Roman" w:eastAsia="Times New Roman" w:hAnsi="Times New Roman" w:cs="Times New Roman"/>
      <w:sz w:val="24"/>
      <w:szCs w:val="24"/>
      <w:lang w:eastAsia="ko-KR" w:bidi="ar-SA"/>
    </w:rPr>
  </w:style>
  <w:style w:type="paragraph" w:styleId="CommentSubject">
    <w:name w:val="annotation subject"/>
    <w:basedOn w:val="CommentText"/>
    <w:next w:val="CommentText"/>
    <w:link w:val="CommentSubjectChar"/>
    <w:uiPriority w:val="99"/>
    <w:semiHidden/>
    <w:unhideWhenUsed/>
    <w:rsid w:val="00965750"/>
    <w:rPr>
      <w:b/>
      <w:bCs/>
    </w:rPr>
  </w:style>
  <w:style w:type="character" w:customStyle="1" w:styleId="CommentSubjectChar">
    <w:name w:val="Comment Subject Char"/>
    <w:basedOn w:val="CommentTextChar"/>
    <w:link w:val="CommentSubject"/>
    <w:uiPriority w:val="99"/>
    <w:semiHidden/>
    <w:rsid w:val="00965750"/>
    <w:rPr>
      <w:rFonts w:ascii="Helvetica" w:hAnsi="Helvetica" w:cstheme="majorBidi"/>
      <w:b/>
      <w:bCs/>
      <w:sz w:val="20"/>
      <w:szCs w:val="20"/>
      <w:lang w:val="en-GB" w:bidi="en-US"/>
    </w:rPr>
  </w:style>
  <w:style w:type="paragraph" w:styleId="Revision">
    <w:name w:val="Revision"/>
    <w:hidden/>
    <w:uiPriority w:val="99"/>
    <w:semiHidden/>
    <w:rsid w:val="00965750"/>
    <w:pPr>
      <w:spacing w:after="0" w:line="240" w:lineRule="auto"/>
    </w:pPr>
    <w:rPr>
      <w:rFonts w:ascii="Helvetica" w:hAnsi="Helvetica" w:cstheme="majorBidi"/>
      <w:sz w:val="18"/>
      <w:lang w:val="en-GB" w:bidi="en-US"/>
    </w:rPr>
  </w:style>
  <w:style w:type="character" w:customStyle="1" w:styleId="st">
    <w:name w:val="st"/>
    <w:basedOn w:val="DefaultParagraphFont"/>
    <w:rsid w:val="00965750"/>
  </w:style>
  <w:style w:type="character" w:styleId="Emphasis">
    <w:name w:val="Emphasis"/>
    <w:basedOn w:val="DefaultParagraphFont"/>
    <w:uiPriority w:val="20"/>
    <w:qFormat/>
    <w:rsid w:val="00965750"/>
    <w:rPr>
      <w:i/>
      <w:iCs/>
    </w:rPr>
  </w:style>
  <w:style w:type="character" w:styleId="FollowedHyperlink">
    <w:name w:val="FollowedHyperlink"/>
    <w:basedOn w:val="DefaultParagraphFont"/>
    <w:uiPriority w:val="99"/>
    <w:semiHidden/>
    <w:unhideWhenUsed/>
    <w:rsid w:val="0040159C"/>
    <w:rPr>
      <w:color w:val="800080" w:themeColor="followedHyperlink"/>
      <w:u w:val="single"/>
    </w:rPr>
  </w:style>
  <w:style w:type="character" w:styleId="Mention">
    <w:name w:val="Mention"/>
    <w:basedOn w:val="DefaultParagraphFont"/>
    <w:uiPriority w:val="99"/>
    <w:semiHidden/>
    <w:unhideWhenUsed/>
    <w:rsid w:val="002B01D3"/>
    <w:rPr>
      <w:color w:val="2B579A"/>
      <w:shd w:val="clear" w:color="auto" w:fill="E6E6E6"/>
    </w:rPr>
  </w:style>
  <w:style w:type="paragraph" w:styleId="EndnoteText">
    <w:name w:val="endnote text"/>
    <w:basedOn w:val="Normal"/>
    <w:link w:val="EndnoteTextChar"/>
    <w:uiPriority w:val="99"/>
    <w:semiHidden/>
    <w:unhideWhenUsed/>
    <w:rsid w:val="00862277"/>
    <w:pPr>
      <w:spacing w:line="240" w:lineRule="auto"/>
    </w:pPr>
    <w:rPr>
      <w:sz w:val="20"/>
      <w:szCs w:val="20"/>
    </w:rPr>
  </w:style>
  <w:style w:type="character" w:customStyle="1" w:styleId="EndnoteTextChar">
    <w:name w:val="Endnote Text Char"/>
    <w:basedOn w:val="DefaultParagraphFont"/>
    <w:link w:val="EndnoteText"/>
    <w:uiPriority w:val="99"/>
    <w:semiHidden/>
    <w:rsid w:val="00862277"/>
    <w:rPr>
      <w:rFonts w:ascii="Helvetica" w:hAnsi="Helvetica" w:cstheme="majorBidi"/>
      <w:sz w:val="20"/>
      <w:szCs w:val="20"/>
      <w:lang w:val="en-GB" w:bidi="en-US"/>
    </w:rPr>
  </w:style>
  <w:style w:type="character" w:styleId="EndnoteReference">
    <w:name w:val="endnote reference"/>
    <w:basedOn w:val="DefaultParagraphFont"/>
    <w:uiPriority w:val="99"/>
    <w:semiHidden/>
    <w:unhideWhenUsed/>
    <w:rsid w:val="00862277"/>
    <w:rPr>
      <w:vertAlign w:val="superscript"/>
    </w:rPr>
  </w:style>
  <w:style w:type="paragraph" w:styleId="Bibliography">
    <w:name w:val="Bibliography"/>
    <w:basedOn w:val="Normal"/>
    <w:next w:val="Normal"/>
    <w:uiPriority w:val="37"/>
    <w:unhideWhenUsed/>
    <w:rsid w:val="00B318F5"/>
  </w:style>
  <w:style w:type="character" w:styleId="Strong">
    <w:name w:val="Strong"/>
    <w:basedOn w:val="DefaultParagraphFont"/>
    <w:uiPriority w:val="22"/>
    <w:qFormat/>
    <w:rsid w:val="00BB00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72170">
      <w:bodyDiv w:val="1"/>
      <w:marLeft w:val="0"/>
      <w:marRight w:val="0"/>
      <w:marTop w:val="0"/>
      <w:marBottom w:val="0"/>
      <w:divBdr>
        <w:top w:val="none" w:sz="0" w:space="0" w:color="auto"/>
        <w:left w:val="none" w:sz="0" w:space="0" w:color="auto"/>
        <w:bottom w:val="none" w:sz="0" w:space="0" w:color="auto"/>
        <w:right w:val="none" w:sz="0" w:space="0" w:color="auto"/>
      </w:divBdr>
    </w:div>
    <w:div w:id="51538203">
      <w:bodyDiv w:val="1"/>
      <w:marLeft w:val="0"/>
      <w:marRight w:val="0"/>
      <w:marTop w:val="0"/>
      <w:marBottom w:val="0"/>
      <w:divBdr>
        <w:top w:val="none" w:sz="0" w:space="0" w:color="auto"/>
        <w:left w:val="none" w:sz="0" w:space="0" w:color="auto"/>
        <w:bottom w:val="none" w:sz="0" w:space="0" w:color="auto"/>
        <w:right w:val="none" w:sz="0" w:space="0" w:color="auto"/>
      </w:divBdr>
    </w:div>
    <w:div w:id="77488767">
      <w:bodyDiv w:val="1"/>
      <w:marLeft w:val="0"/>
      <w:marRight w:val="0"/>
      <w:marTop w:val="0"/>
      <w:marBottom w:val="0"/>
      <w:divBdr>
        <w:top w:val="none" w:sz="0" w:space="0" w:color="auto"/>
        <w:left w:val="none" w:sz="0" w:space="0" w:color="auto"/>
        <w:bottom w:val="none" w:sz="0" w:space="0" w:color="auto"/>
        <w:right w:val="none" w:sz="0" w:space="0" w:color="auto"/>
      </w:divBdr>
    </w:div>
    <w:div w:id="100803498">
      <w:bodyDiv w:val="1"/>
      <w:marLeft w:val="0"/>
      <w:marRight w:val="0"/>
      <w:marTop w:val="0"/>
      <w:marBottom w:val="0"/>
      <w:divBdr>
        <w:top w:val="none" w:sz="0" w:space="0" w:color="auto"/>
        <w:left w:val="none" w:sz="0" w:space="0" w:color="auto"/>
        <w:bottom w:val="none" w:sz="0" w:space="0" w:color="auto"/>
        <w:right w:val="none" w:sz="0" w:space="0" w:color="auto"/>
      </w:divBdr>
    </w:div>
    <w:div w:id="115566969">
      <w:bodyDiv w:val="1"/>
      <w:marLeft w:val="0"/>
      <w:marRight w:val="0"/>
      <w:marTop w:val="0"/>
      <w:marBottom w:val="0"/>
      <w:divBdr>
        <w:top w:val="none" w:sz="0" w:space="0" w:color="auto"/>
        <w:left w:val="none" w:sz="0" w:space="0" w:color="auto"/>
        <w:bottom w:val="none" w:sz="0" w:space="0" w:color="auto"/>
        <w:right w:val="none" w:sz="0" w:space="0" w:color="auto"/>
      </w:divBdr>
    </w:div>
    <w:div w:id="119812099">
      <w:bodyDiv w:val="1"/>
      <w:marLeft w:val="0"/>
      <w:marRight w:val="0"/>
      <w:marTop w:val="0"/>
      <w:marBottom w:val="0"/>
      <w:divBdr>
        <w:top w:val="none" w:sz="0" w:space="0" w:color="auto"/>
        <w:left w:val="none" w:sz="0" w:space="0" w:color="auto"/>
        <w:bottom w:val="none" w:sz="0" w:space="0" w:color="auto"/>
        <w:right w:val="none" w:sz="0" w:space="0" w:color="auto"/>
      </w:divBdr>
    </w:div>
    <w:div w:id="145319476">
      <w:bodyDiv w:val="1"/>
      <w:marLeft w:val="0"/>
      <w:marRight w:val="0"/>
      <w:marTop w:val="0"/>
      <w:marBottom w:val="0"/>
      <w:divBdr>
        <w:top w:val="none" w:sz="0" w:space="0" w:color="auto"/>
        <w:left w:val="none" w:sz="0" w:space="0" w:color="auto"/>
        <w:bottom w:val="none" w:sz="0" w:space="0" w:color="auto"/>
        <w:right w:val="none" w:sz="0" w:space="0" w:color="auto"/>
      </w:divBdr>
    </w:div>
    <w:div w:id="147527059">
      <w:bodyDiv w:val="1"/>
      <w:marLeft w:val="0"/>
      <w:marRight w:val="0"/>
      <w:marTop w:val="0"/>
      <w:marBottom w:val="0"/>
      <w:divBdr>
        <w:top w:val="none" w:sz="0" w:space="0" w:color="auto"/>
        <w:left w:val="none" w:sz="0" w:space="0" w:color="auto"/>
        <w:bottom w:val="none" w:sz="0" w:space="0" w:color="auto"/>
        <w:right w:val="none" w:sz="0" w:space="0" w:color="auto"/>
      </w:divBdr>
    </w:div>
    <w:div w:id="155345432">
      <w:bodyDiv w:val="1"/>
      <w:marLeft w:val="0"/>
      <w:marRight w:val="0"/>
      <w:marTop w:val="0"/>
      <w:marBottom w:val="0"/>
      <w:divBdr>
        <w:top w:val="none" w:sz="0" w:space="0" w:color="auto"/>
        <w:left w:val="none" w:sz="0" w:space="0" w:color="auto"/>
        <w:bottom w:val="none" w:sz="0" w:space="0" w:color="auto"/>
        <w:right w:val="none" w:sz="0" w:space="0" w:color="auto"/>
      </w:divBdr>
    </w:div>
    <w:div w:id="230626444">
      <w:bodyDiv w:val="1"/>
      <w:marLeft w:val="0"/>
      <w:marRight w:val="0"/>
      <w:marTop w:val="0"/>
      <w:marBottom w:val="0"/>
      <w:divBdr>
        <w:top w:val="none" w:sz="0" w:space="0" w:color="auto"/>
        <w:left w:val="none" w:sz="0" w:space="0" w:color="auto"/>
        <w:bottom w:val="none" w:sz="0" w:space="0" w:color="auto"/>
        <w:right w:val="none" w:sz="0" w:space="0" w:color="auto"/>
      </w:divBdr>
    </w:div>
    <w:div w:id="270816765">
      <w:bodyDiv w:val="1"/>
      <w:marLeft w:val="0"/>
      <w:marRight w:val="0"/>
      <w:marTop w:val="0"/>
      <w:marBottom w:val="0"/>
      <w:divBdr>
        <w:top w:val="none" w:sz="0" w:space="0" w:color="auto"/>
        <w:left w:val="none" w:sz="0" w:space="0" w:color="auto"/>
        <w:bottom w:val="none" w:sz="0" w:space="0" w:color="auto"/>
        <w:right w:val="none" w:sz="0" w:space="0" w:color="auto"/>
      </w:divBdr>
    </w:div>
    <w:div w:id="281039171">
      <w:bodyDiv w:val="1"/>
      <w:marLeft w:val="0"/>
      <w:marRight w:val="0"/>
      <w:marTop w:val="0"/>
      <w:marBottom w:val="0"/>
      <w:divBdr>
        <w:top w:val="none" w:sz="0" w:space="0" w:color="auto"/>
        <w:left w:val="none" w:sz="0" w:space="0" w:color="auto"/>
        <w:bottom w:val="none" w:sz="0" w:space="0" w:color="auto"/>
        <w:right w:val="none" w:sz="0" w:space="0" w:color="auto"/>
      </w:divBdr>
    </w:div>
    <w:div w:id="294218900">
      <w:bodyDiv w:val="1"/>
      <w:marLeft w:val="0"/>
      <w:marRight w:val="0"/>
      <w:marTop w:val="0"/>
      <w:marBottom w:val="0"/>
      <w:divBdr>
        <w:top w:val="none" w:sz="0" w:space="0" w:color="auto"/>
        <w:left w:val="none" w:sz="0" w:space="0" w:color="auto"/>
        <w:bottom w:val="none" w:sz="0" w:space="0" w:color="auto"/>
        <w:right w:val="none" w:sz="0" w:space="0" w:color="auto"/>
      </w:divBdr>
    </w:div>
    <w:div w:id="303781941">
      <w:bodyDiv w:val="1"/>
      <w:marLeft w:val="0"/>
      <w:marRight w:val="0"/>
      <w:marTop w:val="0"/>
      <w:marBottom w:val="0"/>
      <w:divBdr>
        <w:top w:val="none" w:sz="0" w:space="0" w:color="auto"/>
        <w:left w:val="none" w:sz="0" w:space="0" w:color="auto"/>
        <w:bottom w:val="none" w:sz="0" w:space="0" w:color="auto"/>
        <w:right w:val="none" w:sz="0" w:space="0" w:color="auto"/>
      </w:divBdr>
    </w:div>
    <w:div w:id="337655452">
      <w:bodyDiv w:val="1"/>
      <w:marLeft w:val="0"/>
      <w:marRight w:val="0"/>
      <w:marTop w:val="0"/>
      <w:marBottom w:val="0"/>
      <w:divBdr>
        <w:top w:val="none" w:sz="0" w:space="0" w:color="auto"/>
        <w:left w:val="none" w:sz="0" w:space="0" w:color="auto"/>
        <w:bottom w:val="none" w:sz="0" w:space="0" w:color="auto"/>
        <w:right w:val="none" w:sz="0" w:space="0" w:color="auto"/>
      </w:divBdr>
    </w:div>
    <w:div w:id="364061106">
      <w:bodyDiv w:val="1"/>
      <w:marLeft w:val="0"/>
      <w:marRight w:val="0"/>
      <w:marTop w:val="0"/>
      <w:marBottom w:val="0"/>
      <w:divBdr>
        <w:top w:val="none" w:sz="0" w:space="0" w:color="auto"/>
        <w:left w:val="none" w:sz="0" w:space="0" w:color="auto"/>
        <w:bottom w:val="none" w:sz="0" w:space="0" w:color="auto"/>
        <w:right w:val="none" w:sz="0" w:space="0" w:color="auto"/>
      </w:divBdr>
    </w:div>
    <w:div w:id="436216808">
      <w:bodyDiv w:val="1"/>
      <w:marLeft w:val="0"/>
      <w:marRight w:val="0"/>
      <w:marTop w:val="0"/>
      <w:marBottom w:val="0"/>
      <w:divBdr>
        <w:top w:val="none" w:sz="0" w:space="0" w:color="auto"/>
        <w:left w:val="none" w:sz="0" w:space="0" w:color="auto"/>
        <w:bottom w:val="none" w:sz="0" w:space="0" w:color="auto"/>
        <w:right w:val="none" w:sz="0" w:space="0" w:color="auto"/>
      </w:divBdr>
    </w:div>
    <w:div w:id="443426422">
      <w:bodyDiv w:val="1"/>
      <w:marLeft w:val="0"/>
      <w:marRight w:val="0"/>
      <w:marTop w:val="0"/>
      <w:marBottom w:val="0"/>
      <w:divBdr>
        <w:top w:val="none" w:sz="0" w:space="0" w:color="auto"/>
        <w:left w:val="none" w:sz="0" w:space="0" w:color="auto"/>
        <w:bottom w:val="none" w:sz="0" w:space="0" w:color="auto"/>
        <w:right w:val="none" w:sz="0" w:space="0" w:color="auto"/>
      </w:divBdr>
    </w:div>
    <w:div w:id="499546562">
      <w:bodyDiv w:val="1"/>
      <w:marLeft w:val="0"/>
      <w:marRight w:val="0"/>
      <w:marTop w:val="0"/>
      <w:marBottom w:val="0"/>
      <w:divBdr>
        <w:top w:val="none" w:sz="0" w:space="0" w:color="auto"/>
        <w:left w:val="none" w:sz="0" w:space="0" w:color="auto"/>
        <w:bottom w:val="none" w:sz="0" w:space="0" w:color="auto"/>
        <w:right w:val="none" w:sz="0" w:space="0" w:color="auto"/>
      </w:divBdr>
    </w:div>
    <w:div w:id="554701727">
      <w:bodyDiv w:val="1"/>
      <w:marLeft w:val="0"/>
      <w:marRight w:val="0"/>
      <w:marTop w:val="0"/>
      <w:marBottom w:val="0"/>
      <w:divBdr>
        <w:top w:val="none" w:sz="0" w:space="0" w:color="auto"/>
        <w:left w:val="none" w:sz="0" w:space="0" w:color="auto"/>
        <w:bottom w:val="none" w:sz="0" w:space="0" w:color="auto"/>
        <w:right w:val="none" w:sz="0" w:space="0" w:color="auto"/>
      </w:divBdr>
    </w:div>
    <w:div w:id="561334378">
      <w:bodyDiv w:val="1"/>
      <w:marLeft w:val="0"/>
      <w:marRight w:val="0"/>
      <w:marTop w:val="0"/>
      <w:marBottom w:val="0"/>
      <w:divBdr>
        <w:top w:val="none" w:sz="0" w:space="0" w:color="auto"/>
        <w:left w:val="none" w:sz="0" w:space="0" w:color="auto"/>
        <w:bottom w:val="none" w:sz="0" w:space="0" w:color="auto"/>
        <w:right w:val="none" w:sz="0" w:space="0" w:color="auto"/>
      </w:divBdr>
    </w:div>
    <w:div w:id="590310016">
      <w:bodyDiv w:val="1"/>
      <w:marLeft w:val="0"/>
      <w:marRight w:val="0"/>
      <w:marTop w:val="0"/>
      <w:marBottom w:val="0"/>
      <w:divBdr>
        <w:top w:val="none" w:sz="0" w:space="0" w:color="auto"/>
        <w:left w:val="none" w:sz="0" w:space="0" w:color="auto"/>
        <w:bottom w:val="none" w:sz="0" w:space="0" w:color="auto"/>
        <w:right w:val="none" w:sz="0" w:space="0" w:color="auto"/>
      </w:divBdr>
    </w:div>
    <w:div w:id="599534492">
      <w:bodyDiv w:val="1"/>
      <w:marLeft w:val="0"/>
      <w:marRight w:val="0"/>
      <w:marTop w:val="0"/>
      <w:marBottom w:val="0"/>
      <w:divBdr>
        <w:top w:val="none" w:sz="0" w:space="0" w:color="auto"/>
        <w:left w:val="none" w:sz="0" w:space="0" w:color="auto"/>
        <w:bottom w:val="none" w:sz="0" w:space="0" w:color="auto"/>
        <w:right w:val="none" w:sz="0" w:space="0" w:color="auto"/>
      </w:divBdr>
    </w:div>
    <w:div w:id="661663562">
      <w:bodyDiv w:val="1"/>
      <w:marLeft w:val="0"/>
      <w:marRight w:val="0"/>
      <w:marTop w:val="0"/>
      <w:marBottom w:val="0"/>
      <w:divBdr>
        <w:top w:val="none" w:sz="0" w:space="0" w:color="auto"/>
        <w:left w:val="none" w:sz="0" w:space="0" w:color="auto"/>
        <w:bottom w:val="none" w:sz="0" w:space="0" w:color="auto"/>
        <w:right w:val="none" w:sz="0" w:space="0" w:color="auto"/>
      </w:divBdr>
    </w:div>
    <w:div w:id="674303595">
      <w:bodyDiv w:val="1"/>
      <w:marLeft w:val="0"/>
      <w:marRight w:val="0"/>
      <w:marTop w:val="0"/>
      <w:marBottom w:val="0"/>
      <w:divBdr>
        <w:top w:val="none" w:sz="0" w:space="0" w:color="auto"/>
        <w:left w:val="none" w:sz="0" w:space="0" w:color="auto"/>
        <w:bottom w:val="none" w:sz="0" w:space="0" w:color="auto"/>
        <w:right w:val="none" w:sz="0" w:space="0" w:color="auto"/>
      </w:divBdr>
    </w:div>
    <w:div w:id="684017216">
      <w:bodyDiv w:val="1"/>
      <w:marLeft w:val="0"/>
      <w:marRight w:val="0"/>
      <w:marTop w:val="0"/>
      <w:marBottom w:val="0"/>
      <w:divBdr>
        <w:top w:val="none" w:sz="0" w:space="0" w:color="auto"/>
        <w:left w:val="none" w:sz="0" w:space="0" w:color="auto"/>
        <w:bottom w:val="none" w:sz="0" w:space="0" w:color="auto"/>
        <w:right w:val="none" w:sz="0" w:space="0" w:color="auto"/>
      </w:divBdr>
    </w:div>
    <w:div w:id="730275051">
      <w:bodyDiv w:val="1"/>
      <w:marLeft w:val="0"/>
      <w:marRight w:val="0"/>
      <w:marTop w:val="0"/>
      <w:marBottom w:val="0"/>
      <w:divBdr>
        <w:top w:val="none" w:sz="0" w:space="0" w:color="auto"/>
        <w:left w:val="none" w:sz="0" w:space="0" w:color="auto"/>
        <w:bottom w:val="none" w:sz="0" w:space="0" w:color="auto"/>
        <w:right w:val="none" w:sz="0" w:space="0" w:color="auto"/>
      </w:divBdr>
    </w:div>
    <w:div w:id="732655801">
      <w:bodyDiv w:val="1"/>
      <w:marLeft w:val="0"/>
      <w:marRight w:val="0"/>
      <w:marTop w:val="0"/>
      <w:marBottom w:val="0"/>
      <w:divBdr>
        <w:top w:val="none" w:sz="0" w:space="0" w:color="auto"/>
        <w:left w:val="none" w:sz="0" w:space="0" w:color="auto"/>
        <w:bottom w:val="none" w:sz="0" w:space="0" w:color="auto"/>
        <w:right w:val="none" w:sz="0" w:space="0" w:color="auto"/>
      </w:divBdr>
    </w:div>
    <w:div w:id="778334446">
      <w:bodyDiv w:val="1"/>
      <w:marLeft w:val="0"/>
      <w:marRight w:val="0"/>
      <w:marTop w:val="0"/>
      <w:marBottom w:val="0"/>
      <w:divBdr>
        <w:top w:val="none" w:sz="0" w:space="0" w:color="auto"/>
        <w:left w:val="none" w:sz="0" w:space="0" w:color="auto"/>
        <w:bottom w:val="none" w:sz="0" w:space="0" w:color="auto"/>
        <w:right w:val="none" w:sz="0" w:space="0" w:color="auto"/>
      </w:divBdr>
    </w:div>
    <w:div w:id="809858024">
      <w:bodyDiv w:val="1"/>
      <w:marLeft w:val="0"/>
      <w:marRight w:val="0"/>
      <w:marTop w:val="0"/>
      <w:marBottom w:val="0"/>
      <w:divBdr>
        <w:top w:val="none" w:sz="0" w:space="0" w:color="auto"/>
        <w:left w:val="none" w:sz="0" w:space="0" w:color="auto"/>
        <w:bottom w:val="none" w:sz="0" w:space="0" w:color="auto"/>
        <w:right w:val="none" w:sz="0" w:space="0" w:color="auto"/>
      </w:divBdr>
    </w:div>
    <w:div w:id="820772944">
      <w:bodyDiv w:val="1"/>
      <w:marLeft w:val="0"/>
      <w:marRight w:val="0"/>
      <w:marTop w:val="0"/>
      <w:marBottom w:val="0"/>
      <w:divBdr>
        <w:top w:val="none" w:sz="0" w:space="0" w:color="auto"/>
        <w:left w:val="none" w:sz="0" w:space="0" w:color="auto"/>
        <w:bottom w:val="none" w:sz="0" w:space="0" w:color="auto"/>
        <w:right w:val="none" w:sz="0" w:space="0" w:color="auto"/>
      </w:divBdr>
    </w:div>
    <w:div w:id="827551630">
      <w:bodyDiv w:val="1"/>
      <w:marLeft w:val="0"/>
      <w:marRight w:val="0"/>
      <w:marTop w:val="0"/>
      <w:marBottom w:val="0"/>
      <w:divBdr>
        <w:top w:val="none" w:sz="0" w:space="0" w:color="auto"/>
        <w:left w:val="none" w:sz="0" w:space="0" w:color="auto"/>
        <w:bottom w:val="none" w:sz="0" w:space="0" w:color="auto"/>
        <w:right w:val="none" w:sz="0" w:space="0" w:color="auto"/>
      </w:divBdr>
    </w:div>
    <w:div w:id="836844548">
      <w:bodyDiv w:val="1"/>
      <w:marLeft w:val="0"/>
      <w:marRight w:val="0"/>
      <w:marTop w:val="0"/>
      <w:marBottom w:val="0"/>
      <w:divBdr>
        <w:top w:val="none" w:sz="0" w:space="0" w:color="auto"/>
        <w:left w:val="none" w:sz="0" w:space="0" w:color="auto"/>
        <w:bottom w:val="none" w:sz="0" w:space="0" w:color="auto"/>
        <w:right w:val="none" w:sz="0" w:space="0" w:color="auto"/>
      </w:divBdr>
    </w:div>
    <w:div w:id="878249647">
      <w:bodyDiv w:val="1"/>
      <w:marLeft w:val="0"/>
      <w:marRight w:val="0"/>
      <w:marTop w:val="0"/>
      <w:marBottom w:val="0"/>
      <w:divBdr>
        <w:top w:val="none" w:sz="0" w:space="0" w:color="auto"/>
        <w:left w:val="none" w:sz="0" w:space="0" w:color="auto"/>
        <w:bottom w:val="none" w:sz="0" w:space="0" w:color="auto"/>
        <w:right w:val="none" w:sz="0" w:space="0" w:color="auto"/>
      </w:divBdr>
    </w:div>
    <w:div w:id="895315591">
      <w:bodyDiv w:val="1"/>
      <w:marLeft w:val="0"/>
      <w:marRight w:val="0"/>
      <w:marTop w:val="0"/>
      <w:marBottom w:val="0"/>
      <w:divBdr>
        <w:top w:val="none" w:sz="0" w:space="0" w:color="auto"/>
        <w:left w:val="none" w:sz="0" w:space="0" w:color="auto"/>
        <w:bottom w:val="none" w:sz="0" w:space="0" w:color="auto"/>
        <w:right w:val="none" w:sz="0" w:space="0" w:color="auto"/>
      </w:divBdr>
    </w:div>
    <w:div w:id="906303310">
      <w:bodyDiv w:val="1"/>
      <w:marLeft w:val="0"/>
      <w:marRight w:val="0"/>
      <w:marTop w:val="0"/>
      <w:marBottom w:val="0"/>
      <w:divBdr>
        <w:top w:val="none" w:sz="0" w:space="0" w:color="auto"/>
        <w:left w:val="none" w:sz="0" w:space="0" w:color="auto"/>
        <w:bottom w:val="none" w:sz="0" w:space="0" w:color="auto"/>
        <w:right w:val="none" w:sz="0" w:space="0" w:color="auto"/>
      </w:divBdr>
    </w:div>
    <w:div w:id="915239372">
      <w:bodyDiv w:val="1"/>
      <w:marLeft w:val="0"/>
      <w:marRight w:val="0"/>
      <w:marTop w:val="0"/>
      <w:marBottom w:val="0"/>
      <w:divBdr>
        <w:top w:val="none" w:sz="0" w:space="0" w:color="auto"/>
        <w:left w:val="none" w:sz="0" w:space="0" w:color="auto"/>
        <w:bottom w:val="none" w:sz="0" w:space="0" w:color="auto"/>
        <w:right w:val="none" w:sz="0" w:space="0" w:color="auto"/>
      </w:divBdr>
    </w:div>
    <w:div w:id="947853301">
      <w:bodyDiv w:val="1"/>
      <w:marLeft w:val="0"/>
      <w:marRight w:val="0"/>
      <w:marTop w:val="0"/>
      <w:marBottom w:val="0"/>
      <w:divBdr>
        <w:top w:val="none" w:sz="0" w:space="0" w:color="auto"/>
        <w:left w:val="none" w:sz="0" w:space="0" w:color="auto"/>
        <w:bottom w:val="none" w:sz="0" w:space="0" w:color="auto"/>
        <w:right w:val="none" w:sz="0" w:space="0" w:color="auto"/>
      </w:divBdr>
    </w:div>
    <w:div w:id="1010640050">
      <w:bodyDiv w:val="1"/>
      <w:marLeft w:val="0"/>
      <w:marRight w:val="0"/>
      <w:marTop w:val="0"/>
      <w:marBottom w:val="0"/>
      <w:divBdr>
        <w:top w:val="none" w:sz="0" w:space="0" w:color="auto"/>
        <w:left w:val="none" w:sz="0" w:space="0" w:color="auto"/>
        <w:bottom w:val="none" w:sz="0" w:space="0" w:color="auto"/>
        <w:right w:val="none" w:sz="0" w:space="0" w:color="auto"/>
      </w:divBdr>
    </w:div>
    <w:div w:id="1050375172">
      <w:bodyDiv w:val="1"/>
      <w:marLeft w:val="0"/>
      <w:marRight w:val="0"/>
      <w:marTop w:val="0"/>
      <w:marBottom w:val="0"/>
      <w:divBdr>
        <w:top w:val="none" w:sz="0" w:space="0" w:color="auto"/>
        <w:left w:val="none" w:sz="0" w:space="0" w:color="auto"/>
        <w:bottom w:val="none" w:sz="0" w:space="0" w:color="auto"/>
        <w:right w:val="none" w:sz="0" w:space="0" w:color="auto"/>
      </w:divBdr>
    </w:div>
    <w:div w:id="1052072875">
      <w:bodyDiv w:val="1"/>
      <w:marLeft w:val="0"/>
      <w:marRight w:val="0"/>
      <w:marTop w:val="0"/>
      <w:marBottom w:val="0"/>
      <w:divBdr>
        <w:top w:val="none" w:sz="0" w:space="0" w:color="auto"/>
        <w:left w:val="none" w:sz="0" w:space="0" w:color="auto"/>
        <w:bottom w:val="none" w:sz="0" w:space="0" w:color="auto"/>
        <w:right w:val="none" w:sz="0" w:space="0" w:color="auto"/>
      </w:divBdr>
    </w:div>
    <w:div w:id="1166168152">
      <w:bodyDiv w:val="1"/>
      <w:marLeft w:val="0"/>
      <w:marRight w:val="0"/>
      <w:marTop w:val="0"/>
      <w:marBottom w:val="0"/>
      <w:divBdr>
        <w:top w:val="none" w:sz="0" w:space="0" w:color="auto"/>
        <w:left w:val="none" w:sz="0" w:space="0" w:color="auto"/>
        <w:bottom w:val="none" w:sz="0" w:space="0" w:color="auto"/>
        <w:right w:val="none" w:sz="0" w:space="0" w:color="auto"/>
      </w:divBdr>
    </w:div>
    <w:div w:id="1166626761">
      <w:bodyDiv w:val="1"/>
      <w:marLeft w:val="0"/>
      <w:marRight w:val="0"/>
      <w:marTop w:val="0"/>
      <w:marBottom w:val="0"/>
      <w:divBdr>
        <w:top w:val="none" w:sz="0" w:space="0" w:color="auto"/>
        <w:left w:val="none" w:sz="0" w:space="0" w:color="auto"/>
        <w:bottom w:val="none" w:sz="0" w:space="0" w:color="auto"/>
        <w:right w:val="none" w:sz="0" w:space="0" w:color="auto"/>
      </w:divBdr>
      <w:divsChild>
        <w:div w:id="47845994">
          <w:marLeft w:val="0"/>
          <w:marRight w:val="0"/>
          <w:marTop w:val="0"/>
          <w:marBottom w:val="0"/>
          <w:divBdr>
            <w:top w:val="none" w:sz="0" w:space="0" w:color="auto"/>
            <w:left w:val="none" w:sz="0" w:space="0" w:color="auto"/>
            <w:bottom w:val="none" w:sz="0" w:space="0" w:color="auto"/>
            <w:right w:val="none" w:sz="0" w:space="0" w:color="auto"/>
          </w:divBdr>
        </w:div>
        <w:div w:id="416824903">
          <w:marLeft w:val="0"/>
          <w:marRight w:val="0"/>
          <w:marTop w:val="0"/>
          <w:marBottom w:val="0"/>
          <w:divBdr>
            <w:top w:val="none" w:sz="0" w:space="0" w:color="auto"/>
            <w:left w:val="none" w:sz="0" w:space="0" w:color="auto"/>
            <w:bottom w:val="none" w:sz="0" w:space="0" w:color="auto"/>
            <w:right w:val="none" w:sz="0" w:space="0" w:color="auto"/>
          </w:divBdr>
        </w:div>
        <w:div w:id="473567898">
          <w:marLeft w:val="0"/>
          <w:marRight w:val="0"/>
          <w:marTop w:val="0"/>
          <w:marBottom w:val="0"/>
          <w:divBdr>
            <w:top w:val="none" w:sz="0" w:space="0" w:color="auto"/>
            <w:left w:val="none" w:sz="0" w:space="0" w:color="auto"/>
            <w:bottom w:val="none" w:sz="0" w:space="0" w:color="auto"/>
            <w:right w:val="none" w:sz="0" w:space="0" w:color="auto"/>
          </w:divBdr>
        </w:div>
        <w:div w:id="677119506">
          <w:marLeft w:val="0"/>
          <w:marRight w:val="0"/>
          <w:marTop w:val="0"/>
          <w:marBottom w:val="0"/>
          <w:divBdr>
            <w:top w:val="none" w:sz="0" w:space="0" w:color="auto"/>
            <w:left w:val="none" w:sz="0" w:space="0" w:color="auto"/>
            <w:bottom w:val="none" w:sz="0" w:space="0" w:color="auto"/>
            <w:right w:val="none" w:sz="0" w:space="0" w:color="auto"/>
          </w:divBdr>
        </w:div>
        <w:div w:id="899827964">
          <w:marLeft w:val="0"/>
          <w:marRight w:val="0"/>
          <w:marTop w:val="0"/>
          <w:marBottom w:val="0"/>
          <w:divBdr>
            <w:top w:val="none" w:sz="0" w:space="0" w:color="auto"/>
            <w:left w:val="none" w:sz="0" w:space="0" w:color="auto"/>
            <w:bottom w:val="none" w:sz="0" w:space="0" w:color="auto"/>
            <w:right w:val="none" w:sz="0" w:space="0" w:color="auto"/>
          </w:divBdr>
        </w:div>
        <w:div w:id="1341156439">
          <w:marLeft w:val="0"/>
          <w:marRight w:val="0"/>
          <w:marTop w:val="0"/>
          <w:marBottom w:val="0"/>
          <w:divBdr>
            <w:top w:val="none" w:sz="0" w:space="0" w:color="auto"/>
            <w:left w:val="none" w:sz="0" w:space="0" w:color="auto"/>
            <w:bottom w:val="none" w:sz="0" w:space="0" w:color="auto"/>
            <w:right w:val="none" w:sz="0" w:space="0" w:color="auto"/>
          </w:divBdr>
        </w:div>
        <w:div w:id="1507017133">
          <w:marLeft w:val="0"/>
          <w:marRight w:val="0"/>
          <w:marTop w:val="0"/>
          <w:marBottom w:val="0"/>
          <w:divBdr>
            <w:top w:val="none" w:sz="0" w:space="0" w:color="auto"/>
            <w:left w:val="none" w:sz="0" w:space="0" w:color="auto"/>
            <w:bottom w:val="none" w:sz="0" w:space="0" w:color="auto"/>
            <w:right w:val="none" w:sz="0" w:space="0" w:color="auto"/>
          </w:divBdr>
        </w:div>
        <w:div w:id="1533033482">
          <w:marLeft w:val="0"/>
          <w:marRight w:val="0"/>
          <w:marTop w:val="0"/>
          <w:marBottom w:val="0"/>
          <w:divBdr>
            <w:top w:val="none" w:sz="0" w:space="0" w:color="auto"/>
            <w:left w:val="none" w:sz="0" w:space="0" w:color="auto"/>
            <w:bottom w:val="none" w:sz="0" w:space="0" w:color="auto"/>
            <w:right w:val="none" w:sz="0" w:space="0" w:color="auto"/>
          </w:divBdr>
        </w:div>
        <w:div w:id="1891960727">
          <w:marLeft w:val="0"/>
          <w:marRight w:val="0"/>
          <w:marTop w:val="0"/>
          <w:marBottom w:val="0"/>
          <w:divBdr>
            <w:top w:val="none" w:sz="0" w:space="0" w:color="auto"/>
            <w:left w:val="none" w:sz="0" w:space="0" w:color="auto"/>
            <w:bottom w:val="none" w:sz="0" w:space="0" w:color="auto"/>
            <w:right w:val="none" w:sz="0" w:space="0" w:color="auto"/>
          </w:divBdr>
        </w:div>
        <w:div w:id="1941984126">
          <w:marLeft w:val="0"/>
          <w:marRight w:val="0"/>
          <w:marTop w:val="0"/>
          <w:marBottom w:val="0"/>
          <w:divBdr>
            <w:top w:val="none" w:sz="0" w:space="0" w:color="auto"/>
            <w:left w:val="none" w:sz="0" w:space="0" w:color="auto"/>
            <w:bottom w:val="none" w:sz="0" w:space="0" w:color="auto"/>
            <w:right w:val="none" w:sz="0" w:space="0" w:color="auto"/>
          </w:divBdr>
        </w:div>
        <w:div w:id="1985813900">
          <w:marLeft w:val="0"/>
          <w:marRight w:val="0"/>
          <w:marTop w:val="0"/>
          <w:marBottom w:val="0"/>
          <w:divBdr>
            <w:top w:val="none" w:sz="0" w:space="0" w:color="auto"/>
            <w:left w:val="none" w:sz="0" w:space="0" w:color="auto"/>
            <w:bottom w:val="none" w:sz="0" w:space="0" w:color="auto"/>
            <w:right w:val="none" w:sz="0" w:space="0" w:color="auto"/>
          </w:divBdr>
        </w:div>
        <w:div w:id="2113041955">
          <w:marLeft w:val="0"/>
          <w:marRight w:val="0"/>
          <w:marTop w:val="0"/>
          <w:marBottom w:val="0"/>
          <w:divBdr>
            <w:top w:val="none" w:sz="0" w:space="0" w:color="auto"/>
            <w:left w:val="none" w:sz="0" w:space="0" w:color="auto"/>
            <w:bottom w:val="none" w:sz="0" w:space="0" w:color="auto"/>
            <w:right w:val="none" w:sz="0" w:space="0" w:color="auto"/>
          </w:divBdr>
        </w:div>
      </w:divsChild>
    </w:div>
    <w:div w:id="1179999303">
      <w:bodyDiv w:val="1"/>
      <w:marLeft w:val="0"/>
      <w:marRight w:val="0"/>
      <w:marTop w:val="0"/>
      <w:marBottom w:val="0"/>
      <w:divBdr>
        <w:top w:val="none" w:sz="0" w:space="0" w:color="auto"/>
        <w:left w:val="none" w:sz="0" w:space="0" w:color="auto"/>
        <w:bottom w:val="none" w:sz="0" w:space="0" w:color="auto"/>
        <w:right w:val="none" w:sz="0" w:space="0" w:color="auto"/>
      </w:divBdr>
    </w:div>
    <w:div w:id="1181353186">
      <w:bodyDiv w:val="1"/>
      <w:marLeft w:val="0"/>
      <w:marRight w:val="0"/>
      <w:marTop w:val="0"/>
      <w:marBottom w:val="0"/>
      <w:divBdr>
        <w:top w:val="none" w:sz="0" w:space="0" w:color="auto"/>
        <w:left w:val="none" w:sz="0" w:space="0" w:color="auto"/>
        <w:bottom w:val="none" w:sz="0" w:space="0" w:color="auto"/>
        <w:right w:val="none" w:sz="0" w:space="0" w:color="auto"/>
      </w:divBdr>
    </w:div>
    <w:div w:id="1200895162">
      <w:bodyDiv w:val="1"/>
      <w:marLeft w:val="0"/>
      <w:marRight w:val="0"/>
      <w:marTop w:val="0"/>
      <w:marBottom w:val="0"/>
      <w:divBdr>
        <w:top w:val="none" w:sz="0" w:space="0" w:color="auto"/>
        <w:left w:val="none" w:sz="0" w:space="0" w:color="auto"/>
        <w:bottom w:val="none" w:sz="0" w:space="0" w:color="auto"/>
        <w:right w:val="none" w:sz="0" w:space="0" w:color="auto"/>
      </w:divBdr>
    </w:div>
    <w:div w:id="1211649402">
      <w:bodyDiv w:val="1"/>
      <w:marLeft w:val="0"/>
      <w:marRight w:val="0"/>
      <w:marTop w:val="0"/>
      <w:marBottom w:val="0"/>
      <w:divBdr>
        <w:top w:val="none" w:sz="0" w:space="0" w:color="auto"/>
        <w:left w:val="none" w:sz="0" w:space="0" w:color="auto"/>
        <w:bottom w:val="none" w:sz="0" w:space="0" w:color="auto"/>
        <w:right w:val="none" w:sz="0" w:space="0" w:color="auto"/>
      </w:divBdr>
    </w:div>
    <w:div w:id="1266038733">
      <w:bodyDiv w:val="1"/>
      <w:marLeft w:val="0"/>
      <w:marRight w:val="0"/>
      <w:marTop w:val="0"/>
      <w:marBottom w:val="0"/>
      <w:divBdr>
        <w:top w:val="none" w:sz="0" w:space="0" w:color="auto"/>
        <w:left w:val="none" w:sz="0" w:space="0" w:color="auto"/>
        <w:bottom w:val="none" w:sz="0" w:space="0" w:color="auto"/>
        <w:right w:val="none" w:sz="0" w:space="0" w:color="auto"/>
      </w:divBdr>
    </w:div>
    <w:div w:id="1289047086">
      <w:bodyDiv w:val="1"/>
      <w:marLeft w:val="0"/>
      <w:marRight w:val="0"/>
      <w:marTop w:val="0"/>
      <w:marBottom w:val="0"/>
      <w:divBdr>
        <w:top w:val="none" w:sz="0" w:space="0" w:color="auto"/>
        <w:left w:val="none" w:sz="0" w:space="0" w:color="auto"/>
        <w:bottom w:val="none" w:sz="0" w:space="0" w:color="auto"/>
        <w:right w:val="none" w:sz="0" w:space="0" w:color="auto"/>
      </w:divBdr>
    </w:div>
    <w:div w:id="1299260414">
      <w:bodyDiv w:val="1"/>
      <w:marLeft w:val="0"/>
      <w:marRight w:val="0"/>
      <w:marTop w:val="0"/>
      <w:marBottom w:val="0"/>
      <w:divBdr>
        <w:top w:val="none" w:sz="0" w:space="0" w:color="auto"/>
        <w:left w:val="none" w:sz="0" w:space="0" w:color="auto"/>
        <w:bottom w:val="none" w:sz="0" w:space="0" w:color="auto"/>
        <w:right w:val="none" w:sz="0" w:space="0" w:color="auto"/>
      </w:divBdr>
    </w:div>
    <w:div w:id="1312828262">
      <w:bodyDiv w:val="1"/>
      <w:marLeft w:val="0"/>
      <w:marRight w:val="0"/>
      <w:marTop w:val="0"/>
      <w:marBottom w:val="0"/>
      <w:divBdr>
        <w:top w:val="none" w:sz="0" w:space="0" w:color="auto"/>
        <w:left w:val="none" w:sz="0" w:space="0" w:color="auto"/>
        <w:bottom w:val="none" w:sz="0" w:space="0" w:color="auto"/>
        <w:right w:val="none" w:sz="0" w:space="0" w:color="auto"/>
      </w:divBdr>
    </w:div>
    <w:div w:id="1316489465">
      <w:bodyDiv w:val="1"/>
      <w:marLeft w:val="0"/>
      <w:marRight w:val="0"/>
      <w:marTop w:val="0"/>
      <w:marBottom w:val="0"/>
      <w:divBdr>
        <w:top w:val="none" w:sz="0" w:space="0" w:color="auto"/>
        <w:left w:val="none" w:sz="0" w:space="0" w:color="auto"/>
        <w:bottom w:val="none" w:sz="0" w:space="0" w:color="auto"/>
        <w:right w:val="none" w:sz="0" w:space="0" w:color="auto"/>
      </w:divBdr>
    </w:div>
    <w:div w:id="1316640157">
      <w:bodyDiv w:val="1"/>
      <w:marLeft w:val="0"/>
      <w:marRight w:val="0"/>
      <w:marTop w:val="0"/>
      <w:marBottom w:val="0"/>
      <w:divBdr>
        <w:top w:val="none" w:sz="0" w:space="0" w:color="auto"/>
        <w:left w:val="none" w:sz="0" w:space="0" w:color="auto"/>
        <w:bottom w:val="none" w:sz="0" w:space="0" w:color="auto"/>
        <w:right w:val="none" w:sz="0" w:space="0" w:color="auto"/>
      </w:divBdr>
    </w:div>
    <w:div w:id="1327590314">
      <w:bodyDiv w:val="1"/>
      <w:marLeft w:val="0"/>
      <w:marRight w:val="0"/>
      <w:marTop w:val="0"/>
      <w:marBottom w:val="0"/>
      <w:divBdr>
        <w:top w:val="none" w:sz="0" w:space="0" w:color="auto"/>
        <w:left w:val="none" w:sz="0" w:space="0" w:color="auto"/>
        <w:bottom w:val="none" w:sz="0" w:space="0" w:color="auto"/>
        <w:right w:val="none" w:sz="0" w:space="0" w:color="auto"/>
      </w:divBdr>
    </w:div>
    <w:div w:id="1334333799">
      <w:bodyDiv w:val="1"/>
      <w:marLeft w:val="0"/>
      <w:marRight w:val="0"/>
      <w:marTop w:val="0"/>
      <w:marBottom w:val="0"/>
      <w:divBdr>
        <w:top w:val="none" w:sz="0" w:space="0" w:color="auto"/>
        <w:left w:val="none" w:sz="0" w:space="0" w:color="auto"/>
        <w:bottom w:val="none" w:sz="0" w:space="0" w:color="auto"/>
        <w:right w:val="none" w:sz="0" w:space="0" w:color="auto"/>
      </w:divBdr>
    </w:div>
    <w:div w:id="1358308556">
      <w:bodyDiv w:val="1"/>
      <w:marLeft w:val="0"/>
      <w:marRight w:val="0"/>
      <w:marTop w:val="0"/>
      <w:marBottom w:val="0"/>
      <w:divBdr>
        <w:top w:val="none" w:sz="0" w:space="0" w:color="auto"/>
        <w:left w:val="none" w:sz="0" w:space="0" w:color="auto"/>
        <w:bottom w:val="none" w:sz="0" w:space="0" w:color="auto"/>
        <w:right w:val="none" w:sz="0" w:space="0" w:color="auto"/>
      </w:divBdr>
    </w:div>
    <w:div w:id="1375033391">
      <w:bodyDiv w:val="1"/>
      <w:marLeft w:val="0"/>
      <w:marRight w:val="0"/>
      <w:marTop w:val="0"/>
      <w:marBottom w:val="0"/>
      <w:divBdr>
        <w:top w:val="none" w:sz="0" w:space="0" w:color="auto"/>
        <w:left w:val="none" w:sz="0" w:space="0" w:color="auto"/>
        <w:bottom w:val="none" w:sz="0" w:space="0" w:color="auto"/>
        <w:right w:val="none" w:sz="0" w:space="0" w:color="auto"/>
      </w:divBdr>
    </w:div>
    <w:div w:id="1379815875">
      <w:bodyDiv w:val="1"/>
      <w:marLeft w:val="0"/>
      <w:marRight w:val="0"/>
      <w:marTop w:val="0"/>
      <w:marBottom w:val="0"/>
      <w:divBdr>
        <w:top w:val="none" w:sz="0" w:space="0" w:color="auto"/>
        <w:left w:val="none" w:sz="0" w:space="0" w:color="auto"/>
        <w:bottom w:val="none" w:sz="0" w:space="0" w:color="auto"/>
        <w:right w:val="none" w:sz="0" w:space="0" w:color="auto"/>
      </w:divBdr>
    </w:div>
    <w:div w:id="1421636554">
      <w:bodyDiv w:val="1"/>
      <w:marLeft w:val="0"/>
      <w:marRight w:val="0"/>
      <w:marTop w:val="0"/>
      <w:marBottom w:val="0"/>
      <w:divBdr>
        <w:top w:val="none" w:sz="0" w:space="0" w:color="auto"/>
        <w:left w:val="none" w:sz="0" w:space="0" w:color="auto"/>
        <w:bottom w:val="none" w:sz="0" w:space="0" w:color="auto"/>
        <w:right w:val="none" w:sz="0" w:space="0" w:color="auto"/>
      </w:divBdr>
    </w:div>
    <w:div w:id="1490563526">
      <w:bodyDiv w:val="1"/>
      <w:marLeft w:val="0"/>
      <w:marRight w:val="0"/>
      <w:marTop w:val="0"/>
      <w:marBottom w:val="0"/>
      <w:divBdr>
        <w:top w:val="none" w:sz="0" w:space="0" w:color="auto"/>
        <w:left w:val="none" w:sz="0" w:space="0" w:color="auto"/>
        <w:bottom w:val="none" w:sz="0" w:space="0" w:color="auto"/>
        <w:right w:val="none" w:sz="0" w:space="0" w:color="auto"/>
      </w:divBdr>
    </w:div>
    <w:div w:id="1523664047">
      <w:bodyDiv w:val="1"/>
      <w:marLeft w:val="0"/>
      <w:marRight w:val="0"/>
      <w:marTop w:val="0"/>
      <w:marBottom w:val="0"/>
      <w:divBdr>
        <w:top w:val="none" w:sz="0" w:space="0" w:color="auto"/>
        <w:left w:val="none" w:sz="0" w:space="0" w:color="auto"/>
        <w:bottom w:val="none" w:sz="0" w:space="0" w:color="auto"/>
        <w:right w:val="none" w:sz="0" w:space="0" w:color="auto"/>
      </w:divBdr>
    </w:div>
    <w:div w:id="1531335181">
      <w:bodyDiv w:val="1"/>
      <w:marLeft w:val="0"/>
      <w:marRight w:val="0"/>
      <w:marTop w:val="0"/>
      <w:marBottom w:val="0"/>
      <w:divBdr>
        <w:top w:val="none" w:sz="0" w:space="0" w:color="auto"/>
        <w:left w:val="none" w:sz="0" w:space="0" w:color="auto"/>
        <w:bottom w:val="none" w:sz="0" w:space="0" w:color="auto"/>
        <w:right w:val="none" w:sz="0" w:space="0" w:color="auto"/>
      </w:divBdr>
    </w:div>
    <w:div w:id="1552883213">
      <w:bodyDiv w:val="1"/>
      <w:marLeft w:val="0"/>
      <w:marRight w:val="0"/>
      <w:marTop w:val="0"/>
      <w:marBottom w:val="0"/>
      <w:divBdr>
        <w:top w:val="none" w:sz="0" w:space="0" w:color="auto"/>
        <w:left w:val="none" w:sz="0" w:space="0" w:color="auto"/>
        <w:bottom w:val="none" w:sz="0" w:space="0" w:color="auto"/>
        <w:right w:val="none" w:sz="0" w:space="0" w:color="auto"/>
      </w:divBdr>
    </w:div>
    <w:div w:id="1608192256">
      <w:bodyDiv w:val="1"/>
      <w:marLeft w:val="0"/>
      <w:marRight w:val="0"/>
      <w:marTop w:val="0"/>
      <w:marBottom w:val="0"/>
      <w:divBdr>
        <w:top w:val="none" w:sz="0" w:space="0" w:color="auto"/>
        <w:left w:val="none" w:sz="0" w:space="0" w:color="auto"/>
        <w:bottom w:val="none" w:sz="0" w:space="0" w:color="auto"/>
        <w:right w:val="none" w:sz="0" w:space="0" w:color="auto"/>
      </w:divBdr>
    </w:div>
    <w:div w:id="1620254613">
      <w:bodyDiv w:val="1"/>
      <w:marLeft w:val="0"/>
      <w:marRight w:val="0"/>
      <w:marTop w:val="0"/>
      <w:marBottom w:val="0"/>
      <w:divBdr>
        <w:top w:val="none" w:sz="0" w:space="0" w:color="auto"/>
        <w:left w:val="none" w:sz="0" w:space="0" w:color="auto"/>
        <w:bottom w:val="none" w:sz="0" w:space="0" w:color="auto"/>
        <w:right w:val="none" w:sz="0" w:space="0" w:color="auto"/>
      </w:divBdr>
    </w:div>
    <w:div w:id="1654331697">
      <w:bodyDiv w:val="1"/>
      <w:marLeft w:val="0"/>
      <w:marRight w:val="0"/>
      <w:marTop w:val="0"/>
      <w:marBottom w:val="0"/>
      <w:divBdr>
        <w:top w:val="none" w:sz="0" w:space="0" w:color="auto"/>
        <w:left w:val="none" w:sz="0" w:space="0" w:color="auto"/>
        <w:bottom w:val="none" w:sz="0" w:space="0" w:color="auto"/>
        <w:right w:val="none" w:sz="0" w:space="0" w:color="auto"/>
      </w:divBdr>
    </w:div>
    <w:div w:id="1696275320">
      <w:bodyDiv w:val="1"/>
      <w:marLeft w:val="0"/>
      <w:marRight w:val="0"/>
      <w:marTop w:val="0"/>
      <w:marBottom w:val="0"/>
      <w:divBdr>
        <w:top w:val="none" w:sz="0" w:space="0" w:color="auto"/>
        <w:left w:val="none" w:sz="0" w:space="0" w:color="auto"/>
        <w:bottom w:val="none" w:sz="0" w:space="0" w:color="auto"/>
        <w:right w:val="none" w:sz="0" w:space="0" w:color="auto"/>
      </w:divBdr>
    </w:div>
    <w:div w:id="1700931022">
      <w:bodyDiv w:val="1"/>
      <w:marLeft w:val="0"/>
      <w:marRight w:val="0"/>
      <w:marTop w:val="0"/>
      <w:marBottom w:val="0"/>
      <w:divBdr>
        <w:top w:val="none" w:sz="0" w:space="0" w:color="auto"/>
        <w:left w:val="none" w:sz="0" w:space="0" w:color="auto"/>
        <w:bottom w:val="none" w:sz="0" w:space="0" w:color="auto"/>
        <w:right w:val="none" w:sz="0" w:space="0" w:color="auto"/>
      </w:divBdr>
    </w:div>
    <w:div w:id="1746760362">
      <w:bodyDiv w:val="1"/>
      <w:marLeft w:val="0"/>
      <w:marRight w:val="0"/>
      <w:marTop w:val="0"/>
      <w:marBottom w:val="0"/>
      <w:divBdr>
        <w:top w:val="none" w:sz="0" w:space="0" w:color="auto"/>
        <w:left w:val="none" w:sz="0" w:space="0" w:color="auto"/>
        <w:bottom w:val="none" w:sz="0" w:space="0" w:color="auto"/>
        <w:right w:val="none" w:sz="0" w:space="0" w:color="auto"/>
      </w:divBdr>
    </w:div>
    <w:div w:id="1749618281">
      <w:bodyDiv w:val="1"/>
      <w:marLeft w:val="0"/>
      <w:marRight w:val="0"/>
      <w:marTop w:val="0"/>
      <w:marBottom w:val="0"/>
      <w:divBdr>
        <w:top w:val="none" w:sz="0" w:space="0" w:color="auto"/>
        <w:left w:val="none" w:sz="0" w:space="0" w:color="auto"/>
        <w:bottom w:val="none" w:sz="0" w:space="0" w:color="auto"/>
        <w:right w:val="none" w:sz="0" w:space="0" w:color="auto"/>
      </w:divBdr>
    </w:div>
    <w:div w:id="1759596210">
      <w:bodyDiv w:val="1"/>
      <w:marLeft w:val="0"/>
      <w:marRight w:val="0"/>
      <w:marTop w:val="0"/>
      <w:marBottom w:val="0"/>
      <w:divBdr>
        <w:top w:val="none" w:sz="0" w:space="0" w:color="auto"/>
        <w:left w:val="none" w:sz="0" w:space="0" w:color="auto"/>
        <w:bottom w:val="none" w:sz="0" w:space="0" w:color="auto"/>
        <w:right w:val="none" w:sz="0" w:space="0" w:color="auto"/>
      </w:divBdr>
    </w:div>
    <w:div w:id="1760786087">
      <w:bodyDiv w:val="1"/>
      <w:marLeft w:val="0"/>
      <w:marRight w:val="0"/>
      <w:marTop w:val="0"/>
      <w:marBottom w:val="0"/>
      <w:divBdr>
        <w:top w:val="none" w:sz="0" w:space="0" w:color="auto"/>
        <w:left w:val="none" w:sz="0" w:space="0" w:color="auto"/>
        <w:bottom w:val="none" w:sz="0" w:space="0" w:color="auto"/>
        <w:right w:val="none" w:sz="0" w:space="0" w:color="auto"/>
      </w:divBdr>
    </w:div>
    <w:div w:id="1763794623">
      <w:bodyDiv w:val="1"/>
      <w:marLeft w:val="0"/>
      <w:marRight w:val="0"/>
      <w:marTop w:val="0"/>
      <w:marBottom w:val="0"/>
      <w:divBdr>
        <w:top w:val="none" w:sz="0" w:space="0" w:color="auto"/>
        <w:left w:val="none" w:sz="0" w:space="0" w:color="auto"/>
        <w:bottom w:val="none" w:sz="0" w:space="0" w:color="auto"/>
        <w:right w:val="none" w:sz="0" w:space="0" w:color="auto"/>
      </w:divBdr>
    </w:div>
    <w:div w:id="1770540333">
      <w:bodyDiv w:val="1"/>
      <w:marLeft w:val="0"/>
      <w:marRight w:val="0"/>
      <w:marTop w:val="0"/>
      <w:marBottom w:val="0"/>
      <w:divBdr>
        <w:top w:val="none" w:sz="0" w:space="0" w:color="auto"/>
        <w:left w:val="none" w:sz="0" w:space="0" w:color="auto"/>
        <w:bottom w:val="none" w:sz="0" w:space="0" w:color="auto"/>
        <w:right w:val="none" w:sz="0" w:space="0" w:color="auto"/>
      </w:divBdr>
    </w:div>
    <w:div w:id="1801265260">
      <w:bodyDiv w:val="1"/>
      <w:marLeft w:val="0"/>
      <w:marRight w:val="0"/>
      <w:marTop w:val="0"/>
      <w:marBottom w:val="0"/>
      <w:divBdr>
        <w:top w:val="none" w:sz="0" w:space="0" w:color="auto"/>
        <w:left w:val="none" w:sz="0" w:space="0" w:color="auto"/>
        <w:bottom w:val="none" w:sz="0" w:space="0" w:color="auto"/>
        <w:right w:val="none" w:sz="0" w:space="0" w:color="auto"/>
      </w:divBdr>
    </w:div>
    <w:div w:id="1809198514">
      <w:bodyDiv w:val="1"/>
      <w:marLeft w:val="0"/>
      <w:marRight w:val="0"/>
      <w:marTop w:val="0"/>
      <w:marBottom w:val="0"/>
      <w:divBdr>
        <w:top w:val="none" w:sz="0" w:space="0" w:color="auto"/>
        <w:left w:val="none" w:sz="0" w:space="0" w:color="auto"/>
        <w:bottom w:val="none" w:sz="0" w:space="0" w:color="auto"/>
        <w:right w:val="none" w:sz="0" w:space="0" w:color="auto"/>
      </w:divBdr>
    </w:div>
    <w:div w:id="1815295666">
      <w:bodyDiv w:val="1"/>
      <w:marLeft w:val="0"/>
      <w:marRight w:val="0"/>
      <w:marTop w:val="0"/>
      <w:marBottom w:val="0"/>
      <w:divBdr>
        <w:top w:val="none" w:sz="0" w:space="0" w:color="auto"/>
        <w:left w:val="none" w:sz="0" w:space="0" w:color="auto"/>
        <w:bottom w:val="none" w:sz="0" w:space="0" w:color="auto"/>
        <w:right w:val="none" w:sz="0" w:space="0" w:color="auto"/>
      </w:divBdr>
    </w:div>
    <w:div w:id="1858541617">
      <w:bodyDiv w:val="1"/>
      <w:marLeft w:val="0"/>
      <w:marRight w:val="0"/>
      <w:marTop w:val="0"/>
      <w:marBottom w:val="0"/>
      <w:divBdr>
        <w:top w:val="none" w:sz="0" w:space="0" w:color="auto"/>
        <w:left w:val="none" w:sz="0" w:space="0" w:color="auto"/>
        <w:bottom w:val="none" w:sz="0" w:space="0" w:color="auto"/>
        <w:right w:val="none" w:sz="0" w:space="0" w:color="auto"/>
      </w:divBdr>
    </w:div>
    <w:div w:id="1872642811">
      <w:bodyDiv w:val="1"/>
      <w:marLeft w:val="0"/>
      <w:marRight w:val="0"/>
      <w:marTop w:val="0"/>
      <w:marBottom w:val="0"/>
      <w:divBdr>
        <w:top w:val="none" w:sz="0" w:space="0" w:color="auto"/>
        <w:left w:val="none" w:sz="0" w:space="0" w:color="auto"/>
        <w:bottom w:val="none" w:sz="0" w:space="0" w:color="auto"/>
        <w:right w:val="none" w:sz="0" w:space="0" w:color="auto"/>
      </w:divBdr>
    </w:div>
    <w:div w:id="1899317481">
      <w:bodyDiv w:val="1"/>
      <w:marLeft w:val="0"/>
      <w:marRight w:val="0"/>
      <w:marTop w:val="0"/>
      <w:marBottom w:val="0"/>
      <w:divBdr>
        <w:top w:val="none" w:sz="0" w:space="0" w:color="auto"/>
        <w:left w:val="none" w:sz="0" w:space="0" w:color="auto"/>
        <w:bottom w:val="none" w:sz="0" w:space="0" w:color="auto"/>
        <w:right w:val="none" w:sz="0" w:space="0" w:color="auto"/>
      </w:divBdr>
    </w:div>
    <w:div w:id="1918516582">
      <w:bodyDiv w:val="1"/>
      <w:marLeft w:val="0"/>
      <w:marRight w:val="0"/>
      <w:marTop w:val="0"/>
      <w:marBottom w:val="0"/>
      <w:divBdr>
        <w:top w:val="none" w:sz="0" w:space="0" w:color="auto"/>
        <w:left w:val="none" w:sz="0" w:space="0" w:color="auto"/>
        <w:bottom w:val="none" w:sz="0" w:space="0" w:color="auto"/>
        <w:right w:val="none" w:sz="0" w:space="0" w:color="auto"/>
      </w:divBdr>
    </w:div>
    <w:div w:id="1926256180">
      <w:bodyDiv w:val="1"/>
      <w:marLeft w:val="0"/>
      <w:marRight w:val="0"/>
      <w:marTop w:val="0"/>
      <w:marBottom w:val="0"/>
      <w:divBdr>
        <w:top w:val="none" w:sz="0" w:space="0" w:color="auto"/>
        <w:left w:val="none" w:sz="0" w:space="0" w:color="auto"/>
        <w:bottom w:val="none" w:sz="0" w:space="0" w:color="auto"/>
        <w:right w:val="none" w:sz="0" w:space="0" w:color="auto"/>
      </w:divBdr>
    </w:div>
    <w:div w:id="1971473699">
      <w:bodyDiv w:val="1"/>
      <w:marLeft w:val="0"/>
      <w:marRight w:val="0"/>
      <w:marTop w:val="0"/>
      <w:marBottom w:val="0"/>
      <w:divBdr>
        <w:top w:val="none" w:sz="0" w:space="0" w:color="auto"/>
        <w:left w:val="none" w:sz="0" w:space="0" w:color="auto"/>
        <w:bottom w:val="none" w:sz="0" w:space="0" w:color="auto"/>
        <w:right w:val="none" w:sz="0" w:space="0" w:color="auto"/>
      </w:divBdr>
    </w:div>
    <w:div w:id="1984891092">
      <w:bodyDiv w:val="1"/>
      <w:marLeft w:val="0"/>
      <w:marRight w:val="0"/>
      <w:marTop w:val="0"/>
      <w:marBottom w:val="0"/>
      <w:divBdr>
        <w:top w:val="none" w:sz="0" w:space="0" w:color="auto"/>
        <w:left w:val="none" w:sz="0" w:space="0" w:color="auto"/>
        <w:bottom w:val="none" w:sz="0" w:space="0" w:color="auto"/>
        <w:right w:val="none" w:sz="0" w:space="0" w:color="auto"/>
      </w:divBdr>
    </w:div>
    <w:div w:id="1989432323">
      <w:bodyDiv w:val="1"/>
      <w:marLeft w:val="0"/>
      <w:marRight w:val="0"/>
      <w:marTop w:val="0"/>
      <w:marBottom w:val="0"/>
      <w:divBdr>
        <w:top w:val="none" w:sz="0" w:space="0" w:color="auto"/>
        <w:left w:val="none" w:sz="0" w:space="0" w:color="auto"/>
        <w:bottom w:val="none" w:sz="0" w:space="0" w:color="auto"/>
        <w:right w:val="none" w:sz="0" w:space="0" w:color="auto"/>
      </w:divBdr>
    </w:div>
    <w:div w:id="2002344764">
      <w:bodyDiv w:val="1"/>
      <w:marLeft w:val="0"/>
      <w:marRight w:val="0"/>
      <w:marTop w:val="0"/>
      <w:marBottom w:val="0"/>
      <w:divBdr>
        <w:top w:val="none" w:sz="0" w:space="0" w:color="auto"/>
        <w:left w:val="none" w:sz="0" w:space="0" w:color="auto"/>
        <w:bottom w:val="none" w:sz="0" w:space="0" w:color="auto"/>
        <w:right w:val="none" w:sz="0" w:space="0" w:color="auto"/>
      </w:divBdr>
    </w:div>
    <w:div w:id="2006204651">
      <w:bodyDiv w:val="1"/>
      <w:marLeft w:val="0"/>
      <w:marRight w:val="0"/>
      <w:marTop w:val="0"/>
      <w:marBottom w:val="0"/>
      <w:divBdr>
        <w:top w:val="none" w:sz="0" w:space="0" w:color="auto"/>
        <w:left w:val="none" w:sz="0" w:space="0" w:color="auto"/>
        <w:bottom w:val="none" w:sz="0" w:space="0" w:color="auto"/>
        <w:right w:val="none" w:sz="0" w:space="0" w:color="auto"/>
      </w:divBdr>
    </w:div>
    <w:div w:id="2058041971">
      <w:bodyDiv w:val="1"/>
      <w:marLeft w:val="0"/>
      <w:marRight w:val="0"/>
      <w:marTop w:val="0"/>
      <w:marBottom w:val="0"/>
      <w:divBdr>
        <w:top w:val="none" w:sz="0" w:space="0" w:color="auto"/>
        <w:left w:val="none" w:sz="0" w:space="0" w:color="auto"/>
        <w:bottom w:val="none" w:sz="0" w:space="0" w:color="auto"/>
        <w:right w:val="none" w:sz="0" w:space="0" w:color="auto"/>
      </w:divBdr>
    </w:div>
    <w:div w:id="2066441342">
      <w:bodyDiv w:val="1"/>
      <w:marLeft w:val="0"/>
      <w:marRight w:val="0"/>
      <w:marTop w:val="0"/>
      <w:marBottom w:val="0"/>
      <w:divBdr>
        <w:top w:val="none" w:sz="0" w:space="0" w:color="auto"/>
        <w:left w:val="none" w:sz="0" w:space="0" w:color="auto"/>
        <w:bottom w:val="none" w:sz="0" w:space="0" w:color="auto"/>
        <w:right w:val="none" w:sz="0" w:space="0" w:color="auto"/>
      </w:divBdr>
    </w:div>
    <w:div w:id="2067029532">
      <w:bodyDiv w:val="1"/>
      <w:marLeft w:val="0"/>
      <w:marRight w:val="0"/>
      <w:marTop w:val="0"/>
      <w:marBottom w:val="0"/>
      <w:divBdr>
        <w:top w:val="none" w:sz="0" w:space="0" w:color="auto"/>
        <w:left w:val="none" w:sz="0" w:space="0" w:color="auto"/>
        <w:bottom w:val="none" w:sz="0" w:space="0" w:color="auto"/>
        <w:right w:val="none" w:sz="0" w:space="0" w:color="auto"/>
      </w:divBdr>
    </w:div>
    <w:div w:id="2067142391">
      <w:bodyDiv w:val="1"/>
      <w:marLeft w:val="0"/>
      <w:marRight w:val="0"/>
      <w:marTop w:val="0"/>
      <w:marBottom w:val="0"/>
      <w:divBdr>
        <w:top w:val="none" w:sz="0" w:space="0" w:color="auto"/>
        <w:left w:val="none" w:sz="0" w:space="0" w:color="auto"/>
        <w:bottom w:val="none" w:sz="0" w:space="0" w:color="auto"/>
        <w:right w:val="none" w:sz="0" w:space="0" w:color="auto"/>
      </w:divBdr>
    </w:div>
    <w:div w:id="2131779295">
      <w:bodyDiv w:val="1"/>
      <w:marLeft w:val="0"/>
      <w:marRight w:val="0"/>
      <w:marTop w:val="0"/>
      <w:marBottom w:val="0"/>
      <w:divBdr>
        <w:top w:val="none" w:sz="0" w:space="0" w:color="auto"/>
        <w:left w:val="none" w:sz="0" w:space="0" w:color="auto"/>
        <w:bottom w:val="none" w:sz="0" w:space="0" w:color="auto"/>
        <w:right w:val="none" w:sz="0" w:space="0" w:color="auto"/>
      </w:divBdr>
      <w:divsChild>
        <w:div w:id="420368704">
          <w:marLeft w:val="0"/>
          <w:marRight w:val="0"/>
          <w:marTop w:val="0"/>
          <w:marBottom w:val="0"/>
          <w:divBdr>
            <w:top w:val="none" w:sz="0" w:space="0" w:color="auto"/>
            <w:left w:val="none" w:sz="0" w:space="0" w:color="auto"/>
            <w:bottom w:val="none" w:sz="0" w:space="0" w:color="auto"/>
            <w:right w:val="none" w:sz="0" w:space="0" w:color="auto"/>
          </w:divBdr>
        </w:div>
        <w:div w:id="679114663">
          <w:marLeft w:val="0"/>
          <w:marRight w:val="0"/>
          <w:marTop w:val="0"/>
          <w:marBottom w:val="0"/>
          <w:divBdr>
            <w:top w:val="none" w:sz="0" w:space="0" w:color="auto"/>
            <w:left w:val="none" w:sz="0" w:space="0" w:color="auto"/>
            <w:bottom w:val="none" w:sz="0" w:space="0" w:color="auto"/>
            <w:right w:val="none" w:sz="0" w:space="0" w:color="auto"/>
          </w:divBdr>
        </w:div>
        <w:div w:id="776751514">
          <w:marLeft w:val="0"/>
          <w:marRight w:val="0"/>
          <w:marTop w:val="0"/>
          <w:marBottom w:val="0"/>
          <w:divBdr>
            <w:top w:val="none" w:sz="0" w:space="0" w:color="auto"/>
            <w:left w:val="none" w:sz="0" w:space="0" w:color="auto"/>
            <w:bottom w:val="none" w:sz="0" w:space="0" w:color="auto"/>
            <w:right w:val="none" w:sz="0" w:space="0" w:color="auto"/>
          </w:divBdr>
        </w:div>
      </w:divsChild>
    </w:div>
    <w:div w:id="2144497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u.nl/english/" TargetMode="Externa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yperlink" Target="http://www.thesaurus.com/browse/contrariety"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10" Type="http://schemas.openxmlformats.org/officeDocument/2006/relationships/footer" Target="footer2.xml"/><Relationship Id="rId19" Type="http://schemas.openxmlformats.org/officeDocument/2006/relationships/image" Target="media/image8.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s://www.greentechmedia.com/articles/read/Gravity-Power"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accent3">
            <a:lumMod val="40000"/>
            <a:lumOff val="60000"/>
          </a:schemeClr>
        </a:solidFill>
        <a:ln w="6350">
          <a:no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Master’s Thesis for the Environment and   Society Studies Programme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Vol14</b:Tag>
    <b:SourceType>Report</b:SourceType>
    <b:Guid>{5BBADF6E-FA0C-4D29-B86B-D66CEA318359}</b:Guid>
    <b:Title>Green tax reform: Energy tax challenges for the Netherlands</b:Title>
    <b:Year>2014</b:Year>
    <b:Author>
      <b:Author>
        <b:NameList>
          <b:Person>
            <b:Last>Vollebergh</b:Last>
            <b:First>H</b:First>
          </b:Person>
        </b:NameList>
      </b:Author>
    </b:Author>
    <b:Publisher>PBL Netherlands Environmental Assessment Agency</b:Publisher>
    <b:City>The Hague</b:City>
    <b:RefOrder>22</b:RefOrder>
  </b:Source>
  <b:Source>
    <b:Tag>Ver17</b:Tag>
    <b:SourceType>JournalArticle</b:SourceType>
    <b:Guid>{6A811719-3A71-45BF-ABBF-0966FCD3D253}</b:Guid>
    <b:Author>
      <b:Author>
        <b:NameList>
          <b:Person>
            <b:Last>Verdolini</b:Last>
            <b:First>E</b:First>
          </b:Person>
          <b:Person>
            <b:Last>Bosetti</b:Last>
            <b:First>V</b:First>
          </b:Person>
        </b:NameList>
      </b:Author>
    </b:Author>
    <b:Title>Environmental Policy and the International Diffusion of Cleaner Energy Technologies</b:Title>
    <b:JournalName>Environmental Resource Economics</b:JournalName>
    <b:Year>2017</b:Year>
    <b:Pages>497-536</b:Pages>
    <b:Volume>66</b:Volume>
    <b:RefOrder>26</b:RefOrder>
  </b:Source>
  <b:Source>
    <b:Tag>van14</b:Tag>
    <b:SourceType>Report</b:SourceType>
    <b:Guid>{9129CD78-4D86-4872-915C-D39B90D82399}</b:Guid>
    <b:Title>The impact of net metering regulations on the Dutch solar PV market. An analysis of past developments and the impact of future alternatives</b:Title>
    <b:Year>2014</b:Year>
    <b:Author>
      <b:Author>
        <b:NameList>
          <b:Person>
            <b:Last>van de Water</b:Last>
            <b:First>S.D.H</b:First>
          </b:Person>
        </b:NameList>
      </b:Author>
    </b:Author>
    <b:Publisher>Eindhoven University of Technology</b:Publisher>
    <b:City>Eindhoven</b:City>
    <b:RefOrder>27</b:RefOrder>
  </b:Source>
  <b:Source>
    <b:Tag>Twi06</b:Tag>
    <b:SourceType>Book</b:SourceType>
    <b:Guid>{49F0A315-A099-43BA-B2BA-289171815634}</b:Guid>
    <b:Title>Renewable Energy Resources</b:Title>
    <b:Year>2006</b:Year>
    <b:Author>
      <b:Author>
        <b:NameList>
          <b:Person>
            <b:Last>Twidell</b:Last>
            <b:First>J</b:First>
          </b:Person>
          <b:Person>
            <b:Last>Weir</b:Last>
            <b:First>T</b:First>
          </b:Person>
        </b:NameList>
      </b:Author>
    </b:Author>
    <b:City>Abingdon, Oxon</b:City>
    <b:Publisher>E&amp;FN Spon Ltd</b:Publisher>
    <b:Edition>2nd</b:Edition>
    <b:RefOrder>28</b:RefOrder>
  </b:Source>
  <b:Source>
    <b:Tag>Tho13</b:Tag>
    <b:SourceType>Book</b:SourceType>
    <b:Guid>{C828AEAB-C903-46FB-9BFB-81F11E12A99D}</b:Guid>
    <b:Title>How to do your research project: a guide for students in education and applied social sciences</b:Title>
    <b:Year>2013</b:Year>
    <b:Author>
      <b:Author>
        <b:NameList>
          <b:Person>
            <b:Last>Thomas</b:Last>
            <b:First>G</b:First>
          </b:Person>
        </b:NameList>
      </b:Author>
    </b:Author>
    <b:City>London</b:City>
    <b:Publisher>SAGE Publications Ltd</b:Publisher>
    <b:RefOrder>29</b:RefOrder>
  </b:Source>
  <b:Source>
    <b:Tag>Ste08</b:Tag>
    <b:SourceType>BookSection</b:SourceType>
    <b:Guid>{2E6ACED2-F0E6-4A2B-91CA-6B248799F4BF}</b:Guid>
    <b:Title>Instrument Choice</b:Title>
    <b:Year>2008</b:Year>
    <b:City>Oxford</b:City>
    <b:Publisher>Oxford University Press</b:Publisher>
    <b:BookTitle>Handbook of International Environmental Law</b:BookTitle>
    <b:Pages>147-181</b:Pages>
    <b:Author>
      <b:Author>
        <b:NameList>
          <b:Person>
            <b:Last>Stewart</b:Last>
            <b:First>R</b:First>
            <b:Middle>B</b:Middle>
          </b:Person>
        </b:NameList>
      </b:Author>
      <b:Editor>
        <b:NameList>
          <b:Person>
            <b:Last>Bodansky</b:Last>
            <b:First>D</b:First>
          </b:Person>
          <b:Person>
            <b:Last>Brunné</b:Last>
            <b:First>J</b:First>
          </b:Person>
          <b:Person>
            <b:Last>Hey</b:Last>
            <b:First>E</b:First>
          </b:Person>
        </b:NameList>
      </b:Editor>
    </b:Author>
    <b:RefOrder>11</b:RefOrder>
  </b:Source>
  <b:Source>
    <b:Tag>Sch08</b:Tag>
    <b:SourceType>JournalArticle</b:SourceType>
    <b:Guid>{6C0D55C5-3A54-4C92-9AB1-DB458175A432}</b:Guid>
    <b:Author>
      <b:Author>
        <b:NameList>
          <b:Person>
            <b:Last>Schot</b:Last>
            <b:First>J</b:First>
          </b:Person>
          <b:Person>
            <b:Last>Geels</b:Last>
            <b:First>F</b:First>
            <b:Middle>W</b:Middle>
          </b:Person>
        </b:NameList>
      </b:Author>
    </b:Author>
    <b:Title>Strategic niche management and sustainable innovation journeys: theory, findings, research agenda, and policy</b:Title>
    <b:JournalName>Technology Analysis &amp; Strategic Management</b:JournalName>
    <b:Year>2008</b:Year>
    <b:Pages>537-554</b:Pages>
    <b:Volume>20</b:Volume>
    <b:Issue>5</b:Issue>
    <b:RefOrder>9</b:RefOrder>
  </b:Source>
  <b:Source>
    <b:Tag>Rot01</b:Tag>
    <b:SourceType>JournalArticle</b:SourceType>
    <b:Guid>{25A089B2-3B3F-4531-8ADE-2C61C29B4B8C}</b:Guid>
    <b:Title>More Evolution than Revolution: Transition Management in Public Policy</b:Title>
    <b:Year>2001</b:Year>
    <b:Author>
      <b:Author>
        <b:NameList>
          <b:Person>
            <b:Last>Rotmans</b:Last>
            <b:First>J</b:First>
          </b:Person>
          <b:Person>
            <b:Last>Kemp</b:Last>
            <b:First>R</b:First>
          </b:Person>
          <b:Person>
            <b:Last>van Asselt</b:Last>
            <b:First>M</b:First>
          </b:Person>
        </b:NameList>
      </b:Author>
    </b:Author>
    <b:JournalName>Foresight</b:JournalName>
    <b:Pages>15-31</b:Pages>
    <b:Volume>3</b:Volume>
    <b:Issue>1</b:Issue>
    <b:RefOrder>10</b:RefOrder>
  </b:Source>
  <b:Source>
    <b:Tag>Rot09</b:Tag>
    <b:SourceType>JournalArticle</b:SourceType>
    <b:Guid>{597DAC88-04BC-4C9D-A42A-E72272B17633}</b:Guid>
    <b:Author>
      <b:Author>
        <b:NameList>
          <b:Person>
            <b:Last>Rotmans</b:Last>
            <b:First>J</b:First>
          </b:Person>
          <b:Person>
            <b:Last>Loorbach</b:Last>
            <b:First>D</b:First>
          </b:Person>
        </b:NameList>
      </b:Author>
    </b:Author>
    <b:Title>Complexity and Transition Management</b:Title>
    <b:JournalName>Journal of Industrial Ecology</b:JournalName>
    <b:Year>2009</b:Year>
    <b:Pages>184-194</b:Pages>
    <b:Volume>13</b:Volume>
    <b:Issue>2</b:Issue>
    <b:RefOrder>30</b:RefOrder>
  </b:Source>
  <b:Source>
    <b:Tag>Rav05</b:Tag>
    <b:SourceType>Report</b:SourceType>
    <b:Guid>{867BDF4A-3578-4CE7-BAEA-176A4DEEB45E}</b:Guid>
    <b:Title>Strategic Niche Management for Biomass: A comparative study on the experimental introduction of bioenergy technologies in the Netherlands and Denmark</b:Title>
    <b:Year>2005</b:Year>
    <b:Author>
      <b:Author>
        <b:NameList>
          <b:Person>
            <b:Last>Raven</b:Last>
            <b:First>R</b:First>
          </b:Person>
        </b:NameList>
      </b:Author>
    </b:Author>
    <b:Publisher>Eindhoven University Press</b:Publisher>
    <b:City>Eindhoven</b:City>
    <b:RefOrder>31</b:RefOrder>
  </b:Source>
  <b:Source>
    <b:Tag>Phend</b:Tag>
    <b:SourceType>InternetSite</b:SourceType>
    <b:Guid>{897008CC-28EF-4091-AE03-72B19B4E61CA}</b:Guid>
    <b:Title>Exploring reliability in academic assessment</b:Title>
    <b:Year>n.d.</b:Year>
    <b:Author>
      <b:Author>
        <b:NameList>
          <b:Person>
            <b:Last>Phelan</b:Last>
            <b:First>C</b:First>
          </b:Person>
          <b:Person>
            <b:Last>Wren</b:Last>
            <b:First>J</b:First>
          </b:Person>
        </b:NameList>
      </b:Author>
    </b:Author>
    <b:YearAccessed>2017</b:YearAccessed>
    <b:MonthAccessed>March</b:MonthAccessed>
    <b:DayAccessed>27</b:DayAccessed>
    <b:URL>https://www.uni.edu/chfasoa/reliabilityandvalidity.htm</b:URL>
    <b:RefOrder>32</b:RefOrder>
  </b:Source>
  <b:Source>
    <b:Tag>OLe04</b:Tag>
    <b:SourceType>Book</b:SourceType>
    <b:Guid>{1A586A09-8199-47F5-AEE6-3AB2B57EBE86}</b:Guid>
    <b:Author>
      <b:Author>
        <b:NameList>
          <b:Person>
            <b:Last>O'Leary</b:Last>
            <b:First>Zina</b:First>
          </b:Person>
        </b:NameList>
      </b:Author>
    </b:Author>
    <b:Title>The Essential Guide to Doing Resarch</b:Title>
    <b:Year>2004</b:Year>
    <b:City>London</b:City>
    <b:Publisher>SAGE Publications Ltd</b:Publisher>
    <b:RefOrder>14</b:RefOrder>
  </b:Source>
  <b:Source>
    <b:Tag>Mec16</b:Tag>
    <b:SourceType>JournalArticle</b:SourceType>
    <b:Guid>{624000FA-98E4-48E2-9117-611FE9397627}</b:Guid>
    <b:Author>
      <b:Author>
        <b:NameList>
          <b:Person>
            <b:Last>Meckling</b:Last>
            <b:First>J</b:First>
          </b:Person>
          <b:Person>
            <b:Last>Jenner</b:Last>
            <b:First>S</b:First>
          </b:Person>
        </b:NameList>
      </b:Author>
    </b:Author>
    <b:Title>Varieties of market-based policy: Instrument choice in Climate Policy</b:Title>
    <b:JournalName>Environmental Politics</b:JournalName>
    <b:Year>2016</b:Year>
    <b:Pages>853-874</b:Pages>
    <b:Volume>25</b:Volume>
    <b:Issue>5</b:Issue>
    <b:RefOrder>33</b:RefOrder>
  </b:Source>
  <b:Source>
    <b:Tag>Mea09</b:Tag>
    <b:SourceType>JournalArticle</b:SourceType>
    <b:Guid>{A28DB992-078C-4EA3-961D-D376B4E5C99F}</b:Guid>
    <b:Author>
      <b:Author>
        <b:NameList>
          <b:Person>
            <b:Last>Meadowcroft</b:Last>
            <b:First>J</b:First>
          </b:Person>
        </b:NameList>
      </b:Author>
    </b:Author>
    <b:Title>What about the politics? Sustainable development, transition management, and long term energy transitions</b:Title>
    <b:Year>2009</b:Year>
    <b:JournalName>Policy Sciences</b:JournalName>
    <b:Pages>323-340</b:Pages>
    <b:Volume>42</b:Volume>
    <b:RefOrder>3</b:RefOrder>
  </b:Source>
  <b:Source>
    <b:Tag>Loond</b:Tag>
    <b:SourceType>Report</b:SourceType>
    <b:Guid>{FFF22172-5674-4553-8875-22A7C1AE1208}</b:Guid>
    <b:Author>
      <b:Author>
        <b:NameList>
          <b:Person>
            <b:Last>Loorbach</b:Last>
            <b:First>D</b:First>
          </b:Person>
          <b:Person>
            <b:Last>Rotmans</b:Last>
            <b:First>J</b:First>
          </b:Person>
        </b:NameList>
      </b:Author>
    </b:Author>
    <b:Title>Managing Transitions for Sustainable Development</b:Title>
    <b:Year>n.d.</b:Year>
    <b:Publisher>International Center for Integrative Studies (ICIS), Maastricht University</b:Publisher>
    <b:RefOrder>7</b:RefOrder>
  </b:Source>
  <b:Source>
    <b:Tag>Koc16</b:Tag>
    <b:SourceType>JournalArticle</b:SourceType>
    <b:Guid>{E4F7870B-AE91-45BA-9A6B-CF51E19C3A21}</b:Guid>
    <b:Title>Energy policy evaluation in practice: the case of production subsidies and DEN-B in the Netherlands</b:Title>
    <b:Year>2016</b:Year>
    <b:Author>
      <b:Author>
        <b:NameList>
          <b:Person>
            <b:Last>Kocsis</b:Last>
            <b:First>V</b:First>
          </b:Person>
          <b:Person>
            <b:Last>Hof</b:Last>
            <b:First>B</b:First>
          </b:Person>
        </b:NameList>
      </b:Author>
    </b:Author>
    <b:JournalName>Environment, Development and Sustainability</b:JournalName>
    <b:Pages>18:1433-1455</b:Pages>
    <b:RefOrder>21</b:RefOrder>
  </b:Source>
  <b:Source>
    <b:Tag>Kit00</b:Tag>
    <b:SourceType>Book</b:SourceType>
    <b:Guid>{EA9BB0D3-A919-4418-8EE9-7A122481BBD3}</b:Guid>
    <b:Author>
      <b:Author>
        <b:NameList>
          <b:Person>
            <b:Last>Kitchin</b:Last>
            <b:First>R</b:First>
          </b:Person>
          <b:Person>
            <b:Last>Tate</b:Last>
            <b:First>N</b:First>
            <b:Middle>J</b:Middle>
          </b:Person>
        </b:NameList>
      </b:Author>
    </b:Author>
    <b:Title>Conducting Research into Human Geography. Theory, methodology and practice</b:Title>
    <b:Year>2000</b:Year>
    <b:City>Harlow</b:City>
    <b:Publisher>Pearson Education Limited</b:Publisher>
    <b:RefOrder>34</b:RefOrder>
  </b:Source>
  <b:Source>
    <b:Tag>Ker08</b:Tag>
    <b:SourceType>JournalArticle</b:SourceType>
    <b:Guid>{4E80962D-5B09-457E-8B05-55AEACD35815}</b:Guid>
    <b:Title>Restructuring energy systems for sustainability? Energy transition policy in the Netherlands</b:Title>
    <b:Year>2008</b:Year>
    <b:Author>
      <b:Author>
        <b:NameList>
          <b:Person>
            <b:Last>Kern</b:Last>
            <b:First>F</b:First>
          </b:Person>
          <b:Person>
            <b:Last>Smith</b:Last>
            <b:First>A</b:First>
          </b:Person>
        </b:NameList>
      </b:Author>
    </b:Author>
    <b:JournalName>Energy Policy</b:JournalName>
    <b:Pages>4093-4103</b:Pages>
    <b:RefOrder>35</b:RefOrder>
  </b:Source>
  <b:Source>
    <b:Tag>Hub98</b:Tag>
    <b:SourceType>Report</b:SourceType>
    <b:Guid>{2E7D7997-53A0-45F3-8988-D2A20984B19C}</b:Guid>
    <b:Author>
      <b:Author>
        <b:NameList>
          <b:Person>
            <b:Last>Huber</b:Last>
            <b:First>Richard</b:First>
            <b:Middle>M</b:Middle>
          </b:Person>
          <b:Person>
            <b:Last>Ruitenbeek</b:Last>
            <b:First>J</b:First>
          </b:Person>
          <b:Person>
            <b:Last>Seroa da Motta</b:Last>
            <b:First>R</b:First>
          </b:Person>
        </b:NameList>
      </b:Author>
    </b:Author>
    <b:Title>Market-Based Instruments for Environmental Policymaking in Latin America and the Caribbean - Lessons from Eleven Countries</b:Title>
    <b:Year>1998</b:Year>
    <b:Publisher>The World Bank</b:Publisher>
    <b:City>Washington, D.C.</b:City>
    <b:RefOrder>36</b:RefOrder>
  </b:Source>
  <b:Source>
    <b:Tag>How09</b:Tag>
    <b:SourceType>Book</b:SourceType>
    <b:Guid>{F6A609C4-DAD8-4D05-8A2E-73A13B38B470}</b:Guid>
    <b:Title>Studying Public Policy: Policy Cycles &amp; Policy Subsystems</b:Title>
    <b:Year>2009</b:Year>
    <b:Author>
      <b:Author>
        <b:NameList>
          <b:Person>
            <b:Last>Howlett</b:Last>
            <b:First>M</b:First>
          </b:Person>
          <b:Person>
            <b:Last>Ramesh</b:Last>
            <b:First>M</b:First>
          </b:Person>
          <b:Person>
            <b:Last>Perl</b:Last>
            <b:First>A</b:First>
          </b:Person>
        </b:NameList>
      </b:Author>
    </b:Author>
    <b:City>Oxford</b:City>
    <b:Publisher>Oxford University Press</b:Publisher>
    <b:Edition>3rd</b:Edition>
    <b:RefOrder>12</b:RefOrder>
  </b:Source>
  <b:Source>
    <b:Tag>How83</b:Tag>
    <b:SourceType>Book</b:SourceType>
    <b:Guid>{2888FB24-21CA-4F2E-8704-2CBA1FC12C50}</b:Guid>
    <b:Author>
      <b:Author>
        <b:NameList>
          <b:Person>
            <b:Last>Howard</b:Last>
            <b:First>K</b:First>
          </b:Person>
          <b:Person>
            <b:Last>Sharp</b:Last>
            <b:First>J</b:First>
            <b:Middle>A</b:Middle>
          </b:Person>
        </b:NameList>
      </b:Author>
    </b:Author>
    <b:Title>The Management of a Student Research Project</b:Title>
    <b:Year>1983</b:Year>
    <b:City>Aldershot</b:City>
    <b:Publisher>Gower</b:Publisher>
    <b:RefOrder>37</b:RefOrder>
  </b:Source>
  <b:Source>
    <b:Tag>Ano17</b:Tag>
    <b:SourceType>Report</b:SourceType>
    <b:Guid>{680D6831-D870-4B4D-ABD6-E9D81E0D879A}</b:Guid>
    <b:Title>The Dutch Gas Market: trials, tribulations and trends</b:Title>
    <b:Year>2017</b:Year>
    <b:City>Oxford</b:City>
    <b:Publisher>The Oxford Institute for Energy Studies</b:Publisher>
    <b:Author>
      <b:Author>
        <b:NameList>
          <b:Person>
            <b:Last>Honoré</b:Last>
            <b:First>Anouk</b:First>
          </b:Person>
        </b:NameList>
      </b:Author>
    </b:Author>
    <b:RefOrder>1</b:RefOrder>
  </b:Source>
  <b:Source>
    <b:Tag>Hep06</b:Tag>
    <b:SourceType>JournalArticle</b:SourceType>
    <b:Guid>{81F251D5-E0DB-4EA9-9DC5-416B3787EDD9}</b:Guid>
    <b:Title>Regulation by Prices, Quantities, or Both: A Review of Instrument Choice</b:Title>
    <b:Year>2006</b:Year>
    <b:Author>
      <b:Author>
        <b:NameList>
          <b:Person>
            <b:Last>Hepburn</b:Last>
            <b:First>C</b:First>
          </b:Person>
        </b:NameList>
      </b:Author>
    </b:Author>
    <b:JournalName>Oxford Review of Economic Policy</b:JournalName>
    <b:Pages>226-247</b:Pages>
    <b:Volume>22</b:Volume>
    <b:Issue>2</b:Issue>
    <b:RefOrder>38</b:RefOrder>
  </b:Source>
  <b:Source>
    <b:Tag>Hal08</b:Tag>
    <b:SourceType>JournalArticle</b:SourceType>
    <b:Guid>{FB0FBB2B-4B11-44F9-89D9-C29EE3DD693D}</b:Guid>
    <b:Author>
      <b:Author>
        <b:NameList>
          <b:Person>
            <b:Last>Hall</b:Last>
            <b:First>J</b:First>
            <b:Middle>P</b:Middle>
          </b:Person>
          <b:Person>
            <b:Last>Bain</b:Last>
            <b:First>E</b:First>
            <b:Middle>J</b:Middle>
          </b:Person>
        </b:NameList>
      </b:Author>
    </b:Author>
    <b:Title>Energy-storage technologies and electricity generation</b:Title>
    <b:JournalName>Energy Policy</b:JournalName>
    <b:Year>2008</b:Year>
    <b:Pages>4352-4355</b:Pages>
    <b:Volume>36</b:Volume>
    <b:RefOrder>39</b:RefOrder>
  </b:Source>
  <b:Source>
    <b:Tag>Gee07</b:Tag>
    <b:SourceType>JournalArticle</b:SourceType>
    <b:Guid>{86664E1E-453D-4980-8AC6-691FB569D68D}</b:Guid>
    <b:Author>
      <b:Author>
        <b:NameList>
          <b:Person>
            <b:Last>Geels</b:Last>
            <b:First>F</b:First>
            <b:Middle>W</b:Middle>
          </b:Person>
          <b:Person>
            <b:Last>Schot</b:Last>
            <b:First>J</b:First>
          </b:Person>
        </b:NameList>
      </b:Author>
    </b:Author>
    <b:Title>Typology of sociotechnical transition pathways</b:Title>
    <b:JournalName>Research Policy</b:JournalName>
    <b:Year>2007</b:Year>
    <b:Pages>399-417</b:Pages>
    <b:Volume>36</b:Volume>
    <b:RefOrder>8</b:RefOrder>
  </b:Source>
  <b:Source>
    <b:Tag>Dro15</b:Tag>
    <b:SourceType>InternetSite</b:SourceType>
    <b:Guid>{CBF02A0A-AC3F-4EC6-99A7-595E8BC2532E}</b:Guid>
    <b:Author>
      <b:Author>
        <b:NameList>
          <b:Person>
            <b:Last>Drouin</b:Last>
            <b:First>R</b:First>
          </b:Person>
        </b:NameList>
      </b:Author>
    </b:Author>
    <b:Title>Wood Pellets: Green Energy or New Source of CO2 Emissions?</b:Title>
    <b:Year>2015</b:Year>
    <b:URL>http://e360.yale.edu/features/wood_pellets_green_energy_or_new_source_of_co2_emissions</b:URL>
    <b:YearAccessed>2017</b:YearAccessed>
    <b:MonthAccessed>July</b:MonthAccessed>
    <b:DayAccessed>10</b:DayAccessed>
    <b:RefOrder>13</b:RefOrder>
  </b:Source>
  <b:Source>
    <b:Tag>Dre80</b:Tag>
    <b:SourceType>Book</b:SourceType>
    <b:Guid>{F3351FBF-27BA-4040-B93F-B8B5674D1939}</b:Guid>
    <b:Title>Introduction to Designing and Conducting Research</b:Title>
    <b:Year>1980</b:Year>
    <b:Author>
      <b:Author>
        <b:NameList>
          <b:Person>
            <b:Last>Drew</b:Last>
            <b:First>C</b:First>
            <b:Middle>J</b:Middle>
          </b:Person>
        </b:NameList>
      </b:Author>
    </b:Author>
    <b:City>Missouri</b:City>
    <b:Publisher>CB: Mosby Company</b:Publisher>
    <b:Edition>2nd</b:Edition>
    <b:RefOrder>40</b:RefOrder>
  </b:Source>
  <b:Source>
    <b:Tag>Don14</b:Tag>
    <b:SourceType>InternetSite</b:SourceType>
    <b:Guid>{780A394D-0A3E-49FD-9344-4DEDB7C649C4}</b:Guid>
    <b:Title>Long-term energy storage with compressed air storages.</b:Title>
    <b:Year>2014</b:Year>
    <b:Author>
      <b:Author>
        <b:NameList>
          <b:Person>
            <b:Last>Donadei</b:Last>
            <b:First>S</b:First>
          </b:Person>
          <b:Person>
            <b:Last>Schneider</b:Last>
            <b:First>G-S</b:First>
          </b:Person>
        </b:NameList>
      </b:Author>
    </b:Author>
    <b:YearAccessed>2017</b:YearAccessed>
    <b:MonthAccessed>March</b:MonthAccessed>
    <b:DayAccessed>20</b:DayAccessed>
    <b:URL>http://www.ees-magazine.com/long-term-energy-storage-with-compressed-air-storages/</b:URL>
    <b:RefOrder>4</b:RefOrder>
  </b:Source>
  <b:Source>
    <b:Tag>Día12</b:Tag>
    <b:SourceType>JournalArticle</b:SourceType>
    <b:Guid>{7E415253-D2AF-454C-B5A5-A10A6F26FF8D}</b:Guid>
    <b:Title>A review of energy storage technologies for wind power application</b:Title>
    <b:Year>2012</b:Year>
    <b:Author>
      <b:Author>
        <b:NameList>
          <b:Person>
            <b:Last>Díaz-González</b:Last>
            <b:First>F</b:First>
          </b:Person>
          <b:Person>
            <b:Last>Sumper</b:Last>
            <b:First>A</b:First>
          </b:Person>
          <b:Person>
            <b:Last>Gomis-Bellmunt</b:Last>
            <b:First>O</b:First>
          </b:Person>
          <b:Person>
            <b:Last>Villafáfila-Robles</b:Last>
            <b:First>R</b:First>
          </b:Person>
        </b:NameList>
      </b:Author>
    </b:Author>
    <b:JournalName>Renewable and Sustainable Energy Reviews</b:JournalName>
    <b:Pages>2154-2171</b:Pages>
    <b:Volume>16</b:Volume>
    <b:RefOrder>41</b:RefOrder>
  </b:Source>
  <b:Source>
    <b:Tag>Cra02</b:Tag>
    <b:SourceType>JournalArticle</b:SourceType>
    <b:Guid>{D3E5AECC-0BBB-4380-B806-83A690D051BF}</b:Guid>
    <b:Title>Qualitative methods: the new orthodoxy? </b:Title>
    <b:Year>2002</b:Year>
    <b:Author>
      <b:Author>
        <b:NameList>
          <b:Person>
            <b:Last>Crang</b:Last>
            <b:First>M</b:First>
          </b:Person>
        </b:NameList>
      </b:Author>
    </b:Author>
    <b:JournalName>Progress in Human Geography</b:JournalName>
    <b:Pages>647-655</b:Pages>
    <b:Volume>26</b:Volume>
    <b:Issue>5</b:Issue>
    <b:RefOrder>42</b:RefOrder>
  </b:Source>
  <b:Source>
    <b:Tag>Blo07</b:Tag>
    <b:SourceType>BookSection</b:SourceType>
    <b:Guid>{A31A466D-1531-46F1-9D8D-B758E1A9C6F9}</b:Guid>
    <b:Title>Energy Extraction and Conversion</b:Title>
    <b:Year>2007</b:Year>
    <b:City>Amsterdam</b:City>
    <b:Publisher>Techne Press</b:Publisher>
    <b:BookTitle>Introduction to Energy Analysis</b:BookTitle>
    <b:Author>
      <b:Author>
        <b:NameList>
          <b:Person>
            <b:Last>Blok</b:Last>
            <b:First>K</b:First>
          </b:Person>
        </b:NameList>
      </b:Author>
    </b:Author>
    <b:RefOrder>2</b:RefOrder>
  </b:Source>
  <b:Source>
    <b:Tag>Ben07</b:Tag>
    <b:SourceType>JournalArticle</b:SourceType>
    <b:Guid>{88DFF96F-404F-43C4-89C7-9C9A540D912A}</b:Guid>
    <b:Title>Second-best theory and the use of multiple policy instruments</b:Title>
    <b:Year>2007</b:Year>
    <b:Author>
      <b:Author>
        <b:NameList>
          <b:Person>
            <b:Last>Bennear</b:Last>
            <b:First>L</b:First>
            <b:Middle>S</b:Middle>
          </b:Person>
          <b:Person>
            <b:Last>Stavins</b:Last>
            <b:First>R</b:First>
            <b:Middle>N</b:Middle>
          </b:Person>
        </b:NameList>
      </b:Author>
    </b:Author>
    <b:JournalName>Environmental Resource Economics</b:JournalName>
    <b:Pages>111-129</b:Pages>
    <b:Volume>37</b:Volume>
    <b:RefOrder>43</b:RefOrder>
  </b:Source>
  <b:Source>
    <b:Tag>Bel05</b:Tag>
    <b:SourceType>Book</b:SourceType>
    <b:Guid>{9E56127E-5783-4638-973F-FA8D9999693A}</b:Guid>
    <b:Author>
      <b:Author>
        <b:NameList>
          <b:Person>
            <b:Last>Bell</b:Last>
            <b:First>J</b:First>
          </b:Person>
        </b:NameList>
      </b:Author>
    </b:Author>
    <b:Title>Doing your Research Project. A guide for first-time researchers in education, health and social science</b:Title>
    <b:Year>2005</b:Year>
    <b:City>Maidenhead</b:City>
    <b:Publisher>Open University Press</b:Publisher>
    <b:Edition>4th</b:Edition>
    <b:RefOrder>44</b:RefOrder>
  </b:Source>
  <b:Source>
    <b:Tag>Wor16</b:Tag>
    <b:SourceType>Report</b:SourceType>
    <b:Guid>{749C022C-9767-4C6D-BB6A-CE77126E868A}</b:Guid>
    <b:Author>
      <b:Author>
        <b:Corporate>World Energy Council</b:Corporate>
      </b:Author>
    </b:Author>
    <b:Title>World Energy Resources 2016 Summary</b:Title>
    <b:Year>2016</b:Year>
    <b:Publisher>World Energy Council</b:Publisher>
    <b:City>London</b:City>
    <b:RefOrder>17</b:RefOrder>
  </b:Source>
  <b:Source>
    <b:Tag>Uni00</b:Tag>
    <b:SourceType>Report</b:SourceType>
    <b:Guid>{0A5E2984-2CE9-4457-AE99-3AB2F317420E}</b:Guid>
    <b:Title>World Energy Assessment. Energy and the challenge of sustainability</b:Title>
    <b:Year>2000</b:Year>
    <b:Author>
      <b:Author>
        <b:Corporate>United Nations Development Programme</b:Corporate>
      </b:Author>
    </b:Author>
    <b:Publisher>UNDP</b:Publisher>
    <b:City>New York</b:City>
    <b:RefOrder>45</b:RefOrder>
  </b:Source>
  <b:Source>
    <b:Tag>Uni17</b:Tag>
    <b:SourceType>InternetSite</b:SourceType>
    <b:Guid>{39A72036-9265-4816-B988-7778F0A7306F}</b:Guid>
    <b:Author>
      <b:Author>
        <b:Corporate>University of California, Berkeley</b:Corporate>
      </b:Author>
    </b:Author>
    <b:Title>What is a Greenhouse Gas?</b:Title>
    <b:Year>2017</b:Year>
    <b:YearAccessed>2017</b:YearAccessed>
    <b:MonthAccessed>March</b:MonthAccessed>
    <b:DayAccessed>20</b:DayAccessed>
    <b:URL>http://beacon.berkeley.edu/GHGs.aspx</b:URL>
    <b:RefOrder>46</b:RefOrder>
  </b:Source>
  <b:Source>
    <b:Tag>Del15</b:Tag>
    <b:SourceType>Report</b:SourceType>
    <b:Guid>{DFE5731D-E11D-4F18-84C5-8DC48282895E}</b:Guid>
    <b:Author>
      <b:Author>
        <b:Corporate>Delft University of Technology</b:Corporate>
      </b:Author>
    </b:Author>
    <b:Title>The Delft Plan - The Netherlands as an Energy Gateway</b:Title>
    <b:Year>2015</b:Year>
    <b:Publisher>TU Delft</b:Publisher>
    <b:City>Delft</b:City>
    <b:RefOrder>6</b:RefOrder>
  </b:Source>
  <b:Source>
    <b:Tag>Belnd</b:Tag>
    <b:SourceType>InternetSite</b:SourceType>
    <b:Guid>{D95C3F50-1287-4DDA-B8F0-4914B572E0B5}</b:Guid>
    <b:Title>Tabellen tarieven milieubelastingen</b:Title>
    <b:Year>n.d.</b:Year>
    <b:Author>
      <b:Author>
        <b:Corporate>Belastingdienst</b:Corporate>
      </b:Author>
    </b:Author>
    <b:URL>https://www.belastingdienst.nl/wps/wcm/connect/bldcontentnl/belastingdienst/zakelijk/overige_belastingen/belastingen_op_milieugrondslag/tarieven_milieubelastingen/tabellen_tarieven_milieubelastingen</b:URL>
    <b:YearAccessed>2017</b:YearAccessed>
    <b:MonthAccessed>July</b:MonthAccessed>
    <b:DayAccessed>10</b:DayAccessed>
    <b:RefOrder>47</b:RefOrder>
  </b:Source>
  <b:Source>
    <b:Tag>Soc13</b:Tag>
    <b:SourceType>Report</b:SourceType>
    <b:Guid>{D5CA912C-C934-4C00-83C7-FACB88068510}</b:Guid>
    <b:Author>
      <b:Author>
        <b:Corporate>Social and Economic Council</b:Corporate>
      </b:Author>
    </b:Author>
    <b:Title>Summary of: Energy Agreement for Sustainable Growth </b:Title>
    <b:Year>2013</b:Year>
    <b:Publisher>Social and Economic Council</b:Publisher>
    <b:RefOrder>48</b:RefOrder>
  </b:Source>
  <b:Source>
    <b:Tag>Bosnd</b:Tag>
    <b:SourceType>InternetSite</b:SourceType>
    <b:Guid>{F66D95FC-7B51-4DF1-AA5F-9F13A5895135}</b:Guid>
    <b:Author>
      <b:Author>
        <b:Corporate>Bosch &amp; Van Rijn</b:Corporate>
      </b:Author>
    </b:Author>
    <b:Title>STATISTIEK</b:Title>
    <b:Year>n.d.</b:Year>
    <b:URL>http://windstats.nl/statistiek.php?p1=0&amp;p2=7500&amp;p=0&amp;gemeente=</b:URL>
    <b:YearAccessed>2017</b:YearAccessed>
    <b:MonthAccessed>July </b:MonthAccessed>
    <b:DayAccessed>20</b:DayAccessed>
    <b:InternetSiteTitle>WINDSTATS.NL</b:InternetSiteTitle>
    <b:RefOrder>19</b:RefOrder>
  </b:Source>
  <b:Source>
    <b:Tag>Cen17</b:Tag>
    <b:SourceType>InternetSite</b:SourceType>
    <b:Guid>{F3ABE2AC-C037-4248-AEE7-07B7A1D8BC64}</b:Guid>
    <b:Author>
      <b:Author>
        <b:Corporate>Centraal Bureau voor de Statistiek</b:Corporate>
      </b:Author>
    </b:Author>
    <b:Title>Share of Renewable Energy at 5.9% in 2016</b:Title>
    <b:Year>2017</b:Year>
    <b:URL>https://www.cbs.nl/en-gb/news/2017/22/share-of-renewable-energy-at-5-9-in-2016</b:URL>
    <b:YearAccessed>2017</b:YearAccessed>
    <b:MonthAccessed>July </b:MonthAccessed>
    <b:DayAccessed>11</b:DayAccessed>
    <b:RefOrder>49</b:RefOrder>
  </b:Source>
  <b:Source>
    <b:Tag>The171</b:Tag>
    <b:SourceType>InternetSite</b:SourceType>
    <b:Guid>{071071FC-8C92-4D4F-BF84-CE5F06659414}</b:Guid>
    <b:Author>
      <b:Author>
        <b:Corporate>The Windpower</b:Corporate>
      </b:Author>
    </b:Author>
    <b:Title>Production capacities. Netherlands</b:Title>
    <b:Year>2017</b:Year>
    <b:YearAccessed>2017</b:YearAccessed>
    <b:MonthAccessed>July </b:MonthAccessed>
    <b:DayAccessed>20</b:DayAccessed>
    <b:RefOrder>18</b:RefOrder>
  </b:Source>
  <b:Source>
    <b:Tag>Tennd</b:Tag>
    <b:SourceType>InternetSite</b:SourceType>
    <b:Guid>{11CF5A95-5ABE-456E-AC5A-A5C4752EF54B}</b:Guid>
    <b:Title>Primary Reserve</b:Title>
    <b:Year>n.d.</b:Year>
    <b:Author>
      <b:Author>
        <b:Corporate>TenneT</b:Corporate>
      </b:Author>
    </b:Author>
    <b:InternetSiteTitle>TenneT</b:InternetSiteTitle>
    <b:URL>http://www.tennet.org/english/operational_management/system_data_preparation/primary_reserve.aspx</b:URL>
    <b:YearAccessed>2017</b:YearAccessed>
    <b:MonthAccessed>July</b:MonthAccessed>
    <b:DayAccessed>1</b:DayAccessed>
    <b:RefOrder>23</b:RefOrder>
  </b:Source>
  <b:Source>
    <b:Tag>Wor87</b:Tag>
    <b:SourceType>Report</b:SourceType>
    <b:Guid>{BFDB055C-5C7E-42C1-8348-7B8A368ABB2F}</b:Guid>
    <b:Author>
      <b:Author>
        <b:Corporate>World Commission on Environment and Development</b:Corporate>
      </b:Author>
    </b:Author>
    <b:Title>Our Common Future</b:Title>
    <b:Year>1987</b:Year>
    <b:Publisher>WCED</b:Publisher>
    <b:RefOrder>50</b:RefOrder>
  </b:Source>
  <b:Source>
    <b:Tag>Ene171</b:Tag>
    <b:SourceType>InternetSite</b:SourceType>
    <b:Guid>{FB04945C-B095-40BF-AC24-5011EA9581EF}</b:Guid>
    <b:Title>Organisation</b:Title>
    <b:Year>2017</b:Year>
    <b:URL>http://www.energystoragenl.nl/organisatie?lang=en</b:URL>
    <b:Author>
      <b:Author>
        <b:Corporate>Energy Storage NL</b:Corporate>
      </b:Author>
    </b:Author>
    <b:YearAccessed>2017</b:YearAccessed>
    <b:MonthAccessed>July</b:MonthAccessed>
    <b:DayAccessed>20</b:DayAccessed>
    <b:RefOrder>25</b:RefOrder>
  </b:Source>
  <b:Source>
    <b:Tag>Int17</b:Tag>
    <b:SourceType>InternetSite</b:SourceType>
    <b:Guid>{82D3A418-3271-461D-B919-0DE1CDE49DD3}</b:Guid>
    <b:Author>
      <b:Author>
        <b:Corporate>International Energy Agency</b:Corporate>
      </b:Author>
    </b:Author>
    <b:Title>Netherlands: Natural gas for 2014</b:Title>
    <b:Year>2017</b:Year>
    <b:URL>https://www.iea.org/statistics/statisticssearch/report/?year=2014&amp;country=NETHLAND&amp;product=NaturalGas</b:URL>
    <b:YearAccessed>2017</b:YearAccessed>
    <b:MonthAccessed>July</b:MonthAccessed>
    <b:DayAccessed>10</b:DayAccessed>
    <b:RefOrder>51</b:RefOrder>
  </b:Source>
  <b:Source>
    <b:Tag>Int16</b:Tag>
    <b:SourceType>InternetSite</b:SourceType>
    <b:Guid>{5ED53B9A-53DD-4684-B15D-E465A33B1AB6}</b:Guid>
    <b:Title>Netherlands - Energy System Overview</b:Title>
    <b:Year>2016a</b:Year>
    <b:Author>
      <b:Author>
        <b:Corporate>International Energy Agency</b:Corporate>
      </b:Author>
    </b:Author>
    <b:YearAccessed>2017</b:YearAccessed>
    <b:MonthAccessed>April</b:MonthAccessed>
    <b:DayAccessed>13</b:DayAccessed>
    <b:URL>http://www.iea.org/media/countries/Netherlands.pdf</b:URL>
    <b:RefOrder>52</b:RefOrder>
  </b:Source>
  <b:Source>
    <b:Tag>Enend</b:Tag>
    <b:SourceType>Report</b:SourceType>
    <b:Guid>{01C2DD6E-D7F5-4C25-A454-72F9286FB19A}</b:Guid>
    <b:Author>
      <b:Author>
        <b:Corporate>Energy Research Centre of the Netherlands</b:Corporate>
      </b:Author>
    </b:Author>
    <b:Title>National Energy Outlook 2016</b:Title>
    <b:Year>n.d.</b:Year>
    <b:Publisher>ECN</b:Publisher>
    <b:City>Petten</b:City>
    <b:RefOrder>53</b:RefOrder>
  </b:Source>
  <b:Source>
    <b:Tag>Int6b</b:Tag>
    <b:SourceType>InternetSite</b:SourceType>
    <b:Guid>{B19D0C57-8DB8-481B-B1BB-B15A88977867}</b:Guid>
    <b:Author>
      <b:Author>
        <b:Corporate>International Energy Agency</b:Corporate>
      </b:Author>
    </b:Author>
    <b:Title>Global Renewable Energy. IEA/IRENA Joint Policies and Measures database. Netherlands statistics</b:Title>
    <b:Year>2016b</b:Year>
    <b:URL>https://www.iea.org/policiesandmeasures/renewableenergy/?country=Netherlands</b:URL>
    <b:YearAccessed>2017</b:YearAccessed>
    <b:MonthAccessed>July</b:MonthAccessed>
    <b:DayAccessed>10</b:DayAccessed>
    <b:RefOrder>54</b:RefOrder>
  </b:Source>
  <b:Source>
    <b:Tag>The97</b:Tag>
    <b:SourceType>Report</b:SourceType>
    <b:Guid>{ABA4FEB1-F2D0-4215-849A-BD6462FEA04E}</b:Guid>
    <b:Author>
      <b:Author>
        <b:Corporate>The World Bank</b:Corporate>
      </b:Author>
    </b:Author>
    <b:Title>Five Years After Rio: Innovations in Environmental Policy</b:Title>
    <b:Year>1997</b:Year>
    <b:Publisher>The International Bank for Reconstruction and Development/The World Bank</b:Publisher>
    <b:City>Washington, D.C.</b:City>
    <b:RefOrder>55</b:RefOrder>
  </b:Source>
  <b:Source>
    <b:Tag>BEA10</b:Tag>
    <b:SourceType>Report</b:SourceType>
    <b:Guid>{64B87ADC-7C30-47D5-8A58-DE0ADFF92E1F}</b:Guid>
    <b:Title>Energy storage technologies for wind power integration</b:Title>
    <b:Year>2010</b:Year>
    <b:City>Brussels</b:City>
    <b:Publisher>Université libre de Bruxelles</b:Publisher>
    <b:Author>
      <b:Author>
        <b:Corporate>BEAMS</b:Corporate>
      </b:Author>
    </b:Author>
    <b:RefOrder>56</b:RefOrder>
  </b:Source>
  <b:Source>
    <b:Tag>DNV15</b:Tag>
    <b:SourceType>Report</b:SourceType>
    <b:Guid>{66C6288F-F4FF-4D36-BCEA-6701CC1B7057}</b:Guid>
    <b:Author>
      <b:Author>
        <b:Corporate>DNV GL</b:Corporate>
      </b:Author>
    </b:Author>
    <b:Title>Energy Storage Roadmap NL 2030</b:Title>
    <b:Year>2015</b:Year>
    <b:Publisher>KEMA Nederland B.V.</b:Publisher>
    <b:RefOrder>5</b:RefOrder>
  </b:Source>
  <b:Source>
    <b:Tag>Eur17</b:Tag>
    <b:SourceType>Report</b:SourceType>
    <b:Guid>{769F4B13-0226-4180-B91B-D07E3A31D027}</b:Guid>
    <b:Title>Energy storage - the role of electricity</b:Title>
    <b:Year>2017</b:Year>
    <b:City>Brussels</b:City>
    <b:Publisher>European Commission</b:Publisher>
    <b:Author>
      <b:Author>
        <b:Corporate>European Commission </b:Corporate>
      </b:Author>
    </b:Author>
    <b:RefOrder>57</b:RefOrder>
  </b:Source>
  <b:Source>
    <b:Tag>Wor17</b:Tag>
    <b:SourceType>InternetSite</b:SourceType>
    <b:Guid>{5273FC55-7186-44E9-A4F3-0F490C71452F}</b:Guid>
    <b:Author>
      <b:Author>
        <b:Corporate>World Energy Council</b:Corporate>
      </b:Author>
    </b:Author>
    <b:Title>Energy Resources: Solar</b:Title>
    <b:Year>2017</b:Year>
    <b:URL>https://www.worldenergy.org/data/resources/resource/solar/</b:URL>
    <b:YearAccessed>2017</b:YearAccessed>
    <b:MonthAccessed>July</b:MonthAccessed>
    <b:DayAccessed>11</b:DayAccessed>
    <b:RefOrder>15</b:RefOrder>
  </b:Source>
  <b:Source>
    <b:Tag>Min16</b:Tag>
    <b:SourceType>Report</b:SourceType>
    <b:Guid>{D3A9E4BE-1C8E-447B-AA64-43F5442A6C52}</b:Guid>
    <b:Title>Energy Report - Transition to sustainable energy</b:Title>
    <b:Year>2016</b:Year>
    <b:Author>
      <b:Author>
        <b:Corporate>Ministry of Economic Affairs of the Netherlands</b:Corporate>
      </b:Author>
    </b:Author>
    <b:Publisher>Ministry of Economic Affairs</b:Publisher>
    <b:City>The Hague</b:City>
    <b:RefOrder>58</b:RefOrder>
  </b:Source>
  <b:Source>
    <b:Tag>Int141</b:Tag>
    <b:SourceType>Report</b:SourceType>
    <b:Guid>{AC06B082-D5E3-4C86-8936-B0DAE07A42F9}</b:Guid>
    <b:Author>
      <b:Author>
        <b:Corporate>International Energy Agency</b:Corporate>
      </b:Author>
    </b:Author>
    <b:Title>Energy Policies of IEA Countries - The Netherlands 2014 Review</b:Title>
    <b:Year>2014</b:Year>
    <b:Publisher>International Energy Agency</b:Publisher>
    <b:City>Paris</b:City>
    <b:RefOrder>59</b:RefOrder>
  </b:Source>
  <b:Source>
    <b:Tag>USE16</b:Tag>
    <b:SourceType>Report</b:SourceType>
    <b:Guid>{405C86F5-3EF8-40F4-91F1-98085C053AB1}</b:Guid>
    <b:Author>
      <b:Author>
        <b:Corporate>U.S. Environmental Protection Agency</b:Corporate>
      </b:Author>
    </b:Author>
    <b:Title>Climate change indicators in the United States, 2016, Fourth Edition</b:Title>
    <b:Year>2016</b:Year>
    <b:Publisher>EPA 430-R-16-004</b:Publisher>
    <b:RefOrder>60</b:RefOrder>
  </b:Source>
  <b:Source>
    <b:Tag>Int142</b:Tag>
    <b:SourceType>Report</b:SourceType>
    <b:Guid>{8F33EC5D-192B-43B0-B43E-F068CE0110A4}</b:Guid>
    <b:Author>
      <b:Author>
        <b:Corporate>Intergovernmental Panel on Climate Change</b:Corporate>
      </b:Author>
    </b:Author>
    <b:Title>Climate Change 2014 - Synthesis Report</b:Title>
    <b:Year>2014</b:Year>
    <b:Publisher>Intergovernmental Panel on Climate Change</b:Publisher>
    <b:City>Geneva</b:City>
    <b:RefOrder>61</b:RefOrder>
  </b:Source>
  <b:Source>
    <b:Tag>PBL14</b:Tag>
    <b:SourceType>InternetSite</b:SourceType>
    <b:Guid>{59EE5BEF-94C9-4C90-B208-49304A7C7318}</b:Guid>
    <b:Title>Biomass: wishes and limitations</b:Title>
    <b:Year>2014</b:Year>
    <b:Author>
      <b:Author>
        <b:Corporate>PBL Netherlands Environmental Assessment Agency</b:Corporate>
      </b:Author>
    </b:Author>
    <b:URL>http://infographics.pbl.nl/biomass/</b:URL>
    <b:YearAccessed>2017</b:YearAccessed>
    <b:MonthAccessed>July</b:MonthAccessed>
    <b:DayAccessed>10</b:DayAccessed>
    <b:RefOrder>62</b:RefOrder>
  </b:Source>
  <b:Source>
    <b:Tag>Min14</b:Tag>
    <b:SourceType>Report</b:SourceType>
    <b:Guid>{A8D4CF02-94F8-44CD-A4A3-D19CDF857EDD}</b:Guid>
    <b:Title>Beleidsdoorlichting. Artikel 14: Energiebeleid 2007-2012. Eindrapportage</b:Title>
    <b:Year>2014</b:Year>
    <b:Author>
      <b:Author>
        <b:Corporate>Ministerie van Economische Zaken</b:Corporate>
      </b:Author>
    </b:Author>
    <b:Publisher>Ministerie van Economische Zaken</b:Publisher>
    <b:RefOrder>63</b:RefOrder>
  </b:Source>
  <b:Source>
    <b:Tag>Autnd</b:Tag>
    <b:SourceType>InternetSite</b:SourceType>
    <b:Guid>{C66353D0-3A78-4BC8-A0F5-07AEA8307927}</b:Guid>
    <b:Author>
      <b:Author>
        <b:Corporate>Authority for Consumers &amp; Markets</b:Corporate>
      </b:Author>
    </b:Author>
    <b:Title>Authority for Consumers &amp; Markets</b:Title>
    <b:Year>n.d.</b:Year>
    <b:URL>https://www.acm.nl/en/</b:URL>
    <b:YearAccessed>2017</b:YearAccessed>
    <b:MonthAccessed>July</b:MonthAccessed>
    <b:DayAccessed>20</b:DayAccessed>
    <b:RefOrder>64</b:RefOrder>
  </b:Source>
  <b:Source>
    <b:Tag>Ene17</b:Tag>
    <b:SourceType>InternetSite</b:SourceType>
    <b:Guid>{393A4BA9-6C2F-4227-9902-66F8C1BC023C}</b:Guid>
    <b:Title>Share of renewables in electricity production (including hydro)</b:Title>
    <b:Year>2017</b:Year>
    <b:Author>
      <b:Author>
        <b:Corporate>Enerdata</b:Corporate>
      </b:Author>
    </b:Author>
    <b:InternetSiteTitle>Global Energy Statistical Yearbook 2016</b:InternetSiteTitle>
    <b:URL>https://yearbook.enerdata.net/renewable-in-electricity-production-share-by-region.html</b:URL>
    <b:YearAccessed>2017</b:YearAccessed>
    <b:MonthAccessed>July </b:MonthAccessed>
    <b:DayAccessed>24</b:DayAccessed>
    <b:RefOrder>65</b:RefOrder>
  </b:Source>
  <b:Source>
    <b:Tag>Luo15</b:Tag>
    <b:SourceType>JournalArticle</b:SourceType>
    <b:Guid>{C2730871-D146-47DC-9220-6AD0937CE3AB}</b:Guid>
    <b:Author>
      <b:Author>
        <b:NameList>
          <b:Person>
            <b:Last>Luo</b:Last>
            <b:First>X</b:First>
          </b:Person>
          <b:Person>
            <b:Last>Wang</b:Last>
            <b:First>J</b:First>
          </b:Person>
          <b:Person>
            <b:Last>Dooner</b:Last>
            <b:First>M</b:First>
          </b:Person>
          <b:Person>
            <b:Last>Clarke</b:Last>
            <b:First>J</b:First>
          </b:Person>
        </b:NameList>
      </b:Author>
    </b:Author>
    <b:Title>Overview of current development in electrical energy storage technologies and the application potential in power system operation</b:Title>
    <b:JournalName>Applied Energy</b:JournalName>
    <b:Year>2015</b:Year>
    <b:Pages>511-536</b:Pages>
    <b:Volume>137</b:Volume>
    <b:RefOrder>66</b:RefOrder>
  </b:Source>
  <b:Source>
    <b:Tag>Zha151</b:Tag>
    <b:SourceType>JournalArticle</b:SourceType>
    <b:Guid>{6C950CA2-61C4-4833-B2DB-A1DA92CD530B}</b:Guid>
    <b:Title>Review of energy storage system for wind power integration support</b:Title>
    <b:Year>2015</b:Year>
    <b:Author>
      <b:Author>
        <b:NameList>
          <b:Person>
            <b:Last>Zhao</b:Last>
            <b:First>H</b:First>
          </b:Person>
          <b:Person>
            <b:Last>Wu</b:Last>
            <b:First>Q</b:First>
          </b:Person>
          <b:Person>
            <b:Last>Hu</b:Last>
            <b:First>S</b:First>
          </b:Person>
          <b:Person>
            <b:Last>Xu</b:Last>
            <b:First>H</b:First>
          </b:Person>
          <b:Person>
            <b:Last>Rasmussen</b:Last>
            <b:First>C</b:First>
            <b:Middle>N</b:Middle>
          </b:Person>
        </b:NameList>
      </b:Author>
    </b:Author>
    <b:JournalName>Applied Energy</b:JournalName>
    <b:Pages>545-553</b:Pages>
    <b:Volume>137</b:Volume>
    <b:RefOrder>67</b:RefOrder>
  </b:Source>
  <b:Source>
    <b:Tag>EAS17</b:Tag>
    <b:SourceType>Report</b:SourceType>
    <b:Guid>{2B2914F7-92BC-41CA-AC99-50936BC152C4}</b:Guid>
    <b:Title>Joint EASE-EERA Recommendations for a European Energy Storage Technology Development Roadmap Towards 2030 - Update</b:Title>
    <b:Year>2017</b:Year>
    <b:Publisher>EASE-EERA</b:Publisher>
    <b:Author>
      <b:Author>
        <b:Corporate>European Association for Energy Storage &amp; European Energy Research Alliance</b:Corporate>
      </b:Author>
    </b:Author>
    <b:RefOrder>68</b:RefOrder>
  </b:Source>
  <b:Source>
    <b:Tag>Hannd1</b:Tag>
    <b:SourceType>InternetSite</b:SourceType>
    <b:Guid>{EE64301F-767D-4C0A-8BCC-CDFAF38A9CA0}</b:Guid>
    <b:Title>Non-dispatchable source of electricity</b:Title>
    <b:Year>n.d.</b:Year>
    <b:YearAccessed>2017</b:YearAccessed>
    <b:MonthAccessed>3</b:MonthAccessed>
    <b:DayAccessed>16</b:DayAccessed>
    <b:URL>http://energyeducation.ca/encyclopedia/Non-dispatchable_source_of_electricity</b:URL>
    <b:Author>
      <b:Author>
        <b:NameList>
          <b:Person>
            <b:Last>Hanania</b:Last>
            <b:First>J</b:First>
          </b:Person>
          <b:Person>
            <b:Last>Stenhouse</b:Last>
            <b:First>K</b:First>
          </b:Person>
          <b:Person>
            <b:Last>Donev</b:Last>
            <b:First>J</b:First>
          </b:Person>
        </b:NameList>
      </b:Author>
    </b:Author>
    <b:RefOrder>69</b:RefOrder>
  </b:Source>
  <b:Source>
    <b:Tag>Gee02</b:Tag>
    <b:SourceType>JournalArticle</b:SourceType>
    <b:Guid>{332D0643-55BF-4C32-9DC6-3C38EE187D4E}</b:Guid>
    <b:Title>Technological transitions as evolutionary reconfiguration processes: a multi-level perspective and a case study</b:Title>
    <b:Year>2002</b:Year>
    <b:Author>
      <b:Author>
        <b:NameList>
          <b:Person>
            <b:Last>Geels</b:Last>
            <b:First>F</b:First>
            <b:Middle>W</b:Middle>
          </b:Person>
        </b:NameList>
      </b:Author>
    </b:Author>
    <b:JournalName>Research Policy</b:JournalName>
    <b:Pages>1257-1274</b:Pages>
    <b:Volume>31</b:Volume>
    <b:RefOrder>70</b:RefOrder>
  </b:Source>
  <b:Source>
    <b:Tag>The17</b:Tag>
    <b:SourceType>InternetSite</b:SourceType>
    <b:Guid>{DE5506C1-6901-43DD-8C98-9E0FBF37B264}</b:Guid>
    <b:Title>What is a Greenhouse Gas?</b:Title>
    <b:Year>2017</b:Year>
    <b:Author>
      <b:Author>
        <b:Corporate>The BErkeley Atmospheric CO2 Observation Network</b:Corporate>
      </b:Author>
    </b:Author>
    <b:URL>http://beacon.berkeley.edu/GHGs.aspx</b:URL>
    <b:InternetSiteTitle>The BErkeley Atmospheric CO2 Observation Network</b:InternetSiteTitle>
    <b:YearAccessed>2017</b:YearAccessed>
    <b:MonthAccessed>July</b:MonthAccessed>
    <b:DayAccessed>24</b:DayAccessed>
    <b:RefOrder>71</b:RefOrder>
  </b:Source>
  <b:Source>
    <b:Tag>Uni171</b:Tag>
    <b:SourceType>InternetSite</b:SourceType>
    <b:Guid>{A5B4B8CF-F625-4B44-9A09-B5CDD9736B62}</b:Guid>
    <b:Author>
      <b:Author>
        <b:Corporate>United Nations </b:Corporate>
      </b:Author>
    </b:Author>
    <b:Title>The Paris Agreement</b:Title>
    <b:InternetSiteTitle>United Nations Framework Convention on Climate Change</b:InternetSiteTitle>
    <b:Year>n.d.</b:Year>
    <b:URL>http://unfccc.int/paris_agreement/items/9485.php</b:URL>
    <b:YearAccessed>2017</b:YearAccessed>
    <b:MonthAccessed>July</b:MonthAccessed>
    <b:DayAccessed>24</b:DayAccessed>
    <b:RefOrder>72</b:RefOrder>
  </b:Source>
  <b:Source>
    <b:Tag>Sta15</b:Tag>
    <b:SourceType>Report</b:SourceType>
    <b:Guid>{48CC70E7-F4BE-40DB-85C7-511EAC1D1392}</b:Guid>
    <b:Title>Green growth in the Netherlands 2015</b:Title>
    <b:Year>2015</b:Year>
    <b:Author>
      <b:Author>
        <b:Corporate>Statistics Netherlands</b:Corporate>
      </b:Author>
    </b:Author>
    <b:Publisher>Statistics Netherlands</b:Publisher>
    <b:City>The Hague</b:City>
    <b:RefOrder>24</b:RefOrder>
  </b:Source>
  <b:Source>
    <b:Tag>Tes17</b:Tag>
    <b:SourceType>InternetSite</b:SourceType>
    <b:Guid>{C5810FC2-4018-430A-AFEA-594D711C8B1D}</b:Guid>
    <b:Title>Solar Roof</b:Title>
    <b:Year>2017</b:Year>
    <b:Author>
      <b:Author>
        <b:Corporate>Tesla</b:Corporate>
      </b:Author>
    </b:Author>
    <b:URL>https://www.tesla.com/en_GB/solarroof?redirect=no</b:URL>
    <b:YearAccessed>2017</b:YearAccessed>
    <b:MonthAccessed>July</b:MonthAccessed>
    <b:DayAccessed>27</b:DayAccessed>
    <b:RefOrder>16</b:RefOrder>
  </b:Source>
  <b:Source>
    <b:Tag>Sch00</b:Tag>
    <b:SourceType>JournalArticle</b:SourceType>
    <b:Guid>{008C8E57-4678-4220-BCD3-8DE02A6CD096}</b:Guid>
    <b:Title>Life cycle assessment of a wind farm and related externalities</b:Title>
    <b:Year>2000</b:Year>
    <b:Author>
      <b:Author>
        <b:NameList>
          <b:Person>
            <b:Last>Schleisner</b:Last>
            <b:First>L.</b:First>
          </b:Person>
        </b:NameList>
      </b:Author>
    </b:Author>
    <b:JournalName>Renewable Energy</b:JournalName>
    <b:Pages>279-288</b:Pages>
    <b:Volume>20</b:Volume>
    <b:RefOrder>20</b:RefOrder>
  </b:Source>
  <b:Source>
    <b:Tag>Kro08</b:Tag>
    <b:SourceType>Book</b:SourceType>
    <b:Guid>{8FC81E65-ABA7-4981-A00E-A42C22946CB9}</b:Guid>
    <b:Title>Innovations and the Environment</b:Title>
    <b:Year>2008</b:Year>
    <b:Author>
      <b:Author>
        <b:NameList>
          <b:Person>
            <b:Last>Krozer</b:Last>
            <b:First>Y</b:First>
          </b:Person>
        </b:NameList>
      </b:Author>
    </b:Author>
    <b:City>London</b:City>
    <b:Publisher>Springer</b:Publisher>
    <b:Edition>1st</b:Edition>
    <b:RefOrder>73</b:RefOrder>
  </b:Source>
  <b:Source>
    <b:Tag>Placeholder1</b:Tag>
    <b:SourceType>JournalArticle</b:SourceType>
    <b:Guid>{1D09AE9C-6D85-4B21-B5E4-B01BB54E4EA3}</b:Guid>
    <b:RefOrder>74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A5FDAD-1A0F-4603-ABEA-60596D87E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64</Pages>
  <Words>27211</Words>
  <Characters>155109</Characters>
  <Application>Microsoft Office Word</Application>
  <DocSecurity>8</DocSecurity>
  <Lines>1292</Lines>
  <Paragraphs>363</Paragraphs>
  <ScaleCrop>false</ScaleCrop>
  <HeadingPairs>
    <vt:vector size="2" baseType="variant">
      <vt:variant>
        <vt:lpstr>Title</vt:lpstr>
      </vt:variant>
      <vt:variant>
        <vt:i4>1</vt:i4>
      </vt:variant>
    </vt:vector>
  </HeadingPairs>
  <TitlesOfParts>
    <vt:vector size="1" baseType="lpstr">
      <vt:lpstr>the role of policy instruments in the integration of energy storage systems in the dutch energy mix</vt:lpstr>
    </vt:vector>
  </TitlesOfParts>
  <Company/>
  <LinksUpToDate>false</LinksUpToDate>
  <CharactersWithSpaces>181957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policy instruments in the integration of energy storage systems in the dutch energy mix</dc:title>
  <dc:subject>Andrew walker</dc:subject>
  <dc:creator>Andrew Walker</dc:creator>
  <cp:keywords/>
  <dc:description/>
  <cp:lastModifiedBy>Andrew Walker</cp:lastModifiedBy>
  <cp:revision>6</cp:revision>
  <cp:lastPrinted>2013-01-15T09:32:00Z</cp:lastPrinted>
  <dcterms:created xsi:type="dcterms:W3CDTF">2017-08-21T16:54:00Z</dcterms:created>
  <dcterms:modified xsi:type="dcterms:W3CDTF">2017-08-21T17:08:00Z</dcterms:modified>
  <cp:contentStatus>August 2017</cp:contentStatus>
</cp:coreProperties>
</file>