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47F958" w14:textId="7ED0677D" w:rsidR="00CE661F" w:rsidRPr="00AF3AAE" w:rsidRDefault="002B1CC1" w:rsidP="00561F8E">
      <w:pPr>
        <w:spacing w:line="360" w:lineRule="auto"/>
        <w:jc w:val="center"/>
        <w:rPr>
          <w:rFonts w:ascii="Times New Roman" w:hAnsi="Times New Roman" w:cs="Times New Roman"/>
          <w:sz w:val="32"/>
          <w:szCs w:val="32"/>
          <w:lang w:val="en-US"/>
        </w:rPr>
      </w:pPr>
      <w:r w:rsidRPr="00AF3AAE">
        <w:rPr>
          <w:rFonts w:ascii="Times New Roman" w:hAnsi="Times New Roman" w:cs="Times New Roman"/>
          <w:b/>
          <w:bCs/>
          <w:sz w:val="32"/>
          <w:szCs w:val="32"/>
          <w:lang w:val="en-US"/>
        </w:rPr>
        <w:t>A Temporal Alliance for Eurobonds</w:t>
      </w:r>
    </w:p>
    <w:p w14:paraId="4CB53A9B" w14:textId="4FF83AEC" w:rsidR="00CE661F" w:rsidRPr="001234AB" w:rsidRDefault="002B1CC1" w:rsidP="0030404D">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A Critical Political Economy Perspective of </w:t>
      </w:r>
      <w:proofErr w:type="spellStart"/>
      <w:r>
        <w:rPr>
          <w:rFonts w:ascii="Times New Roman" w:hAnsi="Times New Roman" w:cs="Times New Roman"/>
          <w:sz w:val="24"/>
          <w:szCs w:val="24"/>
          <w:lang w:val="en-US"/>
        </w:rPr>
        <w:t>NextGenerationEU’s</w:t>
      </w:r>
      <w:proofErr w:type="spellEnd"/>
      <w:r>
        <w:rPr>
          <w:rFonts w:ascii="Times New Roman" w:hAnsi="Times New Roman" w:cs="Times New Roman"/>
          <w:sz w:val="24"/>
          <w:szCs w:val="24"/>
          <w:lang w:val="en-US"/>
        </w:rPr>
        <w:t xml:space="preserve"> </w:t>
      </w:r>
      <w:r w:rsidR="0030404D">
        <w:rPr>
          <w:rFonts w:ascii="Times New Roman" w:hAnsi="Times New Roman" w:cs="Times New Roman"/>
          <w:sz w:val="24"/>
          <w:szCs w:val="24"/>
          <w:lang w:val="en-US"/>
        </w:rPr>
        <w:t>C</w:t>
      </w:r>
      <w:r>
        <w:rPr>
          <w:rFonts w:ascii="Times New Roman" w:hAnsi="Times New Roman" w:cs="Times New Roman"/>
          <w:sz w:val="24"/>
          <w:szCs w:val="24"/>
          <w:lang w:val="en-US"/>
        </w:rPr>
        <w:t xml:space="preserve">ommon </w:t>
      </w:r>
      <w:r w:rsidR="0030404D">
        <w:rPr>
          <w:rFonts w:ascii="Times New Roman" w:hAnsi="Times New Roman" w:cs="Times New Roman"/>
          <w:sz w:val="24"/>
          <w:szCs w:val="24"/>
          <w:lang w:val="en-US"/>
        </w:rPr>
        <w:t>D</w:t>
      </w:r>
      <w:r>
        <w:rPr>
          <w:rFonts w:ascii="Times New Roman" w:hAnsi="Times New Roman" w:cs="Times New Roman"/>
          <w:sz w:val="24"/>
          <w:szCs w:val="24"/>
          <w:lang w:val="en-US"/>
        </w:rPr>
        <w:t>ebt</w:t>
      </w:r>
    </w:p>
    <w:p w14:paraId="19AD4B45" w14:textId="77777777" w:rsidR="00470A67" w:rsidRPr="001234AB" w:rsidRDefault="00470A67" w:rsidP="00561F8E">
      <w:pPr>
        <w:spacing w:line="360" w:lineRule="auto"/>
        <w:jc w:val="center"/>
        <w:rPr>
          <w:rFonts w:ascii="Times New Roman" w:hAnsi="Times New Roman" w:cs="Times New Roman"/>
          <w:sz w:val="24"/>
          <w:szCs w:val="24"/>
          <w:lang w:val="en-US"/>
        </w:rPr>
      </w:pPr>
    </w:p>
    <w:p w14:paraId="3688770E" w14:textId="77777777" w:rsidR="00470A67" w:rsidRPr="001234AB" w:rsidRDefault="00470A67" w:rsidP="00561F8E">
      <w:pPr>
        <w:spacing w:line="360" w:lineRule="auto"/>
        <w:rPr>
          <w:rFonts w:ascii="Times New Roman" w:hAnsi="Times New Roman" w:cs="Times New Roman"/>
          <w:b/>
          <w:bCs/>
          <w:sz w:val="24"/>
          <w:szCs w:val="24"/>
          <w:lang w:val="en-US"/>
        </w:rPr>
      </w:pPr>
    </w:p>
    <w:p w14:paraId="7F65A778" w14:textId="77777777" w:rsidR="00470A67" w:rsidRPr="001234AB" w:rsidRDefault="00470A67" w:rsidP="00561F8E">
      <w:pPr>
        <w:spacing w:line="360" w:lineRule="auto"/>
        <w:rPr>
          <w:rFonts w:ascii="Times New Roman" w:hAnsi="Times New Roman" w:cs="Times New Roman"/>
          <w:b/>
          <w:bCs/>
          <w:sz w:val="24"/>
          <w:szCs w:val="24"/>
          <w:lang w:val="en-US"/>
        </w:rPr>
      </w:pPr>
    </w:p>
    <w:bookmarkStart w:id="0" w:name="_MON_1785483895"/>
    <w:bookmarkEnd w:id="0"/>
    <w:p w14:paraId="37F272A7" w14:textId="479497F1" w:rsidR="00470A67" w:rsidRPr="001234AB" w:rsidRDefault="00A9343D" w:rsidP="00561F8E">
      <w:pPr>
        <w:spacing w:line="360" w:lineRule="auto"/>
        <w:rPr>
          <w:rFonts w:ascii="Times New Roman" w:hAnsi="Times New Roman" w:cs="Times New Roman"/>
          <w:b/>
          <w:bCs/>
          <w:sz w:val="24"/>
          <w:szCs w:val="24"/>
          <w:lang w:val="en-US"/>
        </w:rPr>
      </w:pPr>
      <w:r w:rsidRPr="00A9343D">
        <w:rPr>
          <w:rFonts w:ascii="Times New Roman" w:hAnsi="Times New Roman" w:cs="Times New Roman"/>
          <w:b/>
          <w:bCs/>
          <w:noProof/>
          <w:sz w:val="24"/>
          <w:szCs w:val="24"/>
          <w:lang w:val="en-US"/>
        </w:rPr>
        <w:object w:dxaOrig="9080" w:dyaOrig="13760" w14:anchorId="2A95D5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54.1pt;height:687.9pt;mso-width-percent:0;mso-height-percent:0;mso-width-percent:0;mso-height-percent:0" o:ole="">
            <v:imagedata r:id="rId7" o:title=""/>
          </v:shape>
          <o:OLEObject Type="Embed" ProgID="Word.Document.12" ShapeID="_x0000_i1025" DrawAspect="Content" ObjectID="_1785490506" r:id="rId8">
            <o:FieldCodes>\s</o:FieldCodes>
          </o:OLEObject>
        </w:object>
      </w:r>
    </w:p>
    <w:p w14:paraId="0DF64DF1" w14:textId="77777777" w:rsidR="00470A67" w:rsidRPr="001234AB" w:rsidRDefault="00470A67" w:rsidP="00561F8E">
      <w:pPr>
        <w:spacing w:line="360" w:lineRule="auto"/>
        <w:rPr>
          <w:rFonts w:ascii="Times New Roman" w:hAnsi="Times New Roman" w:cs="Times New Roman"/>
          <w:b/>
          <w:bCs/>
          <w:sz w:val="24"/>
          <w:szCs w:val="24"/>
          <w:lang w:val="en-US"/>
        </w:rPr>
      </w:pPr>
    </w:p>
    <w:p w14:paraId="3EAF4E4B" w14:textId="77777777" w:rsidR="00470A67" w:rsidRPr="001234AB" w:rsidRDefault="00470A67" w:rsidP="00561F8E">
      <w:pPr>
        <w:spacing w:line="360" w:lineRule="auto"/>
        <w:rPr>
          <w:rFonts w:ascii="Times New Roman" w:hAnsi="Times New Roman" w:cs="Times New Roman"/>
          <w:b/>
          <w:bCs/>
          <w:sz w:val="24"/>
          <w:szCs w:val="24"/>
          <w:lang w:val="en-US"/>
        </w:rPr>
      </w:pPr>
    </w:p>
    <w:p w14:paraId="595E513B" w14:textId="77777777" w:rsidR="00470A67" w:rsidRPr="001234AB" w:rsidRDefault="00470A67" w:rsidP="00561F8E">
      <w:pPr>
        <w:spacing w:line="360" w:lineRule="auto"/>
        <w:rPr>
          <w:rFonts w:ascii="Times New Roman" w:hAnsi="Times New Roman" w:cs="Times New Roman"/>
          <w:b/>
          <w:bCs/>
          <w:sz w:val="24"/>
          <w:szCs w:val="24"/>
          <w:lang w:val="en-US"/>
        </w:rPr>
      </w:pPr>
    </w:p>
    <w:p w14:paraId="67C861B3" w14:textId="77777777" w:rsidR="00470A67" w:rsidRPr="001234AB" w:rsidRDefault="00470A67" w:rsidP="00561F8E">
      <w:pPr>
        <w:spacing w:line="360" w:lineRule="auto"/>
        <w:rPr>
          <w:rFonts w:ascii="Times New Roman" w:hAnsi="Times New Roman" w:cs="Times New Roman"/>
          <w:b/>
          <w:bCs/>
          <w:sz w:val="24"/>
          <w:szCs w:val="24"/>
          <w:lang w:val="en-US"/>
        </w:rPr>
      </w:pPr>
    </w:p>
    <w:p w14:paraId="2C188162" w14:textId="77777777" w:rsidR="00470A67" w:rsidRPr="001234AB" w:rsidRDefault="00470A67" w:rsidP="00561F8E">
      <w:pPr>
        <w:spacing w:line="360" w:lineRule="auto"/>
        <w:rPr>
          <w:rFonts w:ascii="Times New Roman" w:hAnsi="Times New Roman" w:cs="Times New Roman"/>
          <w:b/>
          <w:bCs/>
          <w:sz w:val="24"/>
          <w:szCs w:val="24"/>
          <w:lang w:val="en-US"/>
        </w:rPr>
      </w:pPr>
    </w:p>
    <w:p w14:paraId="7F2597C6" w14:textId="77777777" w:rsidR="00470A67" w:rsidRPr="001234AB" w:rsidRDefault="00470A67" w:rsidP="00561F8E">
      <w:pPr>
        <w:spacing w:line="360" w:lineRule="auto"/>
        <w:rPr>
          <w:rFonts w:ascii="Times New Roman" w:hAnsi="Times New Roman" w:cs="Times New Roman"/>
          <w:b/>
          <w:bCs/>
          <w:sz w:val="24"/>
          <w:szCs w:val="24"/>
          <w:lang w:val="en-US"/>
        </w:rPr>
      </w:pPr>
    </w:p>
    <w:p w14:paraId="0A4495B1" w14:textId="77777777" w:rsidR="00470A67" w:rsidRPr="001234AB" w:rsidRDefault="00470A67" w:rsidP="00561F8E">
      <w:pPr>
        <w:spacing w:line="360" w:lineRule="auto"/>
        <w:rPr>
          <w:rFonts w:ascii="Times New Roman" w:hAnsi="Times New Roman" w:cs="Times New Roman"/>
          <w:b/>
          <w:bCs/>
          <w:sz w:val="24"/>
          <w:szCs w:val="24"/>
          <w:lang w:val="en-US"/>
        </w:rPr>
      </w:pPr>
    </w:p>
    <w:p w14:paraId="368B58FF" w14:textId="18A63BD1" w:rsidR="00A6458D" w:rsidRPr="001234AB" w:rsidRDefault="00F807BD" w:rsidP="00561F8E">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T</w:t>
      </w:r>
      <w:r w:rsidR="00A6458D" w:rsidRPr="001234AB">
        <w:rPr>
          <w:rFonts w:ascii="Times New Roman" w:hAnsi="Times New Roman" w:cs="Times New Roman"/>
          <w:b/>
          <w:bCs/>
          <w:sz w:val="24"/>
          <w:szCs w:val="24"/>
          <w:lang w:val="en-US"/>
        </w:rPr>
        <w:t xml:space="preserve">hesis submitted </w:t>
      </w:r>
      <w:r w:rsidR="00591F71" w:rsidRPr="001234AB">
        <w:rPr>
          <w:rFonts w:ascii="Times New Roman" w:hAnsi="Times New Roman" w:cs="Times New Roman"/>
          <w:b/>
          <w:bCs/>
          <w:sz w:val="24"/>
          <w:szCs w:val="24"/>
          <w:lang w:val="en-US"/>
        </w:rPr>
        <w:t>in Partial Fulfillment of the Requirements for the Degree of Master in Political Science (MSc)</w:t>
      </w:r>
    </w:p>
    <w:p w14:paraId="6D68F69C" w14:textId="77777777" w:rsidR="00A6458D" w:rsidRPr="001234AB" w:rsidRDefault="00A6458D" w:rsidP="00561F8E">
      <w:pPr>
        <w:spacing w:line="360" w:lineRule="auto"/>
        <w:rPr>
          <w:rFonts w:ascii="Times New Roman" w:hAnsi="Times New Roman" w:cs="Times New Roman"/>
          <w:b/>
          <w:bCs/>
          <w:sz w:val="24"/>
          <w:szCs w:val="24"/>
          <w:lang w:val="en-US"/>
        </w:rPr>
      </w:pPr>
    </w:p>
    <w:p w14:paraId="003C02B6" w14:textId="1AE20F12" w:rsidR="00470A67" w:rsidRPr="001234AB" w:rsidRDefault="00470A67" w:rsidP="00561F8E">
      <w:pPr>
        <w:spacing w:line="360" w:lineRule="auto"/>
        <w:rPr>
          <w:rFonts w:ascii="Times New Roman" w:hAnsi="Times New Roman" w:cs="Times New Roman"/>
          <w:b/>
          <w:bCs/>
          <w:sz w:val="24"/>
          <w:szCs w:val="24"/>
          <w:lang w:val="en-US"/>
        </w:rPr>
      </w:pPr>
      <w:proofErr w:type="spellStart"/>
      <w:r w:rsidRPr="001234AB">
        <w:rPr>
          <w:rFonts w:ascii="Times New Roman" w:hAnsi="Times New Roman" w:cs="Times New Roman"/>
          <w:b/>
          <w:bCs/>
          <w:sz w:val="24"/>
          <w:szCs w:val="24"/>
          <w:lang w:val="en-US"/>
        </w:rPr>
        <w:t>Camiel</w:t>
      </w:r>
      <w:proofErr w:type="spellEnd"/>
      <w:r w:rsidRPr="001234AB">
        <w:rPr>
          <w:rFonts w:ascii="Times New Roman" w:hAnsi="Times New Roman" w:cs="Times New Roman"/>
          <w:b/>
          <w:bCs/>
          <w:sz w:val="24"/>
          <w:szCs w:val="24"/>
          <w:lang w:val="en-US"/>
        </w:rPr>
        <w:t xml:space="preserve"> Bus</w:t>
      </w:r>
      <w:r w:rsidR="00917267" w:rsidRPr="001234AB">
        <w:rPr>
          <w:rFonts w:ascii="Times New Roman" w:hAnsi="Times New Roman" w:cs="Times New Roman"/>
          <w:b/>
          <w:bCs/>
          <w:sz w:val="24"/>
          <w:szCs w:val="24"/>
          <w:lang w:val="en-US"/>
        </w:rPr>
        <w:t xml:space="preserve"> </w:t>
      </w:r>
    </w:p>
    <w:p w14:paraId="11AE05E4" w14:textId="77777777" w:rsidR="00470A67" w:rsidRPr="001234AB" w:rsidRDefault="00470A67" w:rsidP="00561F8E">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Student Number: s1027900</w:t>
      </w:r>
    </w:p>
    <w:p w14:paraId="1C40831C" w14:textId="77777777" w:rsidR="0052272B" w:rsidRPr="001234AB" w:rsidRDefault="00676EB5" w:rsidP="00561F8E">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Supervisor:</w:t>
      </w:r>
      <w:r w:rsidR="00C656BD" w:rsidRPr="001234AB">
        <w:rPr>
          <w:rFonts w:ascii="Times New Roman" w:hAnsi="Times New Roman" w:cs="Times New Roman"/>
          <w:b/>
          <w:bCs/>
          <w:sz w:val="24"/>
          <w:szCs w:val="24"/>
          <w:lang w:val="en-US"/>
        </w:rPr>
        <w:t xml:space="preserve"> Dr. A. Wigger</w:t>
      </w:r>
      <w:r w:rsidRPr="001234AB">
        <w:rPr>
          <w:rFonts w:ascii="Times New Roman" w:hAnsi="Times New Roman" w:cs="Times New Roman"/>
          <w:b/>
          <w:bCs/>
          <w:sz w:val="24"/>
          <w:szCs w:val="24"/>
          <w:lang w:val="en-US"/>
        </w:rPr>
        <w:t xml:space="preserve"> </w:t>
      </w:r>
    </w:p>
    <w:p w14:paraId="1A9B6DAE" w14:textId="33680DBC" w:rsidR="0052272B" w:rsidRPr="001234AB" w:rsidRDefault="00C656BD" w:rsidP="00561F8E">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Faculty</w:t>
      </w:r>
      <w:r w:rsidR="0052272B" w:rsidRPr="001234AB">
        <w:rPr>
          <w:rFonts w:ascii="Times New Roman" w:hAnsi="Times New Roman" w:cs="Times New Roman"/>
          <w:b/>
          <w:bCs/>
          <w:sz w:val="24"/>
          <w:szCs w:val="24"/>
          <w:lang w:val="en-US"/>
        </w:rPr>
        <w:t>:</w:t>
      </w:r>
      <w:r w:rsidR="00531DCA" w:rsidRPr="001234AB">
        <w:rPr>
          <w:rFonts w:ascii="Times New Roman" w:hAnsi="Times New Roman" w:cs="Times New Roman"/>
          <w:b/>
          <w:bCs/>
          <w:sz w:val="24"/>
          <w:szCs w:val="24"/>
          <w:lang w:val="en-US"/>
        </w:rPr>
        <w:t xml:space="preserve"> Nijmegen School of Management</w:t>
      </w:r>
    </w:p>
    <w:p w14:paraId="7CE57121" w14:textId="36EDAD90" w:rsidR="007C6BC5" w:rsidRPr="001234AB" w:rsidRDefault="0052272B" w:rsidP="00561F8E">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University:</w:t>
      </w:r>
      <w:r w:rsidR="00C656BD" w:rsidRPr="001234AB">
        <w:rPr>
          <w:rFonts w:ascii="Times New Roman" w:hAnsi="Times New Roman" w:cs="Times New Roman"/>
          <w:b/>
          <w:bCs/>
          <w:sz w:val="24"/>
          <w:szCs w:val="24"/>
          <w:lang w:val="en-US"/>
        </w:rPr>
        <w:t xml:space="preserve"> </w:t>
      </w:r>
      <w:r w:rsidR="00531DCA" w:rsidRPr="001234AB">
        <w:rPr>
          <w:rFonts w:ascii="Times New Roman" w:hAnsi="Times New Roman" w:cs="Times New Roman"/>
          <w:b/>
          <w:bCs/>
          <w:sz w:val="24"/>
          <w:szCs w:val="24"/>
          <w:lang w:val="en-US"/>
        </w:rPr>
        <w:t>Radboud University, Nijmegen, The Netherlands</w:t>
      </w:r>
    </w:p>
    <w:p w14:paraId="5C0A5A4B" w14:textId="77777777" w:rsidR="0099661A" w:rsidRPr="001234AB" w:rsidRDefault="007C6BC5" w:rsidP="00561F8E">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 xml:space="preserve">Specialization: </w:t>
      </w:r>
      <w:r w:rsidR="0099661A" w:rsidRPr="001234AB">
        <w:rPr>
          <w:rFonts w:ascii="Times New Roman" w:hAnsi="Times New Roman" w:cs="Times New Roman"/>
          <w:b/>
          <w:bCs/>
          <w:sz w:val="24"/>
          <w:szCs w:val="24"/>
          <w:lang w:val="en-US"/>
        </w:rPr>
        <w:t>International Political Economy</w:t>
      </w:r>
    </w:p>
    <w:p w14:paraId="6C4A67AB" w14:textId="1E527DBD" w:rsidR="0099661A" w:rsidRPr="001234AB" w:rsidRDefault="0099661A" w:rsidP="00561F8E">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Date and year of submission:</w:t>
      </w:r>
      <w:r w:rsidR="00561F8E" w:rsidRPr="001234AB">
        <w:rPr>
          <w:rFonts w:ascii="Times New Roman" w:hAnsi="Times New Roman" w:cs="Times New Roman"/>
          <w:b/>
          <w:bCs/>
          <w:sz w:val="24"/>
          <w:szCs w:val="24"/>
          <w:lang w:val="en-US"/>
        </w:rPr>
        <w:t xml:space="preserve"> 14-08-2024</w:t>
      </w:r>
    </w:p>
    <w:p w14:paraId="3160331E" w14:textId="42E0E8DC" w:rsidR="00CE661F" w:rsidRPr="001234AB" w:rsidRDefault="0099661A" w:rsidP="00561F8E">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 xml:space="preserve">Word count: </w:t>
      </w:r>
      <w:r w:rsidR="00510097">
        <w:rPr>
          <w:rFonts w:ascii="Times New Roman" w:hAnsi="Times New Roman" w:cs="Times New Roman"/>
          <w:b/>
          <w:bCs/>
          <w:sz w:val="24"/>
          <w:szCs w:val="24"/>
          <w:lang w:val="en-US"/>
        </w:rPr>
        <w:t>22447</w:t>
      </w:r>
      <w:r w:rsidR="00CE661F" w:rsidRPr="001234AB">
        <w:rPr>
          <w:rFonts w:ascii="Times New Roman" w:hAnsi="Times New Roman" w:cs="Times New Roman"/>
          <w:b/>
          <w:bCs/>
          <w:sz w:val="24"/>
          <w:szCs w:val="24"/>
          <w:lang w:val="en-US"/>
        </w:rPr>
        <w:br w:type="page"/>
      </w:r>
    </w:p>
    <w:p w14:paraId="4301CEEC" w14:textId="13C48D60" w:rsidR="00FC0961" w:rsidRPr="001234AB" w:rsidRDefault="00FC0961" w:rsidP="000F6429">
      <w:pPr>
        <w:spacing w:line="360" w:lineRule="auto"/>
        <w:jc w:val="both"/>
        <w:rPr>
          <w:rFonts w:ascii="Times New Roman" w:hAnsi="Times New Roman" w:cs="Times New Roman"/>
          <w:sz w:val="24"/>
          <w:szCs w:val="24"/>
          <w:lang w:val="en-US"/>
        </w:rPr>
      </w:pPr>
      <w:r w:rsidRPr="001234AB">
        <w:rPr>
          <w:rFonts w:ascii="Times New Roman" w:hAnsi="Times New Roman" w:cs="Times New Roman"/>
          <w:b/>
          <w:bCs/>
          <w:sz w:val="24"/>
          <w:szCs w:val="24"/>
          <w:lang w:val="en-US"/>
        </w:rPr>
        <w:lastRenderedPageBreak/>
        <w:t>Abstract</w:t>
      </w:r>
      <w:r w:rsidRPr="001234AB">
        <w:rPr>
          <w:rFonts w:ascii="Times New Roman" w:hAnsi="Times New Roman" w:cs="Times New Roman"/>
          <w:sz w:val="24"/>
          <w:szCs w:val="24"/>
          <w:lang w:val="en-US"/>
        </w:rPr>
        <w:br/>
      </w:r>
      <w:r w:rsidR="0062002D" w:rsidRPr="001234AB">
        <w:rPr>
          <w:rFonts w:ascii="Times New Roman" w:hAnsi="Times New Roman" w:cs="Times New Roman"/>
          <w:sz w:val="24"/>
          <w:szCs w:val="24"/>
          <w:lang w:val="en-US"/>
        </w:rPr>
        <w:t xml:space="preserve">This thesis seeks to explain the European Union’s </w:t>
      </w:r>
      <w:r w:rsidR="00EA512C" w:rsidRPr="001234AB">
        <w:rPr>
          <w:rFonts w:ascii="Times New Roman" w:hAnsi="Times New Roman" w:cs="Times New Roman"/>
          <w:sz w:val="24"/>
          <w:szCs w:val="24"/>
          <w:lang w:val="en-US"/>
        </w:rPr>
        <w:t xml:space="preserve">(EU) </w:t>
      </w:r>
      <w:r w:rsidR="0062002D" w:rsidRPr="001234AB">
        <w:rPr>
          <w:rFonts w:ascii="Times New Roman" w:hAnsi="Times New Roman" w:cs="Times New Roman"/>
          <w:sz w:val="24"/>
          <w:szCs w:val="24"/>
          <w:lang w:val="en-US"/>
        </w:rPr>
        <w:t xml:space="preserve">decision to issue Eurobonds to finance the </w:t>
      </w:r>
      <w:proofErr w:type="spellStart"/>
      <w:r w:rsidR="0062002D" w:rsidRPr="001234AB">
        <w:rPr>
          <w:rFonts w:ascii="Times New Roman" w:hAnsi="Times New Roman" w:cs="Times New Roman"/>
          <w:sz w:val="24"/>
          <w:szCs w:val="24"/>
          <w:lang w:val="en-US"/>
        </w:rPr>
        <w:t>NextGenerationEU</w:t>
      </w:r>
      <w:proofErr w:type="spellEnd"/>
      <w:r w:rsidR="00980523" w:rsidRPr="001234AB">
        <w:rPr>
          <w:rFonts w:ascii="Times New Roman" w:hAnsi="Times New Roman" w:cs="Times New Roman"/>
          <w:sz w:val="24"/>
          <w:szCs w:val="24"/>
          <w:lang w:val="en-US"/>
        </w:rPr>
        <w:t xml:space="preserve"> (NGEU)</w:t>
      </w:r>
      <w:r w:rsidR="0062002D" w:rsidRPr="001234AB">
        <w:rPr>
          <w:rFonts w:ascii="Times New Roman" w:hAnsi="Times New Roman" w:cs="Times New Roman"/>
          <w:sz w:val="24"/>
          <w:szCs w:val="24"/>
          <w:lang w:val="en-US"/>
        </w:rPr>
        <w:t xml:space="preserve"> recovery package in 2020. The topic of common debt issuance and its implied debt mutualization ha</w:t>
      </w:r>
      <w:r w:rsidR="00980523" w:rsidRPr="001234AB">
        <w:rPr>
          <w:rFonts w:ascii="Times New Roman" w:hAnsi="Times New Roman" w:cs="Times New Roman"/>
          <w:sz w:val="24"/>
          <w:szCs w:val="24"/>
          <w:lang w:val="en-US"/>
        </w:rPr>
        <w:t xml:space="preserve">d divided EU Member States for over a decade. Unsuccessful Eurobonds proposals during the sovereign debt crisis were testimony to this political contention. However, during the COVID-19 pandemic, Eurobonds were established as the fundamental building block of </w:t>
      </w:r>
      <w:r w:rsidR="009B1329" w:rsidRPr="001234AB">
        <w:rPr>
          <w:rFonts w:ascii="Times New Roman" w:hAnsi="Times New Roman" w:cs="Times New Roman"/>
          <w:sz w:val="24"/>
          <w:szCs w:val="24"/>
          <w:lang w:val="en-US"/>
        </w:rPr>
        <w:t xml:space="preserve">financing </w:t>
      </w:r>
      <w:r w:rsidR="00980523" w:rsidRPr="001234AB">
        <w:rPr>
          <w:rFonts w:ascii="Times New Roman" w:hAnsi="Times New Roman" w:cs="Times New Roman"/>
          <w:sz w:val="24"/>
          <w:szCs w:val="24"/>
          <w:lang w:val="en-US"/>
        </w:rPr>
        <w:t>NGEU.</w:t>
      </w:r>
      <w:r w:rsidR="009B1329" w:rsidRPr="001234AB">
        <w:rPr>
          <w:rFonts w:ascii="Times New Roman" w:hAnsi="Times New Roman" w:cs="Times New Roman"/>
          <w:sz w:val="24"/>
          <w:szCs w:val="24"/>
          <w:lang w:val="en-US"/>
        </w:rPr>
        <w:t xml:space="preserve"> </w:t>
      </w:r>
      <w:r w:rsidR="00EA512C" w:rsidRPr="001234AB">
        <w:rPr>
          <w:rFonts w:ascii="Times New Roman" w:hAnsi="Times New Roman" w:cs="Times New Roman"/>
          <w:sz w:val="24"/>
          <w:szCs w:val="24"/>
          <w:lang w:val="en-US"/>
        </w:rPr>
        <w:t>A critical political economy perspective is employed to answer this puzzling decision by the EU.</w:t>
      </w:r>
      <w:r w:rsidR="003F52BB">
        <w:rPr>
          <w:rFonts w:ascii="Times New Roman" w:hAnsi="Times New Roman" w:cs="Times New Roman"/>
          <w:sz w:val="24"/>
          <w:szCs w:val="24"/>
          <w:lang w:val="en-US"/>
        </w:rPr>
        <w:t xml:space="preserve"> T</w:t>
      </w:r>
      <w:r w:rsidR="00460A19" w:rsidRPr="001234AB">
        <w:rPr>
          <w:rFonts w:ascii="Times New Roman" w:hAnsi="Times New Roman" w:cs="Times New Roman"/>
          <w:sz w:val="24"/>
          <w:szCs w:val="24"/>
          <w:lang w:val="en-US"/>
        </w:rPr>
        <w:t xml:space="preserve">his thesis puts forward a </w:t>
      </w:r>
      <w:r w:rsidR="003F52BB">
        <w:rPr>
          <w:rFonts w:ascii="Times New Roman" w:hAnsi="Times New Roman" w:cs="Times New Roman"/>
          <w:sz w:val="24"/>
          <w:szCs w:val="24"/>
          <w:lang w:val="en-US"/>
        </w:rPr>
        <w:t xml:space="preserve">theoretical </w:t>
      </w:r>
      <w:r w:rsidR="00460A19" w:rsidRPr="001234AB">
        <w:rPr>
          <w:rFonts w:ascii="Times New Roman" w:hAnsi="Times New Roman" w:cs="Times New Roman"/>
          <w:sz w:val="24"/>
          <w:szCs w:val="24"/>
          <w:lang w:val="en-US"/>
        </w:rPr>
        <w:t>framework that is based on the Amsterdam Project (AP) and insights from Gramsci, and feminist critical political economy. Methodologically, this thesis draws on historical materialist policy analysis (HMPA) and document analysis. The analysis puts forward an explanatory narrative that shows that during COVID-19, a temporal alliance in favor of Eurobonds can be outlined on the basis of</w:t>
      </w:r>
      <w:r w:rsidR="00494D28" w:rsidRPr="001234AB">
        <w:rPr>
          <w:rFonts w:ascii="Times New Roman" w:hAnsi="Times New Roman" w:cs="Times New Roman"/>
          <w:sz w:val="24"/>
          <w:szCs w:val="24"/>
          <w:lang w:val="en-US"/>
        </w:rPr>
        <w:t xml:space="preserve"> the alignment of </w:t>
      </w:r>
      <w:r w:rsidR="00961139">
        <w:rPr>
          <w:rFonts w:ascii="Times New Roman" w:hAnsi="Times New Roman" w:cs="Times New Roman"/>
          <w:sz w:val="24"/>
          <w:szCs w:val="24"/>
          <w:lang w:val="en-US"/>
        </w:rPr>
        <w:t xml:space="preserve">the </w:t>
      </w:r>
      <w:r w:rsidR="00460A19" w:rsidRPr="001234AB">
        <w:rPr>
          <w:rFonts w:ascii="Times New Roman" w:hAnsi="Times New Roman" w:cs="Times New Roman"/>
          <w:sz w:val="24"/>
          <w:szCs w:val="24"/>
          <w:lang w:val="en-US"/>
        </w:rPr>
        <w:t>interests of relevant social forces</w:t>
      </w:r>
      <w:r w:rsidR="00494D28" w:rsidRPr="001234AB">
        <w:rPr>
          <w:rFonts w:ascii="Times New Roman" w:hAnsi="Times New Roman" w:cs="Times New Roman"/>
          <w:sz w:val="24"/>
          <w:szCs w:val="24"/>
          <w:lang w:val="en-US"/>
        </w:rPr>
        <w:t>, with the financial capital fraction shifting its position on Eurobonds.</w:t>
      </w:r>
      <w:r w:rsidR="00E3110E">
        <w:rPr>
          <w:rFonts w:ascii="Times New Roman" w:hAnsi="Times New Roman" w:cs="Times New Roman"/>
          <w:sz w:val="24"/>
          <w:szCs w:val="24"/>
          <w:lang w:val="en-US"/>
        </w:rPr>
        <w:t xml:space="preserve"> </w:t>
      </w:r>
      <w:r w:rsidR="00A36A79">
        <w:rPr>
          <w:rFonts w:ascii="Times New Roman" w:hAnsi="Times New Roman" w:cs="Times New Roman"/>
          <w:sz w:val="24"/>
          <w:szCs w:val="24"/>
          <w:lang w:val="en-US"/>
        </w:rPr>
        <w:t>A further scrutiny of</w:t>
      </w:r>
      <w:r w:rsidR="0054113B">
        <w:rPr>
          <w:rFonts w:ascii="Times New Roman" w:hAnsi="Times New Roman" w:cs="Times New Roman"/>
          <w:sz w:val="24"/>
          <w:szCs w:val="24"/>
          <w:lang w:val="en-US"/>
        </w:rPr>
        <w:t xml:space="preserve"> </w:t>
      </w:r>
      <w:r w:rsidR="00F327EC">
        <w:rPr>
          <w:rFonts w:ascii="Times New Roman" w:hAnsi="Times New Roman" w:cs="Times New Roman"/>
          <w:sz w:val="24"/>
          <w:szCs w:val="24"/>
          <w:lang w:val="en-US"/>
        </w:rPr>
        <w:t>subordinate social forces</w:t>
      </w:r>
      <w:r w:rsidR="00354EEB">
        <w:rPr>
          <w:rFonts w:ascii="Times New Roman" w:hAnsi="Times New Roman" w:cs="Times New Roman"/>
          <w:sz w:val="24"/>
          <w:szCs w:val="24"/>
          <w:lang w:val="en-US"/>
        </w:rPr>
        <w:t xml:space="preserve">, and the </w:t>
      </w:r>
      <w:r w:rsidR="0053226B">
        <w:rPr>
          <w:rFonts w:ascii="Times New Roman" w:hAnsi="Times New Roman" w:cs="Times New Roman"/>
          <w:sz w:val="24"/>
          <w:szCs w:val="24"/>
          <w:lang w:val="en-US"/>
        </w:rPr>
        <w:t>hegemony of the financial capital fraction</w:t>
      </w:r>
      <w:r w:rsidR="005759B2">
        <w:rPr>
          <w:rFonts w:ascii="Times New Roman" w:hAnsi="Times New Roman" w:cs="Times New Roman"/>
          <w:sz w:val="24"/>
          <w:szCs w:val="24"/>
          <w:lang w:val="en-US"/>
        </w:rPr>
        <w:t>, underpinned</w:t>
      </w:r>
      <w:r w:rsidR="007A432B">
        <w:rPr>
          <w:rFonts w:ascii="Times New Roman" w:hAnsi="Times New Roman" w:cs="Times New Roman"/>
          <w:sz w:val="24"/>
          <w:szCs w:val="24"/>
          <w:lang w:val="en-US"/>
        </w:rPr>
        <w:t xml:space="preserve"> by debt-led accumulation</w:t>
      </w:r>
      <w:r w:rsidR="008F4E03">
        <w:rPr>
          <w:rFonts w:ascii="Times New Roman" w:hAnsi="Times New Roman" w:cs="Times New Roman"/>
          <w:sz w:val="24"/>
          <w:szCs w:val="24"/>
          <w:lang w:val="en-US"/>
        </w:rPr>
        <w:t>,</w:t>
      </w:r>
      <w:r w:rsidR="00007E75">
        <w:rPr>
          <w:rFonts w:ascii="Times New Roman" w:hAnsi="Times New Roman" w:cs="Times New Roman"/>
          <w:sz w:val="24"/>
          <w:szCs w:val="24"/>
          <w:lang w:val="en-US"/>
        </w:rPr>
        <w:t xml:space="preserve"> outlines an </w:t>
      </w:r>
      <w:r w:rsidR="003A60FC">
        <w:rPr>
          <w:rFonts w:ascii="Times New Roman" w:hAnsi="Times New Roman" w:cs="Times New Roman"/>
          <w:sz w:val="24"/>
          <w:szCs w:val="24"/>
          <w:lang w:val="en-US"/>
        </w:rPr>
        <w:t xml:space="preserve">absence and marginalization of </w:t>
      </w:r>
      <w:r w:rsidR="00AB249B">
        <w:rPr>
          <w:rFonts w:ascii="Times New Roman" w:hAnsi="Times New Roman" w:cs="Times New Roman"/>
          <w:sz w:val="24"/>
          <w:szCs w:val="24"/>
          <w:lang w:val="en-US"/>
        </w:rPr>
        <w:t>counter-hegemonic forces.</w:t>
      </w:r>
      <w:r w:rsidR="009B1329" w:rsidRPr="001234AB">
        <w:rPr>
          <w:rFonts w:ascii="Times New Roman" w:hAnsi="Times New Roman" w:cs="Times New Roman"/>
          <w:sz w:val="24"/>
          <w:szCs w:val="24"/>
          <w:lang w:val="en-US"/>
        </w:rPr>
        <w:br/>
      </w:r>
      <w:r w:rsidR="009B1329" w:rsidRPr="001234AB">
        <w:rPr>
          <w:rFonts w:ascii="Times New Roman" w:hAnsi="Times New Roman" w:cs="Times New Roman"/>
          <w:sz w:val="24"/>
          <w:szCs w:val="24"/>
          <w:lang w:val="en-US"/>
        </w:rPr>
        <w:br/>
      </w:r>
      <w:r w:rsidR="005C47AC" w:rsidRPr="000F6429">
        <w:rPr>
          <w:rFonts w:ascii="Times New Roman" w:hAnsi="Times New Roman" w:cs="Times New Roman"/>
          <w:b/>
          <w:bCs/>
          <w:sz w:val="24"/>
          <w:szCs w:val="24"/>
          <w:lang w:val="en-US"/>
        </w:rPr>
        <w:t>Key words</w:t>
      </w:r>
      <w:r w:rsidR="005C47AC" w:rsidRPr="001234AB">
        <w:rPr>
          <w:rFonts w:ascii="Times New Roman" w:hAnsi="Times New Roman" w:cs="Times New Roman"/>
          <w:sz w:val="24"/>
          <w:szCs w:val="24"/>
          <w:lang w:val="en-US"/>
        </w:rPr>
        <w:t>: Eurobonds, NGEU, debt mutualization, debt-</w:t>
      </w:r>
      <w:r w:rsidR="00561F8E" w:rsidRPr="001234AB">
        <w:rPr>
          <w:rFonts w:ascii="Times New Roman" w:hAnsi="Times New Roman" w:cs="Times New Roman"/>
          <w:sz w:val="24"/>
          <w:szCs w:val="24"/>
          <w:lang w:val="en-US"/>
        </w:rPr>
        <w:t xml:space="preserve">led </w:t>
      </w:r>
      <w:r w:rsidR="005C47AC" w:rsidRPr="001234AB">
        <w:rPr>
          <w:rFonts w:ascii="Times New Roman" w:hAnsi="Times New Roman" w:cs="Times New Roman"/>
          <w:sz w:val="24"/>
          <w:szCs w:val="24"/>
          <w:lang w:val="en-US"/>
        </w:rPr>
        <w:t xml:space="preserve">accumulation, Amsterdam Project. </w:t>
      </w:r>
    </w:p>
    <w:p w14:paraId="48B8E1E9" w14:textId="235E7155" w:rsidR="00FC0961" w:rsidRPr="001234AB" w:rsidRDefault="00FC0961" w:rsidP="00F807BD">
      <w:pPr>
        <w:spacing w:line="360" w:lineRule="auto"/>
        <w:rPr>
          <w:rFonts w:ascii="Times New Roman" w:hAnsi="Times New Roman" w:cs="Times New Roman"/>
          <w:b/>
          <w:bCs/>
          <w:sz w:val="24"/>
          <w:szCs w:val="24"/>
          <w:lang w:val="en-US"/>
        </w:rPr>
      </w:pPr>
    </w:p>
    <w:p w14:paraId="792E9554" w14:textId="0B23B45A" w:rsidR="00210384" w:rsidRPr="001234AB" w:rsidRDefault="00210384" w:rsidP="00F807BD">
      <w:pPr>
        <w:spacing w:line="360" w:lineRule="auto"/>
        <w:rPr>
          <w:rFonts w:ascii="Times New Roman" w:hAnsi="Times New Roman" w:cs="Times New Roman"/>
          <w:b/>
          <w:bCs/>
          <w:sz w:val="24"/>
          <w:szCs w:val="24"/>
          <w:lang w:val="en-US"/>
        </w:rPr>
      </w:pPr>
    </w:p>
    <w:p w14:paraId="73CA857B" w14:textId="3B6FC701" w:rsidR="00210384" w:rsidRPr="001234AB" w:rsidRDefault="00210384" w:rsidP="00F807BD">
      <w:pPr>
        <w:spacing w:line="360" w:lineRule="auto"/>
        <w:rPr>
          <w:rFonts w:ascii="Times New Roman" w:hAnsi="Times New Roman" w:cs="Times New Roman"/>
          <w:b/>
          <w:bCs/>
          <w:sz w:val="24"/>
          <w:szCs w:val="24"/>
          <w:lang w:val="en-US"/>
        </w:rPr>
      </w:pPr>
    </w:p>
    <w:p w14:paraId="4A324D00" w14:textId="06C0D876" w:rsidR="00210384" w:rsidRPr="001234AB" w:rsidRDefault="00210384" w:rsidP="00F807BD">
      <w:pPr>
        <w:spacing w:line="360" w:lineRule="auto"/>
        <w:rPr>
          <w:rFonts w:ascii="Times New Roman" w:hAnsi="Times New Roman" w:cs="Times New Roman"/>
          <w:b/>
          <w:bCs/>
          <w:sz w:val="24"/>
          <w:szCs w:val="24"/>
          <w:lang w:val="en-US"/>
        </w:rPr>
      </w:pPr>
    </w:p>
    <w:p w14:paraId="2F3CEA14" w14:textId="4EECD87B" w:rsidR="00210384" w:rsidRPr="001234AB" w:rsidRDefault="00210384" w:rsidP="00F807BD">
      <w:pPr>
        <w:spacing w:line="360" w:lineRule="auto"/>
        <w:rPr>
          <w:rFonts w:ascii="Times New Roman" w:hAnsi="Times New Roman" w:cs="Times New Roman"/>
          <w:b/>
          <w:bCs/>
          <w:sz w:val="24"/>
          <w:szCs w:val="24"/>
          <w:lang w:val="en-US"/>
        </w:rPr>
      </w:pPr>
    </w:p>
    <w:p w14:paraId="6F39D101" w14:textId="181409E7" w:rsidR="00210384" w:rsidRPr="001234AB" w:rsidRDefault="00210384" w:rsidP="00F807BD">
      <w:pPr>
        <w:spacing w:line="360" w:lineRule="auto"/>
        <w:rPr>
          <w:rFonts w:ascii="Times New Roman" w:hAnsi="Times New Roman" w:cs="Times New Roman"/>
          <w:b/>
          <w:bCs/>
          <w:sz w:val="24"/>
          <w:szCs w:val="24"/>
          <w:lang w:val="en-US"/>
        </w:rPr>
      </w:pPr>
    </w:p>
    <w:p w14:paraId="53CCA42E" w14:textId="6CC35A91" w:rsidR="00210384" w:rsidRPr="001234AB" w:rsidRDefault="00210384" w:rsidP="00F807BD">
      <w:pPr>
        <w:spacing w:line="360" w:lineRule="auto"/>
        <w:rPr>
          <w:rFonts w:ascii="Times New Roman" w:hAnsi="Times New Roman" w:cs="Times New Roman"/>
          <w:b/>
          <w:bCs/>
          <w:sz w:val="24"/>
          <w:szCs w:val="24"/>
          <w:lang w:val="en-US"/>
        </w:rPr>
      </w:pPr>
    </w:p>
    <w:p w14:paraId="1D764F0F" w14:textId="5EC3B8F5" w:rsidR="00210384" w:rsidRPr="001234AB" w:rsidRDefault="00210384" w:rsidP="00F807BD">
      <w:pPr>
        <w:spacing w:line="360" w:lineRule="auto"/>
        <w:rPr>
          <w:rFonts w:ascii="Times New Roman" w:hAnsi="Times New Roman" w:cs="Times New Roman"/>
          <w:b/>
          <w:bCs/>
          <w:sz w:val="24"/>
          <w:szCs w:val="24"/>
          <w:lang w:val="en-US"/>
        </w:rPr>
      </w:pPr>
    </w:p>
    <w:p w14:paraId="159B65EC" w14:textId="05A1DD30" w:rsidR="00210384" w:rsidRPr="001234AB" w:rsidRDefault="00210384" w:rsidP="00F807BD">
      <w:pPr>
        <w:spacing w:line="360" w:lineRule="auto"/>
        <w:rPr>
          <w:rFonts w:ascii="Times New Roman" w:hAnsi="Times New Roman" w:cs="Times New Roman"/>
          <w:b/>
          <w:bCs/>
          <w:sz w:val="24"/>
          <w:szCs w:val="24"/>
          <w:lang w:val="en-US"/>
        </w:rPr>
      </w:pPr>
    </w:p>
    <w:p w14:paraId="2A326559" w14:textId="77777777" w:rsidR="00AB249B" w:rsidRDefault="00AB249B" w:rsidP="00F807BD">
      <w:pPr>
        <w:spacing w:line="360" w:lineRule="auto"/>
        <w:rPr>
          <w:rFonts w:ascii="Times New Roman" w:hAnsi="Times New Roman" w:cs="Times New Roman"/>
          <w:b/>
          <w:bCs/>
          <w:sz w:val="24"/>
          <w:szCs w:val="24"/>
          <w:lang w:val="en-US"/>
        </w:rPr>
      </w:pPr>
    </w:p>
    <w:p w14:paraId="2D88830A" w14:textId="77777777" w:rsidR="000F6429" w:rsidRDefault="00861A40" w:rsidP="000F6429">
      <w:pPr>
        <w:spacing w:line="360" w:lineRule="auto"/>
        <w:jc w:val="both"/>
        <w:rPr>
          <w:rFonts w:ascii="Times New Roman" w:hAnsi="Times New Roman" w:cs="Times New Roman"/>
          <w:sz w:val="24"/>
          <w:szCs w:val="24"/>
          <w:lang w:val="en-US"/>
        </w:rPr>
      </w:pPr>
      <w:r w:rsidRPr="001234AB">
        <w:rPr>
          <w:rFonts w:ascii="Times New Roman" w:hAnsi="Times New Roman" w:cs="Times New Roman"/>
          <w:b/>
          <w:bCs/>
          <w:sz w:val="24"/>
          <w:szCs w:val="24"/>
          <w:lang w:val="en-US"/>
        </w:rPr>
        <w:lastRenderedPageBreak/>
        <w:t>Acknowledgments</w:t>
      </w:r>
      <w:r w:rsidRPr="001234AB">
        <w:rPr>
          <w:rFonts w:ascii="Times New Roman" w:hAnsi="Times New Roman" w:cs="Times New Roman"/>
          <w:sz w:val="24"/>
          <w:szCs w:val="24"/>
          <w:lang w:val="en-US"/>
        </w:rPr>
        <w:br/>
        <w:t xml:space="preserve">This thesis would </w:t>
      </w:r>
      <w:r w:rsidR="00BD0652" w:rsidRPr="001234AB">
        <w:rPr>
          <w:rFonts w:ascii="Times New Roman" w:hAnsi="Times New Roman" w:cs="Times New Roman"/>
          <w:sz w:val="24"/>
          <w:szCs w:val="24"/>
          <w:lang w:val="en-US"/>
        </w:rPr>
        <w:t xml:space="preserve">not have been possible </w:t>
      </w:r>
      <w:r w:rsidRPr="001234AB">
        <w:rPr>
          <w:rFonts w:ascii="Times New Roman" w:hAnsi="Times New Roman" w:cs="Times New Roman"/>
          <w:sz w:val="24"/>
          <w:szCs w:val="24"/>
          <w:lang w:val="en-US"/>
        </w:rPr>
        <w:t xml:space="preserve">without the help of many people. </w:t>
      </w:r>
      <w:r w:rsidR="00BD0652" w:rsidRPr="001234AB">
        <w:rPr>
          <w:rFonts w:ascii="Times New Roman" w:hAnsi="Times New Roman" w:cs="Times New Roman"/>
          <w:sz w:val="24"/>
          <w:szCs w:val="24"/>
          <w:lang w:val="en-US"/>
        </w:rPr>
        <w:br/>
      </w:r>
      <w:r w:rsidR="00BD0652" w:rsidRPr="001234AB">
        <w:rPr>
          <w:rFonts w:ascii="Times New Roman" w:hAnsi="Times New Roman" w:cs="Times New Roman"/>
          <w:sz w:val="24"/>
          <w:szCs w:val="24"/>
          <w:lang w:val="en-US"/>
        </w:rPr>
        <w:br/>
      </w:r>
      <w:r w:rsidR="0014591A" w:rsidRPr="001234AB">
        <w:rPr>
          <w:rFonts w:ascii="Times New Roman" w:hAnsi="Times New Roman" w:cs="Times New Roman"/>
          <w:sz w:val="24"/>
          <w:szCs w:val="24"/>
          <w:lang w:val="en-US"/>
        </w:rPr>
        <w:t>I would like to express my deepest gratitude to</w:t>
      </w:r>
      <w:r w:rsidRPr="001234AB">
        <w:rPr>
          <w:rFonts w:ascii="Times New Roman" w:hAnsi="Times New Roman" w:cs="Times New Roman"/>
          <w:sz w:val="24"/>
          <w:szCs w:val="24"/>
          <w:lang w:val="en-US"/>
        </w:rPr>
        <w:t xml:space="preserve"> Angela for her excellent supervision and passion</w:t>
      </w:r>
      <w:r w:rsidR="00BD0652" w:rsidRPr="001234AB">
        <w:rPr>
          <w:rFonts w:ascii="Times New Roman" w:hAnsi="Times New Roman" w:cs="Times New Roman"/>
          <w:sz w:val="24"/>
          <w:szCs w:val="24"/>
          <w:lang w:val="en-US"/>
        </w:rPr>
        <w:t>, which were vital to the completion of this thesis</w:t>
      </w:r>
      <w:r w:rsidR="0014591A" w:rsidRPr="001234AB">
        <w:rPr>
          <w:rFonts w:ascii="Times New Roman" w:hAnsi="Times New Roman" w:cs="Times New Roman"/>
          <w:sz w:val="24"/>
          <w:szCs w:val="24"/>
          <w:lang w:val="en-US"/>
        </w:rPr>
        <w:t>. Many thanks to Miguel for the valuable and enjoyable brainstorming session.</w:t>
      </w:r>
      <w:r w:rsidR="00BD0652" w:rsidRPr="001234AB">
        <w:rPr>
          <w:rFonts w:ascii="Times New Roman" w:hAnsi="Times New Roman" w:cs="Times New Roman"/>
          <w:sz w:val="24"/>
          <w:szCs w:val="24"/>
          <w:lang w:val="en-US"/>
        </w:rPr>
        <w:t xml:space="preserve"> </w:t>
      </w:r>
      <w:r w:rsidR="00C06B1E" w:rsidRPr="001234AB">
        <w:rPr>
          <w:rFonts w:ascii="Times New Roman" w:hAnsi="Times New Roman" w:cs="Times New Roman"/>
          <w:sz w:val="24"/>
          <w:szCs w:val="24"/>
          <w:lang w:val="en-US"/>
        </w:rPr>
        <w:t xml:space="preserve">I would be negligent not to mention my </w:t>
      </w:r>
      <w:r w:rsidR="0086103F" w:rsidRPr="001234AB">
        <w:rPr>
          <w:rFonts w:ascii="Times New Roman" w:hAnsi="Times New Roman" w:cs="Times New Roman"/>
          <w:sz w:val="24"/>
          <w:szCs w:val="24"/>
          <w:lang w:val="en-US"/>
        </w:rPr>
        <w:t xml:space="preserve">wonderful </w:t>
      </w:r>
      <w:r w:rsidR="00C06B1E" w:rsidRPr="001234AB">
        <w:rPr>
          <w:rFonts w:ascii="Times New Roman" w:hAnsi="Times New Roman" w:cs="Times New Roman"/>
          <w:sz w:val="24"/>
          <w:szCs w:val="24"/>
          <w:lang w:val="en-US"/>
        </w:rPr>
        <w:t>sister, Lotte, for helping me with formatting.</w:t>
      </w:r>
    </w:p>
    <w:p w14:paraId="47117FA8" w14:textId="6917E7C7" w:rsidR="00861A40" w:rsidRPr="001234AB" w:rsidRDefault="00BD0652" w:rsidP="000F6429">
      <w:pPr>
        <w:spacing w:line="360" w:lineRule="auto"/>
        <w:jc w:val="both"/>
        <w:rPr>
          <w:rFonts w:ascii="Times New Roman" w:hAnsi="Times New Roman" w:cs="Times New Roman"/>
          <w:sz w:val="24"/>
          <w:szCs w:val="24"/>
          <w:lang w:val="en-US"/>
        </w:rPr>
      </w:pPr>
      <w:r w:rsidRPr="001234AB">
        <w:rPr>
          <w:rFonts w:ascii="Times New Roman" w:hAnsi="Times New Roman" w:cs="Times New Roman"/>
          <w:sz w:val="24"/>
          <w:szCs w:val="24"/>
          <w:lang w:val="en-US"/>
        </w:rPr>
        <w:br/>
      </w:r>
      <w:r w:rsidR="00861A40" w:rsidRPr="001234AB">
        <w:rPr>
          <w:rFonts w:ascii="Times New Roman" w:hAnsi="Times New Roman" w:cs="Times New Roman"/>
          <w:sz w:val="24"/>
          <w:szCs w:val="24"/>
          <w:lang w:val="en-US"/>
        </w:rPr>
        <w:t xml:space="preserve">I am thankful for the </w:t>
      </w:r>
      <w:r w:rsidR="0014591A" w:rsidRPr="001234AB">
        <w:rPr>
          <w:rFonts w:ascii="Times New Roman" w:hAnsi="Times New Roman" w:cs="Times New Roman"/>
          <w:sz w:val="24"/>
          <w:szCs w:val="24"/>
          <w:lang w:val="en-US"/>
        </w:rPr>
        <w:t xml:space="preserve">moral </w:t>
      </w:r>
      <w:r w:rsidR="00861A40" w:rsidRPr="001234AB">
        <w:rPr>
          <w:rFonts w:ascii="Times New Roman" w:hAnsi="Times New Roman" w:cs="Times New Roman"/>
          <w:sz w:val="24"/>
          <w:szCs w:val="24"/>
          <w:lang w:val="en-US"/>
        </w:rPr>
        <w:t>support of my friends,</w:t>
      </w:r>
      <w:r w:rsidRPr="001234AB">
        <w:rPr>
          <w:rFonts w:ascii="Times New Roman" w:hAnsi="Times New Roman" w:cs="Times New Roman"/>
          <w:sz w:val="24"/>
          <w:szCs w:val="24"/>
          <w:lang w:val="en-US"/>
        </w:rPr>
        <w:t xml:space="preserve"> </w:t>
      </w:r>
      <w:r w:rsidR="00861A40" w:rsidRPr="001234AB">
        <w:rPr>
          <w:rFonts w:ascii="Times New Roman" w:hAnsi="Times New Roman" w:cs="Times New Roman"/>
          <w:sz w:val="24"/>
          <w:szCs w:val="24"/>
          <w:lang w:val="en-US"/>
        </w:rPr>
        <w:t>particular</w:t>
      </w:r>
      <w:r w:rsidRPr="001234AB">
        <w:rPr>
          <w:rFonts w:ascii="Times New Roman" w:hAnsi="Times New Roman" w:cs="Times New Roman"/>
          <w:sz w:val="24"/>
          <w:szCs w:val="24"/>
          <w:lang w:val="en-US"/>
        </w:rPr>
        <w:t>ly</w:t>
      </w:r>
      <w:r w:rsidR="00861A40"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Coen, </w:t>
      </w:r>
      <w:proofErr w:type="spellStart"/>
      <w:r w:rsidRPr="001234AB">
        <w:rPr>
          <w:rFonts w:ascii="Times New Roman" w:hAnsi="Times New Roman" w:cs="Times New Roman"/>
          <w:sz w:val="24"/>
          <w:szCs w:val="24"/>
          <w:lang w:val="en-US"/>
        </w:rPr>
        <w:t>Sjoerd</w:t>
      </w:r>
      <w:proofErr w:type="spellEnd"/>
      <w:r w:rsidRPr="001234AB">
        <w:rPr>
          <w:rFonts w:ascii="Times New Roman" w:hAnsi="Times New Roman" w:cs="Times New Roman"/>
          <w:sz w:val="24"/>
          <w:szCs w:val="24"/>
          <w:lang w:val="en-US"/>
        </w:rPr>
        <w:t>, and Wessel</w:t>
      </w:r>
      <w:r w:rsidR="00861A40"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Lastly, I would like to mention my parents, Theo and </w:t>
      </w:r>
      <w:proofErr w:type="spellStart"/>
      <w:r w:rsidRPr="001234AB">
        <w:rPr>
          <w:rFonts w:ascii="Times New Roman" w:hAnsi="Times New Roman" w:cs="Times New Roman"/>
          <w:sz w:val="24"/>
          <w:szCs w:val="24"/>
          <w:lang w:val="en-US"/>
        </w:rPr>
        <w:t>Lidy</w:t>
      </w:r>
      <w:proofErr w:type="spellEnd"/>
      <w:r w:rsidRPr="001234AB">
        <w:rPr>
          <w:rFonts w:ascii="Times New Roman" w:hAnsi="Times New Roman" w:cs="Times New Roman"/>
          <w:sz w:val="24"/>
          <w:szCs w:val="24"/>
          <w:lang w:val="en-US"/>
        </w:rPr>
        <w:t>, for their infinite support and for teaching me the virtue</w:t>
      </w:r>
      <w:r w:rsidR="00440535" w:rsidRPr="001234AB">
        <w:rPr>
          <w:rFonts w:ascii="Times New Roman" w:hAnsi="Times New Roman" w:cs="Times New Roman"/>
          <w:sz w:val="24"/>
          <w:szCs w:val="24"/>
          <w:lang w:val="en-US"/>
        </w:rPr>
        <w:t>s</w:t>
      </w:r>
      <w:r w:rsidRPr="001234AB">
        <w:rPr>
          <w:rFonts w:ascii="Times New Roman" w:hAnsi="Times New Roman" w:cs="Times New Roman"/>
          <w:sz w:val="24"/>
          <w:szCs w:val="24"/>
          <w:lang w:val="en-US"/>
        </w:rPr>
        <w:t xml:space="preserve"> of radical equality. </w:t>
      </w:r>
    </w:p>
    <w:p w14:paraId="15E09BFF" w14:textId="77777777" w:rsidR="00861A40" w:rsidRPr="001234AB" w:rsidRDefault="00861A40" w:rsidP="00F807BD">
      <w:pPr>
        <w:spacing w:line="360" w:lineRule="auto"/>
        <w:rPr>
          <w:rFonts w:ascii="Times New Roman" w:hAnsi="Times New Roman" w:cs="Times New Roman"/>
          <w:b/>
          <w:bCs/>
          <w:sz w:val="24"/>
          <w:szCs w:val="24"/>
          <w:lang w:val="en-US"/>
        </w:rPr>
      </w:pPr>
    </w:p>
    <w:p w14:paraId="31960DE1" w14:textId="77777777" w:rsidR="00861A40" w:rsidRPr="001234AB" w:rsidRDefault="00861A40" w:rsidP="00F807BD">
      <w:pPr>
        <w:spacing w:line="360" w:lineRule="auto"/>
        <w:rPr>
          <w:rFonts w:ascii="Times New Roman" w:hAnsi="Times New Roman" w:cs="Times New Roman"/>
          <w:b/>
          <w:bCs/>
          <w:sz w:val="24"/>
          <w:szCs w:val="24"/>
          <w:lang w:val="en-US"/>
        </w:rPr>
      </w:pPr>
    </w:p>
    <w:p w14:paraId="4BA6FC56" w14:textId="77777777" w:rsidR="00861A40" w:rsidRPr="001234AB" w:rsidRDefault="00861A40" w:rsidP="00F807BD">
      <w:pPr>
        <w:spacing w:line="360" w:lineRule="auto"/>
        <w:rPr>
          <w:rFonts w:ascii="Times New Roman" w:hAnsi="Times New Roman" w:cs="Times New Roman"/>
          <w:b/>
          <w:bCs/>
          <w:sz w:val="24"/>
          <w:szCs w:val="24"/>
          <w:lang w:val="en-US"/>
        </w:rPr>
      </w:pPr>
    </w:p>
    <w:p w14:paraId="79882650" w14:textId="77777777" w:rsidR="00861A40" w:rsidRPr="001234AB" w:rsidRDefault="00861A40" w:rsidP="00F807BD">
      <w:pPr>
        <w:spacing w:line="360" w:lineRule="auto"/>
        <w:rPr>
          <w:rFonts w:ascii="Times New Roman" w:hAnsi="Times New Roman" w:cs="Times New Roman"/>
          <w:b/>
          <w:bCs/>
          <w:sz w:val="24"/>
          <w:szCs w:val="24"/>
          <w:lang w:val="en-US"/>
        </w:rPr>
      </w:pPr>
    </w:p>
    <w:p w14:paraId="711A538E" w14:textId="77777777" w:rsidR="00861A40" w:rsidRPr="001234AB" w:rsidRDefault="00861A40" w:rsidP="00F807BD">
      <w:pPr>
        <w:spacing w:line="360" w:lineRule="auto"/>
        <w:rPr>
          <w:rFonts w:ascii="Times New Roman" w:hAnsi="Times New Roman" w:cs="Times New Roman"/>
          <w:b/>
          <w:bCs/>
          <w:sz w:val="24"/>
          <w:szCs w:val="24"/>
          <w:lang w:val="en-US"/>
        </w:rPr>
      </w:pPr>
    </w:p>
    <w:p w14:paraId="3291C161" w14:textId="77777777" w:rsidR="00861A40" w:rsidRPr="001234AB" w:rsidRDefault="00861A40" w:rsidP="00F807BD">
      <w:pPr>
        <w:spacing w:line="360" w:lineRule="auto"/>
        <w:rPr>
          <w:rFonts w:ascii="Times New Roman" w:hAnsi="Times New Roman" w:cs="Times New Roman"/>
          <w:b/>
          <w:bCs/>
          <w:sz w:val="24"/>
          <w:szCs w:val="24"/>
          <w:lang w:val="en-US"/>
        </w:rPr>
      </w:pPr>
    </w:p>
    <w:p w14:paraId="51270D85" w14:textId="77777777" w:rsidR="00861A40" w:rsidRPr="001234AB" w:rsidRDefault="00861A40" w:rsidP="00F807BD">
      <w:pPr>
        <w:spacing w:line="360" w:lineRule="auto"/>
        <w:rPr>
          <w:rFonts w:ascii="Times New Roman" w:hAnsi="Times New Roman" w:cs="Times New Roman"/>
          <w:b/>
          <w:bCs/>
          <w:sz w:val="24"/>
          <w:szCs w:val="24"/>
          <w:lang w:val="en-US"/>
        </w:rPr>
      </w:pPr>
    </w:p>
    <w:p w14:paraId="115E1F2F" w14:textId="77777777" w:rsidR="00861A40" w:rsidRPr="001234AB" w:rsidRDefault="00861A40" w:rsidP="00F807BD">
      <w:pPr>
        <w:spacing w:line="360" w:lineRule="auto"/>
        <w:rPr>
          <w:rFonts w:ascii="Times New Roman" w:hAnsi="Times New Roman" w:cs="Times New Roman"/>
          <w:b/>
          <w:bCs/>
          <w:sz w:val="24"/>
          <w:szCs w:val="24"/>
          <w:lang w:val="en-US"/>
        </w:rPr>
      </w:pPr>
    </w:p>
    <w:p w14:paraId="1FD57533" w14:textId="77777777" w:rsidR="00861A40" w:rsidRPr="001234AB" w:rsidRDefault="00861A40" w:rsidP="00F807BD">
      <w:pPr>
        <w:spacing w:line="360" w:lineRule="auto"/>
        <w:rPr>
          <w:rFonts w:ascii="Times New Roman" w:hAnsi="Times New Roman" w:cs="Times New Roman"/>
          <w:b/>
          <w:bCs/>
          <w:sz w:val="24"/>
          <w:szCs w:val="24"/>
          <w:lang w:val="en-US"/>
        </w:rPr>
      </w:pPr>
    </w:p>
    <w:p w14:paraId="59BC930A" w14:textId="77777777" w:rsidR="00861A40" w:rsidRPr="001234AB" w:rsidRDefault="00861A40" w:rsidP="00F807BD">
      <w:pPr>
        <w:spacing w:line="360" w:lineRule="auto"/>
        <w:rPr>
          <w:rFonts w:ascii="Times New Roman" w:hAnsi="Times New Roman" w:cs="Times New Roman"/>
          <w:b/>
          <w:bCs/>
          <w:sz w:val="24"/>
          <w:szCs w:val="24"/>
          <w:lang w:val="en-US"/>
        </w:rPr>
      </w:pPr>
    </w:p>
    <w:p w14:paraId="6D693960" w14:textId="77777777" w:rsidR="00861A40" w:rsidRPr="001234AB" w:rsidRDefault="00861A40" w:rsidP="00F807BD">
      <w:pPr>
        <w:spacing w:line="360" w:lineRule="auto"/>
        <w:rPr>
          <w:rFonts w:ascii="Times New Roman" w:hAnsi="Times New Roman" w:cs="Times New Roman"/>
          <w:b/>
          <w:bCs/>
          <w:sz w:val="24"/>
          <w:szCs w:val="24"/>
          <w:lang w:val="en-US"/>
        </w:rPr>
      </w:pPr>
    </w:p>
    <w:p w14:paraId="1DB31F21" w14:textId="77777777" w:rsidR="00861A40" w:rsidRPr="001234AB" w:rsidRDefault="00861A40" w:rsidP="00F807BD">
      <w:pPr>
        <w:spacing w:line="360" w:lineRule="auto"/>
        <w:rPr>
          <w:rFonts w:ascii="Times New Roman" w:hAnsi="Times New Roman" w:cs="Times New Roman"/>
          <w:b/>
          <w:bCs/>
          <w:sz w:val="24"/>
          <w:szCs w:val="24"/>
          <w:lang w:val="en-US"/>
        </w:rPr>
      </w:pPr>
    </w:p>
    <w:p w14:paraId="3F8BEEE7" w14:textId="77777777" w:rsidR="00861A40" w:rsidRPr="001234AB" w:rsidRDefault="00861A40" w:rsidP="00F807BD">
      <w:pPr>
        <w:spacing w:line="360" w:lineRule="auto"/>
        <w:rPr>
          <w:rFonts w:ascii="Times New Roman" w:hAnsi="Times New Roman" w:cs="Times New Roman"/>
          <w:b/>
          <w:bCs/>
          <w:sz w:val="24"/>
          <w:szCs w:val="24"/>
          <w:lang w:val="en-US"/>
        </w:rPr>
      </w:pPr>
    </w:p>
    <w:p w14:paraId="4C9A7DAA" w14:textId="77777777" w:rsidR="00861A40" w:rsidRPr="001234AB" w:rsidRDefault="00861A40" w:rsidP="00F807BD">
      <w:pPr>
        <w:spacing w:line="360" w:lineRule="auto"/>
        <w:rPr>
          <w:rFonts w:ascii="Times New Roman" w:hAnsi="Times New Roman" w:cs="Times New Roman"/>
          <w:b/>
          <w:bCs/>
          <w:sz w:val="24"/>
          <w:szCs w:val="24"/>
          <w:lang w:val="en-US"/>
        </w:rPr>
      </w:pPr>
    </w:p>
    <w:p w14:paraId="2163EF52" w14:textId="77777777" w:rsidR="00861A40" w:rsidRPr="001234AB" w:rsidRDefault="00861A40" w:rsidP="00F807BD">
      <w:pPr>
        <w:spacing w:line="360" w:lineRule="auto"/>
        <w:rPr>
          <w:rFonts w:ascii="Times New Roman" w:hAnsi="Times New Roman" w:cs="Times New Roman"/>
          <w:b/>
          <w:bCs/>
          <w:sz w:val="24"/>
          <w:szCs w:val="24"/>
          <w:lang w:val="en-US"/>
        </w:rPr>
      </w:pPr>
    </w:p>
    <w:p w14:paraId="7D261E62" w14:textId="77777777" w:rsidR="00861A40" w:rsidRPr="001234AB" w:rsidRDefault="00861A40" w:rsidP="00F807BD">
      <w:pPr>
        <w:spacing w:line="360" w:lineRule="auto"/>
        <w:rPr>
          <w:rFonts w:ascii="Times New Roman" w:hAnsi="Times New Roman" w:cs="Times New Roman"/>
          <w:b/>
          <w:bCs/>
          <w:sz w:val="24"/>
          <w:szCs w:val="24"/>
          <w:lang w:val="en-US"/>
        </w:rPr>
      </w:pPr>
    </w:p>
    <w:p w14:paraId="4EC68E17" w14:textId="68E957F0" w:rsidR="1F28CB6C" w:rsidRDefault="1F28CB6C" w:rsidP="1F28CB6C">
      <w:pPr>
        <w:spacing w:line="360" w:lineRule="auto"/>
        <w:rPr>
          <w:rFonts w:ascii="Times New Roman" w:hAnsi="Times New Roman" w:cs="Times New Roman"/>
          <w:b/>
          <w:bCs/>
          <w:sz w:val="24"/>
          <w:szCs w:val="24"/>
          <w:lang w:val="en-US"/>
        </w:rPr>
      </w:pPr>
    </w:p>
    <w:p w14:paraId="15BC0E2F" w14:textId="77777777" w:rsidR="004C7958" w:rsidRDefault="00210384" w:rsidP="00F807BD">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Contents</w:t>
      </w:r>
    </w:p>
    <w:p w14:paraId="06CAF128" w14:textId="41DEC58D" w:rsidR="0015087F" w:rsidRPr="00F17E9E" w:rsidRDefault="00FC173F" w:rsidP="00F807BD">
      <w:pPr>
        <w:spacing w:line="360" w:lineRule="auto"/>
        <w:rPr>
          <w:rFonts w:ascii="Times New Roman" w:hAnsi="Times New Roman" w:cs="Times New Roman"/>
          <w:sz w:val="24"/>
          <w:szCs w:val="24"/>
          <w:lang w:val="en-US"/>
        </w:rPr>
      </w:pPr>
      <w:r w:rsidRPr="001234AB">
        <w:rPr>
          <w:rFonts w:ascii="Times New Roman" w:hAnsi="Times New Roman" w:cs="Times New Roman"/>
          <w:b/>
          <w:bCs/>
          <w:sz w:val="24"/>
          <w:szCs w:val="24"/>
          <w:lang w:val="en-US"/>
        </w:rPr>
        <w:br/>
        <w:t>Introduction</w:t>
      </w:r>
      <w:r w:rsidR="00F17E9E">
        <w:rPr>
          <w:rFonts w:ascii="Times New Roman" w:hAnsi="Times New Roman" w:cs="Times New Roman"/>
          <w:sz w:val="24"/>
          <w:szCs w:val="24"/>
          <w:lang w:val="en-US"/>
        </w:rPr>
        <w:tab/>
      </w:r>
      <w:r w:rsidR="00F17E9E">
        <w:rPr>
          <w:rFonts w:ascii="Times New Roman" w:hAnsi="Times New Roman" w:cs="Times New Roman"/>
          <w:sz w:val="24"/>
          <w:szCs w:val="24"/>
          <w:lang w:val="en-US"/>
        </w:rPr>
        <w:tab/>
      </w:r>
      <w:r w:rsidR="00F17E9E">
        <w:rPr>
          <w:rFonts w:ascii="Times New Roman" w:hAnsi="Times New Roman" w:cs="Times New Roman"/>
          <w:sz w:val="24"/>
          <w:szCs w:val="24"/>
          <w:lang w:val="en-US"/>
        </w:rPr>
        <w:tab/>
      </w:r>
      <w:r w:rsidR="00F17E9E">
        <w:rPr>
          <w:rFonts w:ascii="Times New Roman" w:hAnsi="Times New Roman" w:cs="Times New Roman"/>
          <w:sz w:val="24"/>
          <w:szCs w:val="24"/>
          <w:lang w:val="en-US"/>
        </w:rPr>
        <w:tab/>
      </w:r>
      <w:r w:rsidR="00F17E9E">
        <w:rPr>
          <w:rFonts w:ascii="Times New Roman" w:hAnsi="Times New Roman" w:cs="Times New Roman"/>
          <w:sz w:val="24"/>
          <w:szCs w:val="24"/>
          <w:lang w:val="en-US"/>
        </w:rPr>
        <w:tab/>
      </w:r>
      <w:r w:rsidR="00F17E9E">
        <w:rPr>
          <w:rFonts w:ascii="Times New Roman" w:hAnsi="Times New Roman" w:cs="Times New Roman"/>
          <w:sz w:val="24"/>
          <w:szCs w:val="24"/>
          <w:lang w:val="en-US"/>
        </w:rPr>
        <w:tab/>
      </w:r>
      <w:r w:rsidR="00F17E9E">
        <w:rPr>
          <w:rFonts w:ascii="Times New Roman" w:hAnsi="Times New Roman" w:cs="Times New Roman"/>
          <w:sz w:val="24"/>
          <w:szCs w:val="24"/>
          <w:lang w:val="en-US"/>
        </w:rPr>
        <w:tab/>
      </w:r>
      <w:r w:rsidR="00F17E9E">
        <w:rPr>
          <w:rFonts w:ascii="Times New Roman" w:hAnsi="Times New Roman" w:cs="Times New Roman"/>
          <w:sz w:val="24"/>
          <w:szCs w:val="24"/>
          <w:lang w:val="en-US"/>
        </w:rPr>
        <w:tab/>
      </w:r>
      <w:r w:rsidR="00F17E9E">
        <w:rPr>
          <w:rFonts w:ascii="Times New Roman" w:hAnsi="Times New Roman" w:cs="Times New Roman"/>
          <w:sz w:val="24"/>
          <w:szCs w:val="24"/>
          <w:lang w:val="en-US"/>
        </w:rPr>
        <w:tab/>
      </w:r>
      <w:r w:rsidR="00F17E9E">
        <w:rPr>
          <w:rFonts w:ascii="Times New Roman" w:hAnsi="Times New Roman" w:cs="Times New Roman"/>
          <w:sz w:val="24"/>
          <w:szCs w:val="24"/>
          <w:lang w:val="en-US"/>
        </w:rPr>
        <w:tab/>
      </w:r>
      <w:r w:rsidR="00F17E9E">
        <w:rPr>
          <w:rFonts w:ascii="Times New Roman" w:hAnsi="Times New Roman" w:cs="Times New Roman"/>
          <w:sz w:val="24"/>
          <w:szCs w:val="24"/>
          <w:lang w:val="en-US"/>
        </w:rPr>
        <w:tab/>
        <w:t>p.</w:t>
      </w:r>
      <w:r w:rsidR="006F405E">
        <w:rPr>
          <w:rFonts w:ascii="Times New Roman" w:hAnsi="Times New Roman" w:cs="Times New Roman"/>
          <w:sz w:val="24"/>
          <w:szCs w:val="24"/>
          <w:lang w:val="en-US"/>
        </w:rPr>
        <w:t xml:space="preserve"> 1</w:t>
      </w:r>
    </w:p>
    <w:p w14:paraId="3C250503" w14:textId="3BF2D123" w:rsidR="00007F0D" w:rsidRPr="006F405E" w:rsidRDefault="00FC173F" w:rsidP="00F807BD">
      <w:pPr>
        <w:spacing w:line="360" w:lineRule="auto"/>
        <w:rPr>
          <w:rFonts w:ascii="Times New Roman" w:hAnsi="Times New Roman" w:cs="Times New Roman"/>
          <w:sz w:val="24"/>
          <w:szCs w:val="24"/>
          <w:lang w:val="en-US"/>
        </w:rPr>
      </w:pPr>
      <w:r w:rsidRPr="001234AB">
        <w:rPr>
          <w:rFonts w:ascii="Times New Roman" w:hAnsi="Times New Roman" w:cs="Times New Roman"/>
          <w:b/>
          <w:bCs/>
          <w:sz w:val="24"/>
          <w:szCs w:val="24"/>
          <w:lang w:val="en-US"/>
        </w:rPr>
        <w:t>Chapter 1: Theoretical framework</w:t>
      </w:r>
      <w:r w:rsidR="006F405E">
        <w:rPr>
          <w:rFonts w:ascii="Times New Roman" w:hAnsi="Times New Roman" w:cs="Times New Roman"/>
          <w:b/>
          <w:bCs/>
          <w:sz w:val="24"/>
          <w:szCs w:val="24"/>
          <w:lang w:val="en-US"/>
        </w:rPr>
        <w:tab/>
      </w:r>
      <w:r w:rsidR="006F405E">
        <w:rPr>
          <w:rFonts w:ascii="Times New Roman" w:hAnsi="Times New Roman" w:cs="Times New Roman"/>
          <w:b/>
          <w:bCs/>
          <w:sz w:val="24"/>
          <w:szCs w:val="24"/>
          <w:lang w:val="en-US"/>
        </w:rPr>
        <w:tab/>
      </w:r>
      <w:r w:rsidR="006F405E">
        <w:rPr>
          <w:rFonts w:ascii="Times New Roman" w:hAnsi="Times New Roman" w:cs="Times New Roman"/>
          <w:b/>
          <w:bCs/>
          <w:sz w:val="24"/>
          <w:szCs w:val="24"/>
          <w:lang w:val="en-US"/>
        </w:rPr>
        <w:tab/>
      </w:r>
      <w:r w:rsidR="006F405E">
        <w:rPr>
          <w:rFonts w:ascii="Times New Roman" w:hAnsi="Times New Roman" w:cs="Times New Roman"/>
          <w:b/>
          <w:bCs/>
          <w:sz w:val="24"/>
          <w:szCs w:val="24"/>
          <w:lang w:val="en-US"/>
        </w:rPr>
        <w:tab/>
      </w:r>
      <w:r w:rsidR="006F405E">
        <w:rPr>
          <w:rFonts w:ascii="Times New Roman" w:hAnsi="Times New Roman" w:cs="Times New Roman"/>
          <w:b/>
          <w:bCs/>
          <w:sz w:val="24"/>
          <w:szCs w:val="24"/>
          <w:lang w:val="en-US"/>
        </w:rPr>
        <w:tab/>
      </w:r>
      <w:r w:rsidR="006F405E">
        <w:rPr>
          <w:rFonts w:ascii="Times New Roman" w:hAnsi="Times New Roman" w:cs="Times New Roman"/>
          <w:b/>
          <w:bCs/>
          <w:sz w:val="24"/>
          <w:szCs w:val="24"/>
          <w:lang w:val="en-US"/>
        </w:rPr>
        <w:tab/>
      </w:r>
      <w:r w:rsidR="006F405E">
        <w:rPr>
          <w:rFonts w:ascii="Times New Roman" w:hAnsi="Times New Roman" w:cs="Times New Roman"/>
          <w:b/>
          <w:bCs/>
          <w:sz w:val="24"/>
          <w:szCs w:val="24"/>
          <w:lang w:val="en-US"/>
        </w:rPr>
        <w:tab/>
      </w:r>
      <w:r w:rsidR="006F405E">
        <w:rPr>
          <w:rFonts w:ascii="Times New Roman" w:hAnsi="Times New Roman" w:cs="Times New Roman"/>
          <w:sz w:val="24"/>
          <w:szCs w:val="24"/>
          <w:lang w:val="en-US"/>
        </w:rPr>
        <w:t>p. 9</w:t>
      </w:r>
    </w:p>
    <w:p w14:paraId="41F74094" w14:textId="62BF86B5" w:rsidR="00007F0D"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1.1. Theoretical considerations of the Amsterdam Project</w:t>
      </w:r>
      <w:r w:rsidR="002F1BD4">
        <w:rPr>
          <w:rFonts w:ascii="Times New Roman" w:hAnsi="Times New Roman" w:cs="Times New Roman"/>
          <w:sz w:val="24"/>
          <w:szCs w:val="24"/>
          <w:lang w:val="en-US"/>
        </w:rPr>
        <w:tab/>
      </w:r>
      <w:r w:rsidR="002F1BD4">
        <w:rPr>
          <w:rFonts w:ascii="Times New Roman" w:hAnsi="Times New Roman" w:cs="Times New Roman"/>
          <w:sz w:val="24"/>
          <w:szCs w:val="24"/>
          <w:lang w:val="en-US"/>
        </w:rPr>
        <w:tab/>
      </w:r>
      <w:r w:rsidR="002F1BD4">
        <w:rPr>
          <w:rFonts w:ascii="Times New Roman" w:hAnsi="Times New Roman" w:cs="Times New Roman"/>
          <w:sz w:val="24"/>
          <w:szCs w:val="24"/>
          <w:lang w:val="en-US"/>
        </w:rPr>
        <w:tab/>
      </w:r>
      <w:r w:rsidR="002F1BD4">
        <w:rPr>
          <w:rFonts w:ascii="Times New Roman" w:hAnsi="Times New Roman" w:cs="Times New Roman"/>
          <w:sz w:val="24"/>
          <w:szCs w:val="24"/>
          <w:lang w:val="en-US"/>
        </w:rPr>
        <w:tab/>
        <w:t xml:space="preserve">p. </w:t>
      </w:r>
      <w:r w:rsidR="006F405E">
        <w:rPr>
          <w:rFonts w:ascii="Times New Roman" w:hAnsi="Times New Roman" w:cs="Times New Roman"/>
          <w:sz w:val="24"/>
          <w:szCs w:val="24"/>
          <w:lang w:val="en-US"/>
        </w:rPr>
        <w:t>9</w:t>
      </w:r>
    </w:p>
    <w:p w14:paraId="3CB69499" w14:textId="53851A81" w:rsidR="00007F0D"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1.2. Historical materialism </w:t>
      </w:r>
      <w:r w:rsidR="002F1BD4">
        <w:rPr>
          <w:rFonts w:ascii="Times New Roman" w:hAnsi="Times New Roman" w:cs="Times New Roman"/>
          <w:sz w:val="24"/>
          <w:szCs w:val="24"/>
          <w:lang w:val="en-US"/>
        </w:rPr>
        <w:tab/>
      </w:r>
      <w:r w:rsidR="002F1BD4">
        <w:rPr>
          <w:rFonts w:ascii="Times New Roman" w:hAnsi="Times New Roman" w:cs="Times New Roman"/>
          <w:sz w:val="24"/>
          <w:szCs w:val="24"/>
          <w:lang w:val="en-US"/>
        </w:rPr>
        <w:tab/>
      </w:r>
      <w:r w:rsidR="002F1BD4">
        <w:rPr>
          <w:rFonts w:ascii="Times New Roman" w:hAnsi="Times New Roman" w:cs="Times New Roman"/>
          <w:sz w:val="24"/>
          <w:szCs w:val="24"/>
          <w:lang w:val="en-US"/>
        </w:rPr>
        <w:tab/>
      </w:r>
      <w:r w:rsidR="002F1BD4">
        <w:rPr>
          <w:rFonts w:ascii="Times New Roman" w:hAnsi="Times New Roman" w:cs="Times New Roman"/>
          <w:sz w:val="24"/>
          <w:szCs w:val="24"/>
          <w:lang w:val="en-US"/>
        </w:rPr>
        <w:tab/>
      </w:r>
      <w:r w:rsidR="002F1BD4">
        <w:rPr>
          <w:rFonts w:ascii="Times New Roman" w:hAnsi="Times New Roman" w:cs="Times New Roman"/>
          <w:sz w:val="24"/>
          <w:szCs w:val="24"/>
          <w:lang w:val="en-US"/>
        </w:rPr>
        <w:tab/>
      </w:r>
      <w:r w:rsidR="002F1BD4">
        <w:rPr>
          <w:rFonts w:ascii="Times New Roman" w:hAnsi="Times New Roman" w:cs="Times New Roman"/>
          <w:sz w:val="24"/>
          <w:szCs w:val="24"/>
          <w:lang w:val="en-US"/>
        </w:rPr>
        <w:tab/>
      </w:r>
      <w:r w:rsidR="002F1BD4">
        <w:rPr>
          <w:rFonts w:ascii="Times New Roman" w:hAnsi="Times New Roman" w:cs="Times New Roman"/>
          <w:sz w:val="24"/>
          <w:szCs w:val="24"/>
          <w:lang w:val="en-US"/>
        </w:rPr>
        <w:tab/>
      </w:r>
      <w:r w:rsidR="002F1BD4">
        <w:rPr>
          <w:rFonts w:ascii="Times New Roman" w:hAnsi="Times New Roman" w:cs="Times New Roman"/>
          <w:sz w:val="24"/>
          <w:szCs w:val="24"/>
          <w:lang w:val="en-US"/>
        </w:rPr>
        <w:tab/>
        <w:t xml:space="preserve">p. </w:t>
      </w:r>
      <w:r w:rsidR="006F405E">
        <w:rPr>
          <w:rFonts w:ascii="Times New Roman" w:hAnsi="Times New Roman" w:cs="Times New Roman"/>
          <w:sz w:val="24"/>
          <w:szCs w:val="24"/>
          <w:lang w:val="en-US"/>
        </w:rPr>
        <w:t>9</w:t>
      </w:r>
    </w:p>
    <w:p w14:paraId="5FE279BD" w14:textId="06651B4F" w:rsidR="00007F0D"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1.3 Transnational historical materialism and the state </w:t>
      </w:r>
      <w:r w:rsidR="006F405E">
        <w:rPr>
          <w:rFonts w:ascii="Times New Roman" w:hAnsi="Times New Roman" w:cs="Times New Roman"/>
          <w:sz w:val="24"/>
          <w:szCs w:val="24"/>
          <w:lang w:val="en-US"/>
        </w:rPr>
        <w:tab/>
      </w:r>
      <w:r w:rsidR="006F405E">
        <w:rPr>
          <w:rFonts w:ascii="Times New Roman" w:hAnsi="Times New Roman" w:cs="Times New Roman"/>
          <w:sz w:val="24"/>
          <w:szCs w:val="24"/>
          <w:lang w:val="en-US"/>
        </w:rPr>
        <w:tab/>
      </w:r>
      <w:r w:rsidR="006F405E">
        <w:rPr>
          <w:rFonts w:ascii="Times New Roman" w:hAnsi="Times New Roman" w:cs="Times New Roman"/>
          <w:sz w:val="24"/>
          <w:szCs w:val="24"/>
          <w:lang w:val="en-US"/>
        </w:rPr>
        <w:tab/>
      </w:r>
      <w:r w:rsidR="006F405E">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6F405E">
        <w:rPr>
          <w:rFonts w:ascii="Times New Roman" w:hAnsi="Times New Roman" w:cs="Times New Roman"/>
          <w:sz w:val="24"/>
          <w:szCs w:val="24"/>
          <w:lang w:val="en-US"/>
        </w:rPr>
        <w:t xml:space="preserve">p. </w:t>
      </w:r>
      <w:r w:rsidR="00BB4920">
        <w:rPr>
          <w:rFonts w:ascii="Times New Roman" w:hAnsi="Times New Roman" w:cs="Times New Roman"/>
          <w:sz w:val="24"/>
          <w:szCs w:val="24"/>
          <w:lang w:val="en-US"/>
        </w:rPr>
        <w:t>11</w:t>
      </w:r>
    </w:p>
    <w:p w14:paraId="70010533" w14:textId="2FEC09D5" w:rsidR="00007F0D"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1.4 Gramsci and the role of agency in the AP</w:t>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t>p. 13</w:t>
      </w:r>
    </w:p>
    <w:p w14:paraId="62DAE00B" w14:textId="11F529BE" w:rsidR="00007F0D"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1.5 Fractionation and comprehensive concepts of control</w:t>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t>p. 15</w:t>
      </w:r>
    </w:p>
    <w:p w14:paraId="140E7DA6" w14:textId="3E5BC8BB" w:rsidR="00007F0D"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1.6 Neoliberal European Integration </w:t>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t>p. 17</w:t>
      </w:r>
    </w:p>
    <w:p w14:paraId="45E401B7" w14:textId="79DB98AF" w:rsidR="00007F0D"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1.7 CPE’s understanding of change</w:t>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t>p. 18</w:t>
      </w:r>
    </w:p>
    <w:p w14:paraId="3C7F33C4" w14:textId="32A79E63" w:rsidR="0015087F"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1.8 Critiques of the AP and the consideration of feminist CPE</w:t>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BB4920">
        <w:rPr>
          <w:rFonts w:ascii="Times New Roman" w:hAnsi="Times New Roman" w:cs="Times New Roman"/>
          <w:sz w:val="24"/>
          <w:szCs w:val="24"/>
          <w:lang w:val="en-US"/>
        </w:rPr>
        <w:tab/>
        <w:t>p. 1</w:t>
      </w:r>
      <w:r w:rsidR="00B87BFD">
        <w:rPr>
          <w:rFonts w:ascii="Times New Roman" w:hAnsi="Times New Roman" w:cs="Times New Roman"/>
          <w:sz w:val="24"/>
          <w:szCs w:val="24"/>
          <w:lang w:val="en-US"/>
        </w:rPr>
        <w:t>8</w:t>
      </w:r>
    </w:p>
    <w:p w14:paraId="663ED3F2" w14:textId="58880A0A" w:rsidR="00327CA5" w:rsidRPr="00BB4920" w:rsidRDefault="00FC173F" w:rsidP="0015087F">
      <w:pPr>
        <w:spacing w:line="360" w:lineRule="auto"/>
        <w:rPr>
          <w:rFonts w:ascii="Times New Roman" w:hAnsi="Times New Roman" w:cs="Times New Roman"/>
          <w:sz w:val="24"/>
          <w:szCs w:val="24"/>
          <w:lang w:val="en-US"/>
        </w:rPr>
      </w:pPr>
      <w:r w:rsidRPr="001234AB">
        <w:rPr>
          <w:rFonts w:ascii="Times New Roman" w:hAnsi="Times New Roman" w:cs="Times New Roman"/>
          <w:b/>
          <w:bCs/>
          <w:sz w:val="24"/>
          <w:szCs w:val="24"/>
          <w:lang w:val="en-US"/>
        </w:rPr>
        <w:t>Chapter 2: Critical Realist Epistemology, Methods and Operationalization</w:t>
      </w:r>
      <w:r w:rsidR="00BB4920">
        <w:rPr>
          <w:rFonts w:ascii="Times New Roman" w:hAnsi="Times New Roman" w:cs="Times New Roman"/>
          <w:sz w:val="24"/>
          <w:szCs w:val="24"/>
          <w:lang w:val="en-US"/>
        </w:rPr>
        <w:t xml:space="preserve"> </w:t>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t>p. 21</w:t>
      </w:r>
    </w:p>
    <w:p w14:paraId="3D4CC425" w14:textId="0C094B11" w:rsidR="00327CA5"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2.1 Critical realism on epistemology </w:t>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t>p. 21</w:t>
      </w:r>
    </w:p>
    <w:p w14:paraId="11CF0AF3" w14:textId="53B50875" w:rsidR="00327CA5"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2.2 Methods</w:t>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t>p. 22</w:t>
      </w:r>
    </w:p>
    <w:p w14:paraId="54A4DC69" w14:textId="77777777" w:rsidR="00DE792A"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2.3 Operationalization of theoretical concepts</w:t>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t>p. 24</w:t>
      </w:r>
    </w:p>
    <w:p w14:paraId="6BABB19A" w14:textId="2A3BD69C" w:rsidR="00327CA5" w:rsidRPr="00DE792A" w:rsidRDefault="00FC173F" w:rsidP="00DE792A">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Chapter 3: Empirical analysis</w:t>
      </w:r>
      <w:r w:rsidR="00BB4920">
        <w:rPr>
          <w:rFonts w:ascii="Times New Roman" w:hAnsi="Times New Roman" w:cs="Times New Roman"/>
          <w:b/>
          <w:bCs/>
          <w:sz w:val="24"/>
          <w:szCs w:val="24"/>
          <w:lang w:val="en-US"/>
        </w:rPr>
        <w:tab/>
      </w:r>
      <w:r w:rsidR="00BB4920">
        <w:rPr>
          <w:rFonts w:ascii="Times New Roman" w:hAnsi="Times New Roman" w:cs="Times New Roman"/>
          <w:b/>
          <w:bCs/>
          <w:sz w:val="24"/>
          <w:szCs w:val="24"/>
          <w:lang w:val="en-US"/>
        </w:rPr>
        <w:tab/>
      </w:r>
      <w:r w:rsidR="00BB4920">
        <w:rPr>
          <w:rFonts w:ascii="Times New Roman" w:hAnsi="Times New Roman" w:cs="Times New Roman"/>
          <w:b/>
          <w:bCs/>
          <w:sz w:val="24"/>
          <w:szCs w:val="24"/>
          <w:lang w:val="en-US"/>
        </w:rPr>
        <w:tab/>
      </w:r>
      <w:r w:rsidR="00BB4920">
        <w:rPr>
          <w:rFonts w:ascii="Times New Roman" w:hAnsi="Times New Roman" w:cs="Times New Roman"/>
          <w:b/>
          <w:bCs/>
          <w:sz w:val="24"/>
          <w:szCs w:val="24"/>
          <w:lang w:val="en-US"/>
        </w:rPr>
        <w:tab/>
      </w:r>
      <w:r w:rsidR="00BB4920">
        <w:rPr>
          <w:rFonts w:ascii="Times New Roman" w:hAnsi="Times New Roman" w:cs="Times New Roman"/>
          <w:b/>
          <w:bCs/>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r>
      <w:r w:rsidR="00BB4920">
        <w:rPr>
          <w:rFonts w:ascii="Times New Roman" w:hAnsi="Times New Roman" w:cs="Times New Roman"/>
          <w:sz w:val="24"/>
          <w:szCs w:val="24"/>
          <w:lang w:val="en-US"/>
        </w:rPr>
        <w:tab/>
        <w:t xml:space="preserve">p. </w:t>
      </w:r>
      <w:r w:rsidR="00DE792A">
        <w:rPr>
          <w:rFonts w:ascii="Times New Roman" w:hAnsi="Times New Roman" w:cs="Times New Roman"/>
          <w:sz w:val="24"/>
          <w:szCs w:val="24"/>
          <w:lang w:val="en-US"/>
        </w:rPr>
        <w:t>27</w:t>
      </w:r>
    </w:p>
    <w:p w14:paraId="075F7EE7" w14:textId="03438666" w:rsidR="00327CA5"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3.1 Contextualizing EU’s Eurobonds proposals</w:t>
      </w:r>
      <w:r w:rsidR="00DE792A">
        <w:rPr>
          <w:rFonts w:ascii="Times New Roman" w:hAnsi="Times New Roman" w:cs="Times New Roman"/>
          <w:sz w:val="24"/>
          <w:szCs w:val="24"/>
          <w:lang w:val="en-US"/>
        </w:rPr>
        <w:tab/>
      </w:r>
      <w:r w:rsidR="00DE792A">
        <w:rPr>
          <w:rFonts w:ascii="Times New Roman" w:hAnsi="Times New Roman" w:cs="Times New Roman"/>
          <w:sz w:val="24"/>
          <w:szCs w:val="24"/>
          <w:lang w:val="en-US"/>
        </w:rPr>
        <w:tab/>
      </w:r>
      <w:r w:rsidR="00DE792A">
        <w:rPr>
          <w:rFonts w:ascii="Times New Roman" w:hAnsi="Times New Roman" w:cs="Times New Roman"/>
          <w:sz w:val="24"/>
          <w:szCs w:val="24"/>
          <w:lang w:val="en-US"/>
        </w:rPr>
        <w:tab/>
      </w:r>
      <w:r w:rsidR="00DE792A">
        <w:rPr>
          <w:rFonts w:ascii="Times New Roman" w:hAnsi="Times New Roman" w:cs="Times New Roman"/>
          <w:sz w:val="24"/>
          <w:szCs w:val="24"/>
          <w:lang w:val="en-US"/>
        </w:rPr>
        <w:tab/>
      </w:r>
      <w:r w:rsidR="00DE792A">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DE792A">
        <w:rPr>
          <w:rFonts w:ascii="Times New Roman" w:hAnsi="Times New Roman" w:cs="Times New Roman"/>
          <w:sz w:val="24"/>
          <w:szCs w:val="24"/>
          <w:lang w:val="en-US"/>
        </w:rPr>
        <w:t>p. 27</w:t>
      </w:r>
    </w:p>
    <w:p w14:paraId="172D9125" w14:textId="0C6C1219" w:rsidR="00327CA5" w:rsidRDefault="00FC173F" w:rsidP="002F1BD4">
      <w:pPr>
        <w:spacing w:line="360" w:lineRule="auto"/>
        <w:ind w:left="851"/>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3.1.1 The sovereign debt crisis and the Commission’s failed Eurobonds </w:t>
      </w:r>
      <w:r w:rsidR="002F1BD4">
        <w:rPr>
          <w:rFonts w:ascii="Times New Roman" w:hAnsi="Times New Roman" w:cs="Times New Roman"/>
          <w:sz w:val="24"/>
          <w:szCs w:val="24"/>
          <w:lang w:val="en-US"/>
        </w:rPr>
        <w:tab/>
      </w:r>
      <w:r w:rsidR="002F1BD4">
        <w:rPr>
          <w:rFonts w:ascii="Times New Roman" w:hAnsi="Times New Roman" w:cs="Times New Roman"/>
          <w:sz w:val="24"/>
          <w:szCs w:val="24"/>
          <w:lang w:val="en-US"/>
        </w:rPr>
        <w:tab/>
        <w:t xml:space="preserve">p. </w:t>
      </w:r>
      <w:r w:rsidR="00DE792A">
        <w:rPr>
          <w:rFonts w:ascii="Times New Roman" w:hAnsi="Times New Roman" w:cs="Times New Roman"/>
          <w:sz w:val="24"/>
          <w:szCs w:val="24"/>
          <w:lang w:val="en-US"/>
        </w:rPr>
        <w:t>27</w:t>
      </w:r>
      <w:r w:rsidR="002F1BD4">
        <w:rPr>
          <w:rFonts w:ascii="Times New Roman" w:hAnsi="Times New Roman" w:cs="Times New Roman"/>
          <w:sz w:val="24"/>
          <w:szCs w:val="24"/>
          <w:lang w:val="en-US"/>
        </w:rPr>
        <w:br/>
      </w:r>
      <w:r w:rsidRPr="001234AB">
        <w:rPr>
          <w:rFonts w:ascii="Times New Roman" w:hAnsi="Times New Roman" w:cs="Times New Roman"/>
          <w:sz w:val="24"/>
          <w:szCs w:val="24"/>
          <w:lang w:val="en-US"/>
        </w:rPr>
        <w:t>proposal</w:t>
      </w:r>
    </w:p>
    <w:p w14:paraId="53885B2E" w14:textId="09ADB624" w:rsidR="00327CA5" w:rsidRDefault="00FC173F" w:rsidP="002F1BD4">
      <w:pPr>
        <w:spacing w:line="360" w:lineRule="auto"/>
        <w:ind w:left="851"/>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3.1.2 The 2020 pandemic and the Commission’s successful Eurobonds </w:t>
      </w:r>
      <w:r w:rsidR="00DE792A">
        <w:rPr>
          <w:rFonts w:ascii="Times New Roman" w:hAnsi="Times New Roman" w:cs="Times New Roman"/>
          <w:sz w:val="24"/>
          <w:szCs w:val="24"/>
          <w:lang w:val="en-US"/>
        </w:rPr>
        <w:tab/>
      </w:r>
      <w:r w:rsidR="00DE792A">
        <w:rPr>
          <w:rFonts w:ascii="Times New Roman" w:hAnsi="Times New Roman" w:cs="Times New Roman"/>
          <w:sz w:val="24"/>
          <w:szCs w:val="24"/>
          <w:lang w:val="en-US"/>
        </w:rPr>
        <w:tab/>
        <w:t>p. 28</w:t>
      </w:r>
      <w:r w:rsidR="002F1BD4">
        <w:rPr>
          <w:rFonts w:ascii="Times New Roman" w:hAnsi="Times New Roman" w:cs="Times New Roman"/>
          <w:sz w:val="24"/>
          <w:szCs w:val="24"/>
          <w:lang w:val="en-US"/>
        </w:rPr>
        <w:br/>
      </w:r>
      <w:r w:rsidRPr="001234AB">
        <w:rPr>
          <w:rFonts w:ascii="Times New Roman" w:hAnsi="Times New Roman" w:cs="Times New Roman"/>
          <w:sz w:val="24"/>
          <w:szCs w:val="24"/>
          <w:lang w:val="en-US"/>
        </w:rPr>
        <w:t>proposal</w:t>
      </w:r>
    </w:p>
    <w:p w14:paraId="13013A03" w14:textId="69E93CBD" w:rsidR="00327CA5"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3.1.3 </w:t>
      </w:r>
      <w:proofErr w:type="spellStart"/>
      <w:r w:rsidRPr="001234AB">
        <w:rPr>
          <w:rFonts w:ascii="Times New Roman" w:hAnsi="Times New Roman" w:cs="Times New Roman"/>
          <w:sz w:val="24"/>
          <w:szCs w:val="24"/>
          <w:lang w:val="en-US"/>
        </w:rPr>
        <w:t>NextGenerationEU</w:t>
      </w:r>
      <w:proofErr w:type="spellEnd"/>
      <w:r w:rsidRPr="001234AB">
        <w:rPr>
          <w:rFonts w:ascii="Times New Roman" w:hAnsi="Times New Roman" w:cs="Times New Roman"/>
          <w:sz w:val="24"/>
          <w:szCs w:val="24"/>
          <w:lang w:val="en-US"/>
        </w:rPr>
        <w:t xml:space="preserve"> and the Resilience Recovery Facility</w:t>
      </w:r>
      <w:r w:rsidR="00DE792A">
        <w:rPr>
          <w:rFonts w:ascii="Times New Roman" w:hAnsi="Times New Roman" w:cs="Times New Roman"/>
          <w:sz w:val="24"/>
          <w:szCs w:val="24"/>
          <w:lang w:val="en-US"/>
        </w:rPr>
        <w:tab/>
      </w:r>
      <w:r w:rsidR="00DE792A">
        <w:rPr>
          <w:rFonts w:ascii="Times New Roman" w:hAnsi="Times New Roman" w:cs="Times New Roman"/>
          <w:sz w:val="24"/>
          <w:szCs w:val="24"/>
          <w:lang w:val="en-US"/>
        </w:rPr>
        <w:tab/>
      </w:r>
      <w:r w:rsidR="00DE792A">
        <w:rPr>
          <w:rFonts w:ascii="Times New Roman" w:hAnsi="Times New Roman" w:cs="Times New Roman"/>
          <w:sz w:val="24"/>
          <w:szCs w:val="24"/>
          <w:lang w:val="en-US"/>
        </w:rPr>
        <w:tab/>
        <w:t>p. 29</w:t>
      </w:r>
    </w:p>
    <w:p w14:paraId="3807B1F9" w14:textId="74DB1015" w:rsidR="00327CA5" w:rsidRDefault="00FC173F" w:rsidP="00452A08">
      <w:pPr>
        <w:spacing w:line="360" w:lineRule="auto"/>
        <w:ind w:left="567" w:hanging="141"/>
        <w:rPr>
          <w:rFonts w:ascii="Times New Roman" w:hAnsi="Times New Roman" w:cs="Times New Roman"/>
          <w:sz w:val="24"/>
          <w:szCs w:val="24"/>
          <w:lang w:val="en-US"/>
        </w:rPr>
      </w:pPr>
      <w:r w:rsidRPr="001234AB">
        <w:rPr>
          <w:rFonts w:ascii="Times New Roman" w:hAnsi="Times New Roman" w:cs="Times New Roman"/>
          <w:sz w:val="24"/>
          <w:szCs w:val="24"/>
          <w:lang w:val="en-US"/>
        </w:rPr>
        <w:t>3.2 Analysis: Financialization and the dominance of the financial capital</w:t>
      </w:r>
      <w:r w:rsidR="00452A08">
        <w:rPr>
          <w:rFonts w:ascii="Times New Roman" w:hAnsi="Times New Roman" w:cs="Times New Roman"/>
          <w:sz w:val="24"/>
          <w:szCs w:val="24"/>
          <w:lang w:val="en-US"/>
        </w:rPr>
        <w:t xml:space="preserve"> fraction</w:t>
      </w:r>
      <w:r w:rsidR="00DE792A">
        <w:rPr>
          <w:rFonts w:ascii="Times New Roman" w:hAnsi="Times New Roman" w:cs="Times New Roman"/>
          <w:sz w:val="24"/>
          <w:szCs w:val="24"/>
          <w:lang w:val="en-US"/>
        </w:rPr>
        <w:tab/>
        <w:t xml:space="preserve">p. </w:t>
      </w:r>
      <w:r w:rsidR="00EF7DEE">
        <w:rPr>
          <w:rFonts w:ascii="Times New Roman" w:hAnsi="Times New Roman" w:cs="Times New Roman"/>
          <w:sz w:val="24"/>
          <w:szCs w:val="24"/>
          <w:lang w:val="en-US"/>
        </w:rPr>
        <w:t>30</w:t>
      </w:r>
      <w:r w:rsidR="00452A08">
        <w:rPr>
          <w:rFonts w:ascii="Times New Roman" w:hAnsi="Times New Roman" w:cs="Times New Roman"/>
          <w:sz w:val="24"/>
          <w:szCs w:val="24"/>
          <w:lang w:val="en-US"/>
        </w:rPr>
        <w:t xml:space="preserve"> </w:t>
      </w:r>
    </w:p>
    <w:p w14:paraId="410F3029" w14:textId="723C5119" w:rsidR="00327CA5"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lastRenderedPageBreak/>
        <w:t>3.3 The pro-Eurobonds alliance during COVID-1</w:t>
      </w:r>
      <w:r w:rsidR="00327CA5">
        <w:rPr>
          <w:rFonts w:ascii="Times New Roman" w:hAnsi="Times New Roman" w:cs="Times New Roman"/>
          <w:sz w:val="24"/>
          <w:szCs w:val="24"/>
          <w:lang w:val="en-US"/>
        </w:rPr>
        <w:t>9</w:t>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t>p. 34</w:t>
      </w:r>
    </w:p>
    <w:p w14:paraId="1299F7EC" w14:textId="0509BAC4" w:rsidR="00327CA5"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3.3.1 Finance capital fraction’s shift on Eurobonds</w:t>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t>p. 34</w:t>
      </w:r>
    </w:p>
    <w:p w14:paraId="6F69BC2C" w14:textId="50552A68" w:rsidR="00327CA5"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3.3.2 Productive capital fraction and its liquidity needs</w:t>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t>p. 37</w:t>
      </w:r>
    </w:p>
    <w:p w14:paraId="7E66CCF3" w14:textId="291F01CA" w:rsidR="00327CA5"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3.3.3 Organized labor’s demand for public investment</w:t>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t>p. 39</w:t>
      </w:r>
    </w:p>
    <w:p w14:paraId="3E27F53A" w14:textId="6C255EBB" w:rsidR="00327CA5"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3.3.4 Finance Watch’s ambiguous stance on Eurobonds</w:t>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t>p. 41</w:t>
      </w:r>
    </w:p>
    <w:p w14:paraId="55D1ABE1" w14:textId="65110C47" w:rsidR="00327CA5"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3.3.5 Summary: a temporary alliance in favor of Eurobonds</w:t>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r>
      <w:r w:rsidR="00EF7DEE">
        <w:rPr>
          <w:rFonts w:ascii="Times New Roman" w:hAnsi="Times New Roman" w:cs="Times New Roman"/>
          <w:sz w:val="24"/>
          <w:szCs w:val="24"/>
          <w:lang w:val="en-US"/>
        </w:rPr>
        <w:tab/>
        <w:t xml:space="preserve">p. </w:t>
      </w:r>
      <w:r w:rsidR="00A048A9">
        <w:rPr>
          <w:rFonts w:ascii="Times New Roman" w:hAnsi="Times New Roman" w:cs="Times New Roman"/>
          <w:sz w:val="24"/>
          <w:szCs w:val="24"/>
          <w:lang w:val="en-US"/>
        </w:rPr>
        <w:t>43</w:t>
      </w:r>
    </w:p>
    <w:p w14:paraId="0AA07A55" w14:textId="543B19D6" w:rsidR="00327CA5" w:rsidRDefault="00327CA5" w:rsidP="00452A08">
      <w:pPr>
        <w:spacing w:line="360" w:lineRule="auto"/>
        <w:ind w:firstLine="426"/>
        <w:rPr>
          <w:rFonts w:ascii="Times New Roman" w:hAnsi="Times New Roman" w:cs="Times New Roman"/>
          <w:sz w:val="24"/>
          <w:szCs w:val="24"/>
          <w:lang w:val="en-US"/>
        </w:rPr>
      </w:pPr>
      <w:r>
        <w:rPr>
          <w:rFonts w:ascii="Times New Roman" w:hAnsi="Times New Roman" w:cs="Times New Roman"/>
          <w:sz w:val="24"/>
          <w:szCs w:val="24"/>
          <w:lang w:val="en-US"/>
        </w:rPr>
        <w:t>3</w:t>
      </w:r>
      <w:r w:rsidR="00FC173F" w:rsidRPr="001234AB">
        <w:rPr>
          <w:rFonts w:ascii="Times New Roman" w:hAnsi="Times New Roman" w:cs="Times New Roman"/>
          <w:sz w:val="24"/>
          <w:szCs w:val="24"/>
          <w:lang w:val="en-US"/>
        </w:rPr>
        <w:t>.4 Consolidating the hegemony of the financial capital fraction</w:t>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t>p. 44</w:t>
      </w:r>
    </w:p>
    <w:p w14:paraId="02EF65AA" w14:textId="56B7CCE1" w:rsidR="00327CA5"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3.4.1 Ursula von der Leyen: the face of NGEU</w:t>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t>p. 44</w:t>
      </w:r>
    </w:p>
    <w:p w14:paraId="4FC531A8" w14:textId="6615A75E" w:rsidR="00327CA5"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3.4.2 Putting a stop to a ‘hyper-financialized’ world in an attempt to crush</w:t>
      </w:r>
      <w:r w:rsidR="00A048A9">
        <w:rPr>
          <w:rFonts w:ascii="Times New Roman" w:hAnsi="Times New Roman" w:cs="Times New Roman"/>
          <w:sz w:val="24"/>
          <w:szCs w:val="24"/>
          <w:lang w:val="en-US"/>
        </w:rPr>
        <w:tab/>
        <w:t>p. 46</w:t>
      </w:r>
    </w:p>
    <w:p w14:paraId="16579484" w14:textId="77777777" w:rsidR="004C7958"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Euroscepticism  </w:t>
      </w:r>
    </w:p>
    <w:p w14:paraId="1BD9BD94" w14:textId="273D2FDB" w:rsidR="004C7958" w:rsidRDefault="00FC173F" w:rsidP="00452A08">
      <w:pPr>
        <w:spacing w:line="360" w:lineRule="auto"/>
        <w:ind w:firstLine="426"/>
        <w:rPr>
          <w:rFonts w:ascii="Times New Roman" w:hAnsi="Times New Roman" w:cs="Times New Roman"/>
          <w:sz w:val="24"/>
          <w:szCs w:val="24"/>
          <w:lang w:val="en-US"/>
        </w:rPr>
      </w:pPr>
      <w:r w:rsidRPr="001234AB">
        <w:rPr>
          <w:rFonts w:ascii="Times New Roman" w:hAnsi="Times New Roman" w:cs="Times New Roman"/>
          <w:sz w:val="24"/>
          <w:szCs w:val="24"/>
          <w:lang w:val="en-US"/>
        </w:rPr>
        <w:t>3.5 Counter-hegemonic forces</w:t>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t>p. 47</w:t>
      </w:r>
    </w:p>
    <w:p w14:paraId="5623DB28" w14:textId="62E95CED" w:rsidR="004C7958"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3.5.1 Organized </w:t>
      </w:r>
      <w:proofErr w:type="gramStart"/>
      <w:r w:rsidRPr="001234AB">
        <w:rPr>
          <w:rFonts w:ascii="Times New Roman" w:hAnsi="Times New Roman" w:cs="Times New Roman"/>
          <w:sz w:val="24"/>
          <w:szCs w:val="24"/>
          <w:lang w:val="en-US"/>
        </w:rPr>
        <w:t>labor’s</w:t>
      </w:r>
      <w:proofErr w:type="gramEnd"/>
      <w:r w:rsidRPr="001234AB">
        <w:rPr>
          <w:rFonts w:ascii="Times New Roman" w:hAnsi="Times New Roman" w:cs="Times New Roman"/>
          <w:sz w:val="24"/>
          <w:szCs w:val="24"/>
          <w:lang w:val="en-US"/>
        </w:rPr>
        <w:t xml:space="preserve"> yearn for public investment</w:t>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r>
      <w:r w:rsidR="00A048A9">
        <w:rPr>
          <w:rFonts w:ascii="Times New Roman" w:hAnsi="Times New Roman" w:cs="Times New Roman"/>
          <w:sz w:val="24"/>
          <w:szCs w:val="24"/>
          <w:lang w:val="en-US"/>
        </w:rPr>
        <w:tab/>
        <w:t xml:space="preserve">p. </w:t>
      </w:r>
      <w:r w:rsidR="003E2A0F">
        <w:rPr>
          <w:rFonts w:ascii="Times New Roman" w:hAnsi="Times New Roman" w:cs="Times New Roman"/>
          <w:sz w:val="24"/>
          <w:szCs w:val="24"/>
          <w:lang w:val="en-US"/>
        </w:rPr>
        <w:t>47</w:t>
      </w:r>
    </w:p>
    <w:p w14:paraId="62142064" w14:textId="6C24D31B" w:rsidR="004C7958"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3.5.2 Finance Watch’s depoliticizing stance on Eurobonds</w:t>
      </w:r>
      <w:r w:rsidR="003E2A0F">
        <w:rPr>
          <w:rFonts w:ascii="Times New Roman" w:hAnsi="Times New Roman" w:cs="Times New Roman"/>
          <w:sz w:val="24"/>
          <w:szCs w:val="24"/>
          <w:lang w:val="en-US"/>
        </w:rPr>
        <w:tab/>
      </w:r>
      <w:r w:rsidR="003E2A0F">
        <w:rPr>
          <w:rFonts w:ascii="Times New Roman" w:hAnsi="Times New Roman" w:cs="Times New Roman"/>
          <w:sz w:val="24"/>
          <w:szCs w:val="24"/>
          <w:lang w:val="en-US"/>
        </w:rPr>
        <w:tab/>
      </w:r>
      <w:r w:rsidR="003E2A0F">
        <w:rPr>
          <w:rFonts w:ascii="Times New Roman" w:hAnsi="Times New Roman" w:cs="Times New Roman"/>
          <w:sz w:val="24"/>
          <w:szCs w:val="24"/>
          <w:lang w:val="en-US"/>
        </w:rPr>
        <w:tab/>
        <w:t>p. 49</w:t>
      </w:r>
    </w:p>
    <w:p w14:paraId="72FF9136" w14:textId="78800192" w:rsidR="004C7958"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3.5.3 </w:t>
      </w:r>
      <w:proofErr w:type="spellStart"/>
      <w:r w:rsidRPr="001234AB">
        <w:rPr>
          <w:rFonts w:ascii="Times New Roman" w:hAnsi="Times New Roman" w:cs="Times New Roman"/>
          <w:sz w:val="24"/>
          <w:szCs w:val="24"/>
          <w:lang w:val="en-US"/>
        </w:rPr>
        <w:t>EuroMemo</w:t>
      </w:r>
      <w:proofErr w:type="spellEnd"/>
      <w:r w:rsidRPr="001234AB">
        <w:rPr>
          <w:rFonts w:ascii="Times New Roman" w:hAnsi="Times New Roman" w:cs="Times New Roman"/>
          <w:sz w:val="24"/>
          <w:szCs w:val="24"/>
          <w:lang w:val="en-US"/>
        </w:rPr>
        <w:t xml:space="preserve"> Group’s compromised critical voice</w:t>
      </w:r>
      <w:r w:rsidR="003E2A0F">
        <w:rPr>
          <w:rFonts w:ascii="Times New Roman" w:hAnsi="Times New Roman" w:cs="Times New Roman"/>
          <w:sz w:val="24"/>
          <w:szCs w:val="24"/>
          <w:lang w:val="en-US"/>
        </w:rPr>
        <w:tab/>
      </w:r>
      <w:r w:rsidR="003E2A0F">
        <w:rPr>
          <w:rFonts w:ascii="Times New Roman" w:hAnsi="Times New Roman" w:cs="Times New Roman"/>
          <w:sz w:val="24"/>
          <w:szCs w:val="24"/>
          <w:lang w:val="en-US"/>
        </w:rPr>
        <w:tab/>
      </w:r>
      <w:r w:rsidR="003E2A0F">
        <w:rPr>
          <w:rFonts w:ascii="Times New Roman" w:hAnsi="Times New Roman" w:cs="Times New Roman"/>
          <w:sz w:val="24"/>
          <w:szCs w:val="24"/>
          <w:lang w:val="en-US"/>
        </w:rPr>
        <w:tab/>
      </w:r>
      <w:r w:rsidR="003E2A0F">
        <w:rPr>
          <w:rFonts w:ascii="Times New Roman" w:hAnsi="Times New Roman" w:cs="Times New Roman"/>
          <w:sz w:val="24"/>
          <w:szCs w:val="24"/>
          <w:lang w:val="en-US"/>
        </w:rPr>
        <w:tab/>
        <w:t>p. 49</w:t>
      </w:r>
    </w:p>
    <w:p w14:paraId="2C975684" w14:textId="4527CE1B" w:rsidR="004C7958"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3.5.4 The gendered conjuncture of COVID-19</w:t>
      </w:r>
      <w:r w:rsidR="003E2A0F">
        <w:rPr>
          <w:rFonts w:ascii="Times New Roman" w:hAnsi="Times New Roman" w:cs="Times New Roman"/>
          <w:sz w:val="24"/>
          <w:szCs w:val="24"/>
          <w:lang w:val="en-US"/>
        </w:rPr>
        <w:tab/>
      </w:r>
      <w:r w:rsidR="003E2A0F">
        <w:rPr>
          <w:rFonts w:ascii="Times New Roman" w:hAnsi="Times New Roman" w:cs="Times New Roman"/>
          <w:sz w:val="24"/>
          <w:szCs w:val="24"/>
          <w:lang w:val="en-US"/>
        </w:rPr>
        <w:tab/>
      </w:r>
      <w:r w:rsidR="003E2A0F">
        <w:rPr>
          <w:rFonts w:ascii="Times New Roman" w:hAnsi="Times New Roman" w:cs="Times New Roman"/>
          <w:sz w:val="24"/>
          <w:szCs w:val="24"/>
          <w:lang w:val="en-US"/>
        </w:rPr>
        <w:tab/>
      </w:r>
      <w:r w:rsidR="003E2A0F">
        <w:rPr>
          <w:rFonts w:ascii="Times New Roman" w:hAnsi="Times New Roman" w:cs="Times New Roman"/>
          <w:sz w:val="24"/>
          <w:szCs w:val="24"/>
          <w:lang w:val="en-US"/>
        </w:rPr>
        <w:tab/>
      </w:r>
      <w:r w:rsidR="003E2A0F">
        <w:rPr>
          <w:rFonts w:ascii="Times New Roman" w:hAnsi="Times New Roman" w:cs="Times New Roman"/>
          <w:sz w:val="24"/>
          <w:szCs w:val="24"/>
          <w:lang w:val="en-US"/>
        </w:rPr>
        <w:tab/>
        <w:t xml:space="preserve">p. </w:t>
      </w:r>
      <w:r w:rsidR="00452A08">
        <w:rPr>
          <w:rFonts w:ascii="Times New Roman" w:hAnsi="Times New Roman" w:cs="Times New Roman"/>
          <w:sz w:val="24"/>
          <w:szCs w:val="24"/>
          <w:lang w:val="en-US"/>
        </w:rPr>
        <w:t>51</w:t>
      </w:r>
    </w:p>
    <w:p w14:paraId="44D3A706" w14:textId="4FF20984" w:rsidR="004C7958"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3.5.5 Frail counter-hegemony alliances</w:t>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t>p. 52</w:t>
      </w:r>
    </w:p>
    <w:p w14:paraId="61739E11" w14:textId="566D0373" w:rsidR="006C6776" w:rsidRDefault="00FC173F" w:rsidP="006C6776">
      <w:pPr>
        <w:spacing w:line="360" w:lineRule="auto"/>
        <w:ind w:firstLine="851"/>
        <w:rPr>
          <w:rFonts w:ascii="Times New Roman" w:hAnsi="Times New Roman" w:cs="Times New Roman"/>
          <w:sz w:val="24"/>
          <w:szCs w:val="24"/>
          <w:lang w:val="en-US"/>
        </w:rPr>
      </w:pPr>
      <w:r w:rsidRPr="001234AB">
        <w:rPr>
          <w:rFonts w:ascii="Times New Roman" w:hAnsi="Times New Roman" w:cs="Times New Roman"/>
          <w:sz w:val="24"/>
          <w:szCs w:val="24"/>
          <w:lang w:val="en-US"/>
        </w:rPr>
        <w:t>3.5.6 Summary and concluding remarks on counter-hegemonic forces</w:t>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t>p. 53</w:t>
      </w:r>
    </w:p>
    <w:p w14:paraId="2E79E7DE" w14:textId="74E2A84B" w:rsidR="00FC173F" w:rsidRPr="00452A08" w:rsidRDefault="00FC173F" w:rsidP="006C6776">
      <w:pPr>
        <w:spacing w:line="360" w:lineRule="auto"/>
        <w:rPr>
          <w:rFonts w:ascii="Times New Roman" w:hAnsi="Times New Roman" w:cs="Times New Roman"/>
          <w:sz w:val="24"/>
          <w:szCs w:val="24"/>
          <w:lang w:val="en-US"/>
        </w:rPr>
      </w:pPr>
      <w:r w:rsidRPr="001234AB">
        <w:rPr>
          <w:rFonts w:ascii="Times New Roman" w:hAnsi="Times New Roman" w:cs="Times New Roman"/>
          <w:b/>
          <w:bCs/>
          <w:sz w:val="24"/>
          <w:szCs w:val="24"/>
          <w:lang w:val="en-US"/>
        </w:rPr>
        <w:t>Chapter 4: Conclusion, discussion and avenues for future (critical) research</w:t>
      </w:r>
      <w:r w:rsidR="00452A08">
        <w:rPr>
          <w:rFonts w:ascii="Times New Roman" w:hAnsi="Times New Roman" w:cs="Times New Roman"/>
          <w:sz w:val="24"/>
          <w:szCs w:val="24"/>
          <w:lang w:val="en-US"/>
        </w:rPr>
        <w:t xml:space="preserve"> </w:t>
      </w:r>
      <w:r w:rsidR="00452A08">
        <w:rPr>
          <w:rFonts w:ascii="Times New Roman" w:hAnsi="Times New Roman" w:cs="Times New Roman"/>
          <w:sz w:val="24"/>
          <w:szCs w:val="24"/>
          <w:lang w:val="en-US"/>
        </w:rPr>
        <w:tab/>
        <w:t>p. 54</w:t>
      </w:r>
    </w:p>
    <w:p w14:paraId="0FBD0835" w14:textId="55C635F6" w:rsidR="00210384" w:rsidRPr="001234AB" w:rsidRDefault="006C6776" w:rsidP="00F807BD">
      <w:pPr>
        <w:spacing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References</w:t>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r>
      <w:r w:rsidR="00452A08">
        <w:rPr>
          <w:rFonts w:ascii="Times New Roman" w:hAnsi="Times New Roman" w:cs="Times New Roman"/>
          <w:sz w:val="24"/>
          <w:szCs w:val="24"/>
          <w:lang w:val="en-US"/>
        </w:rPr>
        <w:tab/>
        <w:t>p. 58</w:t>
      </w:r>
      <w:r w:rsidR="00FC173F" w:rsidRPr="001234AB">
        <w:rPr>
          <w:rFonts w:ascii="Times New Roman" w:hAnsi="Times New Roman" w:cs="Times New Roman"/>
          <w:sz w:val="24"/>
          <w:szCs w:val="24"/>
          <w:lang w:val="en-US"/>
        </w:rPr>
        <w:br/>
      </w:r>
    </w:p>
    <w:p w14:paraId="6767502B" w14:textId="017B70BE" w:rsidR="00210384" w:rsidRDefault="00210384" w:rsidP="00F807BD">
      <w:pPr>
        <w:spacing w:line="360" w:lineRule="auto"/>
        <w:rPr>
          <w:rFonts w:ascii="Times New Roman" w:hAnsi="Times New Roman" w:cs="Times New Roman"/>
          <w:b/>
          <w:bCs/>
          <w:sz w:val="24"/>
          <w:szCs w:val="24"/>
          <w:lang w:val="en-US"/>
        </w:rPr>
      </w:pPr>
    </w:p>
    <w:p w14:paraId="74FB7CDE" w14:textId="77777777" w:rsidR="006C6776" w:rsidRDefault="006C6776" w:rsidP="00F807BD">
      <w:pPr>
        <w:spacing w:line="360" w:lineRule="auto"/>
        <w:rPr>
          <w:rFonts w:ascii="Times New Roman" w:hAnsi="Times New Roman" w:cs="Times New Roman"/>
          <w:b/>
          <w:bCs/>
          <w:sz w:val="24"/>
          <w:szCs w:val="24"/>
          <w:lang w:val="en-US"/>
        </w:rPr>
      </w:pPr>
    </w:p>
    <w:p w14:paraId="5FE3DAA6" w14:textId="77777777" w:rsidR="006C6776" w:rsidRDefault="006C6776" w:rsidP="00F807BD">
      <w:pPr>
        <w:spacing w:line="360" w:lineRule="auto"/>
        <w:rPr>
          <w:rFonts w:ascii="Times New Roman" w:hAnsi="Times New Roman" w:cs="Times New Roman"/>
          <w:b/>
          <w:bCs/>
          <w:sz w:val="24"/>
          <w:szCs w:val="24"/>
          <w:lang w:val="en-US"/>
        </w:rPr>
      </w:pPr>
    </w:p>
    <w:p w14:paraId="3C713420" w14:textId="77777777" w:rsidR="006C6776" w:rsidRDefault="006C6776" w:rsidP="00F807BD">
      <w:pPr>
        <w:spacing w:line="360" w:lineRule="auto"/>
        <w:rPr>
          <w:rFonts w:ascii="Times New Roman" w:hAnsi="Times New Roman" w:cs="Times New Roman"/>
          <w:b/>
          <w:bCs/>
          <w:sz w:val="24"/>
          <w:szCs w:val="24"/>
          <w:lang w:val="en-US"/>
        </w:rPr>
      </w:pPr>
    </w:p>
    <w:p w14:paraId="64D25A50" w14:textId="77777777" w:rsidR="006C6776" w:rsidRDefault="006C6776" w:rsidP="00F807BD">
      <w:pPr>
        <w:spacing w:line="360" w:lineRule="auto"/>
        <w:rPr>
          <w:rFonts w:ascii="Times New Roman" w:hAnsi="Times New Roman" w:cs="Times New Roman"/>
          <w:b/>
          <w:bCs/>
          <w:sz w:val="24"/>
          <w:szCs w:val="24"/>
          <w:lang w:val="en-US"/>
        </w:rPr>
      </w:pPr>
    </w:p>
    <w:p w14:paraId="40C17E80" w14:textId="77777777" w:rsidR="006C6776" w:rsidRDefault="006C6776" w:rsidP="00F807BD">
      <w:pPr>
        <w:spacing w:line="360" w:lineRule="auto"/>
        <w:rPr>
          <w:rFonts w:ascii="Times New Roman" w:hAnsi="Times New Roman" w:cs="Times New Roman"/>
          <w:b/>
          <w:bCs/>
          <w:sz w:val="24"/>
          <w:szCs w:val="24"/>
          <w:lang w:val="en-US"/>
        </w:rPr>
      </w:pPr>
    </w:p>
    <w:p w14:paraId="225FC8B2" w14:textId="334C606E" w:rsidR="00210384" w:rsidRPr="001234AB" w:rsidRDefault="00210384" w:rsidP="00F807BD">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 xml:space="preserve">Index of </w:t>
      </w:r>
      <w:r w:rsidR="007C07F4" w:rsidRPr="001234AB">
        <w:rPr>
          <w:rFonts w:ascii="Times New Roman" w:hAnsi="Times New Roman" w:cs="Times New Roman"/>
          <w:b/>
          <w:bCs/>
          <w:sz w:val="24"/>
          <w:szCs w:val="24"/>
          <w:lang w:val="en-US"/>
        </w:rPr>
        <w:t xml:space="preserve">abbreviations and </w:t>
      </w:r>
      <w:r w:rsidRPr="001234AB">
        <w:rPr>
          <w:rFonts w:ascii="Times New Roman" w:hAnsi="Times New Roman" w:cs="Times New Roman"/>
          <w:b/>
          <w:bCs/>
          <w:sz w:val="24"/>
          <w:szCs w:val="24"/>
          <w:lang w:val="en-US"/>
        </w:rPr>
        <w:t>acronyms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7082"/>
      </w:tblGrid>
      <w:tr w:rsidR="00D70519" w14:paraId="39A662FB" w14:textId="77777777" w:rsidTr="0052035E">
        <w:tc>
          <w:tcPr>
            <w:tcW w:w="1980" w:type="dxa"/>
          </w:tcPr>
          <w:p w14:paraId="6BBFC6F3" w14:textId="2854F8B5" w:rsidR="00D70519" w:rsidRDefault="00D70519"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AFME</w:t>
            </w:r>
          </w:p>
        </w:tc>
        <w:tc>
          <w:tcPr>
            <w:tcW w:w="7082" w:type="dxa"/>
          </w:tcPr>
          <w:p w14:paraId="37405269" w14:textId="4264DE67" w:rsidR="00D70519"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Association for Financial Markets in Europe</w:t>
            </w:r>
          </w:p>
        </w:tc>
      </w:tr>
      <w:tr w:rsidR="00D70519" w14:paraId="620A83A2" w14:textId="77777777" w:rsidTr="0052035E">
        <w:tc>
          <w:tcPr>
            <w:tcW w:w="1980" w:type="dxa"/>
          </w:tcPr>
          <w:p w14:paraId="3F30130C" w14:textId="516E73EE" w:rsidR="00D70519" w:rsidRDefault="00D70519"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AP</w:t>
            </w:r>
          </w:p>
        </w:tc>
        <w:tc>
          <w:tcPr>
            <w:tcW w:w="7082" w:type="dxa"/>
          </w:tcPr>
          <w:p w14:paraId="3257815C" w14:textId="32B4FBFF" w:rsidR="00D70519"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Amsterdam Project</w:t>
            </w:r>
          </w:p>
        </w:tc>
      </w:tr>
      <w:tr w:rsidR="00D70519" w14:paraId="64392E08" w14:textId="77777777" w:rsidTr="0052035E">
        <w:tc>
          <w:tcPr>
            <w:tcW w:w="1980" w:type="dxa"/>
          </w:tcPr>
          <w:p w14:paraId="4868B631" w14:textId="3581546E" w:rsidR="00D70519" w:rsidRDefault="00D70519"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BDA</w:t>
            </w:r>
          </w:p>
        </w:tc>
        <w:tc>
          <w:tcPr>
            <w:tcW w:w="7082" w:type="dxa"/>
          </w:tcPr>
          <w:p w14:paraId="7422558E" w14:textId="640600BF" w:rsidR="00D70519" w:rsidRDefault="0052035E" w:rsidP="00F807BD">
            <w:pPr>
              <w:spacing w:line="360" w:lineRule="auto"/>
              <w:rPr>
                <w:rFonts w:ascii="Times New Roman" w:hAnsi="Times New Roman" w:cs="Times New Roman"/>
                <w:sz w:val="24"/>
                <w:szCs w:val="24"/>
                <w:lang w:val="en-US"/>
              </w:rPr>
            </w:pPr>
            <w:proofErr w:type="spellStart"/>
            <w:r w:rsidRPr="001234AB">
              <w:rPr>
                <w:rFonts w:ascii="Times New Roman" w:hAnsi="Times New Roman" w:cs="Times New Roman"/>
                <w:sz w:val="24"/>
                <w:szCs w:val="24"/>
                <w:lang w:val="en-US"/>
              </w:rPr>
              <w:t>Bundesvereinigung</w:t>
            </w:r>
            <w:proofErr w:type="spellEnd"/>
            <w:r w:rsidRPr="001234AB">
              <w:rPr>
                <w:rFonts w:ascii="Times New Roman" w:hAnsi="Times New Roman" w:cs="Times New Roman"/>
                <w:sz w:val="24"/>
                <w:szCs w:val="24"/>
                <w:lang w:val="en-US"/>
              </w:rPr>
              <w:t xml:space="preserve"> der </w:t>
            </w:r>
            <w:proofErr w:type="spellStart"/>
            <w:r w:rsidRPr="001234AB">
              <w:rPr>
                <w:rFonts w:ascii="Times New Roman" w:hAnsi="Times New Roman" w:cs="Times New Roman"/>
                <w:sz w:val="24"/>
                <w:szCs w:val="24"/>
                <w:lang w:val="en-US"/>
              </w:rPr>
              <w:t>Deutschen</w:t>
            </w:r>
            <w:proofErr w:type="spellEnd"/>
            <w:r w:rsidRPr="001234AB">
              <w:rPr>
                <w:rFonts w:ascii="Times New Roman" w:hAnsi="Times New Roman" w:cs="Times New Roman"/>
                <w:sz w:val="24"/>
                <w:szCs w:val="24"/>
                <w:lang w:val="en-US"/>
              </w:rPr>
              <w:t xml:space="preserve"> </w:t>
            </w:r>
            <w:proofErr w:type="spellStart"/>
            <w:r w:rsidRPr="001234AB">
              <w:rPr>
                <w:rFonts w:ascii="Times New Roman" w:hAnsi="Times New Roman" w:cs="Times New Roman"/>
                <w:sz w:val="24"/>
                <w:szCs w:val="24"/>
                <w:lang w:val="en-US"/>
              </w:rPr>
              <w:t>Arbeitgeberverbände</w:t>
            </w:r>
            <w:proofErr w:type="spellEnd"/>
          </w:p>
        </w:tc>
      </w:tr>
      <w:tr w:rsidR="00D70519" w14:paraId="5ECB2FA1" w14:textId="77777777" w:rsidTr="0052035E">
        <w:tc>
          <w:tcPr>
            <w:tcW w:w="1980" w:type="dxa"/>
          </w:tcPr>
          <w:p w14:paraId="00A7D615" w14:textId="5C9321BA" w:rsidR="00D70519" w:rsidRDefault="00D70519"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BDI</w:t>
            </w:r>
          </w:p>
        </w:tc>
        <w:tc>
          <w:tcPr>
            <w:tcW w:w="7082" w:type="dxa"/>
          </w:tcPr>
          <w:p w14:paraId="41CC89B1" w14:textId="42F59FF3" w:rsidR="00D70519" w:rsidRDefault="0052035E" w:rsidP="00F807BD">
            <w:pPr>
              <w:spacing w:line="360" w:lineRule="auto"/>
              <w:rPr>
                <w:rFonts w:ascii="Times New Roman" w:hAnsi="Times New Roman" w:cs="Times New Roman"/>
                <w:sz w:val="24"/>
                <w:szCs w:val="24"/>
                <w:lang w:val="en-US"/>
              </w:rPr>
            </w:pPr>
            <w:proofErr w:type="spellStart"/>
            <w:r w:rsidRPr="001234AB">
              <w:rPr>
                <w:rFonts w:ascii="Times New Roman" w:hAnsi="Times New Roman" w:cs="Times New Roman"/>
                <w:sz w:val="24"/>
                <w:szCs w:val="24"/>
                <w:lang w:val="en-US"/>
              </w:rPr>
              <w:t>Bundesverband</w:t>
            </w:r>
            <w:proofErr w:type="spellEnd"/>
            <w:r w:rsidRPr="001234AB">
              <w:rPr>
                <w:rFonts w:ascii="Times New Roman" w:hAnsi="Times New Roman" w:cs="Times New Roman"/>
                <w:sz w:val="24"/>
                <w:szCs w:val="24"/>
                <w:lang w:val="en-US"/>
              </w:rPr>
              <w:t xml:space="preserve"> der </w:t>
            </w:r>
            <w:proofErr w:type="spellStart"/>
            <w:r w:rsidRPr="001234AB">
              <w:rPr>
                <w:rFonts w:ascii="Times New Roman" w:hAnsi="Times New Roman" w:cs="Times New Roman"/>
                <w:sz w:val="24"/>
                <w:szCs w:val="24"/>
                <w:lang w:val="en-US"/>
              </w:rPr>
              <w:t>Deutschen</w:t>
            </w:r>
            <w:proofErr w:type="spellEnd"/>
            <w:r w:rsidRPr="001234AB">
              <w:rPr>
                <w:rFonts w:ascii="Times New Roman" w:hAnsi="Times New Roman" w:cs="Times New Roman"/>
                <w:sz w:val="24"/>
                <w:szCs w:val="24"/>
                <w:lang w:val="en-US"/>
              </w:rPr>
              <w:t xml:space="preserve"> </w:t>
            </w:r>
            <w:proofErr w:type="spellStart"/>
            <w:r w:rsidRPr="001234AB">
              <w:rPr>
                <w:rFonts w:ascii="Times New Roman" w:hAnsi="Times New Roman" w:cs="Times New Roman"/>
                <w:sz w:val="24"/>
                <w:szCs w:val="24"/>
                <w:lang w:val="en-US"/>
              </w:rPr>
              <w:t>Industrie</w:t>
            </w:r>
            <w:proofErr w:type="spellEnd"/>
          </w:p>
        </w:tc>
      </w:tr>
      <w:tr w:rsidR="00D70519" w14:paraId="67A63AF6" w14:textId="77777777" w:rsidTr="0052035E">
        <w:tc>
          <w:tcPr>
            <w:tcW w:w="1980" w:type="dxa"/>
          </w:tcPr>
          <w:p w14:paraId="33EF211C" w14:textId="6F8D71CB" w:rsidR="00D70519" w:rsidRDefault="00D70519"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CMU</w:t>
            </w:r>
          </w:p>
        </w:tc>
        <w:tc>
          <w:tcPr>
            <w:tcW w:w="7082" w:type="dxa"/>
          </w:tcPr>
          <w:p w14:paraId="77D5FF0B" w14:textId="2D3E2DF4" w:rsidR="00D70519"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Capital Markets Union</w:t>
            </w:r>
          </w:p>
        </w:tc>
      </w:tr>
      <w:tr w:rsidR="00D70519" w14:paraId="7A4864F5" w14:textId="77777777" w:rsidTr="0052035E">
        <w:tc>
          <w:tcPr>
            <w:tcW w:w="1980" w:type="dxa"/>
          </w:tcPr>
          <w:p w14:paraId="6F30D3D8" w14:textId="0200B0D5" w:rsidR="00D70519"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CPE</w:t>
            </w:r>
          </w:p>
        </w:tc>
        <w:tc>
          <w:tcPr>
            <w:tcW w:w="7082" w:type="dxa"/>
          </w:tcPr>
          <w:p w14:paraId="3F3BF590" w14:textId="0CFF6733" w:rsidR="00D70519"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w:t>
            </w:r>
            <w:r w:rsidRPr="001234AB">
              <w:rPr>
                <w:rFonts w:ascii="Times New Roman" w:hAnsi="Times New Roman" w:cs="Times New Roman"/>
                <w:sz w:val="24"/>
                <w:szCs w:val="24"/>
                <w:lang w:val="en-US"/>
              </w:rPr>
              <w:t xml:space="preserve">ritical </w:t>
            </w:r>
            <w:r>
              <w:rPr>
                <w:rFonts w:ascii="Times New Roman" w:hAnsi="Times New Roman" w:cs="Times New Roman"/>
                <w:sz w:val="24"/>
                <w:szCs w:val="24"/>
                <w:lang w:val="en-US"/>
              </w:rPr>
              <w:t>p</w:t>
            </w:r>
            <w:r w:rsidRPr="001234AB">
              <w:rPr>
                <w:rFonts w:ascii="Times New Roman" w:hAnsi="Times New Roman" w:cs="Times New Roman"/>
                <w:sz w:val="24"/>
                <w:szCs w:val="24"/>
                <w:lang w:val="en-US"/>
              </w:rPr>
              <w:t xml:space="preserve">olitical </w:t>
            </w:r>
            <w:r>
              <w:rPr>
                <w:rFonts w:ascii="Times New Roman" w:hAnsi="Times New Roman" w:cs="Times New Roman"/>
                <w:sz w:val="24"/>
                <w:szCs w:val="24"/>
                <w:lang w:val="en-US"/>
              </w:rPr>
              <w:t>e</w:t>
            </w:r>
            <w:r w:rsidRPr="001234AB">
              <w:rPr>
                <w:rFonts w:ascii="Times New Roman" w:hAnsi="Times New Roman" w:cs="Times New Roman"/>
                <w:sz w:val="24"/>
                <w:szCs w:val="24"/>
                <w:lang w:val="en-US"/>
              </w:rPr>
              <w:t>conomy</w:t>
            </w:r>
          </w:p>
        </w:tc>
      </w:tr>
      <w:tr w:rsidR="00D70519" w14:paraId="010E0388" w14:textId="77777777" w:rsidTr="0052035E">
        <w:tc>
          <w:tcPr>
            <w:tcW w:w="1980" w:type="dxa"/>
          </w:tcPr>
          <w:p w14:paraId="46560E6E" w14:textId="1950A0F6" w:rsidR="00D70519"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EFR</w:t>
            </w:r>
          </w:p>
        </w:tc>
        <w:tc>
          <w:tcPr>
            <w:tcW w:w="7082" w:type="dxa"/>
          </w:tcPr>
          <w:p w14:paraId="6E745C83" w14:textId="4A95BB6B" w:rsidR="00D70519"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European Financial Services Round Table</w:t>
            </w:r>
          </w:p>
        </w:tc>
      </w:tr>
      <w:tr w:rsidR="00D70519" w14:paraId="51410C11" w14:textId="77777777" w:rsidTr="0052035E">
        <w:tc>
          <w:tcPr>
            <w:tcW w:w="1980" w:type="dxa"/>
          </w:tcPr>
          <w:p w14:paraId="11AA284A" w14:textId="5A912B40" w:rsidR="00D70519"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ERT</w:t>
            </w:r>
          </w:p>
        </w:tc>
        <w:tc>
          <w:tcPr>
            <w:tcW w:w="7082" w:type="dxa"/>
          </w:tcPr>
          <w:p w14:paraId="47D854FB" w14:textId="00984A87" w:rsidR="00D70519"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European Round Table for Industry</w:t>
            </w:r>
          </w:p>
        </w:tc>
      </w:tr>
      <w:tr w:rsidR="0052035E" w14:paraId="5172EC0D" w14:textId="77777777" w:rsidTr="0052035E">
        <w:tc>
          <w:tcPr>
            <w:tcW w:w="1980" w:type="dxa"/>
          </w:tcPr>
          <w:p w14:paraId="00AA8CCD" w14:textId="2E3EB67F" w:rsidR="0052035E"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ETUC</w:t>
            </w:r>
          </w:p>
        </w:tc>
        <w:tc>
          <w:tcPr>
            <w:tcW w:w="7082" w:type="dxa"/>
          </w:tcPr>
          <w:p w14:paraId="29E85789" w14:textId="0BF235FC" w:rsidR="0052035E"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European Trade Union Confederation</w:t>
            </w:r>
          </w:p>
        </w:tc>
      </w:tr>
      <w:tr w:rsidR="0052035E" w14:paraId="3F29F5D9" w14:textId="77777777" w:rsidTr="0052035E">
        <w:tc>
          <w:tcPr>
            <w:tcW w:w="1980" w:type="dxa"/>
          </w:tcPr>
          <w:p w14:paraId="0DB2BBFE" w14:textId="2C8354A3" w:rsidR="0052035E"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Eurochambres</w:t>
            </w:r>
          </w:p>
        </w:tc>
        <w:tc>
          <w:tcPr>
            <w:tcW w:w="7082" w:type="dxa"/>
          </w:tcPr>
          <w:p w14:paraId="1CE2AD95" w14:textId="6D6FD649" w:rsidR="0052035E"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Association of European Chambers of Commerce and Industry</w:t>
            </w:r>
          </w:p>
        </w:tc>
      </w:tr>
      <w:tr w:rsidR="0052035E" w14:paraId="0805A861" w14:textId="77777777" w:rsidTr="0052035E">
        <w:tc>
          <w:tcPr>
            <w:tcW w:w="1980" w:type="dxa"/>
          </w:tcPr>
          <w:p w14:paraId="143A182E" w14:textId="45D13F47" w:rsidR="0052035E" w:rsidRDefault="0052035E" w:rsidP="00F807BD">
            <w:pPr>
              <w:spacing w:line="360" w:lineRule="auto"/>
              <w:rPr>
                <w:rFonts w:ascii="Times New Roman" w:hAnsi="Times New Roman" w:cs="Times New Roman"/>
                <w:sz w:val="24"/>
                <w:szCs w:val="24"/>
                <w:lang w:val="en-US"/>
              </w:rPr>
            </w:pPr>
            <w:proofErr w:type="spellStart"/>
            <w:r>
              <w:rPr>
                <w:rFonts w:ascii="Times New Roman" w:hAnsi="Times New Roman" w:cs="Times New Roman"/>
                <w:sz w:val="24"/>
                <w:szCs w:val="24"/>
                <w:lang w:val="en-US"/>
              </w:rPr>
              <w:t>Euromemo</w:t>
            </w:r>
            <w:proofErr w:type="spellEnd"/>
            <w:r>
              <w:rPr>
                <w:rFonts w:ascii="Times New Roman" w:hAnsi="Times New Roman" w:cs="Times New Roman"/>
                <w:sz w:val="24"/>
                <w:szCs w:val="24"/>
                <w:lang w:val="en-US"/>
              </w:rPr>
              <w:t xml:space="preserve"> Group</w:t>
            </w:r>
          </w:p>
        </w:tc>
        <w:tc>
          <w:tcPr>
            <w:tcW w:w="7082" w:type="dxa"/>
          </w:tcPr>
          <w:p w14:paraId="13BE5669" w14:textId="6D94E1D6" w:rsidR="0052035E"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E</w:t>
            </w:r>
            <w:r>
              <w:rPr>
                <w:rFonts w:ascii="Times New Roman" w:hAnsi="Times New Roman" w:cs="Times New Roman"/>
                <w:sz w:val="24"/>
                <w:szCs w:val="24"/>
                <w:lang w:val="en-US"/>
              </w:rPr>
              <w:t>u</w:t>
            </w:r>
            <w:r w:rsidRPr="001234AB">
              <w:rPr>
                <w:rFonts w:ascii="Times New Roman" w:hAnsi="Times New Roman" w:cs="Times New Roman"/>
                <w:sz w:val="24"/>
                <w:szCs w:val="24"/>
                <w:lang w:val="en-US"/>
              </w:rPr>
              <w:t>ropean Economists for an Alternative Economic Policy in Europe</w:t>
            </w:r>
          </w:p>
        </w:tc>
      </w:tr>
      <w:tr w:rsidR="0052035E" w14:paraId="0B3A29C2" w14:textId="77777777" w:rsidTr="0052035E">
        <w:tc>
          <w:tcPr>
            <w:tcW w:w="1980" w:type="dxa"/>
          </w:tcPr>
          <w:p w14:paraId="151CE984" w14:textId="5F89D097" w:rsidR="0052035E"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EWL</w:t>
            </w:r>
          </w:p>
        </w:tc>
        <w:tc>
          <w:tcPr>
            <w:tcW w:w="7082" w:type="dxa"/>
          </w:tcPr>
          <w:p w14:paraId="113722AE" w14:textId="03A8D29F" w:rsidR="0052035E"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European Women’s Lobby</w:t>
            </w:r>
          </w:p>
        </w:tc>
      </w:tr>
      <w:tr w:rsidR="0052035E" w14:paraId="12232EA1" w14:textId="77777777" w:rsidTr="0052035E">
        <w:tc>
          <w:tcPr>
            <w:tcW w:w="1980" w:type="dxa"/>
          </w:tcPr>
          <w:p w14:paraId="37FB4793" w14:textId="06447840" w:rsidR="0052035E"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HMPA</w:t>
            </w:r>
          </w:p>
        </w:tc>
        <w:tc>
          <w:tcPr>
            <w:tcW w:w="7082" w:type="dxa"/>
          </w:tcPr>
          <w:p w14:paraId="3DF59A09" w14:textId="7EA4C53F" w:rsidR="0052035E"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historical materialist policy analysis</w:t>
            </w:r>
          </w:p>
        </w:tc>
      </w:tr>
      <w:tr w:rsidR="0052035E" w14:paraId="75ECC168" w14:textId="77777777" w:rsidTr="0052035E">
        <w:tc>
          <w:tcPr>
            <w:tcW w:w="1980" w:type="dxa"/>
          </w:tcPr>
          <w:p w14:paraId="5B6629D7" w14:textId="38297811" w:rsidR="0052035E"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MFF</w:t>
            </w:r>
          </w:p>
        </w:tc>
        <w:tc>
          <w:tcPr>
            <w:tcW w:w="7082" w:type="dxa"/>
          </w:tcPr>
          <w:p w14:paraId="79601403" w14:textId="4F1F55C2" w:rsidR="0052035E"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multiannual financial framework</w:t>
            </w:r>
          </w:p>
        </w:tc>
      </w:tr>
      <w:tr w:rsidR="0052035E" w14:paraId="3E9200C0" w14:textId="77777777" w:rsidTr="0052035E">
        <w:tc>
          <w:tcPr>
            <w:tcW w:w="1980" w:type="dxa"/>
          </w:tcPr>
          <w:p w14:paraId="439E6717" w14:textId="54C2AC71" w:rsidR="0052035E"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NGEU</w:t>
            </w:r>
          </w:p>
        </w:tc>
        <w:tc>
          <w:tcPr>
            <w:tcW w:w="7082" w:type="dxa"/>
          </w:tcPr>
          <w:p w14:paraId="2EE5BD0A" w14:textId="4E55DD80" w:rsidR="0052035E" w:rsidRDefault="0052035E" w:rsidP="00F807BD">
            <w:pPr>
              <w:spacing w:line="360" w:lineRule="auto"/>
              <w:rPr>
                <w:rFonts w:ascii="Times New Roman" w:hAnsi="Times New Roman" w:cs="Times New Roman"/>
                <w:sz w:val="24"/>
                <w:szCs w:val="24"/>
                <w:lang w:val="en-US"/>
              </w:rPr>
            </w:pPr>
            <w:proofErr w:type="spellStart"/>
            <w:r w:rsidRPr="001234AB">
              <w:rPr>
                <w:rFonts w:ascii="Times New Roman" w:hAnsi="Times New Roman" w:cs="Times New Roman"/>
                <w:sz w:val="24"/>
                <w:szCs w:val="24"/>
                <w:lang w:val="en-US"/>
              </w:rPr>
              <w:t>NextGenerationEU</w:t>
            </w:r>
            <w:proofErr w:type="spellEnd"/>
          </w:p>
        </w:tc>
      </w:tr>
      <w:tr w:rsidR="0052035E" w14:paraId="6DD99078" w14:textId="77777777" w:rsidTr="0052035E">
        <w:tc>
          <w:tcPr>
            <w:tcW w:w="1980" w:type="dxa"/>
          </w:tcPr>
          <w:p w14:paraId="0AD59B4E" w14:textId="771C4A6A" w:rsidR="0052035E"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RRF</w:t>
            </w:r>
          </w:p>
        </w:tc>
        <w:tc>
          <w:tcPr>
            <w:tcW w:w="7082" w:type="dxa"/>
          </w:tcPr>
          <w:p w14:paraId="3FB3C000" w14:textId="33188292" w:rsidR="0052035E" w:rsidRDefault="0052035E"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Recovery and Resilience Facility</w:t>
            </w:r>
          </w:p>
        </w:tc>
      </w:tr>
      <w:tr w:rsidR="0052035E" w14:paraId="2D48E9F2" w14:textId="77777777" w:rsidTr="0052035E">
        <w:tc>
          <w:tcPr>
            <w:tcW w:w="1980" w:type="dxa"/>
          </w:tcPr>
          <w:p w14:paraId="3F91EB53" w14:textId="1F970492" w:rsidR="0052035E" w:rsidRDefault="0052035E" w:rsidP="00F807B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SBBS</w:t>
            </w:r>
          </w:p>
        </w:tc>
        <w:tc>
          <w:tcPr>
            <w:tcW w:w="7082" w:type="dxa"/>
          </w:tcPr>
          <w:p w14:paraId="5BFDA8FD" w14:textId="1EEADC77" w:rsidR="0052035E" w:rsidRPr="0052035E" w:rsidRDefault="0052035E" w:rsidP="00F807BD">
            <w:pPr>
              <w:spacing w:line="360" w:lineRule="auto"/>
              <w:rPr>
                <w:rFonts w:ascii="Times New Roman" w:hAnsi="Times New Roman" w:cs="Times New Roman"/>
                <w:b/>
                <w:bCs/>
                <w:sz w:val="24"/>
                <w:szCs w:val="24"/>
                <w:lang w:val="en-US"/>
              </w:rPr>
            </w:pPr>
            <w:r w:rsidRPr="001234AB">
              <w:rPr>
                <w:rFonts w:ascii="Times New Roman" w:hAnsi="Times New Roman" w:cs="Times New Roman"/>
                <w:sz w:val="24"/>
                <w:szCs w:val="24"/>
                <w:lang w:val="en-US"/>
              </w:rPr>
              <w:t>sovereign bond-backed securities</w:t>
            </w:r>
          </w:p>
        </w:tc>
      </w:tr>
    </w:tbl>
    <w:p w14:paraId="3EA8D00E" w14:textId="77777777" w:rsidR="00D70519" w:rsidRDefault="00D70519" w:rsidP="00F807BD">
      <w:pPr>
        <w:spacing w:line="360" w:lineRule="auto"/>
        <w:rPr>
          <w:rFonts w:ascii="Times New Roman" w:hAnsi="Times New Roman" w:cs="Times New Roman"/>
          <w:sz w:val="24"/>
          <w:szCs w:val="24"/>
          <w:lang w:val="en-US"/>
        </w:rPr>
      </w:pPr>
    </w:p>
    <w:p w14:paraId="794BDFFD" w14:textId="77777777" w:rsidR="00210384" w:rsidRPr="001234AB" w:rsidRDefault="00210384" w:rsidP="00F807BD">
      <w:pPr>
        <w:spacing w:line="360" w:lineRule="auto"/>
        <w:rPr>
          <w:rFonts w:ascii="Times New Roman" w:hAnsi="Times New Roman" w:cs="Times New Roman"/>
          <w:b/>
          <w:bCs/>
          <w:sz w:val="24"/>
          <w:szCs w:val="24"/>
          <w:lang w:val="en-US"/>
        </w:rPr>
      </w:pPr>
    </w:p>
    <w:p w14:paraId="2DCEB448" w14:textId="77777777" w:rsidR="00210384" w:rsidRPr="001234AB" w:rsidRDefault="00210384" w:rsidP="00F807BD">
      <w:pPr>
        <w:spacing w:line="360" w:lineRule="auto"/>
        <w:rPr>
          <w:rFonts w:ascii="Times New Roman" w:hAnsi="Times New Roman" w:cs="Times New Roman"/>
          <w:b/>
          <w:bCs/>
          <w:sz w:val="24"/>
          <w:szCs w:val="24"/>
          <w:lang w:val="en-US"/>
        </w:rPr>
      </w:pPr>
    </w:p>
    <w:p w14:paraId="51812673" w14:textId="77777777" w:rsidR="00210384" w:rsidRPr="001234AB" w:rsidRDefault="00210384" w:rsidP="00F807BD">
      <w:pPr>
        <w:spacing w:line="360" w:lineRule="auto"/>
        <w:rPr>
          <w:rFonts w:ascii="Times New Roman" w:hAnsi="Times New Roman" w:cs="Times New Roman"/>
          <w:b/>
          <w:bCs/>
          <w:sz w:val="24"/>
          <w:szCs w:val="24"/>
          <w:lang w:val="en-US"/>
        </w:rPr>
      </w:pPr>
    </w:p>
    <w:p w14:paraId="1D03FD51" w14:textId="77777777" w:rsidR="00210384" w:rsidRPr="001234AB" w:rsidRDefault="00210384" w:rsidP="00F807BD">
      <w:pPr>
        <w:spacing w:line="360" w:lineRule="auto"/>
        <w:rPr>
          <w:rFonts w:ascii="Times New Roman" w:hAnsi="Times New Roman" w:cs="Times New Roman"/>
          <w:b/>
          <w:bCs/>
          <w:sz w:val="24"/>
          <w:szCs w:val="24"/>
          <w:lang w:val="en-US"/>
        </w:rPr>
      </w:pPr>
    </w:p>
    <w:p w14:paraId="1FE99255" w14:textId="77777777" w:rsidR="00210384" w:rsidRPr="001234AB" w:rsidRDefault="00210384" w:rsidP="00F807BD">
      <w:pPr>
        <w:spacing w:line="360" w:lineRule="auto"/>
        <w:rPr>
          <w:rFonts w:ascii="Times New Roman" w:hAnsi="Times New Roman" w:cs="Times New Roman"/>
          <w:b/>
          <w:bCs/>
          <w:sz w:val="24"/>
          <w:szCs w:val="24"/>
          <w:lang w:val="en-US"/>
        </w:rPr>
      </w:pPr>
    </w:p>
    <w:p w14:paraId="2B981385" w14:textId="77777777" w:rsidR="00210384" w:rsidRPr="001234AB" w:rsidRDefault="00210384" w:rsidP="00F807BD">
      <w:pPr>
        <w:spacing w:line="360" w:lineRule="auto"/>
        <w:rPr>
          <w:rFonts w:ascii="Times New Roman" w:hAnsi="Times New Roman" w:cs="Times New Roman"/>
          <w:b/>
          <w:bCs/>
          <w:sz w:val="24"/>
          <w:szCs w:val="24"/>
          <w:lang w:val="en-US"/>
        </w:rPr>
      </w:pPr>
    </w:p>
    <w:p w14:paraId="7DEEC7AB" w14:textId="77777777" w:rsidR="00210384" w:rsidRPr="001234AB" w:rsidRDefault="00210384" w:rsidP="00F807BD">
      <w:pPr>
        <w:spacing w:line="360" w:lineRule="auto"/>
        <w:rPr>
          <w:rFonts w:ascii="Times New Roman" w:hAnsi="Times New Roman" w:cs="Times New Roman"/>
          <w:b/>
          <w:bCs/>
          <w:sz w:val="24"/>
          <w:szCs w:val="24"/>
          <w:lang w:val="en-US"/>
        </w:rPr>
      </w:pPr>
    </w:p>
    <w:p w14:paraId="57E48E46" w14:textId="77777777" w:rsidR="00210384" w:rsidRPr="001234AB" w:rsidRDefault="00210384" w:rsidP="00F807BD">
      <w:pPr>
        <w:spacing w:line="360" w:lineRule="auto"/>
        <w:rPr>
          <w:rFonts w:ascii="Times New Roman" w:hAnsi="Times New Roman" w:cs="Times New Roman"/>
          <w:b/>
          <w:bCs/>
          <w:sz w:val="24"/>
          <w:szCs w:val="24"/>
          <w:lang w:val="en-US"/>
        </w:rPr>
      </w:pPr>
    </w:p>
    <w:p w14:paraId="1ECD3350" w14:textId="77777777" w:rsidR="00210384" w:rsidRPr="001234AB" w:rsidRDefault="00210384" w:rsidP="00F807BD">
      <w:pPr>
        <w:spacing w:line="360" w:lineRule="auto"/>
        <w:rPr>
          <w:rFonts w:ascii="Times New Roman" w:hAnsi="Times New Roman" w:cs="Times New Roman"/>
          <w:b/>
          <w:bCs/>
          <w:sz w:val="24"/>
          <w:szCs w:val="24"/>
          <w:lang w:val="en-US"/>
        </w:rPr>
      </w:pPr>
    </w:p>
    <w:p w14:paraId="5A701E9C" w14:textId="77777777" w:rsidR="00210384" w:rsidRPr="001234AB" w:rsidRDefault="00210384" w:rsidP="00F807BD">
      <w:pPr>
        <w:spacing w:line="360" w:lineRule="auto"/>
        <w:rPr>
          <w:rFonts w:ascii="Times New Roman" w:hAnsi="Times New Roman" w:cs="Times New Roman"/>
          <w:b/>
          <w:bCs/>
          <w:sz w:val="24"/>
          <w:szCs w:val="24"/>
          <w:lang w:val="en-US"/>
        </w:rPr>
      </w:pPr>
    </w:p>
    <w:p w14:paraId="4638EAA7" w14:textId="04BDAEC0" w:rsidR="00210384" w:rsidRPr="001234AB" w:rsidRDefault="00210384" w:rsidP="00F807BD">
      <w:pPr>
        <w:spacing w:line="360" w:lineRule="auto"/>
        <w:rPr>
          <w:rFonts w:ascii="Times New Roman" w:hAnsi="Times New Roman" w:cs="Times New Roman"/>
          <w:b/>
          <w:bCs/>
          <w:sz w:val="24"/>
          <w:szCs w:val="24"/>
          <w:lang w:val="en-US"/>
        </w:rPr>
      </w:pPr>
      <w:r w:rsidRPr="001234AB">
        <w:rPr>
          <w:rFonts w:ascii="Times New Roman" w:hAnsi="Times New Roman" w:cs="Times New Roman"/>
          <w:b/>
          <w:bCs/>
          <w:sz w:val="24"/>
          <w:szCs w:val="24"/>
          <w:lang w:val="en-US"/>
        </w:rPr>
        <w:t>List of figures</w:t>
      </w:r>
    </w:p>
    <w:p w14:paraId="270BE142" w14:textId="0DCD62B1" w:rsidR="00210384" w:rsidRPr="001234AB" w:rsidRDefault="00210384" w:rsidP="00F807BD">
      <w:pPr>
        <w:spacing w:line="360" w:lineRule="auto"/>
        <w:rPr>
          <w:rFonts w:ascii="Times New Roman" w:hAnsi="Times New Roman" w:cs="Times New Roman"/>
          <w:b/>
          <w:bCs/>
          <w:sz w:val="24"/>
          <w:szCs w:val="24"/>
          <w:lang w:val="en-US"/>
        </w:rPr>
      </w:pPr>
    </w:p>
    <w:p w14:paraId="1B4FDF3E" w14:textId="25ADCA1F" w:rsidR="00210384" w:rsidRPr="001234AB" w:rsidRDefault="00210384" w:rsidP="00F807BD">
      <w:pPr>
        <w:spacing w:line="360" w:lineRule="auto"/>
        <w:rPr>
          <w:rFonts w:ascii="Times New Roman" w:hAnsi="Times New Roman" w:cs="Times New Roman"/>
          <w:sz w:val="24"/>
          <w:szCs w:val="24"/>
          <w:lang w:val="en-US"/>
        </w:rPr>
      </w:pPr>
      <w:r w:rsidRPr="001234AB">
        <w:rPr>
          <w:rFonts w:ascii="Times New Roman" w:hAnsi="Times New Roman" w:cs="Times New Roman"/>
          <w:b/>
          <w:bCs/>
          <w:sz w:val="24"/>
          <w:szCs w:val="24"/>
          <w:lang w:val="en-US"/>
        </w:rPr>
        <w:t>Figures</w:t>
      </w:r>
      <w:r w:rsidR="0052035E">
        <w:rPr>
          <w:rFonts w:ascii="Times New Roman" w:hAnsi="Times New Roman" w:cs="Times New Roman"/>
          <w:sz w:val="24"/>
          <w:szCs w:val="24"/>
          <w:lang w:val="en-US"/>
        </w:rPr>
        <w:t>:</w:t>
      </w:r>
      <w:r w:rsidRPr="001234AB">
        <w:rPr>
          <w:rFonts w:ascii="Times New Roman" w:hAnsi="Times New Roman" w:cs="Times New Roman"/>
          <w:sz w:val="24"/>
          <w:szCs w:val="24"/>
          <w:lang w:val="en-US"/>
        </w:rPr>
        <w:br/>
        <w:t>Figure 1: Euro area total reserves (including gold, current billion US</w:t>
      </w:r>
      <w:proofErr w:type="gramStart"/>
      <w:r w:rsidRPr="001234AB">
        <w:rPr>
          <w:rFonts w:ascii="Times New Roman" w:hAnsi="Times New Roman" w:cs="Times New Roman"/>
          <w:sz w:val="24"/>
          <w:szCs w:val="24"/>
          <w:lang w:val="en-US"/>
        </w:rPr>
        <w:t xml:space="preserve">$)  </w:t>
      </w:r>
      <w:r w:rsidR="00C839B3">
        <w:rPr>
          <w:rFonts w:ascii="Times New Roman" w:hAnsi="Times New Roman" w:cs="Times New Roman"/>
          <w:sz w:val="24"/>
          <w:szCs w:val="24"/>
          <w:lang w:val="en-US"/>
        </w:rPr>
        <w:tab/>
      </w:r>
      <w:proofErr w:type="gramEnd"/>
      <w:r w:rsidR="00C839B3">
        <w:rPr>
          <w:rFonts w:ascii="Times New Roman" w:hAnsi="Times New Roman" w:cs="Times New Roman"/>
          <w:sz w:val="24"/>
          <w:szCs w:val="24"/>
          <w:lang w:val="en-US"/>
        </w:rPr>
        <w:tab/>
      </w:r>
      <w:r w:rsidR="00C839B3">
        <w:rPr>
          <w:rFonts w:ascii="Times New Roman" w:hAnsi="Times New Roman" w:cs="Times New Roman"/>
          <w:sz w:val="24"/>
          <w:szCs w:val="24"/>
          <w:lang w:val="en-US"/>
        </w:rPr>
        <w:tab/>
        <w:t>p. 30</w:t>
      </w:r>
    </w:p>
    <w:p w14:paraId="171BE480" w14:textId="66817274" w:rsidR="00210384" w:rsidRPr="001234AB" w:rsidRDefault="00210384"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Figure 2: EU-27 Market capitalization of listed domestic companies (&amp; of GDP) </w:t>
      </w:r>
      <w:r w:rsidR="00C839B3">
        <w:rPr>
          <w:rFonts w:ascii="Times New Roman" w:hAnsi="Times New Roman" w:cs="Times New Roman"/>
          <w:sz w:val="24"/>
          <w:szCs w:val="24"/>
          <w:lang w:val="en-US"/>
        </w:rPr>
        <w:tab/>
        <w:t>p. 31</w:t>
      </w:r>
    </w:p>
    <w:p w14:paraId="36226886" w14:textId="77777777" w:rsidR="00FC0961" w:rsidRPr="001234AB" w:rsidRDefault="00FC0961" w:rsidP="00F807BD">
      <w:pPr>
        <w:spacing w:line="360" w:lineRule="auto"/>
        <w:rPr>
          <w:rFonts w:ascii="Times New Roman" w:hAnsi="Times New Roman" w:cs="Times New Roman"/>
          <w:b/>
          <w:bCs/>
          <w:sz w:val="24"/>
          <w:szCs w:val="24"/>
          <w:lang w:val="en-US"/>
        </w:rPr>
      </w:pPr>
    </w:p>
    <w:p w14:paraId="573A14E1" w14:textId="77777777" w:rsidR="00FC0961" w:rsidRPr="001234AB" w:rsidRDefault="00FC0961" w:rsidP="00F807BD">
      <w:pPr>
        <w:spacing w:line="360" w:lineRule="auto"/>
        <w:rPr>
          <w:rFonts w:ascii="Times New Roman" w:hAnsi="Times New Roman" w:cs="Times New Roman"/>
          <w:b/>
          <w:bCs/>
          <w:sz w:val="24"/>
          <w:szCs w:val="24"/>
          <w:lang w:val="en-US"/>
        </w:rPr>
      </w:pPr>
    </w:p>
    <w:p w14:paraId="2DF4404F" w14:textId="77777777" w:rsidR="00FC0961" w:rsidRPr="001234AB" w:rsidRDefault="00FC0961" w:rsidP="00F807BD">
      <w:pPr>
        <w:spacing w:line="360" w:lineRule="auto"/>
        <w:rPr>
          <w:rFonts w:ascii="Times New Roman" w:hAnsi="Times New Roman" w:cs="Times New Roman"/>
          <w:b/>
          <w:bCs/>
          <w:sz w:val="24"/>
          <w:szCs w:val="24"/>
          <w:lang w:val="en-US"/>
        </w:rPr>
      </w:pPr>
    </w:p>
    <w:p w14:paraId="449057B2" w14:textId="77777777" w:rsidR="00FC0961" w:rsidRPr="001234AB" w:rsidRDefault="00FC0961" w:rsidP="00F807BD">
      <w:pPr>
        <w:spacing w:line="360" w:lineRule="auto"/>
        <w:rPr>
          <w:rFonts w:ascii="Times New Roman" w:hAnsi="Times New Roman" w:cs="Times New Roman"/>
          <w:b/>
          <w:bCs/>
          <w:sz w:val="24"/>
          <w:szCs w:val="24"/>
          <w:lang w:val="en-US"/>
        </w:rPr>
      </w:pPr>
    </w:p>
    <w:p w14:paraId="224BA1EE" w14:textId="77777777" w:rsidR="00FC0961" w:rsidRPr="001234AB" w:rsidRDefault="00FC0961" w:rsidP="00F807BD">
      <w:pPr>
        <w:spacing w:line="360" w:lineRule="auto"/>
        <w:rPr>
          <w:rFonts w:ascii="Times New Roman" w:hAnsi="Times New Roman" w:cs="Times New Roman"/>
          <w:b/>
          <w:bCs/>
          <w:sz w:val="24"/>
          <w:szCs w:val="24"/>
          <w:lang w:val="en-US"/>
        </w:rPr>
      </w:pPr>
    </w:p>
    <w:p w14:paraId="0D27EB58" w14:textId="77777777" w:rsidR="00FC0961" w:rsidRPr="001234AB" w:rsidRDefault="00FC0961" w:rsidP="00F807BD">
      <w:pPr>
        <w:spacing w:line="360" w:lineRule="auto"/>
        <w:rPr>
          <w:rFonts w:ascii="Times New Roman" w:hAnsi="Times New Roman" w:cs="Times New Roman"/>
          <w:b/>
          <w:bCs/>
          <w:sz w:val="24"/>
          <w:szCs w:val="24"/>
          <w:lang w:val="en-US"/>
        </w:rPr>
      </w:pPr>
    </w:p>
    <w:p w14:paraId="6D9D9A9E" w14:textId="77777777" w:rsidR="00FC0961" w:rsidRPr="001234AB" w:rsidRDefault="00FC0961" w:rsidP="00F807BD">
      <w:pPr>
        <w:spacing w:line="360" w:lineRule="auto"/>
        <w:rPr>
          <w:rFonts w:ascii="Times New Roman" w:hAnsi="Times New Roman" w:cs="Times New Roman"/>
          <w:b/>
          <w:bCs/>
          <w:sz w:val="24"/>
          <w:szCs w:val="24"/>
          <w:lang w:val="en-US"/>
        </w:rPr>
      </w:pPr>
    </w:p>
    <w:p w14:paraId="3861420A" w14:textId="77777777" w:rsidR="00FC0961" w:rsidRPr="001234AB" w:rsidRDefault="00FC0961" w:rsidP="00F807BD">
      <w:pPr>
        <w:spacing w:line="360" w:lineRule="auto"/>
        <w:rPr>
          <w:rFonts w:ascii="Times New Roman" w:hAnsi="Times New Roman" w:cs="Times New Roman"/>
          <w:b/>
          <w:bCs/>
          <w:sz w:val="24"/>
          <w:szCs w:val="24"/>
          <w:lang w:val="en-US"/>
        </w:rPr>
      </w:pPr>
    </w:p>
    <w:p w14:paraId="61ECABC1" w14:textId="77777777" w:rsidR="00FC0961" w:rsidRPr="001234AB" w:rsidRDefault="00FC0961" w:rsidP="00F807BD">
      <w:pPr>
        <w:spacing w:line="360" w:lineRule="auto"/>
        <w:rPr>
          <w:rFonts w:ascii="Times New Roman" w:hAnsi="Times New Roman" w:cs="Times New Roman"/>
          <w:b/>
          <w:bCs/>
          <w:sz w:val="24"/>
          <w:szCs w:val="24"/>
          <w:lang w:val="en-US"/>
        </w:rPr>
      </w:pPr>
    </w:p>
    <w:p w14:paraId="62536C48" w14:textId="77777777" w:rsidR="00FC0961" w:rsidRPr="001234AB" w:rsidRDefault="00FC0961" w:rsidP="00F807BD">
      <w:pPr>
        <w:spacing w:line="360" w:lineRule="auto"/>
        <w:rPr>
          <w:rFonts w:ascii="Times New Roman" w:hAnsi="Times New Roman" w:cs="Times New Roman"/>
          <w:b/>
          <w:bCs/>
          <w:sz w:val="24"/>
          <w:szCs w:val="24"/>
          <w:lang w:val="en-US"/>
        </w:rPr>
      </w:pPr>
    </w:p>
    <w:p w14:paraId="77CB20D2" w14:textId="77777777" w:rsidR="00210384" w:rsidRPr="001234AB" w:rsidRDefault="00210384" w:rsidP="00F807BD">
      <w:pPr>
        <w:spacing w:line="360" w:lineRule="auto"/>
        <w:rPr>
          <w:rFonts w:ascii="Times New Roman" w:hAnsi="Times New Roman" w:cs="Times New Roman"/>
          <w:b/>
          <w:bCs/>
          <w:sz w:val="24"/>
          <w:szCs w:val="24"/>
          <w:lang w:val="en-US"/>
        </w:rPr>
      </w:pPr>
    </w:p>
    <w:p w14:paraId="779E1DD4" w14:textId="77777777" w:rsidR="00210384" w:rsidRPr="001234AB" w:rsidRDefault="00210384" w:rsidP="00F807BD">
      <w:pPr>
        <w:spacing w:line="360" w:lineRule="auto"/>
        <w:rPr>
          <w:rFonts w:ascii="Times New Roman" w:hAnsi="Times New Roman" w:cs="Times New Roman"/>
          <w:b/>
          <w:bCs/>
          <w:sz w:val="24"/>
          <w:szCs w:val="24"/>
          <w:lang w:val="en-US"/>
        </w:rPr>
      </w:pPr>
    </w:p>
    <w:p w14:paraId="6641CD66" w14:textId="77777777" w:rsidR="00210384" w:rsidRPr="001234AB" w:rsidRDefault="00210384" w:rsidP="00F807BD">
      <w:pPr>
        <w:spacing w:line="360" w:lineRule="auto"/>
        <w:rPr>
          <w:rFonts w:ascii="Times New Roman" w:hAnsi="Times New Roman" w:cs="Times New Roman"/>
          <w:b/>
          <w:bCs/>
          <w:sz w:val="24"/>
          <w:szCs w:val="24"/>
          <w:lang w:val="en-US"/>
        </w:rPr>
      </w:pPr>
    </w:p>
    <w:p w14:paraId="77F9D25C" w14:textId="77777777" w:rsidR="00210384" w:rsidRPr="001234AB" w:rsidRDefault="00210384" w:rsidP="00F807BD">
      <w:pPr>
        <w:spacing w:line="360" w:lineRule="auto"/>
        <w:rPr>
          <w:rFonts w:ascii="Times New Roman" w:hAnsi="Times New Roman" w:cs="Times New Roman"/>
          <w:b/>
          <w:bCs/>
          <w:sz w:val="24"/>
          <w:szCs w:val="24"/>
          <w:lang w:val="en-US"/>
        </w:rPr>
      </w:pPr>
    </w:p>
    <w:p w14:paraId="404D02A2" w14:textId="77777777" w:rsidR="00210384" w:rsidRPr="001234AB" w:rsidRDefault="00210384" w:rsidP="00F807BD">
      <w:pPr>
        <w:spacing w:line="360" w:lineRule="auto"/>
        <w:rPr>
          <w:rFonts w:ascii="Times New Roman" w:hAnsi="Times New Roman" w:cs="Times New Roman"/>
          <w:b/>
          <w:bCs/>
          <w:sz w:val="24"/>
          <w:szCs w:val="24"/>
          <w:lang w:val="en-US"/>
        </w:rPr>
      </w:pPr>
    </w:p>
    <w:p w14:paraId="1A8AEC3D" w14:textId="77777777" w:rsidR="0056527C" w:rsidRDefault="0056527C" w:rsidP="00F807BD">
      <w:pPr>
        <w:spacing w:line="360" w:lineRule="auto"/>
        <w:rPr>
          <w:rFonts w:ascii="Times New Roman" w:hAnsi="Times New Roman" w:cs="Times New Roman"/>
          <w:b/>
          <w:bCs/>
          <w:sz w:val="24"/>
          <w:szCs w:val="24"/>
          <w:lang w:val="en-US"/>
        </w:rPr>
        <w:sectPr w:rsidR="0056527C" w:rsidSect="0015087F">
          <w:footerReference w:type="default" r:id="rId9"/>
          <w:footerReference w:type="first" r:id="rId10"/>
          <w:pgSz w:w="11906" w:h="16838"/>
          <w:pgMar w:top="1417" w:right="1417" w:bottom="1417" w:left="1417" w:header="708" w:footer="708" w:gutter="0"/>
          <w:pgNumType w:start="0"/>
          <w:cols w:space="708"/>
          <w:docGrid w:linePitch="360"/>
        </w:sectPr>
      </w:pPr>
    </w:p>
    <w:p w14:paraId="5E95A10C" w14:textId="77777777" w:rsidR="0056527C" w:rsidRDefault="0056527C" w:rsidP="00F807BD">
      <w:pPr>
        <w:spacing w:line="360" w:lineRule="auto"/>
        <w:rPr>
          <w:rFonts w:ascii="Times New Roman" w:hAnsi="Times New Roman" w:cs="Times New Roman"/>
          <w:b/>
          <w:bCs/>
          <w:sz w:val="24"/>
          <w:szCs w:val="24"/>
          <w:lang w:val="en-US"/>
        </w:rPr>
        <w:sectPr w:rsidR="0056527C" w:rsidSect="0056527C">
          <w:type w:val="continuous"/>
          <w:pgSz w:w="11906" w:h="16838"/>
          <w:pgMar w:top="1417" w:right="1417" w:bottom="1417" w:left="1417" w:header="708" w:footer="708" w:gutter="0"/>
          <w:pgNumType w:start="0"/>
          <w:cols w:space="708"/>
          <w:titlePg/>
          <w:docGrid w:linePitch="360"/>
        </w:sectPr>
      </w:pPr>
    </w:p>
    <w:p w14:paraId="762419F2" w14:textId="77777777" w:rsidR="00C1563F" w:rsidRDefault="00C1563F" w:rsidP="00F807BD">
      <w:pPr>
        <w:spacing w:line="360" w:lineRule="auto"/>
        <w:rPr>
          <w:rFonts w:ascii="Times New Roman" w:hAnsi="Times New Roman" w:cs="Times New Roman"/>
          <w:b/>
          <w:bCs/>
          <w:sz w:val="24"/>
          <w:szCs w:val="24"/>
          <w:lang w:val="en-US"/>
        </w:rPr>
        <w:sectPr w:rsidR="00C1563F" w:rsidSect="0056527C">
          <w:type w:val="continuous"/>
          <w:pgSz w:w="11906" w:h="16838"/>
          <w:pgMar w:top="1417" w:right="1417" w:bottom="1417" w:left="1417" w:header="708" w:footer="708" w:gutter="0"/>
          <w:pgNumType w:start="0"/>
          <w:cols w:space="708"/>
          <w:titlePg/>
          <w:docGrid w:linePitch="360"/>
        </w:sectPr>
      </w:pPr>
    </w:p>
    <w:p w14:paraId="6C69E21B" w14:textId="58AE2108" w:rsidR="00F91494" w:rsidRDefault="00492161" w:rsidP="00F807BD">
      <w:pPr>
        <w:spacing w:line="360" w:lineRule="auto"/>
        <w:rPr>
          <w:rFonts w:ascii="Times New Roman" w:hAnsi="Times New Roman" w:cs="Times New Roman"/>
          <w:sz w:val="24"/>
          <w:szCs w:val="24"/>
          <w:lang w:val="en-US"/>
        </w:rPr>
      </w:pPr>
      <w:r w:rsidRPr="001234AB">
        <w:rPr>
          <w:rFonts w:ascii="Times New Roman" w:hAnsi="Times New Roman" w:cs="Times New Roman"/>
          <w:b/>
          <w:bCs/>
          <w:sz w:val="24"/>
          <w:szCs w:val="24"/>
          <w:lang w:val="en-US"/>
        </w:rPr>
        <w:lastRenderedPageBreak/>
        <w:t>Introduction</w:t>
      </w:r>
      <w:r w:rsidRPr="001234AB">
        <w:rPr>
          <w:rFonts w:ascii="Times New Roman" w:hAnsi="Times New Roman" w:cs="Times New Roman"/>
          <w:sz w:val="24"/>
          <w:szCs w:val="24"/>
          <w:lang w:val="en-US"/>
        </w:rPr>
        <w:br/>
        <w:t xml:space="preserve">On 21 July 2020, with the launch of the €750 billion temporary recovery instrument </w:t>
      </w:r>
      <w:proofErr w:type="spellStart"/>
      <w:r w:rsidRPr="001234AB">
        <w:rPr>
          <w:rFonts w:ascii="Times New Roman" w:hAnsi="Times New Roman" w:cs="Times New Roman"/>
          <w:sz w:val="24"/>
          <w:szCs w:val="24"/>
          <w:lang w:val="en-US"/>
        </w:rPr>
        <w:t>NextGenerationEU</w:t>
      </w:r>
      <w:proofErr w:type="spellEnd"/>
      <w:r w:rsidRPr="001234AB">
        <w:rPr>
          <w:rFonts w:ascii="Times New Roman" w:hAnsi="Times New Roman" w:cs="Times New Roman"/>
          <w:sz w:val="24"/>
          <w:szCs w:val="24"/>
          <w:lang w:val="en-US"/>
        </w:rPr>
        <w:t xml:space="preserve"> (NGEU), for the first time in European history, the European Commission (</w:t>
      </w:r>
      <w:r w:rsidR="000F6429">
        <w:rPr>
          <w:rFonts w:ascii="Times New Roman" w:hAnsi="Times New Roman" w:cs="Times New Roman"/>
          <w:sz w:val="24"/>
          <w:szCs w:val="24"/>
          <w:lang w:val="en-US"/>
        </w:rPr>
        <w:t xml:space="preserve">referred to as the </w:t>
      </w:r>
      <w:r w:rsidRPr="001234AB">
        <w:rPr>
          <w:rFonts w:ascii="Times New Roman" w:hAnsi="Times New Roman" w:cs="Times New Roman"/>
          <w:sz w:val="24"/>
          <w:szCs w:val="24"/>
          <w:lang w:val="en-US"/>
        </w:rPr>
        <w:t>Commission</w:t>
      </w:r>
      <w:r w:rsidR="000F6429">
        <w:rPr>
          <w:rFonts w:ascii="Times New Roman" w:hAnsi="Times New Roman" w:cs="Times New Roman"/>
          <w:sz w:val="24"/>
          <w:szCs w:val="24"/>
          <w:lang w:val="en-US"/>
        </w:rPr>
        <w:t xml:space="preserve"> in the remainder</w:t>
      </w:r>
      <w:r w:rsidRPr="001234AB">
        <w:rPr>
          <w:rFonts w:ascii="Times New Roman" w:hAnsi="Times New Roman" w:cs="Times New Roman"/>
          <w:sz w:val="24"/>
          <w:szCs w:val="24"/>
          <w:lang w:val="en-US"/>
        </w:rPr>
        <w:t>) was empowered to borrow on the capital markets and issue bonds on behalf of the whole of the European Union (EU) with member states collectively guaranteeing repayments (European Commission, 2020</w:t>
      </w:r>
      <w:r w:rsidR="00051D20" w:rsidRPr="001234AB">
        <w:rPr>
          <w:rFonts w:ascii="Times New Roman" w:hAnsi="Times New Roman" w:cs="Times New Roman"/>
          <w:sz w:val="24"/>
          <w:szCs w:val="24"/>
          <w:lang w:val="en-US"/>
        </w:rPr>
        <w:t>a</w:t>
      </w:r>
      <w:r w:rsidRPr="001234AB">
        <w:rPr>
          <w:rFonts w:ascii="Times New Roman" w:hAnsi="Times New Roman" w:cs="Times New Roman"/>
          <w:sz w:val="24"/>
          <w:szCs w:val="24"/>
          <w:lang w:val="en-US"/>
        </w:rPr>
        <w:t xml:space="preserve">). The European Council </w:t>
      </w:r>
      <w:r w:rsidR="006B39C1" w:rsidRPr="001234AB">
        <w:rPr>
          <w:rFonts w:ascii="Times New Roman" w:hAnsi="Times New Roman" w:cs="Times New Roman"/>
          <w:sz w:val="24"/>
          <w:szCs w:val="24"/>
          <w:lang w:val="en-US"/>
        </w:rPr>
        <w:t xml:space="preserve">(2020a) </w:t>
      </w:r>
      <w:r w:rsidRPr="001234AB">
        <w:rPr>
          <w:rFonts w:ascii="Times New Roman" w:hAnsi="Times New Roman" w:cs="Times New Roman"/>
          <w:sz w:val="24"/>
          <w:szCs w:val="24"/>
          <w:lang w:val="en-US"/>
        </w:rPr>
        <w:t xml:space="preserve">agreed to launch the NGEU, as proposed by the Commission (2020b), in order to support member states’ economic recovery and resilience during the 2020 economic crisis. Authorized by the European Council and the European Parliament and backed by a diversified funding strategy and the triple-A rating of the EU-27, the </w:t>
      </w:r>
      <w:r w:rsidR="00876F00" w:rsidRPr="001234AB">
        <w:rPr>
          <w:rFonts w:ascii="Times New Roman" w:hAnsi="Times New Roman" w:cs="Times New Roman"/>
          <w:sz w:val="24"/>
          <w:szCs w:val="24"/>
          <w:lang w:val="en-US"/>
        </w:rPr>
        <w:t>centerpiece</w:t>
      </w:r>
      <w:r w:rsidRPr="001234AB">
        <w:rPr>
          <w:rFonts w:ascii="Times New Roman" w:hAnsi="Times New Roman" w:cs="Times New Roman"/>
          <w:sz w:val="24"/>
          <w:szCs w:val="24"/>
          <w:lang w:val="en-US"/>
        </w:rPr>
        <w:t xml:space="preserve"> Recovery and Resilience Facility (RRF) offers grants and loans to support reforms and investment in the EU member states for a total of €723.8 billion in 2020 prices (European Commission, 2020c). Since the EU Treaties do not allow the EU budget to be financed by debt, the Eurobonds are issued outside EU’s regular budget framework and annual budgetary procedure (TFEU, 2016, pp. 181-182).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Repayment of EU borrowing will start as of 2028 and will last until 2058. The grants will be repaid by the EU budget, whereas the loans will be repaid by the borrowing Member States. In order to repay the grants, the Commission has introduced additional own resources including various forms of taxation, levies, or contributions from member states. To guarantee the borrowing under beneficial market conditions, and retain its high credit rating, sufficient headroom is needed for potential economic losses (European Commission, 2020d). In order to do so, the EU has increased the Permanent 1.4% Own Resources Ceiling of its budget, that is the maximum </w:t>
      </w:r>
      <w:proofErr w:type="gramStart"/>
      <w:r w:rsidRPr="001234AB">
        <w:rPr>
          <w:rFonts w:ascii="Times New Roman" w:hAnsi="Times New Roman" w:cs="Times New Roman"/>
          <w:sz w:val="24"/>
          <w:szCs w:val="24"/>
          <w:lang w:val="en-US"/>
        </w:rPr>
        <w:t>amount</w:t>
      </w:r>
      <w:proofErr w:type="gramEnd"/>
      <w:r w:rsidRPr="001234AB">
        <w:rPr>
          <w:rFonts w:ascii="Times New Roman" w:hAnsi="Times New Roman" w:cs="Times New Roman"/>
          <w:sz w:val="24"/>
          <w:szCs w:val="24"/>
          <w:lang w:val="en-US"/>
        </w:rPr>
        <w:t xml:space="preserve"> of resources that the Commission can ask Member States to contribute in a given year, by 0.6 percentage points of the EU's Gross National Income (European Commission, 2020d). Effectively, EU’s capacity to repay the debt is ultimately assured via increased EU claims to Member State contributions (Heinemann, 2021, p. 520). And in the case of a Member State’s default, its share of NGEU takings will be distributed across the remaining solvent EU countries (Heinemann, 2021, p. 520). The increase of EU’s future budgets lasts until 2058, when the borrowing under NGEU is repaid.</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In the wake of the 2010 sovereign debt crisis, the issuance of </w:t>
      </w:r>
      <w:r w:rsidR="00AF3AAE">
        <w:rPr>
          <w:rFonts w:ascii="Times New Roman" w:hAnsi="Times New Roman" w:cs="Times New Roman"/>
          <w:sz w:val="24"/>
          <w:szCs w:val="24"/>
          <w:lang w:val="en-US"/>
        </w:rPr>
        <w:t xml:space="preserve">common </w:t>
      </w:r>
      <w:r w:rsidRPr="001234AB">
        <w:rPr>
          <w:rFonts w:ascii="Times New Roman" w:hAnsi="Times New Roman" w:cs="Times New Roman"/>
          <w:sz w:val="24"/>
          <w:szCs w:val="24"/>
          <w:lang w:val="en-US"/>
        </w:rPr>
        <w:t xml:space="preserve">debt had also been proposed by the European Commission to help Member States in crisis to get access to the financial market under better conditions (European Commission, 2011). This earlier proposal, </w:t>
      </w:r>
      <w:r w:rsidRPr="001234AB">
        <w:rPr>
          <w:rFonts w:ascii="Times New Roman" w:hAnsi="Times New Roman" w:cs="Times New Roman"/>
          <w:sz w:val="24"/>
          <w:szCs w:val="24"/>
          <w:lang w:val="en-US"/>
        </w:rPr>
        <w:lastRenderedPageBreak/>
        <w:t>however, was met with fierce resistance by the stronger Member States, stressing moral hazard risks because of the fiscal profligacy of the so-called peripheral Eurozone countries, opposing mutualized debt instruments in general (Matthijs &amp;</w:t>
      </w:r>
      <w:r w:rsidR="00D039C9"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McNamara, 2015; van Apeldoorn &amp; Horn, 2018, p. 17).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In March 2020, at the onset of the pandemic crisis, it became clear that the issuance of </w:t>
      </w:r>
      <w:r w:rsidR="00AF3AAE">
        <w:rPr>
          <w:rFonts w:ascii="Times New Roman" w:hAnsi="Times New Roman" w:cs="Times New Roman"/>
          <w:sz w:val="24"/>
          <w:szCs w:val="24"/>
          <w:lang w:val="en-US"/>
        </w:rPr>
        <w:t xml:space="preserve">common </w:t>
      </w:r>
      <w:r w:rsidRPr="001234AB">
        <w:rPr>
          <w:rFonts w:ascii="Times New Roman" w:hAnsi="Times New Roman" w:cs="Times New Roman"/>
          <w:sz w:val="24"/>
          <w:szCs w:val="24"/>
          <w:lang w:val="en-US"/>
        </w:rPr>
        <w:t>debt remained a highly contested issue, as the traditionally conservative countries Austria, Denmark, the Netherlands, Sweden, and Germany, resisted the first NGEU proposal by reiterating the same arguments used during the sovereign debt crisis (</w:t>
      </w:r>
      <w:proofErr w:type="spellStart"/>
      <w:r w:rsidRPr="001234AB">
        <w:rPr>
          <w:rFonts w:ascii="Times New Roman" w:hAnsi="Times New Roman" w:cs="Times New Roman"/>
          <w:sz w:val="24"/>
          <w:szCs w:val="24"/>
          <w:lang w:val="en-US"/>
        </w:rPr>
        <w:t>Wasserfallen</w:t>
      </w:r>
      <w:proofErr w:type="spellEnd"/>
      <w:r w:rsidRPr="001234AB">
        <w:rPr>
          <w:rFonts w:ascii="Times New Roman" w:hAnsi="Times New Roman" w:cs="Times New Roman"/>
          <w:sz w:val="24"/>
          <w:szCs w:val="24"/>
          <w:lang w:val="en-US"/>
        </w:rPr>
        <w:t>, 2023, p. 355; De La Porte &amp; Jensen, 2021, p. 389). Portuguese Prime Minister Costa called Dutch Finance Minister Hoekstra’s statement in which he insinuated that Southern fiscal profligacy precluded an adequate fiscal response, “repugnant,” symbolizing the ongoing rift between creditor and debtor countries (Von der Burchard et al., 2020). Germany was initially the absolute leader of joint debt opposition, epitomized by German chancellor Angela Merkel’s statement back in 2012: “No Eurobonds as long as I live!” (“</w:t>
      </w:r>
      <w:proofErr w:type="spellStart"/>
      <w:r w:rsidRPr="001234AB">
        <w:rPr>
          <w:rFonts w:ascii="Times New Roman" w:hAnsi="Times New Roman" w:cs="Times New Roman"/>
          <w:sz w:val="24"/>
          <w:szCs w:val="24"/>
          <w:lang w:val="en-US"/>
        </w:rPr>
        <w:t>Keine</w:t>
      </w:r>
      <w:proofErr w:type="spellEnd"/>
      <w:r w:rsidRPr="001234AB">
        <w:rPr>
          <w:rFonts w:ascii="Times New Roman" w:hAnsi="Times New Roman" w:cs="Times New Roman"/>
          <w:sz w:val="24"/>
          <w:szCs w:val="24"/>
          <w:lang w:val="en-US"/>
        </w:rPr>
        <w:t xml:space="preserve"> Eurobonds</w:t>
      </w:r>
      <w:r w:rsidRPr="001234AB">
        <w:rPr>
          <w:rFonts w:ascii="Times New Roman" w:hAnsi="Times New Roman" w:cs="Times New Roman"/>
          <w:i/>
          <w:iCs/>
          <w:sz w:val="24"/>
          <w:szCs w:val="24"/>
          <w:lang w:val="en-US"/>
        </w:rPr>
        <w:t>”,</w:t>
      </w:r>
      <w:r w:rsidRPr="001234AB">
        <w:rPr>
          <w:rFonts w:ascii="Times New Roman" w:hAnsi="Times New Roman" w:cs="Times New Roman"/>
          <w:sz w:val="24"/>
          <w:szCs w:val="24"/>
          <w:lang w:val="en-US"/>
        </w:rPr>
        <w:t xml:space="preserve"> 2012). In 2020, however, German’s stance took a sharp turn on jointly issued Eurobonds, becoming an active advocate for the recovery plan based on </w:t>
      </w:r>
      <w:r w:rsidR="00AF3AAE">
        <w:rPr>
          <w:rFonts w:ascii="Times New Roman" w:hAnsi="Times New Roman" w:cs="Times New Roman"/>
          <w:sz w:val="24"/>
          <w:szCs w:val="24"/>
          <w:lang w:val="en-US"/>
        </w:rPr>
        <w:t xml:space="preserve">common </w:t>
      </w:r>
      <w:r w:rsidRPr="001234AB">
        <w:rPr>
          <w:rFonts w:ascii="Times New Roman" w:hAnsi="Times New Roman" w:cs="Times New Roman"/>
          <w:sz w:val="24"/>
          <w:szCs w:val="24"/>
          <w:lang w:val="en-US"/>
        </w:rPr>
        <w:t xml:space="preserve">debt.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In order to reach conclusions on EU’s recovery plan, there were special European Council meetings in July 2020 (European Council, 2020</w:t>
      </w:r>
      <w:r w:rsidR="006B39C1" w:rsidRPr="001234AB">
        <w:rPr>
          <w:rFonts w:ascii="Times New Roman" w:hAnsi="Times New Roman" w:cs="Times New Roman"/>
          <w:sz w:val="24"/>
          <w:szCs w:val="24"/>
          <w:lang w:val="en-US"/>
        </w:rPr>
        <w:t>a</w:t>
      </w:r>
      <w:r w:rsidRPr="001234AB">
        <w:rPr>
          <w:rFonts w:ascii="Times New Roman" w:hAnsi="Times New Roman" w:cs="Times New Roman"/>
          <w:sz w:val="24"/>
          <w:szCs w:val="24"/>
          <w:lang w:val="en-US"/>
        </w:rPr>
        <w:t xml:space="preserve">). However, rather than continued contestation over the issuance of common debt, topics of contention during these meetings included features of the recovery plan, such as the loans-to-grants ratio, the allocation of funds, rebates and own resources, and attached conditionalities. The issuance of common debt, which formed one of the major political issues that had divided EU Member States so fiercely for over a decade, seemed no longer an obstacle. Indeed, it was recognized as the fundamental building block </w:t>
      </w:r>
      <w:r w:rsidR="0030343B" w:rsidRPr="001234AB">
        <w:rPr>
          <w:rFonts w:ascii="Times New Roman" w:hAnsi="Times New Roman" w:cs="Times New Roman"/>
          <w:sz w:val="24"/>
          <w:szCs w:val="24"/>
          <w:lang w:val="en-US"/>
        </w:rPr>
        <w:t xml:space="preserve">to finance </w:t>
      </w:r>
      <w:r w:rsidRPr="001234AB">
        <w:rPr>
          <w:rFonts w:ascii="Times New Roman" w:hAnsi="Times New Roman" w:cs="Times New Roman"/>
          <w:sz w:val="24"/>
          <w:szCs w:val="24"/>
          <w:lang w:val="en-US"/>
        </w:rPr>
        <w:t xml:space="preserve">NGEU.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The fact that Eurobonds form the foundation of NGEU sharply contrasts the historical opposition towards European </w:t>
      </w:r>
      <w:r w:rsidR="00AF3AAE">
        <w:rPr>
          <w:rFonts w:ascii="Times New Roman" w:hAnsi="Times New Roman" w:cs="Times New Roman"/>
          <w:sz w:val="24"/>
          <w:szCs w:val="24"/>
          <w:lang w:val="en-US"/>
        </w:rPr>
        <w:t xml:space="preserve">common </w:t>
      </w:r>
      <w:r w:rsidRPr="001234AB">
        <w:rPr>
          <w:rFonts w:ascii="Times New Roman" w:hAnsi="Times New Roman" w:cs="Times New Roman"/>
          <w:sz w:val="24"/>
          <w:szCs w:val="24"/>
          <w:lang w:val="en-US"/>
        </w:rPr>
        <w:t xml:space="preserve">debt and the refusal of earlier Eurobonds proposals. In fact, it constitutes a puzzle. The aim of this thesis is to make sense of this puzzle by forming a causal </w:t>
      </w:r>
      <w:r w:rsidR="00ED0E47" w:rsidRPr="001234AB">
        <w:rPr>
          <w:rFonts w:ascii="Times New Roman" w:hAnsi="Times New Roman" w:cs="Times New Roman"/>
          <w:sz w:val="24"/>
          <w:szCs w:val="24"/>
          <w:lang w:val="en-US"/>
        </w:rPr>
        <w:t xml:space="preserve">chain </w:t>
      </w:r>
      <w:r w:rsidRPr="001234AB">
        <w:rPr>
          <w:rFonts w:ascii="Times New Roman" w:hAnsi="Times New Roman" w:cs="Times New Roman"/>
          <w:sz w:val="24"/>
          <w:szCs w:val="24"/>
          <w:lang w:val="en-US"/>
        </w:rPr>
        <w:t xml:space="preserve">that provides a comprehensive account of the decision to issue Eurobonds. Specifically, the following central research question is addressed: </w:t>
      </w:r>
      <w:r w:rsidRPr="001234AB">
        <w:rPr>
          <w:rFonts w:ascii="Times New Roman" w:hAnsi="Times New Roman" w:cs="Times New Roman"/>
          <w:i/>
          <w:iCs/>
          <w:sz w:val="24"/>
          <w:szCs w:val="24"/>
          <w:lang w:val="en-US"/>
        </w:rPr>
        <w:t>What explains the decision of the EU, that is, the European Parliament,</w:t>
      </w:r>
      <w:r w:rsidR="0030343B" w:rsidRPr="001234AB">
        <w:rPr>
          <w:rFonts w:ascii="Times New Roman" w:hAnsi="Times New Roman" w:cs="Times New Roman"/>
          <w:i/>
          <w:iCs/>
          <w:sz w:val="24"/>
          <w:szCs w:val="24"/>
          <w:lang w:val="en-US"/>
        </w:rPr>
        <w:t xml:space="preserve"> </w:t>
      </w:r>
      <w:r w:rsidRPr="001234AB">
        <w:rPr>
          <w:rFonts w:ascii="Times New Roman" w:hAnsi="Times New Roman" w:cs="Times New Roman"/>
          <w:i/>
          <w:iCs/>
          <w:sz w:val="24"/>
          <w:szCs w:val="24"/>
          <w:lang w:val="en-US"/>
        </w:rPr>
        <w:t>Council, and</w:t>
      </w:r>
      <w:r w:rsidR="0030343B" w:rsidRPr="001234AB">
        <w:rPr>
          <w:rFonts w:ascii="Times New Roman" w:hAnsi="Times New Roman" w:cs="Times New Roman"/>
          <w:i/>
          <w:iCs/>
          <w:sz w:val="24"/>
          <w:szCs w:val="24"/>
          <w:lang w:val="en-US"/>
        </w:rPr>
        <w:t xml:space="preserve"> </w:t>
      </w:r>
      <w:r w:rsidR="00087A12">
        <w:rPr>
          <w:rFonts w:ascii="Times New Roman" w:hAnsi="Times New Roman" w:cs="Times New Roman"/>
          <w:i/>
          <w:iCs/>
          <w:sz w:val="24"/>
          <w:szCs w:val="24"/>
          <w:lang w:val="en-US"/>
        </w:rPr>
        <w:t xml:space="preserve">the </w:t>
      </w:r>
      <w:r w:rsidRPr="001234AB">
        <w:rPr>
          <w:rFonts w:ascii="Times New Roman" w:hAnsi="Times New Roman" w:cs="Times New Roman"/>
          <w:i/>
          <w:iCs/>
          <w:sz w:val="24"/>
          <w:szCs w:val="24"/>
          <w:lang w:val="en-US"/>
        </w:rPr>
        <w:t>Commission,</w:t>
      </w:r>
      <w:r w:rsidR="00087A12">
        <w:rPr>
          <w:rFonts w:ascii="Times New Roman" w:hAnsi="Times New Roman" w:cs="Times New Roman"/>
          <w:i/>
          <w:iCs/>
          <w:sz w:val="24"/>
          <w:szCs w:val="24"/>
          <w:lang w:val="en-US"/>
        </w:rPr>
        <w:t xml:space="preserve"> </w:t>
      </w:r>
      <w:r w:rsidRPr="001234AB">
        <w:rPr>
          <w:rFonts w:ascii="Times New Roman" w:hAnsi="Times New Roman" w:cs="Times New Roman"/>
          <w:i/>
          <w:iCs/>
          <w:sz w:val="24"/>
          <w:szCs w:val="24"/>
          <w:lang w:val="en-US"/>
        </w:rPr>
        <w:t xml:space="preserve">to issue Eurobonds to finance the </w:t>
      </w:r>
      <w:proofErr w:type="spellStart"/>
      <w:r w:rsidRPr="001234AB">
        <w:rPr>
          <w:rFonts w:ascii="Times New Roman" w:hAnsi="Times New Roman" w:cs="Times New Roman"/>
          <w:i/>
          <w:iCs/>
          <w:sz w:val="24"/>
          <w:szCs w:val="24"/>
          <w:lang w:val="en-US"/>
        </w:rPr>
        <w:t>NextGenerationEU</w:t>
      </w:r>
      <w:proofErr w:type="spellEnd"/>
      <w:r w:rsidRPr="001234AB">
        <w:rPr>
          <w:rFonts w:ascii="Times New Roman" w:hAnsi="Times New Roman" w:cs="Times New Roman"/>
          <w:i/>
          <w:iCs/>
          <w:sz w:val="24"/>
          <w:szCs w:val="24"/>
          <w:lang w:val="en-US"/>
        </w:rPr>
        <w:t xml:space="preserve"> </w:t>
      </w:r>
      <w:r w:rsidR="0062002D" w:rsidRPr="001234AB">
        <w:rPr>
          <w:rFonts w:ascii="Times New Roman" w:hAnsi="Times New Roman" w:cs="Times New Roman"/>
          <w:i/>
          <w:iCs/>
          <w:sz w:val="24"/>
          <w:szCs w:val="24"/>
          <w:lang w:val="en-US"/>
        </w:rPr>
        <w:t>recovery package</w:t>
      </w:r>
      <w:r w:rsidRPr="001234AB">
        <w:rPr>
          <w:rFonts w:ascii="Times New Roman" w:hAnsi="Times New Roman" w:cs="Times New Roman"/>
          <w:i/>
          <w:iCs/>
          <w:sz w:val="24"/>
          <w:szCs w:val="24"/>
          <w:lang w:val="en-US"/>
        </w:rPr>
        <w:t xml:space="preserve"> in 2020</w:t>
      </w:r>
      <w:r w:rsidRPr="001234AB">
        <w:rPr>
          <w:rFonts w:ascii="Times New Roman" w:hAnsi="Times New Roman" w:cs="Times New Roman"/>
          <w:sz w:val="24"/>
          <w:szCs w:val="24"/>
          <w:lang w:val="en-US"/>
        </w:rPr>
        <w:t>?</w:t>
      </w:r>
    </w:p>
    <w:p w14:paraId="39FEA021" w14:textId="395DC7D4" w:rsidR="007F3470" w:rsidRPr="001234AB" w:rsidRDefault="00492161"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lastRenderedPageBreak/>
        <w:t>There are many scholarly contributions on Eurobonds, studying its implications for EU’s fiscal policy, EU’s legal and institutional challenges, macroeconomic stability, and its effectiveness as a tool for EU crisis management. Relating to many disciplines, Eurobonds ha</w:t>
      </w:r>
      <w:r w:rsidR="00D039C9" w:rsidRPr="001234AB">
        <w:rPr>
          <w:rFonts w:ascii="Times New Roman" w:hAnsi="Times New Roman" w:cs="Times New Roman"/>
          <w:sz w:val="24"/>
          <w:szCs w:val="24"/>
          <w:lang w:val="en-US"/>
        </w:rPr>
        <w:t>ve</w:t>
      </w:r>
      <w:r w:rsidRPr="001234AB">
        <w:rPr>
          <w:rFonts w:ascii="Times New Roman" w:hAnsi="Times New Roman" w:cs="Times New Roman"/>
          <w:sz w:val="24"/>
          <w:szCs w:val="24"/>
          <w:lang w:val="en-US"/>
        </w:rPr>
        <w:t xml:space="preserve"> attracted attention by academics in finance and economics (Baglioni &amp; Cherubini, 2011; </w:t>
      </w:r>
      <w:proofErr w:type="spellStart"/>
      <w:r w:rsidRPr="001234AB">
        <w:rPr>
          <w:rFonts w:ascii="Times New Roman" w:hAnsi="Times New Roman" w:cs="Times New Roman"/>
          <w:sz w:val="24"/>
          <w:szCs w:val="24"/>
          <w:lang w:val="en-US"/>
        </w:rPr>
        <w:t>Beetsma</w:t>
      </w:r>
      <w:proofErr w:type="spellEnd"/>
      <w:r w:rsidRPr="001234AB">
        <w:rPr>
          <w:rFonts w:ascii="Times New Roman" w:hAnsi="Times New Roman" w:cs="Times New Roman"/>
          <w:sz w:val="24"/>
          <w:szCs w:val="24"/>
          <w:lang w:val="en-US"/>
        </w:rPr>
        <w:t xml:space="preserve"> &amp; </w:t>
      </w:r>
      <w:proofErr w:type="spellStart"/>
      <w:r w:rsidRPr="001234AB">
        <w:rPr>
          <w:rFonts w:ascii="Times New Roman" w:hAnsi="Times New Roman" w:cs="Times New Roman"/>
          <w:sz w:val="24"/>
          <w:szCs w:val="24"/>
          <w:lang w:val="en-US"/>
        </w:rPr>
        <w:t>Mavromatis</w:t>
      </w:r>
      <w:proofErr w:type="spellEnd"/>
      <w:r w:rsidRPr="001234AB">
        <w:rPr>
          <w:rFonts w:ascii="Times New Roman" w:hAnsi="Times New Roman" w:cs="Times New Roman"/>
          <w:sz w:val="24"/>
          <w:szCs w:val="24"/>
          <w:lang w:val="en-US"/>
        </w:rPr>
        <w:t xml:space="preserve">, 2014; </w:t>
      </w:r>
      <w:proofErr w:type="spellStart"/>
      <w:r w:rsidRPr="001234AB">
        <w:rPr>
          <w:rFonts w:ascii="Times New Roman" w:hAnsi="Times New Roman" w:cs="Times New Roman"/>
          <w:sz w:val="24"/>
          <w:szCs w:val="24"/>
          <w:lang w:val="en-US"/>
        </w:rPr>
        <w:t>Stoupos</w:t>
      </w:r>
      <w:proofErr w:type="spellEnd"/>
      <w:r w:rsidRPr="001234AB">
        <w:rPr>
          <w:rFonts w:ascii="Times New Roman" w:hAnsi="Times New Roman" w:cs="Times New Roman"/>
          <w:sz w:val="24"/>
          <w:szCs w:val="24"/>
          <w:lang w:val="en-US"/>
        </w:rPr>
        <w:t xml:space="preserve"> &amp; </w:t>
      </w:r>
      <w:proofErr w:type="spellStart"/>
      <w:r w:rsidRPr="001234AB">
        <w:rPr>
          <w:rFonts w:ascii="Times New Roman" w:hAnsi="Times New Roman" w:cs="Times New Roman"/>
          <w:sz w:val="24"/>
          <w:szCs w:val="24"/>
          <w:lang w:val="en-US"/>
        </w:rPr>
        <w:t>Kiohos</w:t>
      </w:r>
      <w:proofErr w:type="spellEnd"/>
      <w:r w:rsidRPr="001234AB">
        <w:rPr>
          <w:rFonts w:ascii="Times New Roman" w:hAnsi="Times New Roman" w:cs="Times New Roman"/>
          <w:sz w:val="24"/>
          <w:szCs w:val="24"/>
          <w:lang w:val="en-US"/>
        </w:rPr>
        <w:t xml:space="preserve">, 2022) and political economy (Matthijs &amp; McNamara, 2015; </w:t>
      </w:r>
      <w:proofErr w:type="spellStart"/>
      <w:r w:rsidRPr="001234AB">
        <w:rPr>
          <w:rFonts w:ascii="Times New Roman" w:hAnsi="Times New Roman" w:cs="Times New Roman"/>
          <w:sz w:val="24"/>
          <w:szCs w:val="24"/>
          <w:lang w:val="en-US"/>
        </w:rPr>
        <w:t>Wasserfallen</w:t>
      </w:r>
      <w:proofErr w:type="spellEnd"/>
      <w:r w:rsidRPr="001234AB">
        <w:rPr>
          <w:rFonts w:ascii="Times New Roman" w:hAnsi="Times New Roman" w:cs="Times New Roman"/>
          <w:sz w:val="24"/>
          <w:szCs w:val="24"/>
          <w:lang w:val="en-US"/>
        </w:rPr>
        <w:t xml:space="preserve">, 2023; </w:t>
      </w:r>
      <w:proofErr w:type="spellStart"/>
      <w:r w:rsidRPr="001234AB">
        <w:rPr>
          <w:rFonts w:ascii="Times New Roman" w:hAnsi="Times New Roman" w:cs="Times New Roman"/>
          <w:sz w:val="24"/>
          <w:szCs w:val="24"/>
          <w:lang w:val="en-US"/>
        </w:rPr>
        <w:t>Bacarro</w:t>
      </w:r>
      <w:proofErr w:type="spellEnd"/>
      <w:r w:rsidRPr="001234AB">
        <w:rPr>
          <w:rFonts w:ascii="Times New Roman" w:hAnsi="Times New Roman" w:cs="Times New Roman"/>
          <w:sz w:val="24"/>
          <w:szCs w:val="24"/>
          <w:lang w:val="en-US"/>
        </w:rPr>
        <w:t xml:space="preserve"> et al., 2023). In general, the academic literature assumes that Eurobonds lead to greater fiscal and financial integration, which are deemed important constituents of and means to European integration. In doing so, an absolute majority of the studies either implicitly or explicitly endorses Eurobonds as something positive.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Financial and economic accounts on Eurobonds provide empirical assessments of the likely impact of introducing Eurobonds into the euro area (Baglioni &amp; Cherubini, 2011; </w:t>
      </w:r>
      <w:proofErr w:type="spellStart"/>
      <w:r w:rsidRPr="001234AB">
        <w:rPr>
          <w:rFonts w:ascii="Times New Roman" w:hAnsi="Times New Roman" w:cs="Times New Roman"/>
          <w:sz w:val="24"/>
          <w:szCs w:val="24"/>
          <w:lang w:val="en-US"/>
        </w:rPr>
        <w:t>Beetsma</w:t>
      </w:r>
      <w:proofErr w:type="spellEnd"/>
      <w:r w:rsidRPr="001234AB">
        <w:rPr>
          <w:rFonts w:ascii="Times New Roman" w:hAnsi="Times New Roman" w:cs="Times New Roman"/>
          <w:sz w:val="24"/>
          <w:szCs w:val="24"/>
          <w:lang w:val="en-US"/>
        </w:rPr>
        <w:t xml:space="preserve"> &amp; </w:t>
      </w:r>
      <w:proofErr w:type="spellStart"/>
      <w:r w:rsidRPr="001234AB">
        <w:rPr>
          <w:rFonts w:ascii="Times New Roman" w:hAnsi="Times New Roman" w:cs="Times New Roman"/>
          <w:sz w:val="24"/>
          <w:szCs w:val="24"/>
          <w:lang w:val="en-US"/>
        </w:rPr>
        <w:t>Mavromatis</w:t>
      </w:r>
      <w:proofErr w:type="spellEnd"/>
      <w:r w:rsidRPr="001234AB">
        <w:rPr>
          <w:rFonts w:ascii="Times New Roman" w:hAnsi="Times New Roman" w:cs="Times New Roman"/>
          <w:sz w:val="24"/>
          <w:szCs w:val="24"/>
          <w:lang w:val="en-US"/>
        </w:rPr>
        <w:t xml:space="preserve">, 2014; </w:t>
      </w:r>
      <w:proofErr w:type="spellStart"/>
      <w:r w:rsidRPr="001234AB">
        <w:rPr>
          <w:rFonts w:ascii="Times New Roman" w:hAnsi="Times New Roman" w:cs="Times New Roman"/>
          <w:sz w:val="24"/>
          <w:szCs w:val="24"/>
          <w:lang w:val="en-US"/>
        </w:rPr>
        <w:t>Mody</w:t>
      </w:r>
      <w:proofErr w:type="spellEnd"/>
      <w:r w:rsidRPr="001234AB">
        <w:rPr>
          <w:rFonts w:ascii="Times New Roman" w:hAnsi="Times New Roman" w:cs="Times New Roman"/>
          <w:sz w:val="24"/>
          <w:szCs w:val="24"/>
          <w:lang w:val="en-US"/>
        </w:rPr>
        <w:t xml:space="preserve"> et al., 2012). Baglioni and Cherubini (2011) show by means of a model that is based on the economic variables of public debt/deficit, and GDP growth, that Eurobonds are likely to lower the overall costs of debt servicing for some countries. Bauer &amp; Adolph’s (2021) more recent model, which incorporates the political cost of joint liability, reaches a similar conclusion that the introduction of Eurobonds would result in a stable, very beneficial tool for a European fiscal system. These financial and economic accounts are generally void of a political dimension besides references to moral hazard, and trust and a subsequent quantification of these political variables (</w:t>
      </w:r>
      <w:proofErr w:type="spellStart"/>
      <w:r w:rsidRPr="001234AB">
        <w:rPr>
          <w:rFonts w:ascii="Times New Roman" w:hAnsi="Times New Roman" w:cs="Times New Roman"/>
          <w:sz w:val="24"/>
          <w:szCs w:val="24"/>
          <w:lang w:val="en-US"/>
        </w:rPr>
        <w:t>Stoupos</w:t>
      </w:r>
      <w:proofErr w:type="spellEnd"/>
      <w:r w:rsidRPr="001234AB">
        <w:rPr>
          <w:rFonts w:ascii="Times New Roman" w:hAnsi="Times New Roman" w:cs="Times New Roman"/>
          <w:sz w:val="24"/>
          <w:szCs w:val="24"/>
          <w:lang w:val="en-US"/>
        </w:rPr>
        <w:t xml:space="preserve"> &amp; </w:t>
      </w:r>
      <w:proofErr w:type="spellStart"/>
      <w:r w:rsidRPr="001234AB">
        <w:rPr>
          <w:rFonts w:ascii="Times New Roman" w:hAnsi="Times New Roman" w:cs="Times New Roman"/>
          <w:sz w:val="24"/>
          <w:szCs w:val="24"/>
          <w:lang w:val="en-US"/>
        </w:rPr>
        <w:t>Kiohos</w:t>
      </w:r>
      <w:proofErr w:type="spellEnd"/>
      <w:r w:rsidRPr="001234AB">
        <w:rPr>
          <w:rFonts w:ascii="Times New Roman" w:hAnsi="Times New Roman" w:cs="Times New Roman"/>
          <w:sz w:val="24"/>
          <w:szCs w:val="24"/>
          <w:lang w:val="en-US"/>
        </w:rPr>
        <w:t>, 2021). A comprehensive theorization of possible interests either in favor or against Eurobonds is thus missing. Relatedly, the modelling of the scarce political variables does not do justice to underlying power relations needed to explain the explanandum at hand.</w:t>
      </w:r>
      <w:r w:rsidR="00ED0E47"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Because of their quantitative nature, these financial and economic accounts do not meaningfully engage with causes, let alone </w:t>
      </w:r>
      <w:r w:rsidR="00ED0E47" w:rsidRPr="001234AB">
        <w:rPr>
          <w:rFonts w:ascii="Times New Roman" w:hAnsi="Times New Roman" w:cs="Times New Roman"/>
          <w:sz w:val="24"/>
          <w:szCs w:val="24"/>
          <w:lang w:val="en-US"/>
        </w:rPr>
        <w:t xml:space="preserve">causal mechanisms to </w:t>
      </w:r>
      <w:r w:rsidRPr="001234AB">
        <w:rPr>
          <w:rFonts w:ascii="Times New Roman" w:hAnsi="Times New Roman" w:cs="Times New Roman"/>
          <w:sz w:val="24"/>
          <w:szCs w:val="24"/>
          <w:lang w:val="en-US"/>
        </w:rPr>
        <w:t xml:space="preserve">explain the decision by the EU to issue Eurobonds.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In contrast, political economy literature on Eurobonds </w:t>
      </w:r>
      <w:r w:rsidR="0030343B" w:rsidRPr="001234AB">
        <w:rPr>
          <w:rFonts w:ascii="Times New Roman" w:hAnsi="Times New Roman" w:cs="Times New Roman"/>
          <w:sz w:val="24"/>
          <w:szCs w:val="24"/>
          <w:lang w:val="en-US"/>
        </w:rPr>
        <w:t xml:space="preserve">actually </w:t>
      </w:r>
      <w:r w:rsidRPr="001234AB">
        <w:rPr>
          <w:rFonts w:ascii="Times New Roman" w:hAnsi="Times New Roman" w:cs="Times New Roman"/>
          <w:sz w:val="24"/>
          <w:szCs w:val="24"/>
          <w:lang w:val="en-US"/>
        </w:rPr>
        <w:t>engages with these possible causes. In the context of the sovereign debt crisis, Matthijs &amp; McNamara (2015, p. 230) argue that German dominance allowed powerful German interests opposing Eurobonds to successfully frame the debate on Eurobonds in a morality tale of Southern profligacy versus Northern thrift. This argument, however, is characteristic of the oversimplifying tendency in European political economy to reduce rule to that of German dominance (</w:t>
      </w:r>
      <w:proofErr w:type="spellStart"/>
      <w:r w:rsidRPr="001234AB">
        <w:rPr>
          <w:rFonts w:ascii="Times New Roman" w:hAnsi="Times New Roman" w:cs="Times New Roman"/>
          <w:sz w:val="24"/>
          <w:szCs w:val="24"/>
          <w:lang w:val="en-US"/>
        </w:rPr>
        <w:t>Ryner</w:t>
      </w:r>
      <w:proofErr w:type="spellEnd"/>
      <w:r w:rsidRPr="001234AB">
        <w:rPr>
          <w:rFonts w:ascii="Times New Roman" w:hAnsi="Times New Roman" w:cs="Times New Roman"/>
          <w:sz w:val="24"/>
          <w:szCs w:val="24"/>
          <w:lang w:val="en-US"/>
        </w:rPr>
        <w:t xml:space="preserve">, 2015, p. 276). In more recent political economy literature on Eurobonds, NGEU takes center stage, as </w:t>
      </w:r>
      <w:r w:rsidRPr="001234AB">
        <w:rPr>
          <w:rFonts w:ascii="Times New Roman" w:hAnsi="Times New Roman" w:cs="Times New Roman"/>
          <w:sz w:val="24"/>
          <w:szCs w:val="24"/>
          <w:lang w:val="en-US"/>
        </w:rPr>
        <w:lastRenderedPageBreak/>
        <w:t>it is the first actual instance of common debt issuance by the EU. Much of this literature points out the common issuance of debt under NGEU as a milestone in the history of European fiscal integration, considering it a possible entry into a fiscal union (</w:t>
      </w:r>
      <w:proofErr w:type="spellStart"/>
      <w:r w:rsidRPr="001234AB">
        <w:rPr>
          <w:rFonts w:ascii="Times New Roman" w:hAnsi="Times New Roman" w:cs="Times New Roman"/>
          <w:sz w:val="24"/>
          <w:szCs w:val="24"/>
          <w:lang w:val="en-US"/>
        </w:rPr>
        <w:t>Baccaro</w:t>
      </w:r>
      <w:proofErr w:type="spellEnd"/>
      <w:r w:rsidRPr="001234AB">
        <w:rPr>
          <w:rFonts w:ascii="Times New Roman" w:hAnsi="Times New Roman" w:cs="Times New Roman"/>
          <w:sz w:val="24"/>
          <w:szCs w:val="24"/>
          <w:lang w:val="en-US"/>
        </w:rPr>
        <w:t xml:space="preserve"> et al, 2023; Bilbao-</w:t>
      </w:r>
      <w:proofErr w:type="spellStart"/>
      <w:r w:rsidRPr="001234AB">
        <w:rPr>
          <w:rFonts w:ascii="Times New Roman" w:hAnsi="Times New Roman" w:cs="Times New Roman"/>
          <w:sz w:val="24"/>
          <w:szCs w:val="24"/>
          <w:lang w:val="en-US"/>
        </w:rPr>
        <w:t>Ubillos</w:t>
      </w:r>
      <w:proofErr w:type="spellEnd"/>
      <w:r w:rsidRPr="001234AB">
        <w:rPr>
          <w:rFonts w:ascii="Times New Roman" w:hAnsi="Times New Roman" w:cs="Times New Roman"/>
          <w:sz w:val="24"/>
          <w:szCs w:val="24"/>
          <w:lang w:val="en-US"/>
        </w:rPr>
        <w:t xml:space="preserve">, 2023; Christie et al, 2021; Costa Cabral, 2021; Heinemann, 2021; </w:t>
      </w:r>
      <w:proofErr w:type="spellStart"/>
      <w:r w:rsidRPr="001234AB">
        <w:rPr>
          <w:rFonts w:ascii="Times New Roman" w:hAnsi="Times New Roman" w:cs="Times New Roman"/>
          <w:sz w:val="24"/>
          <w:szCs w:val="24"/>
          <w:lang w:val="en-US"/>
        </w:rPr>
        <w:t>Schelkle</w:t>
      </w:r>
      <w:proofErr w:type="spellEnd"/>
      <w:r w:rsidRPr="001234AB">
        <w:rPr>
          <w:rFonts w:ascii="Times New Roman" w:hAnsi="Times New Roman" w:cs="Times New Roman"/>
          <w:sz w:val="24"/>
          <w:szCs w:val="24"/>
          <w:lang w:val="en-US"/>
        </w:rPr>
        <w:t xml:space="preserve">, 2021; </w:t>
      </w:r>
      <w:proofErr w:type="spellStart"/>
      <w:r w:rsidRPr="001234AB">
        <w:rPr>
          <w:rFonts w:ascii="Times New Roman" w:hAnsi="Times New Roman" w:cs="Times New Roman"/>
          <w:sz w:val="24"/>
          <w:szCs w:val="24"/>
          <w:lang w:val="en-US"/>
        </w:rPr>
        <w:t>Tesche</w:t>
      </w:r>
      <w:proofErr w:type="spellEnd"/>
      <w:r w:rsidRPr="001234AB">
        <w:rPr>
          <w:rFonts w:ascii="Times New Roman" w:hAnsi="Times New Roman" w:cs="Times New Roman"/>
          <w:sz w:val="24"/>
          <w:szCs w:val="24"/>
          <w:lang w:val="en-US"/>
        </w:rPr>
        <w:t xml:space="preserve">, 2022). </w:t>
      </w:r>
      <w:proofErr w:type="spellStart"/>
      <w:r w:rsidRPr="001234AB">
        <w:rPr>
          <w:rFonts w:ascii="Times New Roman" w:hAnsi="Times New Roman" w:cs="Times New Roman"/>
          <w:sz w:val="24"/>
          <w:szCs w:val="24"/>
          <w:lang w:val="en-US"/>
        </w:rPr>
        <w:t>Wasserfallen</w:t>
      </w:r>
      <w:proofErr w:type="spellEnd"/>
      <w:r w:rsidRPr="001234AB">
        <w:rPr>
          <w:rFonts w:ascii="Times New Roman" w:hAnsi="Times New Roman" w:cs="Times New Roman"/>
          <w:sz w:val="24"/>
          <w:szCs w:val="24"/>
          <w:lang w:val="en-US"/>
        </w:rPr>
        <w:t xml:space="preserve"> (2023, p. 354) argues that the collective financing in NGEU was possible because “the asymmetric shock that the pandemic exerted across EU Member States was seen as completely exogenous.” Costa Cabral (2021, p. 940) considered “a new sense of ‘solidarity’” to be at the roots of the issuance of common debt. Some of the literature identifies a change in the public opinion of EU member states towards debt mutualization and risk-sharing as a cause for the issuance of Eurobonds under NGEU (</w:t>
      </w:r>
      <w:proofErr w:type="spellStart"/>
      <w:r w:rsidRPr="001234AB">
        <w:rPr>
          <w:rFonts w:ascii="Times New Roman" w:hAnsi="Times New Roman" w:cs="Times New Roman"/>
          <w:sz w:val="24"/>
          <w:szCs w:val="24"/>
          <w:lang w:val="en-US"/>
        </w:rPr>
        <w:t>Baccaro</w:t>
      </w:r>
      <w:proofErr w:type="spellEnd"/>
      <w:r w:rsidRPr="001234AB">
        <w:rPr>
          <w:rFonts w:ascii="Times New Roman" w:hAnsi="Times New Roman" w:cs="Times New Roman"/>
          <w:sz w:val="24"/>
          <w:szCs w:val="24"/>
          <w:lang w:val="en-US"/>
        </w:rPr>
        <w:t xml:space="preserve"> et al., 2023; Bremer et al., 2024). </w:t>
      </w:r>
      <w:proofErr w:type="spellStart"/>
      <w:r w:rsidRPr="001234AB">
        <w:rPr>
          <w:rFonts w:ascii="Times New Roman" w:hAnsi="Times New Roman" w:cs="Times New Roman"/>
          <w:sz w:val="24"/>
          <w:szCs w:val="24"/>
          <w:lang w:val="en-US"/>
        </w:rPr>
        <w:t>Baccaro</w:t>
      </w:r>
      <w:proofErr w:type="spellEnd"/>
      <w:r w:rsidRPr="001234AB">
        <w:rPr>
          <w:rFonts w:ascii="Times New Roman" w:hAnsi="Times New Roman" w:cs="Times New Roman"/>
          <w:sz w:val="24"/>
          <w:szCs w:val="24"/>
          <w:lang w:val="en-US"/>
        </w:rPr>
        <w:t xml:space="preserve"> et al. (2023) </w:t>
      </w:r>
      <w:proofErr w:type="gramStart"/>
      <w:r w:rsidRPr="001234AB">
        <w:rPr>
          <w:rFonts w:ascii="Times New Roman" w:hAnsi="Times New Roman" w:cs="Times New Roman"/>
          <w:sz w:val="24"/>
          <w:szCs w:val="24"/>
          <w:lang w:val="en-US"/>
        </w:rPr>
        <w:t>find</w:t>
      </w:r>
      <w:proofErr w:type="gramEnd"/>
      <w:r w:rsidRPr="001234AB">
        <w:rPr>
          <w:rFonts w:ascii="Times New Roman" w:hAnsi="Times New Roman" w:cs="Times New Roman"/>
          <w:sz w:val="24"/>
          <w:szCs w:val="24"/>
          <w:lang w:val="en-US"/>
        </w:rPr>
        <w:t xml:space="preserve"> that there is an increase in support for debt mutualization by the German public because of fear for possible exits by southern states such as Italy. Similarly, Bremer et al. (2024) find remarkably high support for a joint European fiscal instrument. This explains, respectively, German politicians’ relaxing of hostility to joint debt, as well as policymakers’ acceptance of wide-reaching forms of solidarity (</w:t>
      </w:r>
      <w:proofErr w:type="spellStart"/>
      <w:r w:rsidRPr="001234AB">
        <w:rPr>
          <w:rFonts w:ascii="Times New Roman" w:hAnsi="Times New Roman" w:cs="Times New Roman"/>
          <w:sz w:val="24"/>
          <w:szCs w:val="24"/>
          <w:lang w:val="en-US"/>
        </w:rPr>
        <w:t>Baccaro</w:t>
      </w:r>
      <w:proofErr w:type="spellEnd"/>
      <w:r w:rsidRPr="001234AB">
        <w:rPr>
          <w:rFonts w:ascii="Times New Roman" w:hAnsi="Times New Roman" w:cs="Times New Roman"/>
          <w:sz w:val="24"/>
          <w:szCs w:val="24"/>
          <w:lang w:val="en-US"/>
        </w:rPr>
        <w:t xml:space="preserve"> et al., 2023, p. 1459; Bremer et al., 2024, p. 2584).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Multiple shortcomings of this literature can be identified. First, while possible causal reasons are hinted at, the literature essentially gropes in the dark with regards to </w:t>
      </w:r>
      <w:r w:rsidR="00ED0E47" w:rsidRPr="001234AB">
        <w:rPr>
          <w:rFonts w:ascii="Times New Roman" w:hAnsi="Times New Roman" w:cs="Times New Roman"/>
          <w:sz w:val="24"/>
          <w:szCs w:val="24"/>
          <w:lang w:val="en-US"/>
        </w:rPr>
        <w:t xml:space="preserve">causal chains </w:t>
      </w:r>
      <w:r w:rsidRPr="001234AB">
        <w:rPr>
          <w:rFonts w:ascii="Times New Roman" w:hAnsi="Times New Roman" w:cs="Times New Roman"/>
          <w:sz w:val="24"/>
          <w:szCs w:val="24"/>
          <w:lang w:val="en-US"/>
        </w:rPr>
        <w:t xml:space="preserve">that explain why the EU decided to issue Eurobonds under NGEU in 2020. Second, various theoretical shortcomings arise from the theoretical perspectives the literature rests on, namely two rationalist political (economic) theories on European integration, neofunctionalism and liberal intergovernmentalism. By delineating these European integration theories, it can be identified how the relevant literature analyzes Eurobonds and NGEU in relation to European integration.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Both neofunctionalism and liberal intergovernmentalism are based on a rationalist ontology, which posits that the goal of theories is to identify universally applicable laws about social phenomena (Buch-Hansen, 2008, p. 27). Neofunctionalism, originated intellectually from functionalist and federalist theories, proceeds from the assumption that integration is a continuous, self-expansive process towards a federal objective (van Apeldoorn et al., 2003, p. 21). This process is driven by spillover effects that perpetuate the need for further integration, with supranational institutions eventually operating independently and in control of national governments (Haas, 1958, p. 297). According to neofunctionalism, actors, which comprise </w:t>
      </w:r>
      <w:r w:rsidRPr="001234AB">
        <w:rPr>
          <w:rFonts w:ascii="Times New Roman" w:hAnsi="Times New Roman" w:cs="Times New Roman"/>
          <w:sz w:val="24"/>
          <w:szCs w:val="24"/>
          <w:lang w:val="en-US"/>
        </w:rPr>
        <w:lastRenderedPageBreak/>
        <w:t xml:space="preserve">more than just states, are always in favor of further integration. Neofunctionalism is flawed because it does not acknowledge that actors can have conflicting interests regarding European integration, or oppose it altogether </w:t>
      </w:r>
      <w:r w:rsidRPr="001234AB">
        <w:rPr>
          <w:rStyle w:val="normaltextrun"/>
          <w:rFonts w:ascii="Times New Roman" w:hAnsi="Times New Roman" w:cs="Times New Roman"/>
          <w:color w:val="000000"/>
          <w:sz w:val="24"/>
          <w:szCs w:val="24"/>
          <w:shd w:val="clear" w:color="auto" w:fill="FFFFFF"/>
          <w:lang w:val="en-GB"/>
        </w:rPr>
        <w:t xml:space="preserve">(Van </w:t>
      </w:r>
      <w:r w:rsidRPr="00876F00">
        <w:rPr>
          <w:rStyle w:val="normaltextrun"/>
          <w:rFonts w:ascii="Times New Roman" w:hAnsi="Times New Roman" w:cs="Times New Roman"/>
          <w:color w:val="000000"/>
          <w:sz w:val="24"/>
          <w:szCs w:val="24"/>
          <w:shd w:val="clear" w:color="auto" w:fill="FFFFFF"/>
          <w:lang w:val="en-GB"/>
        </w:rPr>
        <w:t>Apeldoorn et al</w:t>
      </w:r>
      <w:r w:rsidR="008D0A1D">
        <w:rPr>
          <w:rStyle w:val="normaltextrun"/>
          <w:rFonts w:ascii="Times New Roman" w:hAnsi="Times New Roman" w:cs="Times New Roman"/>
          <w:color w:val="000000"/>
          <w:sz w:val="24"/>
          <w:szCs w:val="24"/>
          <w:shd w:val="clear" w:color="auto" w:fill="FFFFFF"/>
          <w:lang w:val="en-GB"/>
        </w:rPr>
        <w:t>.</w:t>
      </w:r>
      <w:r w:rsidRPr="001234AB">
        <w:rPr>
          <w:rStyle w:val="normaltextrun"/>
          <w:rFonts w:ascii="Times New Roman" w:hAnsi="Times New Roman" w:cs="Times New Roman"/>
          <w:i/>
          <w:iCs/>
          <w:color w:val="000000"/>
          <w:sz w:val="24"/>
          <w:szCs w:val="24"/>
          <w:shd w:val="clear" w:color="auto" w:fill="FFFFFF"/>
          <w:lang w:val="en-GB"/>
        </w:rPr>
        <w:t xml:space="preserve">, </w:t>
      </w:r>
      <w:r w:rsidRPr="001234AB">
        <w:rPr>
          <w:rStyle w:val="normaltextrun"/>
          <w:rFonts w:ascii="Times New Roman" w:hAnsi="Times New Roman" w:cs="Times New Roman"/>
          <w:color w:val="000000"/>
          <w:sz w:val="24"/>
          <w:szCs w:val="24"/>
          <w:shd w:val="clear" w:color="auto" w:fill="FFFFFF"/>
          <w:lang w:val="en-GB"/>
        </w:rPr>
        <w:t xml:space="preserve">2003, p. 22). Furthermore, power balances between social forces and its implications for integration are overlooked. Additionally, the role of agency is marginalized because agents are always acting in favour of </w:t>
      </w:r>
      <w:r w:rsidRPr="001234AB">
        <w:rPr>
          <w:rStyle w:val="normaltextrun"/>
          <w:rFonts w:ascii="Times New Roman" w:hAnsi="Times New Roman" w:cs="Times New Roman"/>
          <w:sz w:val="24"/>
          <w:szCs w:val="24"/>
          <w:shd w:val="clear" w:color="auto" w:fill="FFFFFF"/>
          <w:lang w:val="en-GB"/>
        </w:rPr>
        <w:t xml:space="preserve">further integration. </w:t>
      </w:r>
      <w:proofErr w:type="spellStart"/>
      <w:r w:rsidRPr="001234AB">
        <w:rPr>
          <w:rFonts w:ascii="Times New Roman" w:hAnsi="Times New Roman" w:cs="Times New Roman"/>
          <w:sz w:val="24"/>
          <w:szCs w:val="24"/>
          <w:lang w:val="en-US"/>
        </w:rPr>
        <w:t>Schelke’s</w:t>
      </w:r>
      <w:proofErr w:type="spellEnd"/>
      <w:r w:rsidRPr="001234AB">
        <w:rPr>
          <w:rFonts w:ascii="Times New Roman" w:hAnsi="Times New Roman" w:cs="Times New Roman"/>
          <w:sz w:val="24"/>
          <w:szCs w:val="24"/>
          <w:lang w:val="en-US"/>
        </w:rPr>
        <w:t xml:space="preserve"> (2021, p. 45) characterization of the EU as operating “in a rule-bound, path-dependent way” reveals the </w:t>
      </w:r>
      <w:proofErr w:type="spellStart"/>
      <w:r w:rsidRPr="001234AB">
        <w:rPr>
          <w:rFonts w:ascii="Times New Roman" w:hAnsi="Times New Roman" w:cs="Times New Roman"/>
          <w:sz w:val="24"/>
          <w:szCs w:val="24"/>
          <w:lang w:val="en-US"/>
        </w:rPr>
        <w:t>neofunctionalist</w:t>
      </w:r>
      <w:proofErr w:type="spellEnd"/>
      <w:r w:rsidRPr="001234AB">
        <w:rPr>
          <w:rFonts w:ascii="Times New Roman" w:hAnsi="Times New Roman" w:cs="Times New Roman"/>
          <w:sz w:val="24"/>
          <w:szCs w:val="24"/>
          <w:lang w:val="en-US"/>
        </w:rPr>
        <w:t xml:space="preserve"> logic that the EU and the issuance of Eurobonds as part of a “crisis politics” was an expected outcome due to the inevitability of integration. In general, the literature deeming the Eurobonds under NGEU a possible step towards a fiscal union employs a </w:t>
      </w:r>
      <w:proofErr w:type="spellStart"/>
      <w:r w:rsidRPr="001234AB">
        <w:rPr>
          <w:rFonts w:ascii="Times New Roman" w:hAnsi="Times New Roman" w:cs="Times New Roman"/>
          <w:sz w:val="24"/>
          <w:szCs w:val="24"/>
          <w:lang w:val="en-US"/>
        </w:rPr>
        <w:t>neofunctionalist</w:t>
      </w:r>
      <w:proofErr w:type="spellEnd"/>
      <w:r w:rsidRPr="001234AB">
        <w:rPr>
          <w:rFonts w:ascii="Times New Roman" w:hAnsi="Times New Roman" w:cs="Times New Roman"/>
          <w:sz w:val="24"/>
          <w:szCs w:val="24"/>
          <w:lang w:val="en-US"/>
        </w:rPr>
        <w:t xml:space="preserve"> logic in the sense that integration in the area of fiscal policy, namely common debt issuance, impels further integration in related domains (</w:t>
      </w:r>
      <w:proofErr w:type="spellStart"/>
      <w:r w:rsidRPr="001234AB">
        <w:rPr>
          <w:rFonts w:ascii="Times New Roman" w:hAnsi="Times New Roman" w:cs="Times New Roman"/>
          <w:sz w:val="24"/>
          <w:szCs w:val="24"/>
          <w:lang w:val="en-US"/>
        </w:rPr>
        <w:t>Baccaro</w:t>
      </w:r>
      <w:proofErr w:type="spellEnd"/>
      <w:r w:rsidRPr="001234AB">
        <w:rPr>
          <w:rFonts w:ascii="Times New Roman" w:hAnsi="Times New Roman" w:cs="Times New Roman"/>
          <w:sz w:val="24"/>
          <w:szCs w:val="24"/>
          <w:lang w:val="en-US"/>
        </w:rPr>
        <w:t xml:space="preserve"> et al, 2023; Bilbao-</w:t>
      </w:r>
      <w:proofErr w:type="spellStart"/>
      <w:r w:rsidRPr="001234AB">
        <w:rPr>
          <w:rFonts w:ascii="Times New Roman" w:hAnsi="Times New Roman" w:cs="Times New Roman"/>
          <w:sz w:val="24"/>
          <w:szCs w:val="24"/>
          <w:lang w:val="en-US"/>
        </w:rPr>
        <w:t>Ubillos</w:t>
      </w:r>
      <w:proofErr w:type="spellEnd"/>
      <w:r w:rsidRPr="001234AB">
        <w:rPr>
          <w:rFonts w:ascii="Times New Roman" w:hAnsi="Times New Roman" w:cs="Times New Roman"/>
          <w:sz w:val="24"/>
          <w:szCs w:val="24"/>
          <w:lang w:val="en-US"/>
        </w:rPr>
        <w:t xml:space="preserve">, 2023; Christie et al, 2021; Costa Cabral, 2021; Heinemann, 2021; </w:t>
      </w:r>
      <w:proofErr w:type="spellStart"/>
      <w:r w:rsidRPr="001234AB">
        <w:rPr>
          <w:rFonts w:ascii="Times New Roman" w:hAnsi="Times New Roman" w:cs="Times New Roman"/>
          <w:sz w:val="24"/>
          <w:szCs w:val="24"/>
          <w:lang w:val="en-US"/>
        </w:rPr>
        <w:t>Schelkle</w:t>
      </w:r>
      <w:proofErr w:type="spellEnd"/>
      <w:r w:rsidRPr="001234AB">
        <w:rPr>
          <w:rFonts w:ascii="Times New Roman" w:hAnsi="Times New Roman" w:cs="Times New Roman"/>
          <w:sz w:val="24"/>
          <w:szCs w:val="24"/>
          <w:lang w:val="en-US"/>
        </w:rPr>
        <w:t xml:space="preserve">, 2021; </w:t>
      </w:r>
      <w:proofErr w:type="spellStart"/>
      <w:r w:rsidRPr="001234AB">
        <w:rPr>
          <w:rFonts w:ascii="Times New Roman" w:hAnsi="Times New Roman" w:cs="Times New Roman"/>
          <w:sz w:val="24"/>
          <w:szCs w:val="24"/>
          <w:lang w:val="en-US"/>
        </w:rPr>
        <w:t>Tesche</w:t>
      </w:r>
      <w:proofErr w:type="spellEnd"/>
      <w:r w:rsidRPr="001234AB">
        <w:rPr>
          <w:rFonts w:ascii="Times New Roman" w:hAnsi="Times New Roman" w:cs="Times New Roman"/>
          <w:sz w:val="24"/>
          <w:szCs w:val="24"/>
          <w:lang w:val="en-US"/>
        </w:rPr>
        <w:t>, 2022). Costa Cabral (2021, pp. 950-951) captures this logic perfectly by considering “the NGEU as the antechamber of a fiscal federal solution.”</w:t>
      </w:r>
      <w:r w:rsidRPr="001234AB">
        <w:rPr>
          <w:rFonts w:ascii="Times New Roman" w:hAnsi="Times New Roman" w:cs="Times New Roman"/>
          <w:sz w:val="24"/>
          <w:szCs w:val="24"/>
          <w:lang w:val="en-US"/>
        </w:rPr>
        <w:br/>
        <w:t xml:space="preserve"> </w:t>
      </w:r>
      <w:r w:rsidRPr="001234AB">
        <w:rPr>
          <w:rFonts w:ascii="Times New Roman" w:hAnsi="Times New Roman" w:cs="Times New Roman"/>
          <w:sz w:val="24"/>
          <w:szCs w:val="24"/>
          <w:lang w:val="en-US"/>
        </w:rPr>
        <w:br/>
        <w:t>Liberal intergovernmentalism employs a state-centric theory of preference formation. Liberal intergovernmentalism proceeds from the assumption that agents are rational actors, efficiently in pursuance of their preferences (</w:t>
      </w:r>
      <w:proofErr w:type="spellStart"/>
      <w:r w:rsidRPr="001234AB">
        <w:rPr>
          <w:rFonts w:ascii="Times New Roman" w:hAnsi="Times New Roman" w:cs="Times New Roman"/>
          <w:sz w:val="24"/>
          <w:szCs w:val="24"/>
          <w:lang w:val="en-US"/>
        </w:rPr>
        <w:t>Moravcsik</w:t>
      </w:r>
      <w:proofErr w:type="spellEnd"/>
      <w:r w:rsidRPr="001234AB">
        <w:rPr>
          <w:rFonts w:ascii="Times New Roman" w:hAnsi="Times New Roman" w:cs="Times New Roman"/>
          <w:sz w:val="24"/>
          <w:szCs w:val="24"/>
          <w:lang w:val="en-US"/>
        </w:rPr>
        <w:t xml:space="preserve"> &amp; </w:t>
      </w:r>
      <w:proofErr w:type="spellStart"/>
      <w:r w:rsidRPr="001234AB">
        <w:rPr>
          <w:rFonts w:ascii="Times New Roman" w:hAnsi="Times New Roman" w:cs="Times New Roman"/>
          <w:sz w:val="24"/>
          <w:szCs w:val="24"/>
          <w:lang w:val="en-US"/>
        </w:rPr>
        <w:t>Schimmelfennig</w:t>
      </w:r>
      <w:proofErr w:type="spellEnd"/>
      <w:r w:rsidRPr="001234AB">
        <w:rPr>
          <w:rFonts w:ascii="Times New Roman" w:hAnsi="Times New Roman" w:cs="Times New Roman"/>
          <w:sz w:val="24"/>
          <w:szCs w:val="24"/>
          <w:lang w:val="en-US"/>
        </w:rPr>
        <w:t xml:space="preserve">, 2018, p. 65). Through competition among interest groups advancing their own interests, the most powerful </w:t>
      </w:r>
      <w:proofErr w:type="gramStart"/>
      <w:r w:rsidRPr="001234AB">
        <w:rPr>
          <w:rFonts w:ascii="Times New Roman" w:hAnsi="Times New Roman" w:cs="Times New Roman"/>
          <w:sz w:val="24"/>
          <w:szCs w:val="24"/>
          <w:lang w:val="en-US"/>
        </w:rPr>
        <w:t>interests</w:t>
      </w:r>
      <w:proofErr w:type="gramEnd"/>
      <w:r w:rsidRPr="001234AB">
        <w:rPr>
          <w:rFonts w:ascii="Times New Roman" w:hAnsi="Times New Roman" w:cs="Times New Roman"/>
          <w:sz w:val="24"/>
          <w:szCs w:val="24"/>
          <w:lang w:val="en-US"/>
        </w:rPr>
        <w:t xml:space="preserve"> group are able to articulate their interests as the national preference. European integration is hence seen as a combination of interdependent rational state choices (</w:t>
      </w:r>
      <w:proofErr w:type="spellStart"/>
      <w:r w:rsidRPr="001234AB">
        <w:rPr>
          <w:rFonts w:ascii="Times New Roman" w:hAnsi="Times New Roman" w:cs="Times New Roman"/>
          <w:sz w:val="24"/>
          <w:szCs w:val="24"/>
          <w:lang w:val="en-US"/>
        </w:rPr>
        <w:t>Moravcsik</w:t>
      </w:r>
      <w:proofErr w:type="spellEnd"/>
      <w:r w:rsidRPr="001234AB">
        <w:rPr>
          <w:rFonts w:ascii="Times New Roman" w:hAnsi="Times New Roman" w:cs="Times New Roman"/>
          <w:sz w:val="24"/>
          <w:szCs w:val="24"/>
          <w:lang w:val="en-US"/>
        </w:rPr>
        <w:t xml:space="preserve"> &amp; </w:t>
      </w:r>
      <w:proofErr w:type="spellStart"/>
      <w:r w:rsidRPr="001234AB">
        <w:rPr>
          <w:rFonts w:ascii="Times New Roman" w:hAnsi="Times New Roman" w:cs="Times New Roman"/>
          <w:sz w:val="24"/>
          <w:szCs w:val="24"/>
          <w:lang w:val="en-US"/>
        </w:rPr>
        <w:t>Schimmelfennig</w:t>
      </w:r>
      <w:proofErr w:type="spellEnd"/>
      <w:r w:rsidRPr="001234AB">
        <w:rPr>
          <w:rFonts w:ascii="Times New Roman" w:hAnsi="Times New Roman" w:cs="Times New Roman"/>
          <w:sz w:val="24"/>
          <w:szCs w:val="24"/>
          <w:lang w:val="en-US"/>
        </w:rPr>
        <w:t xml:space="preserve"> 2018, p. 65). While liberal intergovernmentalism partially overcomes the deterministic telos of neofunctionalism by allowing for conflicting interests, the theory is reductionist in the sense that it reduces politics of integration to the state, diminishing the role of agency. Literature on Eurobonds abounds with </w:t>
      </w:r>
      <w:proofErr w:type="spellStart"/>
      <w:r w:rsidRPr="001234AB">
        <w:rPr>
          <w:rFonts w:ascii="Times New Roman" w:hAnsi="Times New Roman" w:cs="Times New Roman"/>
          <w:sz w:val="24"/>
          <w:szCs w:val="24"/>
          <w:lang w:val="en-US"/>
        </w:rPr>
        <w:t>intergovernmentalist</w:t>
      </w:r>
      <w:proofErr w:type="spellEnd"/>
      <w:r w:rsidRPr="001234AB">
        <w:rPr>
          <w:rFonts w:ascii="Times New Roman" w:hAnsi="Times New Roman" w:cs="Times New Roman"/>
          <w:sz w:val="24"/>
          <w:szCs w:val="24"/>
          <w:lang w:val="en-US"/>
        </w:rPr>
        <w:t xml:space="preserve"> theory. Highlighting the change in public opinion as a cause for the issuance of Eurobonds are instances of </w:t>
      </w:r>
      <w:proofErr w:type="spellStart"/>
      <w:r w:rsidRPr="001234AB">
        <w:rPr>
          <w:rFonts w:ascii="Times New Roman" w:hAnsi="Times New Roman" w:cs="Times New Roman"/>
          <w:sz w:val="24"/>
          <w:szCs w:val="24"/>
          <w:lang w:val="en-US"/>
        </w:rPr>
        <w:t>intergovernmentalist</w:t>
      </w:r>
      <w:proofErr w:type="spellEnd"/>
      <w:r w:rsidRPr="001234AB">
        <w:rPr>
          <w:rFonts w:ascii="Times New Roman" w:hAnsi="Times New Roman" w:cs="Times New Roman"/>
          <w:sz w:val="24"/>
          <w:szCs w:val="24"/>
          <w:lang w:val="en-US"/>
        </w:rPr>
        <w:t xml:space="preserve"> literature that presents politicians as the unequivocal representatives of a nation’s interest, therewith portraying politicians as the transmission belt of the dominant public views (</w:t>
      </w:r>
      <w:proofErr w:type="spellStart"/>
      <w:r w:rsidRPr="001234AB">
        <w:rPr>
          <w:rFonts w:ascii="Times New Roman" w:hAnsi="Times New Roman" w:cs="Times New Roman"/>
          <w:sz w:val="24"/>
          <w:szCs w:val="24"/>
          <w:lang w:val="en-US"/>
        </w:rPr>
        <w:t>Baccaro</w:t>
      </w:r>
      <w:proofErr w:type="spellEnd"/>
      <w:r w:rsidRPr="001234AB">
        <w:rPr>
          <w:rFonts w:ascii="Times New Roman" w:hAnsi="Times New Roman" w:cs="Times New Roman"/>
          <w:sz w:val="24"/>
          <w:szCs w:val="24"/>
          <w:lang w:val="en-US"/>
        </w:rPr>
        <w:t xml:space="preserve"> et al., 2023; Bremer et al., 2024). While liberal intergovernmentalism acknowledges that interests are derived from structures, it does not offer a clear theorization of structures, let alone changes in structures. Additionally, the assumption that preference formation among actors is perfectly rational completely disregards structural power relations influencing European integration (</w:t>
      </w:r>
      <w:r w:rsidRPr="001234AB">
        <w:rPr>
          <w:rStyle w:val="normaltextrun"/>
          <w:rFonts w:ascii="Times New Roman" w:hAnsi="Times New Roman" w:cs="Times New Roman"/>
          <w:color w:val="000000"/>
          <w:sz w:val="24"/>
          <w:szCs w:val="24"/>
          <w:shd w:val="clear" w:color="auto" w:fill="FFFFFF"/>
          <w:lang w:val="en-US"/>
        </w:rPr>
        <w:t xml:space="preserve">Van Apeldoorn et al., 2003, p. 25). </w:t>
      </w:r>
      <w:r w:rsidRPr="001234AB">
        <w:rPr>
          <w:rFonts w:ascii="Times New Roman" w:hAnsi="Times New Roman" w:cs="Times New Roman"/>
          <w:sz w:val="24"/>
          <w:szCs w:val="24"/>
          <w:lang w:val="en-US"/>
        </w:rPr>
        <w:t xml:space="preserve">The </w:t>
      </w:r>
      <w:proofErr w:type="spellStart"/>
      <w:r w:rsidRPr="001234AB">
        <w:rPr>
          <w:rFonts w:ascii="Times New Roman" w:hAnsi="Times New Roman" w:cs="Times New Roman"/>
          <w:sz w:val="24"/>
          <w:szCs w:val="24"/>
          <w:lang w:val="en-US"/>
        </w:rPr>
        <w:lastRenderedPageBreak/>
        <w:t>intergovernmentalist</w:t>
      </w:r>
      <w:proofErr w:type="spellEnd"/>
      <w:r w:rsidRPr="001234AB">
        <w:rPr>
          <w:rFonts w:ascii="Times New Roman" w:hAnsi="Times New Roman" w:cs="Times New Roman"/>
          <w:sz w:val="24"/>
          <w:szCs w:val="24"/>
          <w:lang w:val="en-US"/>
        </w:rPr>
        <w:t xml:space="preserve"> literature certainly offers valuable insights into the European public opinion towards European integration and the democratic legitimacy of the EU (Bremer et al., 2024). Nonetheless, the incorporation of public opinion and political polarization can be seen as an attempt to broadening the otherwise narrow liberal </w:t>
      </w:r>
      <w:proofErr w:type="spellStart"/>
      <w:r w:rsidRPr="001234AB">
        <w:rPr>
          <w:rFonts w:ascii="Times New Roman" w:hAnsi="Times New Roman" w:cs="Times New Roman"/>
          <w:sz w:val="24"/>
          <w:szCs w:val="24"/>
          <w:lang w:val="en-US"/>
        </w:rPr>
        <w:t>intergovernmentalist</w:t>
      </w:r>
      <w:proofErr w:type="spellEnd"/>
      <w:r w:rsidRPr="001234AB">
        <w:rPr>
          <w:rFonts w:ascii="Times New Roman" w:hAnsi="Times New Roman" w:cs="Times New Roman"/>
          <w:sz w:val="24"/>
          <w:szCs w:val="24"/>
          <w:lang w:val="en-US"/>
        </w:rPr>
        <w:t xml:space="preserve"> ontology giving primacy to states only. This by no means suffices to resolve the theoretical flaws of liberal intergovernmentalism.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Next to these theoretical flaws, the two European integration theories are normatively biased. It is evident that in the aforementioned literature European integration is accepted as a given</w:t>
      </w:r>
      <w:r w:rsidR="00D039C9"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w:t>
      </w:r>
      <w:proofErr w:type="spellStart"/>
      <w:r w:rsidRPr="001234AB">
        <w:rPr>
          <w:rFonts w:ascii="Times New Roman" w:hAnsi="Times New Roman" w:cs="Times New Roman"/>
          <w:sz w:val="24"/>
          <w:szCs w:val="24"/>
          <w:lang w:val="en-US"/>
        </w:rPr>
        <w:t>Cafruny</w:t>
      </w:r>
      <w:proofErr w:type="spellEnd"/>
      <w:r w:rsidRPr="001234AB">
        <w:rPr>
          <w:rFonts w:ascii="Times New Roman" w:hAnsi="Times New Roman" w:cs="Times New Roman"/>
          <w:sz w:val="24"/>
          <w:szCs w:val="24"/>
          <w:lang w:val="en-US"/>
        </w:rPr>
        <w:t xml:space="preserve"> &amp; </w:t>
      </w:r>
      <w:proofErr w:type="spellStart"/>
      <w:r w:rsidRPr="001234AB">
        <w:rPr>
          <w:rFonts w:ascii="Times New Roman" w:hAnsi="Times New Roman" w:cs="Times New Roman"/>
          <w:sz w:val="24"/>
          <w:szCs w:val="24"/>
          <w:lang w:val="en-US"/>
        </w:rPr>
        <w:t>Ryner</w:t>
      </w:r>
      <w:proofErr w:type="spellEnd"/>
      <w:r w:rsidRPr="001234AB">
        <w:rPr>
          <w:rFonts w:ascii="Times New Roman" w:hAnsi="Times New Roman" w:cs="Times New Roman"/>
          <w:sz w:val="24"/>
          <w:szCs w:val="24"/>
          <w:lang w:val="en-US"/>
        </w:rPr>
        <w:t xml:space="preserve">, 2009, pp. 221-223). As a consequence of this normative bias, the literature does not put either Eurobonds or NGEU in the context of the structurally contingent features of the capitalist global economy at a particular historical juncture. An exception is </w:t>
      </w:r>
      <w:proofErr w:type="spellStart"/>
      <w:r w:rsidRPr="001234AB">
        <w:rPr>
          <w:rFonts w:ascii="Times New Roman" w:hAnsi="Times New Roman" w:cs="Times New Roman"/>
          <w:sz w:val="24"/>
          <w:szCs w:val="24"/>
          <w:lang w:val="en-US"/>
        </w:rPr>
        <w:t>Ryner</w:t>
      </w:r>
      <w:proofErr w:type="spellEnd"/>
      <w:r w:rsidRPr="001234AB">
        <w:rPr>
          <w:rFonts w:ascii="Times New Roman" w:hAnsi="Times New Roman" w:cs="Times New Roman"/>
          <w:sz w:val="24"/>
          <w:szCs w:val="24"/>
          <w:lang w:val="en-US"/>
        </w:rPr>
        <w:t xml:space="preserve"> (2023, p. 629), who problematizes EU’s continued reliance on finance-led mechanisms but does not provide a comprehensive theorization.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To overcome this theoretical gap, a theorization of the underlying capitalist mode of development and its effect on European integration is needed. Consequently, this thesis uses a critical political economy</w:t>
      </w:r>
      <w:r w:rsidR="00FB5950" w:rsidRPr="001234AB">
        <w:rPr>
          <w:rFonts w:ascii="Times New Roman" w:hAnsi="Times New Roman" w:cs="Times New Roman"/>
          <w:sz w:val="24"/>
          <w:szCs w:val="24"/>
          <w:lang w:val="en-US"/>
        </w:rPr>
        <w:t xml:space="preserve"> (CPE)</w:t>
      </w:r>
      <w:r w:rsidRPr="001234AB">
        <w:rPr>
          <w:rFonts w:ascii="Times New Roman" w:hAnsi="Times New Roman" w:cs="Times New Roman"/>
          <w:sz w:val="24"/>
          <w:szCs w:val="24"/>
          <w:lang w:val="en-US"/>
        </w:rPr>
        <w:t xml:space="preserve"> perspective. </w:t>
      </w:r>
      <w:r w:rsidR="00FB5950" w:rsidRPr="001234AB">
        <w:rPr>
          <w:rFonts w:ascii="Times New Roman" w:hAnsi="Times New Roman" w:cs="Times New Roman"/>
          <w:sz w:val="24"/>
          <w:szCs w:val="24"/>
          <w:lang w:val="en-US"/>
        </w:rPr>
        <w:t xml:space="preserve">CPE </w:t>
      </w:r>
      <w:r w:rsidRPr="001234AB">
        <w:rPr>
          <w:rFonts w:ascii="Times New Roman" w:hAnsi="Times New Roman" w:cs="Times New Roman"/>
          <w:sz w:val="24"/>
          <w:szCs w:val="24"/>
          <w:lang w:val="en-US"/>
        </w:rPr>
        <w:t xml:space="preserve">perspectives overcome the artificial dichotomy between the economic realm and the political realm, acknowledging that they are interwoven and mutually constitutive (van Apeldoorn &amp; Horn, 2018, p. 6). This, in turn, allows this thesis to uncover the social power relations behind the political processes that have resulted in the issuance of common debt under NGEU (van Apeldoorn &amp; Horn, 2018, p. 6). By employing such a perspective, this thesis </w:t>
      </w:r>
      <w:proofErr w:type="spellStart"/>
      <w:r w:rsidR="000F6429" w:rsidRPr="001234AB">
        <w:rPr>
          <w:rFonts w:ascii="Times New Roman" w:hAnsi="Times New Roman" w:cs="Times New Roman"/>
          <w:sz w:val="24"/>
          <w:szCs w:val="24"/>
          <w:lang w:val="en-US"/>
        </w:rPr>
        <w:t>inquir</w:t>
      </w:r>
      <w:r w:rsidR="000F6429">
        <w:rPr>
          <w:rFonts w:ascii="Times New Roman" w:hAnsi="Times New Roman" w:cs="Times New Roman"/>
          <w:sz w:val="24"/>
          <w:szCs w:val="24"/>
          <w:lang w:val="en-US"/>
        </w:rPr>
        <w:t>es</w:t>
      </w:r>
      <w:proofErr w:type="spellEnd"/>
      <w:r w:rsidRPr="001234AB">
        <w:rPr>
          <w:rFonts w:ascii="Times New Roman" w:hAnsi="Times New Roman" w:cs="Times New Roman"/>
          <w:sz w:val="24"/>
          <w:szCs w:val="24"/>
          <w:lang w:val="en-US"/>
        </w:rPr>
        <w:t xml:space="preserve"> about the social purpose of Eurobonds as an EU policy by putting it against the background of the social relations of capitalist production, the laws of motion of capitalism</w:t>
      </w:r>
      <w:r w:rsidR="0030343B"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and the concomitant power asymmetries. To be critical entails criticizing the capitalist social relations of production and the specific power dynamics and conflicts arising from these relations (Wigger &amp; Horn, 2016, p. 40). Additionally, placing Eurobonds and NGEU within the context of the evolution of capitalist development means considering the role of increased financialization of the European economy. This is also where the societal relevance of this thesis lies, since finance increasingly influences people’s daily life</w:t>
      </w:r>
      <w:r w:rsidR="0030343B"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Putting NGEU and its issuance of common debt against the backdrop of debt-led accumulation provides insight into how debt-led accumulation continues to impact the European political economy. French president Macron’s belief that EU’s debt-led recovery package offers an opportunity to humanize capitalism by </w:t>
      </w:r>
      <w:r w:rsidRPr="001234AB">
        <w:rPr>
          <w:rFonts w:ascii="Times New Roman" w:hAnsi="Times New Roman" w:cs="Times New Roman"/>
          <w:sz w:val="24"/>
          <w:szCs w:val="24"/>
          <w:lang w:val="en-US"/>
        </w:rPr>
        <w:lastRenderedPageBreak/>
        <w:t xml:space="preserve">ending the ‘hyper-financialized’ world, reveals how imperative it is to put debt-led accumulation at the center of analysis (Mallet &amp; Khalaf, 2020). With regards to the academic relevance, this thesis aims to present a comprehensive causal </w:t>
      </w:r>
      <w:r w:rsidR="0030343B" w:rsidRPr="001234AB">
        <w:rPr>
          <w:rFonts w:ascii="Times New Roman" w:hAnsi="Times New Roman" w:cs="Times New Roman"/>
          <w:sz w:val="24"/>
          <w:szCs w:val="24"/>
          <w:lang w:val="en-US"/>
        </w:rPr>
        <w:t xml:space="preserve">chain that explains </w:t>
      </w:r>
      <w:r w:rsidRPr="001234AB">
        <w:rPr>
          <w:rFonts w:ascii="Times New Roman" w:hAnsi="Times New Roman" w:cs="Times New Roman"/>
          <w:sz w:val="24"/>
          <w:szCs w:val="24"/>
          <w:lang w:val="en-US"/>
        </w:rPr>
        <w:t>the decision to issue Eurobonds under NGEU. Such a comprehensive account has hitherto been absent.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This perspective is based on a critical realist ontology, allowing the interaction of agency and structure, the ideational and the material dimension in order to explore the explanandum at hand (Wigger &amp; Horn, 2016, p. 44). Acknowledging the contingent and open-ended nature of social reality, critical realism opposes the notion that existing world order is fixed or that social phenomena can be elucidated through universally applicable laws about social regularities (Wigger &amp; Horn, 2016, p. 45). More concretely, this thesis employs the Amsterdam Project (AP), which is one of the seven major schools in the regulation approach, in combination with neo-Gramscian insights, as well as elements of</w:t>
      </w:r>
      <w:r w:rsidR="00C43C2D" w:rsidRPr="001234AB">
        <w:rPr>
          <w:rFonts w:ascii="Times New Roman" w:hAnsi="Times New Roman" w:cs="Times New Roman"/>
          <w:sz w:val="24"/>
          <w:szCs w:val="24"/>
          <w:lang w:val="en-US"/>
        </w:rPr>
        <w:t xml:space="preserve"> feminist CPE</w:t>
      </w:r>
      <w:r w:rsidRPr="001234AB">
        <w:rPr>
          <w:rFonts w:ascii="Times New Roman" w:hAnsi="Times New Roman" w:cs="Times New Roman"/>
          <w:sz w:val="24"/>
          <w:szCs w:val="24"/>
          <w:lang w:val="en-US"/>
        </w:rPr>
        <w:t>. The AP and its theorization of capital fractions and concepts of control provide tools to explain class strategies and formation, as well as the articulation of hegemonic discourses.</w:t>
      </w:r>
      <w:r w:rsidR="0030343B"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Gramscian insights complement the ideational and agential dimension, while insights from feminist political economy allow </w:t>
      </w:r>
      <w:r w:rsidR="00C43C2D" w:rsidRPr="001234AB">
        <w:rPr>
          <w:rFonts w:ascii="Times New Roman" w:hAnsi="Times New Roman" w:cs="Times New Roman"/>
          <w:sz w:val="24"/>
          <w:szCs w:val="24"/>
          <w:lang w:val="en-US"/>
        </w:rPr>
        <w:t xml:space="preserve">for the extensive </w:t>
      </w:r>
      <w:r w:rsidRPr="001234AB">
        <w:rPr>
          <w:rFonts w:ascii="Times New Roman" w:hAnsi="Times New Roman" w:cs="Times New Roman"/>
          <w:sz w:val="24"/>
          <w:szCs w:val="24"/>
          <w:lang w:val="en-US"/>
        </w:rPr>
        <w:t>incorporat</w:t>
      </w:r>
      <w:r w:rsidR="00C43C2D" w:rsidRPr="001234AB">
        <w:rPr>
          <w:rFonts w:ascii="Times New Roman" w:hAnsi="Times New Roman" w:cs="Times New Roman"/>
          <w:sz w:val="24"/>
          <w:szCs w:val="24"/>
          <w:lang w:val="en-US"/>
        </w:rPr>
        <w:t>ion of</w:t>
      </w:r>
      <w:r w:rsidRPr="001234AB">
        <w:rPr>
          <w:rFonts w:ascii="Times New Roman" w:hAnsi="Times New Roman" w:cs="Times New Roman"/>
          <w:sz w:val="24"/>
          <w:szCs w:val="24"/>
          <w:lang w:val="en-US"/>
        </w:rPr>
        <w:t xml:space="preserve"> subordinate social forces</w:t>
      </w:r>
      <w:r w:rsidR="00C43C2D"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Combining these theories enables this thesis to provide a compressive account of the explanandum. </w:t>
      </w:r>
      <w:r w:rsidRPr="001234AB">
        <w:rPr>
          <w:rFonts w:ascii="Times New Roman" w:hAnsi="Times New Roman" w:cs="Times New Roman"/>
          <w:sz w:val="24"/>
          <w:szCs w:val="24"/>
          <w:lang w:val="en-US"/>
        </w:rPr>
        <w:br/>
      </w:r>
      <w:r w:rsidR="00C43C2D" w:rsidRPr="001234AB">
        <w:rPr>
          <w:rFonts w:ascii="Times New Roman" w:hAnsi="Times New Roman" w:cs="Times New Roman"/>
          <w:sz w:val="24"/>
          <w:szCs w:val="24"/>
          <w:lang w:val="en-US"/>
        </w:rPr>
        <w:br/>
        <w:t>Empirically, this thesis makes use of multiple sources.</w:t>
      </w:r>
      <w:r w:rsidR="003A1604" w:rsidRPr="001234AB">
        <w:rPr>
          <w:rFonts w:ascii="Times New Roman" w:hAnsi="Times New Roman" w:cs="Times New Roman"/>
          <w:sz w:val="24"/>
          <w:szCs w:val="24"/>
          <w:lang w:val="en-US"/>
        </w:rPr>
        <w:t xml:space="preserve"> </w:t>
      </w:r>
      <w:r w:rsidR="00C43C2D" w:rsidRPr="001234AB">
        <w:rPr>
          <w:rFonts w:ascii="Times New Roman" w:hAnsi="Times New Roman" w:cs="Times New Roman"/>
          <w:sz w:val="24"/>
          <w:szCs w:val="24"/>
          <w:lang w:val="en-US"/>
        </w:rPr>
        <w:t xml:space="preserve">For the outline of the structure, </w:t>
      </w:r>
      <w:r w:rsidR="00985AF3" w:rsidRPr="001234AB">
        <w:rPr>
          <w:rFonts w:ascii="Times New Roman" w:hAnsi="Times New Roman" w:cs="Times New Roman"/>
          <w:sz w:val="24"/>
          <w:szCs w:val="24"/>
          <w:lang w:val="en-US"/>
        </w:rPr>
        <w:t xml:space="preserve">this </w:t>
      </w:r>
      <w:r w:rsidR="00C43C2D" w:rsidRPr="001234AB">
        <w:rPr>
          <w:rFonts w:ascii="Times New Roman" w:hAnsi="Times New Roman" w:cs="Times New Roman"/>
          <w:sz w:val="24"/>
          <w:szCs w:val="24"/>
          <w:lang w:val="en-US"/>
        </w:rPr>
        <w:t>thesis draws on a literature review in combination with quantitative economic indicators.</w:t>
      </w:r>
      <w:r w:rsidR="000365A2" w:rsidRPr="001234AB">
        <w:rPr>
          <w:rFonts w:ascii="Times New Roman" w:hAnsi="Times New Roman" w:cs="Times New Roman"/>
          <w:sz w:val="24"/>
          <w:szCs w:val="24"/>
          <w:lang w:val="en-US"/>
        </w:rPr>
        <w:t xml:space="preserve"> To gather information on the decision to issue Eurobonds under NGEU, this thesis draws on an extensive document analysis using plentiful gray documents, including reports by relevant social forces</w:t>
      </w:r>
      <w:r w:rsidR="00985AF3" w:rsidRPr="001234AB">
        <w:rPr>
          <w:rFonts w:ascii="Times New Roman" w:hAnsi="Times New Roman" w:cs="Times New Roman"/>
          <w:sz w:val="24"/>
          <w:szCs w:val="24"/>
          <w:lang w:val="en-US"/>
        </w:rPr>
        <w:t xml:space="preserve">, as well as a literature review. To complement the agential and ideational dimension, this thesis also utilizes news articles and speeches by relevant agents. </w:t>
      </w:r>
      <w:r w:rsidR="00985AF3" w:rsidRPr="001234AB">
        <w:rPr>
          <w:rFonts w:ascii="Times New Roman" w:hAnsi="Times New Roman" w:cs="Times New Roman"/>
          <w:sz w:val="24"/>
          <w:szCs w:val="24"/>
          <w:lang w:val="en-US"/>
        </w:rPr>
        <w:br/>
      </w:r>
      <w:r w:rsidR="00985AF3" w:rsidRPr="001234AB">
        <w:rPr>
          <w:rFonts w:ascii="Times New Roman" w:hAnsi="Times New Roman" w:cs="Times New Roman"/>
          <w:sz w:val="24"/>
          <w:szCs w:val="24"/>
          <w:lang w:val="en-US"/>
        </w:rPr>
        <w:br/>
        <w:t>The structure of this thesis is as follows. Chapter 1 describes the ontological foundations of the AP as well as its theoretical considerations. The latter are harmonized with insights from Gramsci, as well as feminist CPE. Chapter 2 concerns the epistemological</w:t>
      </w:r>
      <w:r w:rsidR="003A1604" w:rsidRPr="001234AB">
        <w:rPr>
          <w:rFonts w:ascii="Times New Roman" w:hAnsi="Times New Roman" w:cs="Times New Roman"/>
          <w:sz w:val="24"/>
          <w:szCs w:val="24"/>
          <w:lang w:val="en-US"/>
        </w:rPr>
        <w:t xml:space="preserve"> considerations of the outlined theoretical framework, based on the philosophy of critical realism. Additionally, this chapter discusses the chosen methods, and the operationalization of the relevant theoretical concepts. Chapter 3 includes the empirical analysis, consisting of the interaction between structure and agency, the ideational, and the material, amounting </w:t>
      </w:r>
      <w:r w:rsidR="0030343B" w:rsidRPr="001234AB">
        <w:rPr>
          <w:rFonts w:ascii="Times New Roman" w:hAnsi="Times New Roman" w:cs="Times New Roman"/>
          <w:sz w:val="24"/>
          <w:szCs w:val="24"/>
          <w:lang w:val="en-US"/>
        </w:rPr>
        <w:t xml:space="preserve">to </w:t>
      </w:r>
      <w:r w:rsidR="003A1604" w:rsidRPr="001234AB">
        <w:rPr>
          <w:rFonts w:ascii="Times New Roman" w:hAnsi="Times New Roman" w:cs="Times New Roman"/>
          <w:sz w:val="24"/>
          <w:szCs w:val="24"/>
          <w:lang w:val="en-US"/>
        </w:rPr>
        <w:t xml:space="preserve">a comprehensive </w:t>
      </w:r>
      <w:r w:rsidR="003A1604" w:rsidRPr="001234AB">
        <w:rPr>
          <w:rFonts w:ascii="Times New Roman" w:hAnsi="Times New Roman" w:cs="Times New Roman"/>
          <w:sz w:val="24"/>
          <w:szCs w:val="24"/>
          <w:lang w:val="en-US"/>
        </w:rPr>
        <w:lastRenderedPageBreak/>
        <w:t xml:space="preserve">and theoretically informed answer to the research question. The last chapter is made up of the conclusion, a discussion of this thesis’ shortcomings, and avenues for further (critical) research. </w:t>
      </w:r>
      <w:r w:rsidR="00C43C2D" w:rsidRPr="001234AB">
        <w:rPr>
          <w:rFonts w:ascii="Times New Roman" w:hAnsi="Times New Roman" w:cs="Times New Roman"/>
          <w:sz w:val="24"/>
          <w:szCs w:val="24"/>
          <w:lang w:val="en-US"/>
        </w:rPr>
        <w:br/>
      </w:r>
      <w:r w:rsidR="00C43C2D"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
    <w:p w14:paraId="6B25D0AF" w14:textId="24C3ABE2" w:rsidR="00492161" w:rsidRPr="001234AB" w:rsidRDefault="00492161" w:rsidP="00F807BD">
      <w:pPr>
        <w:spacing w:line="360" w:lineRule="auto"/>
        <w:rPr>
          <w:rFonts w:ascii="Times New Roman" w:hAnsi="Times New Roman" w:cs="Times New Roman"/>
          <w:sz w:val="24"/>
          <w:szCs w:val="24"/>
          <w:lang w:val="en-US"/>
        </w:rPr>
      </w:pPr>
    </w:p>
    <w:p w14:paraId="01A5BC92" w14:textId="4E3FDABF" w:rsidR="00492161" w:rsidRPr="001234AB" w:rsidRDefault="00492161" w:rsidP="00F807BD">
      <w:pPr>
        <w:spacing w:line="360" w:lineRule="auto"/>
        <w:rPr>
          <w:rFonts w:ascii="Times New Roman" w:hAnsi="Times New Roman" w:cs="Times New Roman"/>
          <w:sz w:val="24"/>
          <w:szCs w:val="24"/>
          <w:lang w:val="en-US"/>
        </w:rPr>
      </w:pPr>
    </w:p>
    <w:p w14:paraId="02B7A397" w14:textId="5A0B7A65" w:rsidR="00492161" w:rsidRPr="001234AB" w:rsidRDefault="00492161" w:rsidP="00F807BD">
      <w:pPr>
        <w:spacing w:line="360" w:lineRule="auto"/>
        <w:rPr>
          <w:rFonts w:ascii="Times New Roman" w:hAnsi="Times New Roman" w:cs="Times New Roman"/>
          <w:sz w:val="24"/>
          <w:szCs w:val="24"/>
          <w:lang w:val="en-US"/>
        </w:rPr>
      </w:pPr>
    </w:p>
    <w:p w14:paraId="05636AC9" w14:textId="52044F53" w:rsidR="00492161" w:rsidRPr="001234AB" w:rsidRDefault="00492161" w:rsidP="00F807BD">
      <w:pPr>
        <w:spacing w:line="360" w:lineRule="auto"/>
        <w:rPr>
          <w:rFonts w:ascii="Times New Roman" w:hAnsi="Times New Roman" w:cs="Times New Roman"/>
          <w:sz w:val="24"/>
          <w:szCs w:val="24"/>
          <w:lang w:val="en-US"/>
        </w:rPr>
      </w:pPr>
    </w:p>
    <w:p w14:paraId="0A6406BC" w14:textId="3A631D22" w:rsidR="00492161" w:rsidRPr="001234AB" w:rsidRDefault="00492161" w:rsidP="00F807BD">
      <w:pPr>
        <w:spacing w:line="360" w:lineRule="auto"/>
        <w:rPr>
          <w:rFonts w:ascii="Times New Roman" w:hAnsi="Times New Roman" w:cs="Times New Roman"/>
          <w:sz w:val="24"/>
          <w:szCs w:val="24"/>
          <w:lang w:val="en-US"/>
        </w:rPr>
      </w:pPr>
    </w:p>
    <w:p w14:paraId="07617C18" w14:textId="41E256EC" w:rsidR="00492161" w:rsidRPr="001234AB" w:rsidRDefault="00492161" w:rsidP="00F807BD">
      <w:pPr>
        <w:spacing w:line="360" w:lineRule="auto"/>
        <w:rPr>
          <w:rFonts w:ascii="Times New Roman" w:hAnsi="Times New Roman" w:cs="Times New Roman"/>
          <w:sz w:val="24"/>
          <w:szCs w:val="24"/>
          <w:lang w:val="en-US"/>
        </w:rPr>
      </w:pPr>
    </w:p>
    <w:p w14:paraId="385B1C47" w14:textId="77777777" w:rsidR="003A1604" w:rsidRPr="001234AB" w:rsidRDefault="003A1604"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br/>
      </w:r>
    </w:p>
    <w:p w14:paraId="7B9FD347" w14:textId="7C7CEB58" w:rsidR="00A31D7E" w:rsidRPr="001234AB" w:rsidRDefault="0030343B" w:rsidP="00F807BD">
      <w:pPr>
        <w:spacing w:line="360" w:lineRule="auto"/>
        <w:rPr>
          <w:rFonts w:ascii="Times New Roman" w:hAnsi="Times New Roman" w:cs="Times New Roman"/>
          <w:sz w:val="24"/>
          <w:szCs w:val="24"/>
          <w:lang w:val="en-US"/>
        </w:rPr>
      </w:pP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Pr="001234AB">
        <w:rPr>
          <w:rFonts w:ascii="Times New Roman" w:hAnsi="Times New Roman" w:cs="Times New Roman"/>
          <w:b/>
          <w:bCs/>
          <w:sz w:val="24"/>
          <w:szCs w:val="24"/>
          <w:lang w:val="en-US"/>
        </w:rPr>
        <w:br/>
      </w:r>
      <w:r w:rsidR="00F116D2">
        <w:rPr>
          <w:rFonts w:ascii="Times New Roman" w:hAnsi="Times New Roman" w:cs="Times New Roman"/>
          <w:b/>
          <w:bCs/>
          <w:sz w:val="24"/>
          <w:szCs w:val="24"/>
          <w:lang w:val="en-US"/>
        </w:rPr>
        <w:lastRenderedPageBreak/>
        <w:t xml:space="preserve">Chapter </w:t>
      </w:r>
      <w:r w:rsidR="002E2938" w:rsidRPr="001234AB">
        <w:rPr>
          <w:rFonts w:ascii="Times New Roman" w:hAnsi="Times New Roman" w:cs="Times New Roman"/>
          <w:b/>
          <w:bCs/>
          <w:sz w:val="24"/>
          <w:szCs w:val="24"/>
          <w:lang w:val="en-US"/>
        </w:rPr>
        <w:t>1</w:t>
      </w:r>
      <w:r w:rsidR="00F116D2">
        <w:rPr>
          <w:rFonts w:ascii="Times New Roman" w:hAnsi="Times New Roman" w:cs="Times New Roman"/>
          <w:b/>
          <w:bCs/>
          <w:sz w:val="24"/>
          <w:szCs w:val="24"/>
          <w:lang w:val="en-US"/>
        </w:rPr>
        <w:t>:</w:t>
      </w:r>
      <w:r w:rsidR="00492161" w:rsidRPr="001234AB">
        <w:rPr>
          <w:rFonts w:ascii="Times New Roman" w:hAnsi="Times New Roman" w:cs="Times New Roman"/>
          <w:b/>
          <w:bCs/>
          <w:sz w:val="24"/>
          <w:szCs w:val="24"/>
          <w:lang w:val="en-US"/>
        </w:rPr>
        <w:t xml:space="preserve"> Theor</w:t>
      </w:r>
      <w:r w:rsidR="002E2938" w:rsidRPr="001234AB">
        <w:rPr>
          <w:rFonts w:ascii="Times New Roman" w:hAnsi="Times New Roman" w:cs="Times New Roman"/>
          <w:b/>
          <w:bCs/>
          <w:sz w:val="24"/>
          <w:szCs w:val="24"/>
          <w:lang w:val="en-US"/>
        </w:rPr>
        <w:t>etical framework</w:t>
      </w:r>
      <w:r w:rsidR="00492161" w:rsidRPr="001234AB">
        <w:rPr>
          <w:rFonts w:ascii="Times New Roman" w:hAnsi="Times New Roman" w:cs="Times New Roman"/>
          <w:sz w:val="24"/>
          <w:szCs w:val="24"/>
          <w:lang w:val="en-US"/>
        </w:rPr>
        <w:br/>
        <w:t xml:space="preserve">In this chapter, the theoretical framework to answer the research question is outlined. The theoretical framework will largely build on insights from the Amsterdam Project, which is construed as one of seven major schools in the regulation approach. Drawing on historical materialist ontology, the AP gives ontological primacy to </w:t>
      </w:r>
      <w:r w:rsidR="000F6429">
        <w:rPr>
          <w:rFonts w:ascii="Times New Roman" w:hAnsi="Times New Roman" w:cs="Times New Roman"/>
          <w:sz w:val="24"/>
          <w:szCs w:val="24"/>
          <w:lang w:val="en-US"/>
        </w:rPr>
        <w:t xml:space="preserve">the role and influence of </w:t>
      </w:r>
      <w:r w:rsidR="00492161" w:rsidRPr="001234AB">
        <w:rPr>
          <w:rFonts w:ascii="Times New Roman" w:hAnsi="Times New Roman" w:cs="Times New Roman"/>
          <w:sz w:val="24"/>
          <w:szCs w:val="24"/>
          <w:lang w:val="en-US"/>
        </w:rPr>
        <w:t>capital fractions</w:t>
      </w:r>
      <w:r w:rsidR="000F6429">
        <w:rPr>
          <w:rFonts w:ascii="Times New Roman" w:hAnsi="Times New Roman" w:cs="Times New Roman"/>
          <w:sz w:val="24"/>
          <w:szCs w:val="24"/>
          <w:lang w:val="en-US"/>
        </w:rPr>
        <w:t xml:space="preserve"> within the capitalist state</w:t>
      </w:r>
      <w:r w:rsidR="00492161" w:rsidRPr="001234AB">
        <w:rPr>
          <w:rFonts w:ascii="Times New Roman" w:hAnsi="Times New Roman" w:cs="Times New Roman"/>
          <w:sz w:val="24"/>
          <w:szCs w:val="24"/>
          <w:lang w:val="en-US"/>
        </w:rPr>
        <w:t xml:space="preserve">. Additionally, the concept of ‘strategic selectivity’ is paid special attention to in order to define the role of the </w:t>
      </w:r>
      <w:r w:rsidR="000F6429">
        <w:rPr>
          <w:rFonts w:ascii="Times New Roman" w:hAnsi="Times New Roman" w:cs="Times New Roman"/>
          <w:sz w:val="24"/>
          <w:szCs w:val="24"/>
          <w:lang w:val="en-US"/>
        </w:rPr>
        <w:t xml:space="preserve">capitalist </w:t>
      </w:r>
      <w:r w:rsidR="00492161" w:rsidRPr="001234AB">
        <w:rPr>
          <w:rFonts w:ascii="Times New Roman" w:hAnsi="Times New Roman" w:cs="Times New Roman"/>
          <w:sz w:val="24"/>
          <w:szCs w:val="24"/>
          <w:lang w:val="en-US"/>
        </w:rPr>
        <w:t>state. To account for the agential and ideational dimension, Gramsci’s work is highlighted. The theoretical concepts will be related to relevant developments for the explanandum at hand, such as financialization and European integration. In order to remedy the weaknesses of the AP, this thesis will also draw on feminist</w:t>
      </w:r>
      <w:r w:rsidR="00FB5950" w:rsidRPr="001234AB">
        <w:rPr>
          <w:rFonts w:ascii="Times New Roman" w:hAnsi="Times New Roman" w:cs="Times New Roman"/>
          <w:sz w:val="24"/>
          <w:szCs w:val="24"/>
          <w:lang w:val="en-US"/>
        </w:rPr>
        <w:t xml:space="preserve"> CPE</w:t>
      </w:r>
      <w:r w:rsidR="00492161" w:rsidRPr="001234AB">
        <w:rPr>
          <w:rFonts w:ascii="Times New Roman" w:hAnsi="Times New Roman" w:cs="Times New Roman"/>
          <w:sz w:val="24"/>
          <w:szCs w:val="24"/>
          <w:lang w:val="en-US"/>
        </w:rPr>
        <w:t xml:space="preserve">, spotlighting subordinate social forces and potential counter-hegemonic forces. By doing so, a theoretical framework that appreciates the dialectical interplay of structure and agency necessary for answering the research question, is outlined.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2E2938" w:rsidRPr="00F116D2">
        <w:rPr>
          <w:rFonts w:ascii="Times New Roman" w:hAnsi="Times New Roman" w:cs="Times New Roman"/>
          <w:b/>
          <w:bCs/>
          <w:i/>
          <w:iCs/>
          <w:sz w:val="24"/>
          <w:szCs w:val="24"/>
          <w:lang w:val="en-US"/>
        </w:rPr>
        <w:t>1</w:t>
      </w:r>
      <w:r w:rsidR="00492161" w:rsidRPr="00F116D2">
        <w:rPr>
          <w:rFonts w:ascii="Times New Roman" w:hAnsi="Times New Roman" w:cs="Times New Roman"/>
          <w:b/>
          <w:bCs/>
          <w:i/>
          <w:iCs/>
          <w:sz w:val="24"/>
          <w:szCs w:val="24"/>
          <w:lang w:val="en-US"/>
        </w:rPr>
        <w:t>. 1 Theoretical considerations of the Amsterdam Project</w:t>
      </w:r>
      <w:r w:rsidR="00492161" w:rsidRPr="001234AB">
        <w:rPr>
          <w:rFonts w:ascii="Times New Roman" w:hAnsi="Times New Roman" w:cs="Times New Roman"/>
          <w:sz w:val="24"/>
          <w:szCs w:val="24"/>
          <w:lang w:val="en-US"/>
        </w:rPr>
        <w:br/>
        <w:t xml:space="preserve">The Amsterdam Project (AP) has a distinctive place in the field of </w:t>
      </w:r>
      <w:r w:rsidR="00FB5950" w:rsidRPr="001234AB">
        <w:rPr>
          <w:rFonts w:ascii="Times New Roman" w:hAnsi="Times New Roman" w:cs="Times New Roman"/>
          <w:sz w:val="24"/>
          <w:szCs w:val="24"/>
          <w:lang w:val="en-US"/>
        </w:rPr>
        <w:t>CPE</w:t>
      </w:r>
      <w:r w:rsidR="00492161" w:rsidRPr="001234AB">
        <w:rPr>
          <w:rFonts w:ascii="Times New Roman" w:hAnsi="Times New Roman" w:cs="Times New Roman"/>
          <w:sz w:val="24"/>
          <w:szCs w:val="24"/>
          <w:lang w:val="en-US"/>
        </w:rPr>
        <w:t xml:space="preserve">, since the key figures in the Amsterdam theoretical approach did not conceive themselves as a school (Jessop, 2018, p. 263). Echoing </w:t>
      </w:r>
      <w:proofErr w:type="spellStart"/>
      <w:r w:rsidR="00492161" w:rsidRPr="001234AB">
        <w:rPr>
          <w:rFonts w:ascii="Times New Roman" w:hAnsi="Times New Roman" w:cs="Times New Roman"/>
          <w:sz w:val="24"/>
          <w:szCs w:val="24"/>
          <w:lang w:val="en-US"/>
        </w:rPr>
        <w:t>Overbeek’s</w:t>
      </w:r>
      <w:proofErr w:type="spellEnd"/>
      <w:r w:rsidR="00492161" w:rsidRPr="001234AB">
        <w:rPr>
          <w:rFonts w:ascii="Times New Roman" w:hAnsi="Times New Roman" w:cs="Times New Roman"/>
          <w:sz w:val="24"/>
          <w:szCs w:val="24"/>
          <w:lang w:val="en-US"/>
        </w:rPr>
        <w:t xml:space="preserve"> (2018, p. 5) statement that “intellectual specificity, theoretical innovation, and empirical productivity are not enough to seriously speak of a theoretical school,” this thesis will stick to the label Amsterdam Project. The incompleteness of the AP is exemplary for critical perspectives, since they always emanate from specific historical conjunctures, changing social realities and critiques (Wigger &amp; Horn, 2023, p. 91). As for the AP, its origins can be located against the background of the student occupation of the </w:t>
      </w:r>
      <w:proofErr w:type="spellStart"/>
      <w:r w:rsidR="00492161" w:rsidRPr="001234AB">
        <w:rPr>
          <w:rFonts w:ascii="Times New Roman" w:hAnsi="Times New Roman" w:cs="Times New Roman"/>
          <w:sz w:val="24"/>
          <w:szCs w:val="24"/>
          <w:lang w:val="en-US"/>
        </w:rPr>
        <w:t>Maagdenhuis</w:t>
      </w:r>
      <w:proofErr w:type="spellEnd"/>
      <w:r w:rsidR="00492161" w:rsidRPr="001234AB">
        <w:rPr>
          <w:rFonts w:ascii="Times New Roman" w:hAnsi="Times New Roman" w:cs="Times New Roman"/>
          <w:sz w:val="24"/>
          <w:szCs w:val="24"/>
          <w:lang w:val="en-US"/>
        </w:rPr>
        <w:t xml:space="preserve"> in 1969 and, academically, the then growing discontent with the dominant studies on European integration of the time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2004, p. 116). Deeply rooted in the principles of historical materialism, the AP has engaged with, among others, world-system theory, the Paris Regulation School, and the increased usage of the work of Antonio Gramsci from the 1970s onwards, in an attempt to navigate between the ontological errors of reductionism or structural determinism, which have historically haunted historical materialist theories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2004, pp. 120-129). By doing so, AP has played a significant role in understanding transnational capital and the role of class agency in the transformation of contemporary capitalism.</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2E2938" w:rsidRPr="00F116D2">
        <w:rPr>
          <w:rFonts w:ascii="Times New Roman" w:hAnsi="Times New Roman" w:cs="Times New Roman"/>
          <w:b/>
          <w:bCs/>
          <w:i/>
          <w:iCs/>
          <w:sz w:val="24"/>
          <w:szCs w:val="24"/>
          <w:lang w:val="en-US"/>
        </w:rPr>
        <w:t xml:space="preserve">1.2 </w:t>
      </w:r>
      <w:r w:rsidR="00492161" w:rsidRPr="00F116D2">
        <w:rPr>
          <w:rFonts w:ascii="Times New Roman" w:hAnsi="Times New Roman" w:cs="Times New Roman"/>
          <w:b/>
          <w:bCs/>
          <w:i/>
          <w:iCs/>
          <w:sz w:val="24"/>
          <w:szCs w:val="24"/>
          <w:lang w:val="en-US"/>
        </w:rPr>
        <w:t>Historical materialism</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lastRenderedPageBreak/>
        <w:t>Since the AP is firmly grounded in the traditions of historical materialism, it is necessary to first outline the ontology of historical materialism as the theoretical underpinning of the AP. As a study of history, historical materialism consists of a materialist philosophy of history and the adoption of a dialectic understanding of reality as a dynamic totality and a unity of opposites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2000, p. 60). Employing its materialist philosophy, production, which means the social interaction with nature, is the fundamental basis to all human existence, and therewith also to the very existence and reproduction of societies, including their political organization (van Apeldoorn &amp; Horn, 2018, p. 9). In order to satisfy the biological requirements to survive, humans interact with, and through transforming nature, the material world, utilizing labor in the process (Wigger &amp; Horn, 2023, p. 91). The social character of labor connects humans in social relation with each other. Correspondingly, every societal formation creates specific relations of production, the capitalist relations of production being characteristic of a historically specific epoch. At a specific moment in the evolution of societies, surplus product is created, which prompts the motive to seize the hitherto collective means of production. This, then, leads to specific class relations of production, inducing successive modes of production. The materialist philosophy underpinning historical materialism makes that an understanding of the way in which human beings have organized the production and reproduction of their material life, that is the division of labor, at any given historical juncture is key to understanding social and political power relations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2000, p. 61; Wigger &amp; Horn, 2023, p. 91).</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Historical materialism can be used to analyze every social system, but it culminated with the analysis of capitalism. As Wigger &amp; Horn (2023, p. 91) delineate, “capitalism is understood as a historically contingent mode of production and reproduction that despite its dynamic and variegated nature is pervaded by a range of abstract and recurrent contradictions, structural violences and crisis tendencies.” Under capitalism, those who own and control the means of production form a social class known as the capitalist class, characterized by shared interests, forming a class by itself</w:t>
      </w:r>
      <w:r w:rsidR="00A31D7E"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(van Apeldoorn &amp; Horn, 2018, p. 8). However, for a social class to become a class for itself, the individuals have to consciously articulate and promote their shared interests, demonstrating agency. The capitalist class is qualitatively different from and defined in contrast to the social class - known as the working class - that must sell their labor power as a commodity on the market. This structural asymmetry between these two social classes leads to alienation and exploitation, and gives rise to power asymmetries, also known as the social relations of production (van Apeldoorn &amp; Horn, 2018, p. 9).</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lastRenderedPageBreak/>
        <w:br/>
        <w:t>The point of departure of a historical materialist theory of world politics, then, is, as outlined by Rupert (1993</w:t>
      </w:r>
      <w:r w:rsidR="005D3F5C">
        <w:rPr>
          <w:rFonts w:ascii="Times New Roman" w:hAnsi="Times New Roman" w:cs="Times New Roman"/>
          <w:sz w:val="24"/>
          <w:szCs w:val="24"/>
          <w:lang w:val="en-US"/>
        </w:rPr>
        <w:t>, p. 84</w:t>
      </w:r>
      <w:r w:rsidR="00492161" w:rsidRPr="001234AB">
        <w:rPr>
          <w:rFonts w:ascii="Times New Roman" w:hAnsi="Times New Roman" w:cs="Times New Roman"/>
          <w:sz w:val="24"/>
          <w:szCs w:val="24"/>
          <w:lang w:val="en-US"/>
        </w:rPr>
        <w:t xml:space="preserve">), the proposition that international politics is “historically embedded in, and internally related to, capitalist social relations” (in van Apeldoorn, 2004, p. 150). The ontological primacy of these social relations of production implies that human agency is always embedded in pre-existing social relations that shape that agent’s identity and interests (van Apeldoorn, 2004, p. 152). However, this should not be misconstrued as leading to determinism. Many historical materialist theories put emphasis on agency, asserting that because of their contingent nature, capitalist social relations of production are not fixed and can be challenged through social struggles (Wigger &amp; Horn, 2023, p. 91). In fact, structure and agency must be regarded as dialectically related in the sense that structure also presupposes agency as it only exists because of intentional human agency reproducing or altering social structures (van Apeldoorn, 2004, p. 152).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As outlined by Wigger &amp; Horn (2023, p. 93), perspectives rooted in historical materialism seek to account simultaneously for agency, structure, the ideational and the material without regressing into reductionism or structural determinism. It is exactly in the context of this intellectual struggle that the academic evolution of the AP took place.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2E2938" w:rsidRPr="00F116D2">
        <w:rPr>
          <w:rFonts w:ascii="Times New Roman" w:hAnsi="Times New Roman" w:cs="Times New Roman"/>
          <w:b/>
          <w:bCs/>
          <w:i/>
          <w:iCs/>
          <w:sz w:val="24"/>
          <w:szCs w:val="24"/>
          <w:lang w:val="en-US"/>
        </w:rPr>
        <w:t>1.3</w:t>
      </w:r>
      <w:r w:rsidR="00492161" w:rsidRPr="00F116D2">
        <w:rPr>
          <w:rFonts w:ascii="Times New Roman" w:hAnsi="Times New Roman" w:cs="Times New Roman"/>
          <w:b/>
          <w:bCs/>
          <w:i/>
          <w:iCs/>
          <w:sz w:val="24"/>
          <w:szCs w:val="24"/>
          <w:lang w:val="en-US"/>
        </w:rPr>
        <w:t xml:space="preserve"> Transnational historical materialism and the state</w:t>
      </w:r>
      <w:r w:rsidR="00492161" w:rsidRPr="001234AB">
        <w:rPr>
          <w:rFonts w:ascii="Times New Roman" w:hAnsi="Times New Roman" w:cs="Times New Roman"/>
          <w:sz w:val="24"/>
          <w:szCs w:val="24"/>
          <w:lang w:val="en-US"/>
        </w:rPr>
        <w:br/>
        <w:t xml:space="preserve">It should be noted that the AP relies on transnational historical materialism, which is characterized by the analysis of social relations as being constituted transnationally, </w:t>
      </w:r>
      <w:proofErr w:type="gramStart"/>
      <w:r w:rsidR="00492161" w:rsidRPr="001234AB">
        <w:rPr>
          <w:rFonts w:ascii="Times New Roman" w:hAnsi="Times New Roman" w:cs="Times New Roman"/>
          <w:sz w:val="24"/>
          <w:szCs w:val="24"/>
          <w:lang w:val="en-US"/>
        </w:rPr>
        <w:t>i.e.</w:t>
      </w:r>
      <w:proofErr w:type="gramEnd"/>
      <w:r w:rsidR="00492161" w:rsidRPr="001234AB">
        <w:rPr>
          <w:rFonts w:ascii="Times New Roman" w:hAnsi="Times New Roman" w:cs="Times New Roman"/>
          <w:sz w:val="24"/>
          <w:szCs w:val="24"/>
          <w:lang w:val="en-US"/>
        </w:rPr>
        <w:t xml:space="preserve"> in a spatial domain which is not restricted to national boundaries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2004, p. 61). The roots of this transnational viewpoint can be traced back to Marx, who perceived the history of capitalism as the history of the dialectical process of the globalization of capitalist class relations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xml:space="preserve">, 2000, p. 61). The AP thus asserts that capital has always been international, or, rather, non-national (Jessop, 2018, p. 269). The transnational outlined here does not constitute a ‘level’, such as the ‘national’, or ‘European’ level, meaning that it both extends across, links, as well as transcends different territorial ‘levels’ (van Apeldoorn, 2004, pp. 144-145). The implications of transnational (capitalist) relations are that studying what is traditionally labelled as domestic politics exclusively in a national context is no longer productive (van Apeldoorn, 2004, p. 164). Similarly, understanding international politics without considering the context of a </w:t>
      </w:r>
      <w:proofErr w:type="spellStart"/>
      <w:r w:rsidR="00492161" w:rsidRPr="001234AB">
        <w:rPr>
          <w:rFonts w:ascii="Times New Roman" w:hAnsi="Times New Roman" w:cs="Times New Roman"/>
          <w:sz w:val="24"/>
          <w:szCs w:val="24"/>
          <w:lang w:val="en-US"/>
        </w:rPr>
        <w:t>transnationalized</w:t>
      </w:r>
      <w:proofErr w:type="spellEnd"/>
      <w:r w:rsidR="00492161" w:rsidRPr="001234AB">
        <w:rPr>
          <w:rFonts w:ascii="Times New Roman" w:hAnsi="Times New Roman" w:cs="Times New Roman"/>
          <w:sz w:val="24"/>
          <w:szCs w:val="24"/>
          <w:lang w:val="en-US"/>
        </w:rPr>
        <w:t xml:space="preserve"> ‘domestic’ society is inadequate.</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lastRenderedPageBreak/>
        <w:t xml:space="preserve">From a historical materialist perspective, the state-as-actor model, in which state power is narrowly equated to its accumulated capabilities through a competitive equilibrium of interests, is considered flawed (van Apeldoorn, 2004, p. 150). The main reason for this is because it does not make sense to separate the capitalist state from the social forces that give content to it (van Apeldoorn, 2004, pp. 150, 164). Contrasting the neorealist and neoliberal understanding of transnational actors as an external force or complement to the state, transnationals actors by definition operate </w:t>
      </w:r>
      <w:r w:rsidR="00492161" w:rsidRPr="003A06B1">
        <w:rPr>
          <w:rFonts w:ascii="Times New Roman" w:hAnsi="Times New Roman" w:cs="Times New Roman"/>
          <w:sz w:val="24"/>
          <w:szCs w:val="24"/>
          <w:lang w:val="en-US"/>
        </w:rPr>
        <w:t xml:space="preserve">simultaneously inside different ‘national </w:t>
      </w:r>
      <w:proofErr w:type="gramStart"/>
      <w:r w:rsidR="00492161" w:rsidRPr="003A06B1">
        <w:rPr>
          <w:rFonts w:ascii="Times New Roman" w:hAnsi="Times New Roman" w:cs="Times New Roman"/>
          <w:sz w:val="24"/>
          <w:szCs w:val="24"/>
          <w:lang w:val="en-US"/>
        </w:rPr>
        <w:t>states’</w:t>
      </w:r>
      <w:proofErr w:type="gramEnd"/>
      <w:r w:rsidR="00492161" w:rsidRPr="003A06B1">
        <w:rPr>
          <w:rFonts w:ascii="Times New Roman" w:hAnsi="Times New Roman" w:cs="Times New Roman"/>
          <w:sz w:val="24"/>
          <w:szCs w:val="24"/>
          <w:lang w:val="en-US"/>
        </w:rPr>
        <w:t xml:space="preserve"> and social structures by which they are constituted (van Apeldoorn, 2004, p. 146). Rather than taking states as actors, the AP views them as structures that</w:t>
      </w:r>
      <w:r w:rsidR="00492161" w:rsidRPr="001234AB">
        <w:rPr>
          <w:rFonts w:ascii="Times New Roman" w:hAnsi="Times New Roman" w:cs="Times New Roman"/>
          <w:sz w:val="24"/>
          <w:szCs w:val="24"/>
          <w:lang w:val="en-US"/>
        </w:rPr>
        <w:t xml:space="preserve"> are reproduced or transformed by (transnational) social forces (van der </w:t>
      </w:r>
      <w:proofErr w:type="spellStart"/>
      <w:r w:rsidR="00492161" w:rsidRPr="001234AB">
        <w:rPr>
          <w:rFonts w:ascii="Times New Roman" w:hAnsi="Times New Roman" w:cs="Times New Roman"/>
          <w:sz w:val="24"/>
          <w:szCs w:val="24"/>
          <w:lang w:val="en-US"/>
        </w:rPr>
        <w:t>Pijl</w:t>
      </w:r>
      <w:proofErr w:type="spellEnd"/>
      <w:r w:rsidR="00492161" w:rsidRPr="001234AB">
        <w:rPr>
          <w:rFonts w:ascii="Times New Roman" w:hAnsi="Times New Roman" w:cs="Times New Roman"/>
          <w:sz w:val="24"/>
          <w:szCs w:val="24"/>
          <w:lang w:val="en-US"/>
        </w:rPr>
        <w:t xml:space="preserve">, 1995, p. 40; in van Apeldoorn, 2004, p. 164). Acknowledging the relevance of nation states, it must be underlined that political power is still largely organized within national states, while politics in advanced capitalist nations takes place in a fundamentally </w:t>
      </w:r>
      <w:proofErr w:type="spellStart"/>
      <w:r w:rsidR="00492161" w:rsidRPr="001234AB">
        <w:rPr>
          <w:rFonts w:ascii="Times New Roman" w:hAnsi="Times New Roman" w:cs="Times New Roman"/>
          <w:sz w:val="24"/>
          <w:szCs w:val="24"/>
          <w:lang w:val="en-US"/>
        </w:rPr>
        <w:t>transnationalized</w:t>
      </w:r>
      <w:proofErr w:type="spellEnd"/>
      <w:r w:rsidR="00492161" w:rsidRPr="001234AB">
        <w:rPr>
          <w:rFonts w:ascii="Times New Roman" w:hAnsi="Times New Roman" w:cs="Times New Roman"/>
          <w:sz w:val="24"/>
          <w:szCs w:val="24"/>
          <w:lang w:val="en-US"/>
        </w:rPr>
        <w:t xml:space="preserve"> space, interconnecting the globalization of capital and the ongoing importance of the state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2000, p. 62). The focus of the AP on the transnational dimension is important for the analysis of a financial instrument such as Eurobonds, since such financialization can only be fully understood by recognizing the interconnectedness of social, political and economic forces beyond national borders.</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In this respect, ‘the state’ does not by definition only refer to ‘the national state’, but can also apply to the EU, partly representing a novel form of political domination (van Apeldoorn, 2004, p. 164). Nevertheless, as van Apeldoorn (2004, p. 166) argues, the EU does not reflect a transcendence of the state, because </w:t>
      </w:r>
      <w:r w:rsidR="00312021">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rivalry between member-states remains built-in within a multi-level system in which states remain responsible for growth, employment and welfare while, at the same time, the instruments to achieve those goals have been curtailed by the supranational single market</w:t>
      </w:r>
      <w:r w:rsidR="00E26927">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 xml:space="preserve">” Owing to EU’s unique institutional form, multilevel polity and partial overcoming of the realist logic of security concerns, van Apeldoorn &amp; Horn (2018, p. 10) observe that “within Europe it is no longer exclusively the nation states that provide the regulatory framework which allows the capitalist market economy to function – rather a key role is increasingly played by the EU and the process of European integration itself.” Employing the notion of ‘strategic selectivity’, put forward by regulation scholar Bob Jessop (2008, p. 127), the EU retains ‘strategic selectivity’, a relative autonomy, which allows it to serve the advancement or obstruction of particular fractional or class interests, aligning with specific accumulation patterns. Concretely, the EU can counter dominant class interests or ease in-built class conflicts by counting in other social forces (Wigger, 2023, p. 23). It may </w:t>
      </w:r>
      <w:r w:rsidR="00492161" w:rsidRPr="001234AB">
        <w:rPr>
          <w:rFonts w:ascii="Times New Roman" w:hAnsi="Times New Roman" w:cs="Times New Roman"/>
          <w:sz w:val="24"/>
          <w:szCs w:val="24"/>
          <w:lang w:val="en-US"/>
        </w:rPr>
        <w:lastRenderedPageBreak/>
        <w:t xml:space="preserve">also favor capital aligned with specific accumulation patterns, for example productive accumulation or financialized accumulation by setting conditions for sustained capital accumulation or manage competing class interests within capitalist competition (Wigger, 2023, p. 23). In doing so, the EU is not a neutral social terrain, rendering the reproduction and exacerbation of structural power asymmetries a fundamental aspect of the EU (van Apeldoorn &amp; Horn, 2018, p. 9). The AP goes against the pluralistic understanding of rival class fractions struggling for political influence that underlies the notion of strategic selectivity, which partially explains why the implications of the strategic selectivity of the state have remained somewhat outside of the focus of the AP (van der </w:t>
      </w:r>
      <w:proofErr w:type="spellStart"/>
      <w:r w:rsidR="00492161" w:rsidRPr="001234AB">
        <w:rPr>
          <w:rFonts w:ascii="Times New Roman" w:hAnsi="Times New Roman" w:cs="Times New Roman"/>
          <w:sz w:val="24"/>
          <w:szCs w:val="24"/>
          <w:lang w:val="en-US"/>
        </w:rPr>
        <w:t>Pijl</w:t>
      </w:r>
      <w:proofErr w:type="spellEnd"/>
      <w:r w:rsidR="00492161" w:rsidRPr="001234AB">
        <w:rPr>
          <w:rFonts w:ascii="Times New Roman" w:hAnsi="Times New Roman" w:cs="Times New Roman"/>
          <w:sz w:val="24"/>
          <w:szCs w:val="24"/>
          <w:lang w:val="en-US"/>
        </w:rPr>
        <w:t xml:space="preserve">, 2018, p. 241; van Apeldoorn, 2004, p. 168). The key role reserved for the notion of ‘strategic selectivity’ in this thesis thus implies an ontological difference with the AP, and by doing so, this thesis may illuminate the understudied implications of the strategic selectivity of the EU as an autonomous institutional form, contributing to the theoretical endeavor of the AP.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2E2938" w:rsidRPr="00F116D2">
        <w:rPr>
          <w:rFonts w:ascii="Times New Roman" w:hAnsi="Times New Roman" w:cs="Times New Roman"/>
          <w:b/>
          <w:bCs/>
          <w:i/>
          <w:iCs/>
          <w:sz w:val="24"/>
          <w:szCs w:val="24"/>
          <w:lang w:val="en-US"/>
        </w:rPr>
        <w:t xml:space="preserve">1.4 </w:t>
      </w:r>
      <w:r w:rsidR="00492161" w:rsidRPr="00F116D2">
        <w:rPr>
          <w:rFonts w:ascii="Times New Roman" w:hAnsi="Times New Roman" w:cs="Times New Roman"/>
          <w:b/>
          <w:bCs/>
          <w:i/>
          <w:iCs/>
          <w:sz w:val="24"/>
          <w:szCs w:val="24"/>
          <w:lang w:val="en-US"/>
        </w:rPr>
        <w:t>Gramsci and the role of agency in the Amsterdam Project</w:t>
      </w:r>
      <w:r w:rsidR="00492161" w:rsidRPr="001234AB">
        <w:rPr>
          <w:rFonts w:ascii="Times New Roman" w:hAnsi="Times New Roman" w:cs="Times New Roman"/>
          <w:sz w:val="24"/>
          <w:szCs w:val="24"/>
          <w:lang w:val="en-US"/>
        </w:rPr>
        <w:br/>
        <w:t xml:space="preserve">An important role for agency is reserved within the AP inasmuch as it creates and reproduces the conditions at the level of the state (and state policies) that are necessary for the continuation of capitalist accumulation but that are in fact in no way predetermined (van Apeldoorn, 2004, p. 154). The role of agency is underpinned by two theoretical premises, as outlined by van Apeldoorn (2004, pp. 154-155). First, capitalist society is a class society in which the capitalist class is a ruling class. Second, the power of capital must be explained through the lens of collective human agency within concrete social power struggles, rather than understood through a simplistic belief that capital structurally dominates labor. </w:t>
      </w:r>
      <w:r w:rsidR="00983D3C"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To grasp the pivotal role of class agency in the AP, Gramsci's work is essential. Dissatisfaction with earlier Marxist views on the state and European integration, which leaned toward economic determinism, prompted a turn to Gramsci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xml:space="preserve">, 2004, p. 123). By integrating Gramsci's emphasis on the ideological dimension of class power which continue to be materially situated, the AP underlined agency's influence on social structures. In Gramsci’s view, ideas possess power, and in combination with social power, which inherently prioritizes particular interests, ideology is created (van Apeldoorn &amp; Horn, 2018, p. 9). Gramsci argued that in the West, the political power of the ruling class does not solely rely on the control of the coercive apparatus of the state, but permeates civil society’s institutions and relationships, forming a hegemony based on consent, backed by state coercion only when necessary </w:t>
      </w:r>
      <w:r w:rsidR="00492161" w:rsidRPr="001234AB">
        <w:rPr>
          <w:rFonts w:ascii="Times New Roman" w:hAnsi="Times New Roman" w:cs="Times New Roman"/>
          <w:sz w:val="24"/>
          <w:szCs w:val="24"/>
          <w:lang w:val="en-US"/>
        </w:rPr>
        <w:lastRenderedPageBreak/>
        <w:t>(</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xml:space="preserve">, 2004, p. 125;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xml:space="preserve">, 2000, p. 63). Here, hegemony is to be understood as a form of class rule, contrasting neorealist theory which interprets hegemony as a relationship between states (Wigger &amp; Horn, 2023, p. 94). Hegemony refers to a relatively stable or stabilized condition characterized by a degree of unity among various processes, interests and contexts (Bulmer &amp; Joseph, 2016, pp. 734-735). </w:t>
      </w:r>
      <w:r w:rsidR="00445ED2" w:rsidRPr="001234AB">
        <w:rPr>
          <w:rFonts w:ascii="Times New Roman" w:hAnsi="Times New Roman" w:cs="Times New Roman"/>
          <w:sz w:val="24"/>
          <w:szCs w:val="24"/>
          <w:lang w:val="en-US"/>
        </w:rPr>
        <w:t>When such a condition is met, a hegemonic bloc is present</w:t>
      </w:r>
      <w:r w:rsidR="00234F56">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w:t>
      </w:r>
      <w:proofErr w:type="spellStart"/>
      <w:r w:rsidR="00492161" w:rsidRPr="001234AB">
        <w:rPr>
          <w:rFonts w:ascii="Times New Roman" w:hAnsi="Times New Roman" w:cs="Times New Roman"/>
          <w:sz w:val="24"/>
          <w:szCs w:val="24"/>
          <w:lang w:val="en-US"/>
        </w:rPr>
        <w:t>Bieling</w:t>
      </w:r>
      <w:proofErr w:type="spellEnd"/>
      <w:r w:rsidR="00492161" w:rsidRPr="001234AB">
        <w:rPr>
          <w:rFonts w:ascii="Times New Roman" w:hAnsi="Times New Roman" w:cs="Times New Roman"/>
          <w:sz w:val="24"/>
          <w:szCs w:val="24"/>
          <w:lang w:val="en-US"/>
        </w:rPr>
        <w:t>, 2013, pp. 285-286). In</w:t>
      </w:r>
      <w:r w:rsidR="00445ED2" w:rsidRPr="001234AB">
        <w:rPr>
          <w:rFonts w:ascii="Times New Roman" w:hAnsi="Times New Roman" w:cs="Times New Roman"/>
          <w:sz w:val="24"/>
          <w:szCs w:val="24"/>
          <w:lang w:val="en-US"/>
        </w:rPr>
        <w:t xml:space="preserve"> this</w:t>
      </w:r>
      <w:r w:rsidR="00492161" w:rsidRPr="001234AB">
        <w:rPr>
          <w:rFonts w:ascii="Times New Roman" w:hAnsi="Times New Roman" w:cs="Times New Roman"/>
          <w:sz w:val="24"/>
          <w:szCs w:val="24"/>
          <w:lang w:val="en-US"/>
        </w:rPr>
        <w:t xml:space="preserve"> hegemonic bloc, alliances have been formed, stabilized, and become dominant, after class fractions have struggled against each other, prompted by their antagonistic interests (</w:t>
      </w:r>
      <w:proofErr w:type="spellStart"/>
      <w:r w:rsidR="00492161" w:rsidRPr="001234AB">
        <w:rPr>
          <w:rFonts w:ascii="Times New Roman" w:hAnsi="Times New Roman" w:cs="Times New Roman"/>
          <w:sz w:val="24"/>
          <w:szCs w:val="24"/>
          <w:lang w:val="en-US"/>
        </w:rPr>
        <w:t>Bieling</w:t>
      </w:r>
      <w:proofErr w:type="spellEnd"/>
      <w:r w:rsidR="00492161" w:rsidRPr="001234AB">
        <w:rPr>
          <w:rFonts w:ascii="Times New Roman" w:hAnsi="Times New Roman" w:cs="Times New Roman"/>
          <w:sz w:val="24"/>
          <w:szCs w:val="24"/>
          <w:lang w:val="en-US"/>
        </w:rPr>
        <w:t xml:space="preserve"> &amp; </w:t>
      </w:r>
      <w:proofErr w:type="spellStart"/>
      <w:r w:rsidR="00492161" w:rsidRPr="001234AB">
        <w:rPr>
          <w:rFonts w:ascii="Times New Roman" w:hAnsi="Times New Roman" w:cs="Times New Roman"/>
          <w:sz w:val="24"/>
          <w:szCs w:val="24"/>
          <w:lang w:val="en-US"/>
        </w:rPr>
        <w:t>Steinhilber</w:t>
      </w:r>
      <w:proofErr w:type="spellEnd"/>
      <w:r w:rsidR="00492161" w:rsidRPr="001234AB">
        <w:rPr>
          <w:rFonts w:ascii="Times New Roman" w:hAnsi="Times New Roman" w:cs="Times New Roman"/>
          <w:sz w:val="24"/>
          <w:szCs w:val="24"/>
          <w:lang w:val="en-US"/>
        </w:rPr>
        <w:t xml:space="preserve">, 2000, p. 35).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The success of hegemonic and counter-hegemonic forces - to which I will return later – in reinforcing or contesting hegemony largely depends on the role of ‘organic </w:t>
      </w:r>
      <w:proofErr w:type="gramStart"/>
      <w:r w:rsidR="00492161" w:rsidRPr="001234AB">
        <w:rPr>
          <w:rFonts w:ascii="Times New Roman" w:hAnsi="Times New Roman" w:cs="Times New Roman"/>
          <w:sz w:val="24"/>
          <w:szCs w:val="24"/>
          <w:lang w:val="en-US"/>
        </w:rPr>
        <w:t>intellectuals’</w:t>
      </w:r>
      <w:proofErr w:type="gramEnd"/>
      <w:r w:rsidR="00492161" w:rsidRPr="001234AB">
        <w:rPr>
          <w:rFonts w:ascii="Times New Roman" w:hAnsi="Times New Roman" w:cs="Times New Roman"/>
          <w:sz w:val="24"/>
          <w:szCs w:val="24"/>
          <w:lang w:val="en-US"/>
        </w:rPr>
        <w:t>. These agents are part of civil society and through their organic link to a particular social class, they act as social organizers and builders for either hegemonic or counter-hegemonic forces (</w:t>
      </w:r>
      <w:r w:rsidR="00492161" w:rsidRPr="001234AB">
        <w:rPr>
          <w:rFonts w:ascii="Times New Roman" w:eastAsia="Times New Roman" w:hAnsi="Times New Roman" w:cs="Times New Roman"/>
          <w:sz w:val="24"/>
          <w:szCs w:val="24"/>
          <w:lang w:val="en-GB"/>
        </w:rPr>
        <w:t>Cox, 1983, p. 168; Morton, 2007).</w:t>
      </w:r>
      <w:r w:rsidR="00492161" w:rsidRPr="001234AB">
        <w:rPr>
          <w:rFonts w:ascii="Times New Roman" w:hAnsi="Times New Roman" w:cs="Times New Roman"/>
          <w:sz w:val="24"/>
          <w:szCs w:val="24"/>
          <w:lang w:val="en-US"/>
        </w:rPr>
        <w:t xml:space="preserve"> With regards to organic intellectuals of the dominant social forces, they formulate and propagate the intellectual and moral ideas of the hegemonic bloc, transforming them into ‘universal’ ideals that unify subordinate groups within the existing social order (Gramsci, 1978, pp. 181–82; in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2004, p. 125). They play a special role in rationalizing (counter-)hegemonic aims, interests and compromises into ‘political narratives’ (</w:t>
      </w:r>
      <w:proofErr w:type="spellStart"/>
      <w:r w:rsidR="00492161" w:rsidRPr="001234AB">
        <w:rPr>
          <w:rFonts w:ascii="Times New Roman" w:hAnsi="Times New Roman" w:cs="Times New Roman"/>
          <w:sz w:val="24"/>
          <w:szCs w:val="24"/>
          <w:lang w:val="en-US"/>
        </w:rPr>
        <w:t>Kannankulam</w:t>
      </w:r>
      <w:proofErr w:type="spellEnd"/>
      <w:r w:rsidR="00492161" w:rsidRPr="001234AB">
        <w:rPr>
          <w:rFonts w:ascii="Times New Roman" w:hAnsi="Times New Roman" w:cs="Times New Roman"/>
          <w:sz w:val="24"/>
          <w:szCs w:val="24"/>
          <w:lang w:val="en-US"/>
        </w:rPr>
        <w:t xml:space="preserve"> &amp; Georgi, 2014, p. 65). However, rather than being complete, hegemony is constantly subject to reformulation, reinforcement, and contestation by various social forces (van Apeldoorn &amp; Horn, 2018, p.9; Wigger &amp; Horn, 2023, p. 94). This is why organic intellectuals need to transcend the interests of the class from which they emanate, by creating some sort of a common sense, in order to be successful (</w:t>
      </w:r>
      <w:r w:rsidR="00492161" w:rsidRPr="001234AB">
        <w:rPr>
          <w:rFonts w:ascii="Times New Roman" w:eastAsia="Times New Roman" w:hAnsi="Times New Roman" w:cs="Times New Roman"/>
          <w:sz w:val="24"/>
          <w:szCs w:val="24"/>
          <w:lang w:val="en-GB"/>
        </w:rPr>
        <w:t xml:space="preserve">Bieler &amp; Morton, 2008, p. 121).    </w:t>
      </w:r>
      <w:r w:rsidR="00492161" w:rsidRPr="001234AB">
        <w:rPr>
          <w:rFonts w:ascii="Times New Roman" w:hAnsi="Times New Roman" w:cs="Times New Roman"/>
          <w:sz w:val="24"/>
          <w:szCs w:val="24"/>
          <w:lang w:val="en-US"/>
        </w:rPr>
        <w:br/>
      </w:r>
      <w:r w:rsidR="00492161" w:rsidRPr="001234AB">
        <w:rPr>
          <w:rFonts w:ascii="Times New Roman" w:eastAsia="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br/>
        <w:t xml:space="preserve">Counter-hegemonic forces are notoriously undertheorized in the AP theory – Gramsci himself did not mention counter-hegemony - making it difficult to draw on literature (Jessop, 2018, p. 281). For the purpose of this thesis, however, counter-hegemonic forces refer to efforts and movements that challenge the legitimacy and dominant power structures of the current hegemony. In line with the AP’s theoretical premise of the capitalist class as a ruling class, as outlined by van Apeldoorn (2004, pp. 150, 161), these counter-hegemonic forces aim to contest the prevailing capitalist logic and advocate for alternative visions. In the context of the AP’s theory, a counter-hegemonic project involves the articulation of alternative concepts of control. As is true for all </w:t>
      </w:r>
      <w:r w:rsidR="00445ED2" w:rsidRPr="001234AB">
        <w:rPr>
          <w:rFonts w:ascii="Times New Roman" w:hAnsi="Times New Roman" w:cs="Times New Roman"/>
          <w:sz w:val="24"/>
          <w:szCs w:val="24"/>
          <w:lang w:val="en-US"/>
        </w:rPr>
        <w:t xml:space="preserve">forces </w:t>
      </w:r>
      <w:r w:rsidR="00492161" w:rsidRPr="001234AB">
        <w:rPr>
          <w:rFonts w:ascii="Times New Roman" w:hAnsi="Times New Roman" w:cs="Times New Roman"/>
          <w:sz w:val="24"/>
          <w:szCs w:val="24"/>
          <w:lang w:val="en-US"/>
        </w:rPr>
        <w:t xml:space="preserve">seeking hegemony, counter-hegemonic forces seek to </w:t>
      </w:r>
      <w:r w:rsidR="00492161" w:rsidRPr="001234AB">
        <w:rPr>
          <w:rFonts w:ascii="Times New Roman" w:hAnsi="Times New Roman" w:cs="Times New Roman"/>
          <w:sz w:val="24"/>
          <w:szCs w:val="24"/>
          <w:lang w:val="en-US"/>
        </w:rPr>
        <w:lastRenderedPageBreak/>
        <w:t xml:space="preserve">integrate additional social forces and fractions while striving to reconcile conflicts between specific interests and a more general interest, constructing new forms of collective agency capable of confronting capitalist power structures (Bulmer &amp; Joseph, 2016, p. 734). Following </w:t>
      </w:r>
      <w:proofErr w:type="spellStart"/>
      <w:r w:rsidR="00492161" w:rsidRPr="001234AB">
        <w:rPr>
          <w:rFonts w:ascii="Times New Roman" w:hAnsi="Times New Roman" w:cs="Times New Roman"/>
          <w:sz w:val="24"/>
          <w:szCs w:val="24"/>
          <w:lang w:val="en-US"/>
        </w:rPr>
        <w:t>Kannankulam</w:t>
      </w:r>
      <w:proofErr w:type="spellEnd"/>
      <w:r w:rsidR="00492161" w:rsidRPr="001234AB">
        <w:rPr>
          <w:rFonts w:ascii="Times New Roman" w:hAnsi="Times New Roman" w:cs="Times New Roman"/>
          <w:sz w:val="24"/>
          <w:szCs w:val="24"/>
          <w:lang w:val="en-US"/>
        </w:rPr>
        <w:t xml:space="preserve"> &amp; Georgi’s (2014, pp. 63-65) theorization, (counter-)hegemony projects strive for hegemony but have not yet attained it. Such projects lack a prime coordination, fail to combine a plurality of social forces in a coherent relationship, and can coexist with different hegemony projects. By emphasizing the role of organic intellectuals, the incompleteness of the hegemony, and counter-hegemonic forces, the importance of agency is outlined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2000, p. 64).</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2E2938" w:rsidRPr="00F116D2">
        <w:rPr>
          <w:rFonts w:ascii="Times New Roman" w:hAnsi="Times New Roman" w:cs="Times New Roman"/>
          <w:b/>
          <w:bCs/>
          <w:i/>
          <w:iCs/>
          <w:sz w:val="24"/>
          <w:szCs w:val="24"/>
          <w:lang w:val="en-US"/>
        </w:rPr>
        <w:t>1.5</w:t>
      </w:r>
      <w:r w:rsidR="00492161" w:rsidRPr="00F116D2">
        <w:rPr>
          <w:rFonts w:ascii="Times New Roman" w:hAnsi="Times New Roman" w:cs="Times New Roman"/>
          <w:b/>
          <w:bCs/>
          <w:i/>
          <w:iCs/>
          <w:sz w:val="24"/>
          <w:szCs w:val="24"/>
          <w:lang w:val="en-US"/>
        </w:rPr>
        <w:t xml:space="preserve"> Fractionation and comprehensive concepts of control</w:t>
      </w:r>
      <w:r w:rsidR="00492161" w:rsidRPr="00F116D2">
        <w:rPr>
          <w:rFonts w:ascii="Times New Roman" w:hAnsi="Times New Roman" w:cs="Times New Roman"/>
          <w:i/>
          <w:iCs/>
          <w:sz w:val="24"/>
          <w:szCs w:val="24"/>
          <w:lang w:val="en-US"/>
        </w:rPr>
        <w:br/>
      </w:r>
      <w:r w:rsidR="00492161" w:rsidRPr="001234AB">
        <w:rPr>
          <w:rFonts w:ascii="Times New Roman" w:hAnsi="Times New Roman" w:cs="Times New Roman"/>
          <w:sz w:val="24"/>
          <w:szCs w:val="24"/>
          <w:lang w:val="en-US"/>
        </w:rPr>
        <w:t>In an attempt to overcome the accusations of both reductionism and determinism, the incorporation of Gramsci’s work on the ideological dimensions of class power and the construction of hegemony allows for class agency. To determine the content of the hegemonic ideology and the strategic orientation of the hegemonic bloc, we turn to the ‘capital fractions’ approach that is characteristic of the AP, and, at least in the reading of the AP, almost naturally combined with Gramsci’s work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xml:space="preserve">, 2004, p. 126).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The starting point for the AP’s emphasis on capital fractions can be found in Volume 2 of Capital in which Marx outlines the different functional forms capital assumes in the circuits composing the overall reproductive circuit of capital: commodity capital, money capital, and productive capital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2000, p. 64). To illustrate, merchant houses, financial enterprises, and industrial firms would represent these fractions respectively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xml:space="preserve">, 2000, p. 64; van der </w:t>
      </w:r>
      <w:proofErr w:type="spellStart"/>
      <w:r w:rsidR="00492161" w:rsidRPr="001234AB">
        <w:rPr>
          <w:rFonts w:ascii="Times New Roman" w:hAnsi="Times New Roman" w:cs="Times New Roman"/>
          <w:sz w:val="24"/>
          <w:szCs w:val="24"/>
          <w:lang w:val="en-US"/>
        </w:rPr>
        <w:t>Pijl</w:t>
      </w:r>
      <w:proofErr w:type="spellEnd"/>
      <w:r w:rsidR="00492161" w:rsidRPr="001234AB">
        <w:rPr>
          <w:rFonts w:ascii="Times New Roman" w:hAnsi="Times New Roman" w:cs="Times New Roman"/>
          <w:sz w:val="24"/>
          <w:szCs w:val="24"/>
          <w:lang w:val="en-US"/>
        </w:rPr>
        <w:t xml:space="preserve">, 1984, pp. 1-20;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xml:space="preserve">, 1990, pp. 23-29). In line with </w:t>
      </w:r>
      <w:proofErr w:type="spellStart"/>
      <w:r w:rsidR="00492161" w:rsidRPr="001234AB">
        <w:rPr>
          <w:rFonts w:ascii="Times New Roman" w:hAnsi="Times New Roman" w:cs="Times New Roman"/>
          <w:sz w:val="24"/>
          <w:szCs w:val="24"/>
          <w:lang w:val="en-US"/>
        </w:rPr>
        <w:t>Overbeek’s</w:t>
      </w:r>
      <w:proofErr w:type="spellEnd"/>
      <w:r w:rsidR="00492161" w:rsidRPr="001234AB">
        <w:rPr>
          <w:rFonts w:ascii="Times New Roman" w:hAnsi="Times New Roman" w:cs="Times New Roman"/>
          <w:sz w:val="24"/>
          <w:szCs w:val="24"/>
          <w:lang w:val="en-US"/>
        </w:rPr>
        <w:t xml:space="preserve"> (1990, pp. 23-29) categorization, the functional distinction between different forms of capital is thus distinguished from the division between trading, banking, and industrial enterprises. The process of fractionation of capital shapes class fractions (</w:t>
      </w:r>
      <w:proofErr w:type="spellStart"/>
      <w:r w:rsidR="00492161" w:rsidRPr="001234AB">
        <w:rPr>
          <w:rFonts w:ascii="Times New Roman" w:hAnsi="Times New Roman" w:cs="Times New Roman"/>
          <w:sz w:val="24"/>
          <w:szCs w:val="24"/>
          <w:lang w:val="en-US"/>
        </w:rPr>
        <w:t>Overbeek</w:t>
      </w:r>
      <w:proofErr w:type="spellEnd"/>
      <w:r w:rsidR="00492161" w:rsidRPr="001234AB">
        <w:rPr>
          <w:rFonts w:ascii="Times New Roman" w:hAnsi="Times New Roman" w:cs="Times New Roman"/>
          <w:sz w:val="24"/>
          <w:szCs w:val="24"/>
          <w:lang w:val="en-US"/>
        </w:rPr>
        <w:t xml:space="preserve">, 2000, p. 64). </w:t>
      </w:r>
      <w:r w:rsidR="00A31D7E" w:rsidRPr="001234AB">
        <w:rPr>
          <w:rFonts w:ascii="Times New Roman" w:hAnsi="Times New Roman" w:cs="Times New Roman"/>
          <w:sz w:val="24"/>
          <w:szCs w:val="24"/>
          <w:lang w:val="en-US"/>
        </w:rPr>
        <w:br/>
      </w:r>
      <w:r w:rsidR="00A31D7E"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t xml:space="preserve">To fully understand this process of the fractionation of capital, then, a distinction between different accumulation patterns from which the capital fractions arise need to be discussed. Tapping into the distinction made by regulation scholars, we can distinguish three axes of accumulation: productive/ financialized accumulation, extensive/ intensive accumulation, and introverted/ extraverted accumulation (Becker et al., 2010, pp. 226-227). The axis of productive/financialized accumulation is the most relevant to the explanandum. As Becker et </w:t>
      </w:r>
      <w:r w:rsidR="00492161" w:rsidRPr="001234AB">
        <w:rPr>
          <w:rFonts w:ascii="Times New Roman" w:hAnsi="Times New Roman" w:cs="Times New Roman"/>
          <w:sz w:val="24"/>
          <w:szCs w:val="24"/>
          <w:lang w:val="en-US"/>
        </w:rPr>
        <w:lastRenderedPageBreak/>
        <w:t>al. (2010, p. 227) outline, investment can be directed toward either productive activities or be allocated to the financial sector. In line with the distinction made by the AP scholars, the fraction of productive capital would be considered part of the productive accumulation axis, whereas the fraction of financial capital would be situated along the financialized accumulation axis. Since Eurobonds are financial instruments, special attention needs to be paid to financialized accumulation. Financialized accumulation relies either on the expansion of financial assets or on significant differentials between active and passive interest rates.</w:t>
      </w:r>
      <w:r w:rsidR="00445ED2"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Financialization</w:t>
      </w:r>
      <w:r w:rsidR="00445ED2" w:rsidRPr="001234AB">
        <w:rPr>
          <w:rFonts w:ascii="Times New Roman" w:hAnsi="Times New Roman" w:cs="Times New Roman"/>
          <w:sz w:val="24"/>
          <w:szCs w:val="24"/>
          <w:lang w:val="en-US"/>
        </w:rPr>
        <w:t xml:space="preserve"> as a broader development </w:t>
      </w:r>
      <w:r w:rsidR="00492161" w:rsidRPr="001234AB">
        <w:rPr>
          <w:rFonts w:ascii="Times New Roman" w:hAnsi="Times New Roman" w:cs="Times New Roman"/>
          <w:sz w:val="24"/>
          <w:szCs w:val="24"/>
          <w:lang w:val="en-US"/>
        </w:rPr>
        <w:t xml:space="preserve">can be defined as the “increasing role of financial motives, financial markets, financial actors and financial institutions in the operation of the domestic and international economies’ (Epstein, 2006, p. 3).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This first channel of financialization has to do with Eurobonds, namely ‘fictitious capital’ which are debt securities that contribute to the expansion of the financial sector and the circulation of capital represented by financial instruments rather than tangible assets (Becker et al., 2010, p. 228).</w:t>
      </w:r>
      <w:r w:rsidR="00445ED2"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Becker et al. (2010, p. 227) continue, “though […] financial accumulation might gain some apparent autonomy from accumulation in the productive sphere, it cannot be completely divorced from production. Financial assets and credits represent claims on surplus produced outside the financial sphere” (</w:t>
      </w:r>
      <w:r w:rsidR="00A31D7E" w:rsidRPr="001234AB">
        <w:rPr>
          <w:rFonts w:ascii="Times New Roman" w:hAnsi="Times New Roman" w:cs="Times New Roman"/>
          <w:sz w:val="24"/>
          <w:szCs w:val="24"/>
          <w:lang w:val="en-US"/>
        </w:rPr>
        <w:t>s</w:t>
      </w:r>
      <w:r w:rsidR="00492161" w:rsidRPr="001234AB">
        <w:rPr>
          <w:rFonts w:ascii="Times New Roman" w:hAnsi="Times New Roman" w:cs="Times New Roman"/>
          <w:sz w:val="24"/>
          <w:szCs w:val="24"/>
          <w:lang w:val="en-US"/>
        </w:rPr>
        <w:t>ee also Fernandez &amp; Wigger, 2016, pp. 4-5).</w:t>
      </w:r>
      <w:r w:rsidR="00A31D7E"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Discussing the possible prevalence of financialized, or debt-led accumulation, Fernandez &amp; Wigger (2016, p. 6) argue</w:t>
      </w:r>
    </w:p>
    <w:p w14:paraId="4AA3F9F2" w14:textId="3C34E47D" w:rsidR="00A31D7E" w:rsidRPr="001234AB" w:rsidRDefault="00A31D7E" w:rsidP="00F807BD">
      <w:pPr>
        <w:spacing w:line="360" w:lineRule="auto"/>
        <w:ind w:left="737" w:right="624"/>
        <w:rPr>
          <w:rFonts w:ascii="Times New Roman" w:hAnsi="Times New Roman" w:cs="Times New Roman"/>
          <w:sz w:val="24"/>
          <w:szCs w:val="24"/>
          <w:lang w:val="en-US"/>
        </w:rPr>
      </w:pPr>
      <w:r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t>the creation and circulation of fictitious capital, however, can only temporarily solve some of the paradoxes of capital accumulation. The prevalence of the circulation above the production sphere, and thereby debt-led capital accumulation, reaches its limits once it becomes evident – through defaults and bankruptcies – that debt cannot be sustained on an aggregate scale.</w:t>
      </w:r>
      <w:r w:rsidRPr="001234AB">
        <w:rPr>
          <w:rFonts w:ascii="Times New Roman" w:hAnsi="Times New Roman" w:cs="Times New Roman"/>
          <w:sz w:val="24"/>
          <w:szCs w:val="24"/>
          <w:lang w:val="en-US"/>
        </w:rPr>
        <w:t xml:space="preserve"> (p. 6)</w:t>
      </w:r>
    </w:p>
    <w:p w14:paraId="2ED3A9C7" w14:textId="3E4981E2" w:rsidR="00492161" w:rsidRPr="001234AB" w:rsidRDefault="00492161"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br/>
        <w:t xml:space="preserve">As moments of class agency and as part of the process of class formation, specific capitalist class fractions engage in a political struggle in which they move beyond market competition logic to temporarily unify in strategic direction and purpose, with specific fractions within the capitalist class advancing their particular interests (van Apeldoorn, 2004, p. 155). This allows them to articulate a ‘general’ interest, which makes up the comprehensive concept of control (CCC), in relation to other social classes, groups, as well as the state (Bode, 2018/1979, p. 31; </w:t>
      </w:r>
      <w:r w:rsidRPr="001234AB">
        <w:rPr>
          <w:rFonts w:ascii="Times New Roman" w:hAnsi="Times New Roman" w:cs="Times New Roman"/>
          <w:sz w:val="24"/>
          <w:szCs w:val="24"/>
          <w:lang w:val="en-US"/>
        </w:rPr>
        <w:lastRenderedPageBreak/>
        <w:t xml:space="preserve">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xml:space="preserve">, 2018, p. 244; van Apeldoorn, 2004, p. 155). As outlined by 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xml:space="preserve"> (1998, p. 51), CCCs comprise “frameworks of thought and practice by which a particular world view of the ruling class spills over into a broader sense of ‘limits of the possible’ for society at large’ (in Horn &amp; Wigger, 2018, p. 212). One particular capital fraction guiding the entire class structure for an extended period is possible because under certain conditions, such as the trend of profit distribution rewarding particular fractions, the ideas of a specific capital fraction gain a ‘objective’ logic transcending its particular interests, and becoming, in the Gramscian sense, hegemonic (van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2018, pp. 241, 244).</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It must be noted, however, that compared to Marx’s original theses, fractions of capital are no longer distinctly separated from each other institutionally, reflecting the globalized nature of capitalism (van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2018, p. 244). This implies that capital fractions have to deal with internal contradictions in need of reconciliation, which is inevitably done from a particular fractional perspective (</w:t>
      </w:r>
      <w:proofErr w:type="spellStart"/>
      <w:r w:rsidRPr="001234AB">
        <w:rPr>
          <w:rFonts w:ascii="Times New Roman" w:hAnsi="Times New Roman" w:cs="Times New Roman"/>
          <w:sz w:val="24"/>
          <w:szCs w:val="24"/>
          <w:lang w:val="en-US"/>
        </w:rPr>
        <w:t>Soref</w:t>
      </w:r>
      <w:proofErr w:type="spellEnd"/>
      <w:r w:rsidRPr="001234AB">
        <w:rPr>
          <w:rFonts w:ascii="Times New Roman" w:hAnsi="Times New Roman" w:cs="Times New Roman"/>
          <w:sz w:val="24"/>
          <w:szCs w:val="24"/>
          <w:lang w:val="en-US"/>
        </w:rPr>
        <w:t xml:space="preserve"> &amp; Zeitlin, 1987, pp 60–61; in 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xml:space="preserve">, 2018, p. 244). To relate a concept of control to a fractional perspective, it is not necessary for fractions to operate as institutionally separate entities (van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2018, p. 244).</w:t>
      </w:r>
      <w:r w:rsidR="00614C28"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Additionally, as van Apeldoorn (2004) noted, ‘concepts of control must be translated into state policy to become effective’ (p. 155). Thus, he continues, CCCs consist of “a particular configuration of social classes (and fractions thereof) that expresses itself at the ideational level and that gives ‘content to a historical state’” (van Apeldoorn, 2004, p. 155). </w:t>
      </w:r>
      <w:r w:rsidR="00614C28" w:rsidRPr="001234AB">
        <w:rPr>
          <w:rFonts w:ascii="Times New Roman" w:hAnsi="Times New Roman" w:cs="Times New Roman"/>
          <w:sz w:val="24"/>
          <w:szCs w:val="24"/>
          <w:lang w:val="en-US"/>
        </w:rPr>
        <w:t>To sum up, CCCs</w:t>
      </w:r>
      <w:r w:rsidRPr="001234AB">
        <w:rPr>
          <w:rFonts w:ascii="Times New Roman" w:hAnsi="Times New Roman" w:cs="Times New Roman"/>
          <w:sz w:val="24"/>
          <w:szCs w:val="24"/>
          <w:lang w:val="en-US"/>
        </w:rPr>
        <w:t xml:space="preserve"> provide the crucial strategic link to understand the nature of the relation between structure and agency, namely the structure defined by the process of capital accumulation, and the agency of concrete social forces which arise from and are conditioned by production relations and continually contest the direction of the accumulation process, the role and character of the state and the world order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2004, p. 115;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2000, p. 65).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r w:rsidR="002E2938" w:rsidRPr="00F116D2">
        <w:rPr>
          <w:rFonts w:ascii="Times New Roman" w:hAnsi="Times New Roman" w:cs="Times New Roman"/>
          <w:b/>
          <w:bCs/>
          <w:i/>
          <w:iCs/>
          <w:sz w:val="24"/>
          <w:szCs w:val="24"/>
          <w:lang w:val="en-US"/>
        </w:rPr>
        <w:t>1.6</w:t>
      </w:r>
      <w:r w:rsidRPr="00F116D2">
        <w:rPr>
          <w:rFonts w:ascii="Times New Roman" w:hAnsi="Times New Roman" w:cs="Times New Roman"/>
          <w:b/>
          <w:bCs/>
          <w:i/>
          <w:iCs/>
          <w:sz w:val="24"/>
          <w:szCs w:val="24"/>
          <w:lang w:val="en-US"/>
        </w:rPr>
        <w:t xml:space="preserve"> Neoliberal European Integration</w:t>
      </w:r>
      <w:r w:rsidRPr="00F116D2">
        <w:rPr>
          <w:rFonts w:ascii="Times New Roman" w:hAnsi="Times New Roman" w:cs="Times New Roman"/>
          <w:i/>
          <w:iCs/>
          <w:sz w:val="24"/>
          <w:szCs w:val="24"/>
          <w:lang w:val="en-US"/>
        </w:rPr>
        <w:br/>
      </w:r>
      <w:r w:rsidRPr="001234AB">
        <w:rPr>
          <w:rFonts w:ascii="Times New Roman" w:hAnsi="Times New Roman" w:cs="Times New Roman"/>
          <w:sz w:val="24"/>
          <w:szCs w:val="24"/>
          <w:lang w:val="en-US"/>
        </w:rPr>
        <w:t xml:space="preserve">When it comes to European integration, </w:t>
      </w:r>
      <w:r w:rsidR="00FB5950" w:rsidRPr="001234AB">
        <w:rPr>
          <w:rFonts w:ascii="Times New Roman" w:hAnsi="Times New Roman" w:cs="Times New Roman"/>
          <w:sz w:val="24"/>
          <w:szCs w:val="24"/>
          <w:lang w:val="en-US"/>
        </w:rPr>
        <w:t xml:space="preserve">CPE </w:t>
      </w:r>
      <w:r w:rsidRPr="001234AB">
        <w:rPr>
          <w:rFonts w:ascii="Times New Roman" w:hAnsi="Times New Roman" w:cs="Times New Roman"/>
          <w:sz w:val="24"/>
          <w:szCs w:val="24"/>
          <w:lang w:val="en-US"/>
        </w:rPr>
        <w:t xml:space="preserve">perspectives are primarily interested in the social purpose of European integration, and the reasons for why and how it came about. In the AP’s view, the development of the European Union and European integration in general must be understood against the background of neoliberalism as a transnational political class project designed to restore capitalist class power (Jessop, 2018, p. 271; van Apeldoorn &amp;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2012, p. 4). As van Apeldoorn &amp;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(2012, p. 5) theorize, the neoliberal project is characterized by a combination of liberal pro-market and supply-side discourses, </w:t>
      </w:r>
      <w:r w:rsidRPr="001234AB">
        <w:rPr>
          <w:rFonts w:ascii="Times New Roman" w:hAnsi="Times New Roman" w:cs="Times New Roman"/>
          <w:sz w:val="24"/>
          <w:szCs w:val="24"/>
          <w:lang w:val="en-US"/>
        </w:rPr>
        <w:lastRenderedPageBreak/>
        <w:t xml:space="preserve">such as privatization, liberalization, deregulation and competitiveness, and of monetary policy doctrine, most dominantly austerity. These discourses reflect a money capital perspective, with money capital assuming the most general and mobile form of capital seeking to overcome barriers to its circulation, and thus, the proliferation of financialized accumulation (van Apeldoorn &amp;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2012, p. 5). As neoliberalism comprises the comprehensive concept of control,</w:t>
      </w:r>
      <w:r w:rsidR="00614C28"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van Apeldoorn &amp;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(2012, p. 5) assert that “the coalition of social forces whose fractional interests are articulated through these discourses is configured around the hegemonic fraction of transnational finance capital.” In light of the financialization tendency characteristic of neoliberalism, and AP’s excellence in the theorization of (transnational) neoliberalism, the AP is well suited for studying the issuance of Eurobonds in the context of</w:t>
      </w:r>
      <w:r w:rsidR="00BA3F3A" w:rsidRPr="001234AB">
        <w:rPr>
          <w:rFonts w:ascii="Times New Roman" w:hAnsi="Times New Roman" w:cs="Times New Roman"/>
          <w:sz w:val="24"/>
          <w:szCs w:val="24"/>
          <w:lang w:val="en-US"/>
        </w:rPr>
        <w:t xml:space="preserve"> debt-led accumulation</w:t>
      </w:r>
      <w:r w:rsidRPr="001234AB">
        <w:rPr>
          <w:rFonts w:ascii="Times New Roman" w:hAnsi="Times New Roman" w:cs="Times New Roman"/>
          <w:sz w:val="24"/>
          <w:szCs w:val="24"/>
          <w:lang w:val="en-US"/>
        </w:rPr>
        <w:t xml:space="preserve">. Although the 2007-2008 financial crisis triggered a legitimacy crisis for neoliberalism, given the weakness of alternative comprehensive concepts of control, EU’s neoliberal policy framework was reinforced, through for example, EU’s growth strategy 2020, reflecting the strategic selectivity that is held by the EU (Jessop, 2018, p. 272; van Apeldoorn &amp;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2012, p. 10).</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r w:rsidR="002E2938" w:rsidRPr="00F116D2">
        <w:rPr>
          <w:rFonts w:ascii="Times New Roman" w:hAnsi="Times New Roman" w:cs="Times New Roman"/>
          <w:b/>
          <w:bCs/>
          <w:i/>
          <w:iCs/>
          <w:sz w:val="24"/>
          <w:szCs w:val="24"/>
          <w:lang w:val="en-US"/>
        </w:rPr>
        <w:t>1.7</w:t>
      </w:r>
      <w:r w:rsidRPr="00F116D2">
        <w:rPr>
          <w:rFonts w:ascii="Times New Roman" w:hAnsi="Times New Roman" w:cs="Times New Roman"/>
          <w:b/>
          <w:bCs/>
          <w:i/>
          <w:iCs/>
          <w:sz w:val="24"/>
          <w:szCs w:val="24"/>
          <w:lang w:val="en-US"/>
        </w:rPr>
        <w:t xml:space="preserve"> </w:t>
      </w:r>
      <w:r w:rsidR="002E2938" w:rsidRPr="00F116D2">
        <w:rPr>
          <w:rFonts w:ascii="Times New Roman" w:hAnsi="Times New Roman" w:cs="Times New Roman"/>
          <w:b/>
          <w:bCs/>
          <w:i/>
          <w:iCs/>
          <w:sz w:val="24"/>
          <w:szCs w:val="24"/>
          <w:lang w:val="en-US"/>
        </w:rPr>
        <w:t>CPE’s understanding of change</w:t>
      </w:r>
      <w:r w:rsidRPr="00F116D2">
        <w:rPr>
          <w:rFonts w:ascii="Times New Roman" w:hAnsi="Times New Roman" w:cs="Times New Roman"/>
          <w:i/>
          <w:iCs/>
          <w:sz w:val="24"/>
          <w:szCs w:val="24"/>
          <w:lang w:val="en-US"/>
        </w:rPr>
        <w:br/>
      </w:r>
      <w:r w:rsidRPr="001234AB">
        <w:rPr>
          <w:rFonts w:ascii="Times New Roman" w:hAnsi="Times New Roman" w:cs="Times New Roman"/>
          <w:sz w:val="24"/>
          <w:szCs w:val="24"/>
          <w:lang w:val="en-US"/>
        </w:rPr>
        <w:t xml:space="preserve">As indicative of </w:t>
      </w:r>
      <w:r w:rsidR="00FB5950" w:rsidRPr="001234AB">
        <w:rPr>
          <w:rFonts w:ascii="Times New Roman" w:hAnsi="Times New Roman" w:cs="Times New Roman"/>
          <w:sz w:val="24"/>
          <w:szCs w:val="24"/>
          <w:lang w:val="en-US"/>
        </w:rPr>
        <w:t xml:space="preserve">CPE </w:t>
      </w:r>
      <w:r w:rsidRPr="001234AB">
        <w:rPr>
          <w:rFonts w:ascii="Times New Roman" w:hAnsi="Times New Roman" w:cs="Times New Roman"/>
          <w:sz w:val="24"/>
          <w:szCs w:val="24"/>
          <w:lang w:val="en-US"/>
        </w:rPr>
        <w:t xml:space="preserve">perspectives, the AP explains change through a nuanced understanding of the interplay between structure and agency. Focusing on capital fractions, the AP argues that an ascendant fraction may capitalize on the fact that the dominant capital fraction as a social configuration becomes seriously weakened, because it is not able to free itself from constraints that undermine capital, such as a financialized economy with production outsourced across the globe (van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2018, p. 241). When it comes to these crisis moments, however, the dominant fraction maintains its dominance in terms of material power and ideology.</w:t>
      </w:r>
      <w:r w:rsidRPr="001234AB">
        <w:rPr>
          <w:rFonts w:ascii="Times New Roman" w:hAnsi="Times New Roman" w:cs="Times New Roman"/>
          <w:color w:val="FF0000"/>
          <w:sz w:val="24"/>
          <w:szCs w:val="24"/>
          <w:lang w:val="en-US"/>
        </w:rPr>
        <w:t xml:space="preserve"> </w:t>
      </w:r>
      <w:r w:rsidRPr="001234AB">
        <w:rPr>
          <w:rFonts w:ascii="Times New Roman" w:hAnsi="Times New Roman" w:cs="Times New Roman"/>
          <w:sz w:val="24"/>
          <w:szCs w:val="24"/>
          <w:lang w:val="en-US"/>
        </w:rPr>
        <w:t>Class agency and struggle remain vital to win hegemony for an adequate concept of control. Relatedly, as Hall &amp; Massey (2010, p. 57) theorize, “crises are moments of potential change, but the nature of their resolution is not given.” Such a</w:t>
      </w:r>
      <w:r w:rsidR="00BA3F3A" w:rsidRPr="001234AB">
        <w:rPr>
          <w:rFonts w:ascii="Times New Roman" w:hAnsi="Times New Roman" w:cs="Times New Roman"/>
          <w:sz w:val="24"/>
          <w:szCs w:val="24"/>
          <w:lang w:val="en-US"/>
        </w:rPr>
        <w:t xml:space="preserve"> moment, termed</w:t>
      </w:r>
      <w:r w:rsidRPr="001234AB">
        <w:rPr>
          <w:rFonts w:ascii="Times New Roman" w:hAnsi="Times New Roman" w:cs="Times New Roman"/>
          <w:sz w:val="24"/>
          <w:szCs w:val="24"/>
          <w:lang w:val="en-US"/>
        </w:rPr>
        <w:t xml:space="preserve"> </w:t>
      </w:r>
      <w:r w:rsidR="00BA3F3A"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conjuncture</w:t>
      </w:r>
      <w:r w:rsidR="00BA3F3A"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refers to “a period when different social, political, economic and ideological contradictions that are at work in society come together to give it a specific and distinctive shape” (Hall &amp; Massey, 2010, p. 57). Since crises can lead to change, it is also in this period, which is not subjected to a specific timeframe, that counter-hegemonic efforts can be identified (Wigger &amp; Horn, 2023, p. 95).</w:t>
      </w:r>
      <w:r w:rsidR="002E2938" w:rsidRPr="001234AB">
        <w:rPr>
          <w:rFonts w:ascii="Times New Roman" w:hAnsi="Times New Roman" w:cs="Times New Roman"/>
          <w:sz w:val="24"/>
          <w:szCs w:val="24"/>
          <w:lang w:val="en-US"/>
        </w:rPr>
        <w:br/>
      </w:r>
      <w:r w:rsidR="002E2938" w:rsidRPr="001234AB">
        <w:rPr>
          <w:rFonts w:ascii="Times New Roman" w:hAnsi="Times New Roman" w:cs="Times New Roman"/>
          <w:b/>
          <w:bCs/>
          <w:sz w:val="24"/>
          <w:szCs w:val="24"/>
          <w:lang w:val="en-US"/>
        </w:rPr>
        <w:br/>
      </w:r>
      <w:r w:rsidR="002E2938" w:rsidRPr="00F116D2">
        <w:rPr>
          <w:rFonts w:ascii="Times New Roman" w:hAnsi="Times New Roman" w:cs="Times New Roman"/>
          <w:b/>
          <w:bCs/>
          <w:i/>
          <w:iCs/>
          <w:sz w:val="24"/>
          <w:szCs w:val="24"/>
          <w:lang w:val="en-US"/>
        </w:rPr>
        <w:t>1.8</w:t>
      </w:r>
      <w:r w:rsidRPr="00F116D2">
        <w:rPr>
          <w:rFonts w:ascii="Times New Roman" w:hAnsi="Times New Roman" w:cs="Times New Roman"/>
          <w:b/>
          <w:bCs/>
          <w:i/>
          <w:iCs/>
          <w:sz w:val="24"/>
          <w:szCs w:val="24"/>
          <w:lang w:val="en-US"/>
        </w:rPr>
        <w:t xml:space="preserve"> Critiques of the</w:t>
      </w:r>
      <w:r w:rsidR="002E2938" w:rsidRPr="00F116D2">
        <w:rPr>
          <w:rFonts w:ascii="Times New Roman" w:hAnsi="Times New Roman" w:cs="Times New Roman"/>
          <w:b/>
          <w:bCs/>
          <w:i/>
          <w:iCs/>
          <w:sz w:val="24"/>
          <w:szCs w:val="24"/>
          <w:lang w:val="en-US"/>
        </w:rPr>
        <w:t xml:space="preserve"> AP and the consideration of feminist CPE</w:t>
      </w:r>
      <w:r w:rsidRPr="00F116D2">
        <w:rPr>
          <w:rFonts w:ascii="Times New Roman" w:hAnsi="Times New Roman" w:cs="Times New Roman"/>
          <w:i/>
          <w:iCs/>
          <w:sz w:val="24"/>
          <w:szCs w:val="24"/>
          <w:lang w:val="en-US"/>
        </w:rPr>
        <w:br/>
      </w:r>
      <w:r w:rsidRPr="001234AB">
        <w:rPr>
          <w:rFonts w:ascii="Times New Roman" w:hAnsi="Times New Roman" w:cs="Times New Roman"/>
          <w:sz w:val="24"/>
          <w:szCs w:val="24"/>
          <w:lang w:val="en-US"/>
        </w:rPr>
        <w:lastRenderedPageBreak/>
        <w:t>Even though the core concepts of the AP are helpful for answering the research question, some weaknesses of this approach need to be remedied. Directed primarily at the ontological primacy that the AP gives to capital fractions, the AP is generally subjected to two diametrically opposite critiques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2000, p. 65). One the hand, the emphasis on capital groups and their key role of agency has been equated to voluntarism and pluralism, arguing that the AP merely offers a pluralist analysis of global capitalism which moves at the whims of </w:t>
      </w:r>
      <w:r w:rsidRPr="001234AB">
        <w:rPr>
          <w:rFonts w:ascii="Times New Roman" w:hAnsi="Times New Roman" w:cs="Times New Roman"/>
          <w:i/>
          <w:iCs/>
          <w:sz w:val="24"/>
          <w:szCs w:val="24"/>
          <w:lang w:val="en-US"/>
        </w:rPr>
        <w:t>any</w:t>
      </w:r>
      <w:r w:rsidRPr="001234AB">
        <w:rPr>
          <w:rFonts w:ascii="Times New Roman" w:hAnsi="Times New Roman" w:cs="Times New Roman"/>
          <w:sz w:val="24"/>
          <w:szCs w:val="24"/>
          <w:lang w:val="en-US"/>
        </w:rPr>
        <w:t xml:space="preserve"> capital fraction (Clarke, 1978; Burnham, 1991; in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2004, p. 119). On the other hand, fractionation is considered deterministic and elitist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2000, p. 65). According to this view, the AP’s focus on dominant social forces and the dynamics of hegemony assumes elite, or fractional, thinking and behavior to be shaping and conditioning the political process, regardless of the agency of subordinate social forces (</w:t>
      </w:r>
      <w:proofErr w:type="spellStart"/>
      <w:r w:rsidRPr="001234AB">
        <w:rPr>
          <w:rFonts w:ascii="Times New Roman" w:hAnsi="Times New Roman" w:cs="Times New Roman"/>
          <w:sz w:val="24"/>
          <w:szCs w:val="24"/>
          <w:lang w:val="en-US"/>
        </w:rPr>
        <w:t>Drainville</w:t>
      </w:r>
      <w:proofErr w:type="spellEnd"/>
      <w:r w:rsidRPr="001234AB">
        <w:rPr>
          <w:rFonts w:ascii="Times New Roman" w:hAnsi="Times New Roman" w:cs="Times New Roman"/>
          <w:sz w:val="24"/>
          <w:szCs w:val="24"/>
          <w:lang w:val="en-US"/>
        </w:rPr>
        <w:t xml:space="preserve">, 1994; in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2000, p. 65). The latter critique dovetails well with Horn &amp; Wigger’s (2018, pp. 214-216) critique of AP’s ontological focus on fractions of capital and, followingly, AP’s commitment to transformative agency. Horn &amp; Wigger (2018, p. 215) argue that the AP’s almost exclusive focus on the fractionation of capital leads to a neglect of the fractionation of labor as well as other “dissent and actual resistance that takes shape as concrete praxis-oriented activities.” This, in turn, results in doubts as to whether the AP, as an emancipatory project, is as practically committed to transformative agency as it is theoretically. Additionally, the AP is criticized for the lack of sustained and systematic empirical analyses, the concept of CCC, remaining empirically problematic, exemplifying this lack (Buch-Hansen &amp; </w:t>
      </w:r>
      <w:proofErr w:type="spellStart"/>
      <w:r w:rsidRPr="001234AB">
        <w:rPr>
          <w:rFonts w:ascii="Times New Roman" w:hAnsi="Times New Roman" w:cs="Times New Roman"/>
          <w:sz w:val="24"/>
          <w:szCs w:val="24"/>
          <w:lang w:val="en-US"/>
        </w:rPr>
        <w:t>Staricco</w:t>
      </w:r>
      <w:proofErr w:type="spellEnd"/>
      <w:r w:rsidRPr="001234AB">
        <w:rPr>
          <w:rFonts w:ascii="Times New Roman" w:hAnsi="Times New Roman" w:cs="Times New Roman"/>
          <w:sz w:val="24"/>
          <w:szCs w:val="24"/>
          <w:lang w:val="en-US"/>
        </w:rPr>
        <w:t>, 2018, p. 224; Heemskerk, 2018, p. 235; Horn &amp; Wigger, 2018, p. 213)</w:t>
      </w:r>
      <w:r w:rsidR="000F6429">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Finally, AS analyses of transnational class formation have largely failed to incorporate gender and other mechanisms of inequality such as race, ethnicity, and sexual relations (Horn &amp; Wigger, 2018, p. 215; Marchand, 2018, pp. 217-222). </w:t>
      </w:r>
      <w:r w:rsidR="00B86094" w:rsidRPr="001234AB">
        <w:rPr>
          <w:rFonts w:ascii="Times New Roman" w:hAnsi="Times New Roman" w:cs="Times New Roman"/>
          <w:sz w:val="24"/>
          <w:szCs w:val="24"/>
          <w:lang w:val="en-US"/>
        </w:rPr>
        <w:br/>
      </w:r>
      <w:r w:rsidR="00B86094"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t>The neglect of subordinate social forces and the genderblind dimension, both partially stemming from the ontological primacy given to capital fractions, constitute great limitations to the AP, because they lead to the negligence of the agential dimension as well as the potential of CPE perspectives for change. In order to remedy these weaknesses, this thesis will pay special attention to subordinate social forces</w:t>
      </w:r>
      <w:r w:rsidR="00BA3F3A" w:rsidRPr="001234AB">
        <w:rPr>
          <w:rFonts w:ascii="Times New Roman" w:hAnsi="Times New Roman" w:cs="Times New Roman"/>
          <w:sz w:val="24"/>
          <w:szCs w:val="24"/>
          <w:lang w:val="en-US"/>
        </w:rPr>
        <w:t xml:space="preserve"> and forms of resistance.</w:t>
      </w:r>
      <w:r w:rsidR="00B86094"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More concretely, this thesis will draw on feminist</w:t>
      </w:r>
      <w:r w:rsidR="00FB5950" w:rsidRPr="001234AB">
        <w:rPr>
          <w:rFonts w:ascii="Times New Roman" w:hAnsi="Times New Roman" w:cs="Times New Roman"/>
          <w:sz w:val="24"/>
          <w:szCs w:val="24"/>
          <w:lang w:val="en-US"/>
        </w:rPr>
        <w:t xml:space="preserve"> CPE</w:t>
      </w:r>
      <w:r w:rsidRPr="001234AB">
        <w:rPr>
          <w:rFonts w:ascii="Times New Roman" w:hAnsi="Times New Roman" w:cs="Times New Roman"/>
          <w:sz w:val="24"/>
          <w:szCs w:val="24"/>
          <w:lang w:val="en-US"/>
        </w:rPr>
        <w:t>, which theorizes debt-led accumulation as a gendered system (</w:t>
      </w:r>
      <w:proofErr w:type="spellStart"/>
      <w:r w:rsidRPr="001234AB">
        <w:rPr>
          <w:rFonts w:ascii="Times New Roman" w:hAnsi="Times New Roman" w:cs="Times New Roman"/>
          <w:sz w:val="24"/>
          <w:szCs w:val="24"/>
          <w:lang w:val="en-US"/>
        </w:rPr>
        <w:t>Bohoslavsky</w:t>
      </w:r>
      <w:proofErr w:type="spellEnd"/>
      <w:r w:rsidRPr="001234AB">
        <w:rPr>
          <w:rFonts w:ascii="Times New Roman" w:hAnsi="Times New Roman" w:cs="Times New Roman"/>
          <w:sz w:val="24"/>
          <w:szCs w:val="24"/>
          <w:lang w:val="en-US"/>
        </w:rPr>
        <w:t xml:space="preserve"> &amp; </w:t>
      </w:r>
      <w:proofErr w:type="spellStart"/>
      <w:r w:rsidRPr="001234AB">
        <w:rPr>
          <w:rFonts w:ascii="Times New Roman" w:hAnsi="Times New Roman" w:cs="Times New Roman"/>
          <w:sz w:val="24"/>
          <w:szCs w:val="24"/>
          <w:lang w:val="en-US"/>
        </w:rPr>
        <w:t>Rulli</w:t>
      </w:r>
      <w:proofErr w:type="spellEnd"/>
      <w:r w:rsidRPr="001234AB">
        <w:rPr>
          <w:rFonts w:ascii="Times New Roman" w:hAnsi="Times New Roman" w:cs="Times New Roman"/>
          <w:sz w:val="24"/>
          <w:szCs w:val="24"/>
          <w:lang w:val="en-US"/>
        </w:rPr>
        <w:t>, 2024). It is gendered, as Elson (2024, p. xxiii) summarizes,</w:t>
      </w:r>
      <w:r w:rsidR="005E2556">
        <w:rPr>
          <w:rFonts w:ascii="Times New Roman" w:hAnsi="Times New Roman" w:cs="Times New Roman"/>
          <w:sz w:val="24"/>
          <w:szCs w:val="24"/>
          <w:lang w:val="en-US"/>
        </w:rPr>
        <w:t xml:space="preserve"> in the way </w:t>
      </w:r>
      <w:r w:rsidR="00157E93">
        <w:rPr>
          <w:rFonts w:ascii="Times New Roman" w:hAnsi="Times New Roman" w:cs="Times New Roman"/>
          <w:sz w:val="24"/>
          <w:szCs w:val="24"/>
          <w:lang w:val="en-US"/>
        </w:rPr>
        <w:t>“</w:t>
      </w:r>
      <w:r w:rsidRPr="001234AB">
        <w:rPr>
          <w:rFonts w:ascii="Times New Roman" w:hAnsi="Times New Roman" w:cs="Times New Roman"/>
          <w:sz w:val="24"/>
          <w:szCs w:val="24"/>
          <w:lang w:val="en-US"/>
        </w:rPr>
        <w:t>women and men are positioned in the financial system, and</w:t>
      </w:r>
      <w:r w:rsidR="005E2556">
        <w:rPr>
          <w:rFonts w:ascii="Times New Roman" w:hAnsi="Times New Roman" w:cs="Times New Roman"/>
          <w:sz w:val="24"/>
          <w:szCs w:val="24"/>
          <w:lang w:val="en-US"/>
        </w:rPr>
        <w:t xml:space="preserve"> [in]</w:t>
      </w:r>
      <w:r w:rsidRPr="001234AB">
        <w:rPr>
          <w:rFonts w:ascii="Times New Roman" w:hAnsi="Times New Roman" w:cs="Times New Roman"/>
          <w:sz w:val="24"/>
          <w:szCs w:val="24"/>
          <w:lang w:val="en-US"/>
        </w:rPr>
        <w:t xml:space="preserve"> the way that the financial system interacts with the process of social reproduction, in which </w:t>
      </w:r>
      <w:r w:rsidRPr="001234AB">
        <w:rPr>
          <w:rFonts w:ascii="Times New Roman" w:hAnsi="Times New Roman" w:cs="Times New Roman"/>
          <w:sz w:val="24"/>
          <w:szCs w:val="24"/>
          <w:lang w:val="en-US"/>
        </w:rPr>
        <w:lastRenderedPageBreak/>
        <w:t xml:space="preserve">women have most of the responsibility for unpaid care work.” As formulated by Wigger &amp; Horn (2023, p. 91), “the appropriation of unpaid labor in the sphere of social reproduction, such as household work; child, health, and elderly care; family life and sexuality, is therefore constitutive to the accumulation of capital on a global scale.” Applying these insights to this thesis’ scope, </w:t>
      </w:r>
      <w:proofErr w:type="spellStart"/>
      <w:r w:rsidRPr="001234AB">
        <w:rPr>
          <w:rFonts w:ascii="Times New Roman" w:hAnsi="Times New Roman" w:cs="Times New Roman"/>
          <w:sz w:val="24"/>
          <w:szCs w:val="24"/>
          <w:lang w:val="en-US"/>
        </w:rPr>
        <w:t>O’Dwyer</w:t>
      </w:r>
      <w:proofErr w:type="spellEnd"/>
      <w:r w:rsidRPr="001234AB">
        <w:rPr>
          <w:rFonts w:ascii="Times New Roman" w:hAnsi="Times New Roman" w:cs="Times New Roman"/>
          <w:sz w:val="24"/>
          <w:szCs w:val="24"/>
          <w:lang w:val="en-US"/>
        </w:rPr>
        <w:t xml:space="preserve"> (2022) argues that the neoliberal concept of control that dominates the EU has been gendered at the outset, and continues to be gendered, as women were affected more than men by neoliberal structural adjustment measures that have deflated wages (Wigger &amp; Horn, 2023, p. 101).</w:t>
      </w:r>
      <w:r w:rsidR="00B86094"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This is relevant for this thesis, since a study of the issuance of Eurobonds</w:t>
      </w:r>
      <w:r w:rsidR="00B86094"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may give insights into the gendered neoliberal concept of control and the exacerbation of the crisis social reproductive labor by the pandemic. Consequently, a more serious engagement with forms of resistance and subordinate social forces may contribute the to the politicization of social struggles, giving praxis-oriented meaning to this thesis’ goal of emancipation. </w:t>
      </w:r>
      <w:r w:rsidRPr="001234AB">
        <w:rPr>
          <w:rFonts w:ascii="Times New Roman" w:hAnsi="Times New Roman" w:cs="Times New Roman"/>
          <w:sz w:val="24"/>
          <w:szCs w:val="24"/>
          <w:lang w:val="en-US"/>
        </w:rPr>
        <w:br/>
      </w:r>
    </w:p>
    <w:p w14:paraId="4521E98A" w14:textId="19A06145" w:rsidR="00492161" w:rsidRPr="001234AB" w:rsidRDefault="00492161" w:rsidP="00F807BD">
      <w:pPr>
        <w:spacing w:line="360" w:lineRule="auto"/>
        <w:rPr>
          <w:rFonts w:ascii="Times New Roman" w:hAnsi="Times New Roman" w:cs="Times New Roman"/>
          <w:sz w:val="24"/>
          <w:szCs w:val="24"/>
          <w:lang w:val="en-US"/>
        </w:rPr>
      </w:pPr>
    </w:p>
    <w:p w14:paraId="38C04765" w14:textId="437FB16D" w:rsidR="00B86094" w:rsidRPr="001234AB" w:rsidRDefault="00B86094" w:rsidP="00F807BD">
      <w:pPr>
        <w:spacing w:line="360" w:lineRule="auto"/>
        <w:rPr>
          <w:rFonts w:ascii="Times New Roman" w:hAnsi="Times New Roman" w:cs="Times New Roman"/>
          <w:sz w:val="24"/>
          <w:szCs w:val="24"/>
          <w:lang w:val="en-US"/>
        </w:rPr>
      </w:pPr>
    </w:p>
    <w:p w14:paraId="14C6843B" w14:textId="1ECB98E9" w:rsidR="00B86094" w:rsidRPr="001234AB" w:rsidRDefault="00B86094" w:rsidP="00F807BD">
      <w:pPr>
        <w:spacing w:line="360" w:lineRule="auto"/>
        <w:rPr>
          <w:rFonts w:ascii="Times New Roman" w:hAnsi="Times New Roman" w:cs="Times New Roman"/>
          <w:sz w:val="24"/>
          <w:szCs w:val="24"/>
          <w:lang w:val="en-US"/>
        </w:rPr>
      </w:pPr>
    </w:p>
    <w:p w14:paraId="03B5F572" w14:textId="7695BEDF" w:rsidR="00B86094" w:rsidRPr="001234AB" w:rsidRDefault="00B86094" w:rsidP="00F807BD">
      <w:pPr>
        <w:spacing w:line="360" w:lineRule="auto"/>
        <w:rPr>
          <w:rFonts w:ascii="Times New Roman" w:hAnsi="Times New Roman" w:cs="Times New Roman"/>
          <w:sz w:val="24"/>
          <w:szCs w:val="24"/>
          <w:lang w:val="en-US"/>
        </w:rPr>
      </w:pPr>
    </w:p>
    <w:p w14:paraId="69C87482" w14:textId="4A2A9709" w:rsidR="00B86094" w:rsidRPr="001234AB" w:rsidRDefault="00B86094" w:rsidP="00F807BD">
      <w:pPr>
        <w:spacing w:line="360" w:lineRule="auto"/>
        <w:rPr>
          <w:rFonts w:ascii="Times New Roman" w:hAnsi="Times New Roman" w:cs="Times New Roman"/>
          <w:sz w:val="24"/>
          <w:szCs w:val="24"/>
          <w:lang w:val="en-US"/>
        </w:rPr>
      </w:pPr>
    </w:p>
    <w:p w14:paraId="5EF11F1E" w14:textId="63439C7C" w:rsidR="00B86094" w:rsidRPr="001234AB" w:rsidRDefault="00B86094" w:rsidP="00F807BD">
      <w:pPr>
        <w:spacing w:line="360" w:lineRule="auto"/>
        <w:rPr>
          <w:rFonts w:ascii="Times New Roman" w:hAnsi="Times New Roman" w:cs="Times New Roman"/>
          <w:sz w:val="24"/>
          <w:szCs w:val="24"/>
          <w:lang w:val="en-US"/>
        </w:rPr>
      </w:pPr>
    </w:p>
    <w:p w14:paraId="33D7320A" w14:textId="61A7802C" w:rsidR="00B86094" w:rsidRPr="001234AB" w:rsidRDefault="00B86094" w:rsidP="00F807BD">
      <w:pPr>
        <w:spacing w:line="360" w:lineRule="auto"/>
        <w:rPr>
          <w:rFonts w:ascii="Times New Roman" w:hAnsi="Times New Roman" w:cs="Times New Roman"/>
          <w:sz w:val="24"/>
          <w:szCs w:val="24"/>
          <w:lang w:val="en-US"/>
        </w:rPr>
      </w:pPr>
    </w:p>
    <w:p w14:paraId="71ED1051" w14:textId="2E97E8B1" w:rsidR="00B86094" w:rsidRPr="001234AB" w:rsidRDefault="00B86094" w:rsidP="00F807BD">
      <w:pPr>
        <w:spacing w:line="360" w:lineRule="auto"/>
        <w:rPr>
          <w:rFonts w:ascii="Times New Roman" w:hAnsi="Times New Roman" w:cs="Times New Roman"/>
          <w:sz w:val="24"/>
          <w:szCs w:val="24"/>
          <w:lang w:val="en-US"/>
        </w:rPr>
      </w:pPr>
    </w:p>
    <w:p w14:paraId="14C68C1F" w14:textId="1FFA2F1F" w:rsidR="00B86094" w:rsidRPr="001234AB" w:rsidRDefault="00B86094" w:rsidP="00F807BD">
      <w:pPr>
        <w:spacing w:line="360" w:lineRule="auto"/>
        <w:rPr>
          <w:rFonts w:ascii="Times New Roman" w:hAnsi="Times New Roman" w:cs="Times New Roman"/>
          <w:sz w:val="24"/>
          <w:szCs w:val="24"/>
          <w:lang w:val="en-US"/>
        </w:rPr>
      </w:pPr>
    </w:p>
    <w:p w14:paraId="5BEE7208" w14:textId="65997877" w:rsidR="00B86094" w:rsidRPr="001234AB" w:rsidRDefault="00B86094" w:rsidP="00F807BD">
      <w:pPr>
        <w:spacing w:line="360" w:lineRule="auto"/>
        <w:rPr>
          <w:rFonts w:ascii="Times New Roman" w:hAnsi="Times New Roman" w:cs="Times New Roman"/>
          <w:sz w:val="24"/>
          <w:szCs w:val="24"/>
          <w:lang w:val="en-US"/>
        </w:rPr>
      </w:pPr>
    </w:p>
    <w:p w14:paraId="4BAF6C15" w14:textId="23D24F53" w:rsidR="00B86094" w:rsidRPr="001234AB" w:rsidRDefault="00B86094" w:rsidP="00F807BD">
      <w:pPr>
        <w:spacing w:line="360" w:lineRule="auto"/>
        <w:rPr>
          <w:rFonts w:ascii="Times New Roman" w:hAnsi="Times New Roman" w:cs="Times New Roman"/>
          <w:sz w:val="24"/>
          <w:szCs w:val="24"/>
          <w:lang w:val="en-US"/>
        </w:rPr>
      </w:pPr>
    </w:p>
    <w:p w14:paraId="5639F9FE" w14:textId="0938731F" w:rsidR="00B86094" w:rsidRPr="001234AB" w:rsidRDefault="00B86094" w:rsidP="00F807BD">
      <w:pPr>
        <w:spacing w:line="360" w:lineRule="auto"/>
        <w:rPr>
          <w:rFonts w:ascii="Times New Roman" w:hAnsi="Times New Roman" w:cs="Times New Roman"/>
          <w:sz w:val="24"/>
          <w:szCs w:val="24"/>
          <w:lang w:val="en-US"/>
        </w:rPr>
      </w:pPr>
    </w:p>
    <w:p w14:paraId="55A52AAD" w14:textId="3C631473" w:rsidR="00B86094" w:rsidRPr="001234AB" w:rsidRDefault="00B86094" w:rsidP="00F807BD">
      <w:pPr>
        <w:spacing w:line="360" w:lineRule="auto"/>
        <w:rPr>
          <w:rFonts w:ascii="Times New Roman" w:hAnsi="Times New Roman" w:cs="Times New Roman"/>
          <w:sz w:val="24"/>
          <w:szCs w:val="24"/>
          <w:lang w:val="en-US"/>
        </w:rPr>
      </w:pPr>
    </w:p>
    <w:p w14:paraId="27F7BD9D" w14:textId="4A31C7D9" w:rsidR="00492161" w:rsidRPr="001234AB" w:rsidRDefault="002E2938" w:rsidP="00F807BD">
      <w:pPr>
        <w:spacing w:line="360" w:lineRule="auto"/>
        <w:rPr>
          <w:rFonts w:ascii="Times New Roman" w:hAnsi="Times New Roman" w:cs="Times New Roman"/>
          <w:sz w:val="24"/>
          <w:szCs w:val="24"/>
          <w:lang w:val="en-US"/>
        </w:rPr>
      </w:pPr>
      <w:r w:rsidRPr="001234AB">
        <w:rPr>
          <w:rFonts w:ascii="Times New Roman" w:hAnsi="Times New Roman" w:cs="Times New Roman"/>
          <w:b/>
          <w:bCs/>
          <w:sz w:val="24"/>
          <w:szCs w:val="24"/>
          <w:lang w:val="en-US"/>
        </w:rPr>
        <w:lastRenderedPageBreak/>
        <w:t xml:space="preserve">Chapter </w:t>
      </w:r>
      <w:r w:rsidR="001C5258" w:rsidRPr="001234AB">
        <w:rPr>
          <w:rFonts w:ascii="Times New Roman" w:hAnsi="Times New Roman" w:cs="Times New Roman"/>
          <w:b/>
          <w:bCs/>
          <w:sz w:val="24"/>
          <w:szCs w:val="24"/>
          <w:lang w:val="en-US"/>
        </w:rPr>
        <w:t>2:</w:t>
      </w:r>
      <w:r w:rsidRPr="001234AB">
        <w:rPr>
          <w:rFonts w:ascii="Times New Roman" w:hAnsi="Times New Roman" w:cs="Times New Roman"/>
          <w:b/>
          <w:bCs/>
          <w:sz w:val="24"/>
          <w:szCs w:val="24"/>
          <w:lang w:val="en-US"/>
        </w:rPr>
        <w:t xml:space="preserve"> </w:t>
      </w:r>
      <w:r w:rsidR="00492161" w:rsidRPr="001234AB">
        <w:rPr>
          <w:rFonts w:ascii="Times New Roman" w:hAnsi="Times New Roman" w:cs="Times New Roman"/>
          <w:b/>
          <w:bCs/>
          <w:sz w:val="24"/>
          <w:szCs w:val="24"/>
          <w:lang w:val="en-US"/>
        </w:rPr>
        <w:t xml:space="preserve">Critical Realist Epistemology, Methods and Operationalization </w:t>
      </w:r>
      <w:r w:rsidR="00492161" w:rsidRPr="001234AB">
        <w:rPr>
          <w:rFonts w:ascii="Times New Roman" w:hAnsi="Times New Roman" w:cs="Times New Roman"/>
          <w:sz w:val="24"/>
          <w:szCs w:val="24"/>
          <w:lang w:val="en-US"/>
        </w:rPr>
        <w:br/>
        <w:t xml:space="preserve">In order to outline the methodological considerations of this thesis, we need to consider epistemology, which is the field of philosophy concerned with how knowledge can be attained. In the </w:t>
      </w:r>
      <w:r w:rsidR="00FB5950" w:rsidRPr="001234AB">
        <w:rPr>
          <w:rFonts w:ascii="Times New Roman" w:hAnsi="Times New Roman" w:cs="Times New Roman"/>
          <w:sz w:val="24"/>
          <w:szCs w:val="24"/>
          <w:lang w:val="en-US"/>
        </w:rPr>
        <w:t xml:space="preserve">CPE </w:t>
      </w:r>
      <w:r w:rsidR="00492161" w:rsidRPr="001234AB">
        <w:rPr>
          <w:rFonts w:ascii="Times New Roman" w:hAnsi="Times New Roman" w:cs="Times New Roman"/>
          <w:sz w:val="24"/>
          <w:szCs w:val="24"/>
          <w:lang w:val="en-US"/>
        </w:rPr>
        <w:t xml:space="preserve">perspective outlined in the </w:t>
      </w:r>
      <w:r w:rsidR="00EE4CB7" w:rsidRPr="001234AB">
        <w:rPr>
          <w:rFonts w:ascii="Times New Roman" w:hAnsi="Times New Roman" w:cs="Times New Roman"/>
          <w:sz w:val="24"/>
          <w:szCs w:val="24"/>
          <w:lang w:val="en-US"/>
        </w:rPr>
        <w:t xml:space="preserve">theory chapter, </w:t>
      </w:r>
      <w:r w:rsidR="00492161" w:rsidRPr="001234AB">
        <w:rPr>
          <w:rFonts w:ascii="Times New Roman" w:hAnsi="Times New Roman" w:cs="Times New Roman"/>
          <w:sz w:val="24"/>
          <w:szCs w:val="24"/>
          <w:lang w:val="en-US"/>
        </w:rPr>
        <w:t xml:space="preserve">history and social phenomena are seen as the open-ended and contingent outcomes of a dynamic interaction between the material, the ideational, and agents (Wigger &amp; Horn, 2016, p. 44). Ontologically speaking, structures pre-exist agency, which has epistemological implications because research is inevitably influenced by the social context in which it occurs and both the observed and the observed are shaped by already existing circumstances (van Apeldoorn, 2004, pp. 152-153). For these reasons, this thesis argues that a critical realist epistemology is suited for answering the research question. Hence, firstly, critical realism will be briefly outlined. Second, the methods are delineated. The third part of this section is occupied with the operationalization of the theoretical concepts.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Pr="00F116D2">
        <w:rPr>
          <w:rFonts w:ascii="Times New Roman" w:hAnsi="Times New Roman" w:cs="Times New Roman"/>
          <w:b/>
          <w:bCs/>
          <w:i/>
          <w:iCs/>
          <w:sz w:val="24"/>
          <w:szCs w:val="24"/>
          <w:lang w:val="en-US"/>
        </w:rPr>
        <w:t xml:space="preserve">2.1 </w:t>
      </w:r>
      <w:r w:rsidR="00492161" w:rsidRPr="00F116D2">
        <w:rPr>
          <w:rFonts w:ascii="Times New Roman" w:hAnsi="Times New Roman" w:cs="Times New Roman"/>
          <w:b/>
          <w:bCs/>
          <w:i/>
          <w:iCs/>
          <w:sz w:val="24"/>
          <w:szCs w:val="24"/>
          <w:lang w:val="en-US"/>
        </w:rPr>
        <w:t xml:space="preserve">Critical </w:t>
      </w:r>
      <w:r w:rsidRPr="00F116D2">
        <w:rPr>
          <w:rFonts w:ascii="Times New Roman" w:hAnsi="Times New Roman" w:cs="Times New Roman"/>
          <w:b/>
          <w:bCs/>
          <w:i/>
          <w:iCs/>
          <w:sz w:val="24"/>
          <w:szCs w:val="24"/>
          <w:lang w:val="en-US"/>
        </w:rPr>
        <w:t>realism on epistemology</w:t>
      </w:r>
      <w:r w:rsidRPr="001234AB">
        <w:rPr>
          <w:rFonts w:ascii="Times New Roman" w:hAnsi="Times New Roman" w:cs="Times New Roman"/>
          <w:sz w:val="24"/>
          <w:szCs w:val="24"/>
          <w:u w:val="single"/>
          <w:lang w:val="en-US"/>
        </w:rPr>
        <w:t xml:space="preserve"> </w:t>
      </w:r>
      <w:r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br/>
        <w:t>For critical realists, knowledge is to be understood as a social and historical product; this implies both a rejection of the claim to value neutrality as well as a rejection of the separation between the research subject and object (Wigger &amp; Horn, 2016, p. 41). The key assumption of critical realism is that reality exists independently of that what is observable, which implies that there is both an intransitive and transitive dimension of knowledge about this social reality (Wigger</w:t>
      </w:r>
      <w:r w:rsidR="009F1B1D" w:rsidRPr="001234AB">
        <w:rPr>
          <w:rFonts w:ascii="Times New Roman" w:hAnsi="Times New Roman" w:cs="Times New Roman"/>
          <w:sz w:val="24"/>
          <w:szCs w:val="24"/>
          <w:lang w:val="en-US"/>
        </w:rPr>
        <w:t xml:space="preserve"> &amp;</w:t>
      </w:r>
      <w:r w:rsidR="00492161" w:rsidRPr="001234AB">
        <w:rPr>
          <w:rFonts w:ascii="Times New Roman" w:hAnsi="Times New Roman" w:cs="Times New Roman"/>
          <w:sz w:val="24"/>
          <w:szCs w:val="24"/>
          <w:lang w:val="en-US"/>
        </w:rPr>
        <w:t>Horn, 2016, p. 46). The intransitive dimension of knowledge comprises of the real structure or mechanism that exists independently of people’s knowledge about it, while the transitive dimension refers to the knowledge attained via empirical study (Bhaskar, 1975, p. 6; in Wigger &amp; Horn, 2016, p. 46). Consequently, critical realists make a distinction among the real, the actual, and the empirical. The real encompasses all structures and mechanisms possessing causal powers, whereas the events resulting from specific initial conditions are termed the actual, and observations of these events are termed the empirical (Jessop, 2005, p.</w:t>
      </w:r>
      <w:r w:rsidR="00614C28"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41). This is a radical break from traditional positivism, which claims that what is observable is believed to exist, and that everything observable is knowledge (Wigger &amp; Horn, 2016, p. 45). Correspondingly, critical realism rejects the positivist ideas of deduction, namely the departure from general law about the nature of social reality and its causal mechanisms, as well as induction, which entails gathering extensive empirical observations in pursuit of a general law (Wigger &amp; Horn, 2016, pp. 45-6; Wigger, 2022, pp. 193-194). Instead, for critical realists, social explanation and the search for real causal </w:t>
      </w:r>
      <w:r w:rsidR="00492161" w:rsidRPr="001234AB">
        <w:rPr>
          <w:rFonts w:ascii="Times New Roman" w:hAnsi="Times New Roman" w:cs="Times New Roman"/>
          <w:sz w:val="24"/>
          <w:szCs w:val="24"/>
          <w:lang w:val="en-US"/>
        </w:rPr>
        <w:lastRenderedPageBreak/>
        <w:t xml:space="preserve">structures and mechanisms entail a </w:t>
      </w:r>
      <w:proofErr w:type="spellStart"/>
      <w:r w:rsidR="00492161" w:rsidRPr="001234AB">
        <w:rPr>
          <w:rFonts w:ascii="Times New Roman" w:hAnsi="Times New Roman" w:cs="Times New Roman"/>
          <w:sz w:val="24"/>
          <w:szCs w:val="24"/>
          <w:lang w:val="en-US"/>
        </w:rPr>
        <w:t>retroductive</w:t>
      </w:r>
      <w:proofErr w:type="spellEnd"/>
      <w:r w:rsidR="00492161" w:rsidRPr="001234AB">
        <w:rPr>
          <w:rFonts w:ascii="Times New Roman" w:hAnsi="Times New Roman" w:cs="Times New Roman"/>
          <w:sz w:val="24"/>
          <w:szCs w:val="24"/>
          <w:lang w:val="en-US"/>
        </w:rPr>
        <w:t xml:space="preserve"> move from observations of actual events and processes, such as the issuance of Eurobonds, to the generative mechanisms, such as deep social structures and agents, that combine to produce the actual events (Buch-Hansen &amp; </w:t>
      </w:r>
      <w:proofErr w:type="spellStart"/>
      <w:r w:rsidR="00492161" w:rsidRPr="001234AB">
        <w:rPr>
          <w:rFonts w:ascii="Times New Roman" w:hAnsi="Times New Roman" w:cs="Times New Roman"/>
          <w:sz w:val="24"/>
          <w:szCs w:val="24"/>
          <w:lang w:val="en-US"/>
        </w:rPr>
        <w:t>Staricco</w:t>
      </w:r>
      <w:proofErr w:type="spellEnd"/>
      <w:r w:rsidR="00492161" w:rsidRPr="001234AB">
        <w:rPr>
          <w:rFonts w:ascii="Times New Roman" w:hAnsi="Times New Roman" w:cs="Times New Roman"/>
          <w:sz w:val="24"/>
          <w:szCs w:val="24"/>
          <w:lang w:val="en-US"/>
        </w:rPr>
        <w:t xml:space="preserve">, 2018, p. 225; Wigger &amp; Horn, 2016, p. 46). </w:t>
      </w:r>
      <w:proofErr w:type="spellStart"/>
      <w:r w:rsidR="00492161" w:rsidRPr="001234AB">
        <w:rPr>
          <w:rFonts w:ascii="Times New Roman" w:hAnsi="Times New Roman" w:cs="Times New Roman"/>
          <w:sz w:val="24"/>
          <w:szCs w:val="24"/>
          <w:lang w:val="en-US"/>
        </w:rPr>
        <w:t>Retroduction</w:t>
      </w:r>
      <w:proofErr w:type="spellEnd"/>
      <w:r w:rsidR="00492161" w:rsidRPr="001234AB">
        <w:rPr>
          <w:rFonts w:ascii="Times New Roman" w:hAnsi="Times New Roman" w:cs="Times New Roman"/>
          <w:sz w:val="24"/>
          <w:szCs w:val="24"/>
          <w:lang w:val="en-US"/>
        </w:rPr>
        <w:t xml:space="preserve"> requires reflecting upon what actual structures and mechanisms must exist, in all likelihood, for the explanandum to exist and manifest its observed properties (Buch-Hansen &amp; </w:t>
      </w:r>
      <w:proofErr w:type="spellStart"/>
      <w:r w:rsidR="00492161" w:rsidRPr="001234AB">
        <w:rPr>
          <w:rFonts w:ascii="Times New Roman" w:hAnsi="Times New Roman" w:cs="Times New Roman"/>
          <w:sz w:val="24"/>
          <w:szCs w:val="24"/>
          <w:lang w:val="en-US"/>
        </w:rPr>
        <w:t>Staricco</w:t>
      </w:r>
      <w:proofErr w:type="spellEnd"/>
      <w:r w:rsidR="00492161" w:rsidRPr="001234AB">
        <w:rPr>
          <w:rFonts w:ascii="Times New Roman" w:hAnsi="Times New Roman" w:cs="Times New Roman"/>
          <w:sz w:val="24"/>
          <w:szCs w:val="24"/>
          <w:lang w:val="en-US"/>
        </w:rPr>
        <w:t>, 2018, p. 225).</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Pr="00F116D2">
        <w:rPr>
          <w:rFonts w:ascii="Times New Roman" w:hAnsi="Times New Roman" w:cs="Times New Roman"/>
          <w:b/>
          <w:bCs/>
          <w:i/>
          <w:iCs/>
          <w:sz w:val="24"/>
          <w:szCs w:val="24"/>
          <w:lang w:val="en-US"/>
        </w:rPr>
        <w:t xml:space="preserve">2.2 </w:t>
      </w:r>
      <w:r w:rsidR="00492161" w:rsidRPr="00F116D2">
        <w:rPr>
          <w:rFonts w:ascii="Times New Roman" w:hAnsi="Times New Roman" w:cs="Times New Roman"/>
          <w:b/>
          <w:bCs/>
          <w:i/>
          <w:iCs/>
          <w:sz w:val="24"/>
          <w:szCs w:val="24"/>
          <w:lang w:val="en-US"/>
        </w:rPr>
        <w:t>Methods</w:t>
      </w:r>
      <w:r w:rsidR="00492161" w:rsidRPr="001234AB">
        <w:rPr>
          <w:rFonts w:ascii="Times New Roman" w:hAnsi="Times New Roman" w:cs="Times New Roman"/>
          <w:sz w:val="24"/>
          <w:szCs w:val="24"/>
          <w:lang w:val="en-US"/>
        </w:rPr>
        <w:br/>
        <w:t xml:space="preserve">Since critical realism provides the foundation for multi-method research, this thesis utilizes several methods, namely historical materialist policy analysis, document analysis, and an explanatory narrative. This thesis thus uses methodological triangulation, which consists of merging multiple methods, allowing it to increase the validity of findings (Modell, 2009, p. 209).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The historical materialist policy analysis (HMPA), as developed by </w:t>
      </w:r>
      <w:proofErr w:type="spellStart"/>
      <w:r w:rsidR="00492161" w:rsidRPr="001234AB">
        <w:rPr>
          <w:rFonts w:ascii="Times New Roman" w:hAnsi="Times New Roman" w:cs="Times New Roman"/>
          <w:sz w:val="24"/>
          <w:szCs w:val="24"/>
          <w:lang w:val="en-US"/>
        </w:rPr>
        <w:t>Kannankulam</w:t>
      </w:r>
      <w:proofErr w:type="spellEnd"/>
      <w:r w:rsidR="00492161" w:rsidRPr="001234AB">
        <w:rPr>
          <w:rFonts w:ascii="Times New Roman" w:hAnsi="Times New Roman" w:cs="Times New Roman"/>
          <w:sz w:val="24"/>
          <w:szCs w:val="24"/>
          <w:lang w:val="en-US"/>
        </w:rPr>
        <w:t xml:space="preserve"> &amp; Georgi (2014, p. 63), provides a framework to “empirically </w:t>
      </w:r>
      <w:proofErr w:type="spellStart"/>
      <w:r w:rsidR="00492161" w:rsidRPr="001234AB">
        <w:rPr>
          <w:rFonts w:ascii="Times New Roman" w:hAnsi="Times New Roman" w:cs="Times New Roman"/>
          <w:sz w:val="24"/>
          <w:szCs w:val="24"/>
          <w:lang w:val="en-US"/>
        </w:rPr>
        <w:t>analyse</w:t>
      </w:r>
      <w:proofErr w:type="spellEnd"/>
      <w:r w:rsidR="00492161" w:rsidRPr="001234AB">
        <w:rPr>
          <w:rFonts w:ascii="Times New Roman" w:hAnsi="Times New Roman" w:cs="Times New Roman"/>
          <w:sz w:val="24"/>
          <w:szCs w:val="24"/>
          <w:lang w:val="en-US"/>
        </w:rPr>
        <w:t xml:space="preserve"> the processes in which specific social forces try to make their particular interests hegemonic and thus effect political and </w:t>
      </w:r>
      <w:r w:rsidR="009F1B1D" w:rsidRPr="001234AB">
        <w:rPr>
          <w:rFonts w:ascii="Times New Roman" w:hAnsi="Times New Roman" w:cs="Times New Roman"/>
          <w:sz w:val="24"/>
          <w:szCs w:val="24"/>
          <w:lang w:val="en-US"/>
        </w:rPr>
        <w:t>institutional</w:t>
      </w:r>
      <w:r w:rsidR="00492161" w:rsidRPr="001234AB">
        <w:rPr>
          <w:rFonts w:ascii="Times New Roman" w:hAnsi="Times New Roman" w:cs="Times New Roman"/>
          <w:sz w:val="24"/>
          <w:szCs w:val="24"/>
          <w:lang w:val="en-US"/>
        </w:rPr>
        <w:t xml:space="preserve"> change.” Following </w:t>
      </w:r>
      <w:proofErr w:type="spellStart"/>
      <w:r w:rsidR="00492161" w:rsidRPr="001234AB">
        <w:rPr>
          <w:rFonts w:ascii="Times New Roman" w:hAnsi="Times New Roman" w:cs="Times New Roman"/>
          <w:sz w:val="24"/>
          <w:szCs w:val="24"/>
          <w:lang w:val="en-US"/>
        </w:rPr>
        <w:t>Kannankulam</w:t>
      </w:r>
      <w:proofErr w:type="spellEnd"/>
      <w:r w:rsidR="00492161" w:rsidRPr="001234AB">
        <w:rPr>
          <w:rFonts w:ascii="Times New Roman" w:hAnsi="Times New Roman" w:cs="Times New Roman"/>
          <w:sz w:val="24"/>
          <w:szCs w:val="24"/>
          <w:lang w:val="en-US"/>
        </w:rPr>
        <w:t xml:space="preserve"> &amp; Georgi (2014, p. 59), change, such as the decision to issue Eurobonds, is to be explained via the analysis of shifting relationships of social forces. A few steps for this analysis of social struggles and relationships of forces can be outlined. First, the context analysis tries to uncover ‘form-determined’ and institutional directions that pre-structure the way various social forces react, which is necessarily unequal (</w:t>
      </w:r>
      <w:proofErr w:type="spellStart"/>
      <w:r w:rsidR="00492161" w:rsidRPr="001234AB">
        <w:rPr>
          <w:rFonts w:ascii="Times New Roman" w:hAnsi="Times New Roman" w:cs="Times New Roman"/>
          <w:sz w:val="24"/>
          <w:szCs w:val="24"/>
          <w:lang w:val="en-US"/>
        </w:rPr>
        <w:t>Kannankulam</w:t>
      </w:r>
      <w:proofErr w:type="spellEnd"/>
      <w:r w:rsidR="00492161" w:rsidRPr="001234AB">
        <w:rPr>
          <w:rFonts w:ascii="Times New Roman" w:hAnsi="Times New Roman" w:cs="Times New Roman"/>
          <w:sz w:val="24"/>
          <w:szCs w:val="24"/>
          <w:lang w:val="en-US"/>
        </w:rPr>
        <w:t xml:space="preserve"> &amp; Georgi, 2014, p. 63). It thus contains a contextualization of the empirical conflict. In this thesis, this is done by the </w:t>
      </w:r>
      <w:r w:rsidR="009F1B1D" w:rsidRPr="001234AB">
        <w:rPr>
          <w:rFonts w:ascii="Times New Roman" w:hAnsi="Times New Roman" w:cs="Times New Roman"/>
          <w:sz w:val="24"/>
          <w:szCs w:val="24"/>
          <w:lang w:val="en-US"/>
        </w:rPr>
        <w:t xml:space="preserve">second chapter </w:t>
      </w:r>
      <w:r w:rsidR="00492161" w:rsidRPr="001234AB">
        <w:rPr>
          <w:rFonts w:ascii="Times New Roman" w:hAnsi="Times New Roman" w:cs="Times New Roman"/>
          <w:sz w:val="24"/>
          <w:szCs w:val="24"/>
          <w:lang w:val="en-US"/>
        </w:rPr>
        <w:t>of the empirical analysis, in which the structural conditions of financialization, as well as finance capital’s dominance and EU’s strategic selectivity are outlined to set the context in which the decision to issue Eurobonds unfolded. Second, the actor analysis aims to analyze the antagonistic actors within and as part of the specific historical conjuncture (</w:t>
      </w:r>
      <w:proofErr w:type="spellStart"/>
      <w:r w:rsidR="00492161" w:rsidRPr="001234AB">
        <w:rPr>
          <w:rFonts w:ascii="Times New Roman" w:hAnsi="Times New Roman" w:cs="Times New Roman"/>
          <w:sz w:val="24"/>
          <w:szCs w:val="24"/>
          <w:lang w:val="en-US"/>
        </w:rPr>
        <w:t>Kannankulam</w:t>
      </w:r>
      <w:proofErr w:type="spellEnd"/>
      <w:r w:rsidR="00492161" w:rsidRPr="001234AB">
        <w:rPr>
          <w:rFonts w:ascii="Times New Roman" w:hAnsi="Times New Roman" w:cs="Times New Roman"/>
          <w:sz w:val="24"/>
          <w:szCs w:val="24"/>
          <w:lang w:val="en-US"/>
        </w:rPr>
        <w:t xml:space="preserve"> &amp; Georgi, 2014, p. 63). This includes the identification of opposing strategies; grouping these strategies together into ‘hegemony projects’; and assessing the relative position of the identified hegemony projects (</w:t>
      </w:r>
      <w:proofErr w:type="spellStart"/>
      <w:r w:rsidR="00492161" w:rsidRPr="001234AB">
        <w:rPr>
          <w:rFonts w:ascii="Times New Roman" w:hAnsi="Times New Roman" w:cs="Times New Roman"/>
          <w:sz w:val="24"/>
          <w:szCs w:val="24"/>
          <w:lang w:val="en-US"/>
        </w:rPr>
        <w:t>Kannankulam</w:t>
      </w:r>
      <w:proofErr w:type="spellEnd"/>
      <w:r w:rsidR="00492161" w:rsidRPr="001234AB">
        <w:rPr>
          <w:rFonts w:ascii="Times New Roman" w:hAnsi="Times New Roman" w:cs="Times New Roman"/>
          <w:sz w:val="24"/>
          <w:szCs w:val="24"/>
          <w:lang w:val="en-US"/>
        </w:rPr>
        <w:t xml:space="preserve"> &amp; Georgi, 2014, pp. 63-64). This thesis accounts for the actor analysis by the consideration of organic intellectuals as being vital for connecting separate parts of a hegemony project, as well as the consideration of subordinate forces in the pursuance of various strategies (</w:t>
      </w:r>
      <w:proofErr w:type="spellStart"/>
      <w:r w:rsidR="00492161" w:rsidRPr="001234AB">
        <w:rPr>
          <w:rFonts w:ascii="Times New Roman" w:hAnsi="Times New Roman" w:cs="Times New Roman"/>
          <w:sz w:val="24"/>
          <w:szCs w:val="24"/>
          <w:lang w:val="en-US"/>
        </w:rPr>
        <w:t>Kannankulam</w:t>
      </w:r>
      <w:proofErr w:type="spellEnd"/>
      <w:r w:rsidR="00492161" w:rsidRPr="001234AB">
        <w:rPr>
          <w:rFonts w:ascii="Times New Roman" w:hAnsi="Times New Roman" w:cs="Times New Roman"/>
          <w:sz w:val="24"/>
          <w:szCs w:val="24"/>
          <w:lang w:val="en-US"/>
        </w:rPr>
        <w:t xml:space="preserve"> &amp; Georgi, 2014, pp. 64-65). Third and finally, the process </w:t>
      </w:r>
      <w:r w:rsidR="00492161" w:rsidRPr="001234AB">
        <w:rPr>
          <w:rFonts w:ascii="Times New Roman" w:hAnsi="Times New Roman" w:cs="Times New Roman"/>
          <w:sz w:val="24"/>
          <w:szCs w:val="24"/>
          <w:lang w:val="en-US"/>
        </w:rPr>
        <w:lastRenderedPageBreak/>
        <w:t>analysis reconstructs the dynamic process in which the conflict evolved through different phases in the context of its broader historical context</w:t>
      </w:r>
      <w:r w:rsidR="00614C28"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w:t>
      </w:r>
      <w:proofErr w:type="spellStart"/>
      <w:r w:rsidR="00492161" w:rsidRPr="001234AB">
        <w:rPr>
          <w:rFonts w:ascii="Times New Roman" w:hAnsi="Times New Roman" w:cs="Times New Roman"/>
          <w:sz w:val="24"/>
          <w:szCs w:val="24"/>
          <w:lang w:val="en-US"/>
        </w:rPr>
        <w:t>Kannankulam</w:t>
      </w:r>
      <w:proofErr w:type="spellEnd"/>
      <w:r w:rsidR="00492161" w:rsidRPr="001234AB">
        <w:rPr>
          <w:rFonts w:ascii="Times New Roman" w:hAnsi="Times New Roman" w:cs="Times New Roman"/>
          <w:sz w:val="24"/>
          <w:szCs w:val="24"/>
          <w:lang w:val="en-US"/>
        </w:rPr>
        <w:t xml:space="preserve"> &amp; Georgi 2014, p. 67). This part of the analysis is conducted by virtue of the way this thesis’ analysis is structured, by outlining timelines for the relevant actors, as well as through the method of the explanatory narrative.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Document analysis assists the method of HMPA. To critically assess various reports, (policy) documents, and speeches by EU institutions and social forces, the following keywords were searched for: Eurobonds/ EU bonds, common/public bonds, common/public/joint debt, debt mutualization, risk mutualization, risk sharing, (fiscal/ financial/ capital) integration, (private/ common) safe asset, access to finance, single market, liquidity, scarcity,</w:t>
      </w:r>
      <w:r w:rsidR="00A77668">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profit/dividend/interest/yield/gain.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Additionally, it must be noted that some social forces have been inquired to provide information about their stance on Eurobonds and the issuance of common debt, since through document analysis, their position remained ambiguous. Specifically, Finance Watch, Corporate</w:t>
      </w:r>
      <w:r w:rsidR="009F1B1D"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Europe</w:t>
      </w:r>
      <w:r w:rsidR="009F1B1D" w:rsidRPr="001234AB">
        <w:rPr>
          <w:rFonts w:ascii="Times New Roman" w:hAnsi="Times New Roman" w:cs="Times New Roman"/>
          <w:sz w:val="24"/>
          <w:szCs w:val="24"/>
          <w:lang w:val="en-US"/>
        </w:rPr>
        <w:t xml:space="preserve"> Observatory</w:t>
      </w:r>
      <w:r w:rsidR="00492161" w:rsidRPr="001234AB">
        <w:rPr>
          <w:rFonts w:ascii="Times New Roman" w:hAnsi="Times New Roman" w:cs="Times New Roman"/>
          <w:sz w:val="24"/>
          <w:szCs w:val="24"/>
          <w:lang w:val="en-US"/>
        </w:rPr>
        <w:t>, and the Confederation of German Employers’ Association (BDA) have been inquired. Finance Watch and Corporate</w:t>
      </w:r>
      <w:r w:rsidR="009F1B1D"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Europe</w:t>
      </w:r>
      <w:r w:rsidR="009F1B1D" w:rsidRPr="001234AB">
        <w:rPr>
          <w:rFonts w:ascii="Times New Roman" w:hAnsi="Times New Roman" w:cs="Times New Roman"/>
          <w:sz w:val="24"/>
          <w:szCs w:val="24"/>
          <w:lang w:val="en-US"/>
        </w:rPr>
        <w:t xml:space="preserve"> Observatory</w:t>
      </w:r>
      <w:r w:rsidR="00492161" w:rsidRPr="001234AB">
        <w:rPr>
          <w:rFonts w:ascii="Times New Roman" w:hAnsi="Times New Roman" w:cs="Times New Roman"/>
          <w:sz w:val="24"/>
          <w:szCs w:val="24"/>
          <w:lang w:val="en-US"/>
        </w:rPr>
        <w:t xml:space="preserve">, as part of civil society, responded that they lacked sufficient research on the topic. Despite repeated attempts to engage with BDA, no responses were received to the multiple inquiries as to why BDA did not support a certain passage outlined by lobby group </w:t>
      </w:r>
      <w:proofErr w:type="spellStart"/>
      <w:r w:rsidR="00492161" w:rsidRPr="001234AB">
        <w:rPr>
          <w:rFonts w:ascii="Times New Roman" w:hAnsi="Times New Roman" w:cs="Times New Roman"/>
          <w:sz w:val="24"/>
          <w:szCs w:val="24"/>
          <w:lang w:val="en-US"/>
        </w:rPr>
        <w:t>BusinessEurope</w:t>
      </w:r>
      <w:proofErr w:type="spellEnd"/>
      <w:r w:rsidR="00492161" w:rsidRPr="001234AB">
        <w:rPr>
          <w:rFonts w:ascii="Times New Roman" w:hAnsi="Times New Roman" w:cs="Times New Roman"/>
          <w:sz w:val="24"/>
          <w:szCs w:val="24"/>
          <w:lang w:val="en-US"/>
        </w:rPr>
        <w:t xml:space="preserve"> pertaining to debt mutualization. While other German industry associations have been taken into account, this constitutes a limitation of the analysis, since BDA’s differing stance could provide insight into Germany’s important role in the decision to issue Eurobonds.</w:t>
      </w:r>
      <w:r w:rsidR="00492161" w:rsidRPr="001234AB">
        <w:rPr>
          <w:rFonts w:ascii="Times New Roman" w:hAnsi="Times New Roman" w:cs="Times New Roman"/>
          <w:color w:val="FF0000"/>
          <w:sz w:val="24"/>
          <w:szCs w:val="24"/>
          <w:lang w:val="en-US"/>
        </w:rPr>
        <w:t xml:space="preserve"> </w:t>
      </w:r>
      <w:r w:rsidR="00492161" w:rsidRPr="001234AB">
        <w:rPr>
          <w:rFonts w:ascii="Times New Roman" w:hAnsi="Times New Roman" w:cs="Times New Roman"/>
          <w:sz w:val="24"/>
          <w:szCs w:val="24"/>
          <w:lang w:val="en-US"/>
        </w:rPr>
        <w:t xml:space="preserve">This additionally points to a structural limitation of the document analysis of reports by social forces. The selective reporting by social forces makes the empirical analysis partially reliant on social forces’ willingness to reveal their activities and considerations.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Another limitation of document analysis has to do with ‘transparency by choice’, as carried out by both public authorities and social forces (Wigger &amp; Buch-Hansen, 2015, p. 91). This limitation is especially encountered when briefly outlining the ownership of the Eurobonds, for which this thesis is dependent on the scarce information willingly provided by the Commission. Furthermore, the invocation of expert committees, established by the Commission, creates the illusion of plurality of influence by various agents, even though the </w:t>
      </w:r>
      <w:r w:rsidR="00492161" w:rsidRPr="001234AB">
        <w:rPr>
          <w:rFonts w:ascii="Times New Roman" w:hAnsi="Times New Roman" w:cs="Times New Roman"/>
          <w:sz w:val="24"/>
          <w:szCs w:val="24"/>
          <w:lang w:val="en-US"/>
        </w:rPr>
        <w:lastRenderedPageBreak/>
        <w:t>Commission is not enforced to justify why it discounts certain voices (Wigger &amp; Buch-Hansen, 2015, pp. 91-92). Since antagonistic positions are likely to be concealed in these documents, this thesis aims to account for this by incorporating antagonistic social forces in the agential dimension.</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By incorporating multiple sources, qualitative and quantitative data is merged into an explanatory or empirical narrative. An empirical narrative is a method of sophisticated storytelling where events are organized into a structured, causal storyline (Dray, 1985, p. 142). The historical context, structure, agency, the material, and the ideational form a causal chain that results in a narrative that explains the decision to issue Eurobonds under NGEU in the year 2020 (Dray, 1985, p. 126).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15351E" w:rsidRPr="001234AB">
        <w:rPr>
          <w:rFonts w:ascii="Times New Roman" w:hAnsi="Times New Roman" w:cs="Times New Roman"/>
          <w:sz w:val="24"/>
          <w:szCs w:val="24"/>
          <w:lang w:val="en-US"/>
        </w:rPr>
        <w:t>The explanatory logic of the analysis is that finance-led capitalism</w:t>
      </w:r>
      <w:r w:rsidR="009F1B1D" w:rsidRPr="001234AB">
        <w:rPr>
          <w:rFonts w:ascii="Times New Roman" w:hAnsi="Times New Roman" w:cs="Times New Roman"/>
          <w:sz w:val="24"/>
          <w:szCs w:val="24"/>
          <w:lang w:val="en-US"/>
        </w:rPr>
        <w:t xml:space="preserve"> </w:t>
      </w:r>
      <w:r w:rsidR="0015351E" w:rsidRPr="001234AB">
        <w:rPr>
          <w:rFonts w:ascii="Times New Roman" w:hAnsi="Times New Roman" w:cs="Times New Roman"/>
          <w:sz w:val="24"/>
          <w:szCs w:val="24"/>
          <w:lang w:val="en-US"/>
        </w:rPr>
        <w:t>and debt-led accumulation</w:t>
      </w:r>
      <w:r w:rsidR="0015351E" w:rsidRPr="001234AB">
        <w:rPr>
          <w:rFonts w:ascii="Times New Roman" w:hAnsi="Times New Roman" w:cs="Times New Roman"/>
          <w:sz w:val="24"/>
          <w:szCs w:val="24"/>
          <w:lang w:val="en-US"/>
        </w:rPr>
        <w:br/>
        <w:t xml:space="preserve">set the scene for the decision by the EU to issue Eurobonds to finance NGEU. </w:t>
      </w:r>
      <w:r w:rsidR="00405B60" w:rsidRPr="001234AB">
        <w:rPr>
          <w:rFonts w:ascii="Times New Roman" w:hAnsi="Times New Roman" w:cs="Times New Roman"/>
          <w:sz w:val="24"/>
          <w:szCs w:val="24"/>
          <w:lang w:val="en-US"/>
        </w:rPr>
        <w:t>Additionally, a</w:t>
      </w:r>
      <w:r w:rsidR="0015351E" w:rsidRPr="001234AB">
        <w:rPr>
          <w:rFonts w:ascii="Times New Roman" w:hAnsi="Times New Roman" w:cs="Times New Roman"/>
          <w:sz w:val="24"/>
          <w:szCs w:val="24"/>
          <w:lang w:val="en-US"/>
        </w:rPr>
        <w:t>ssuming that the financial capital fraction is the directive force in the capitalist system, it is expected that</w:t>
      </w:r>
      <w:r w:rsidR="00405B60" w:rsidRPr="001234AB">
        <w:rPr>
          <w:rFonts w:ascii="Times New Roman" w:hAnsi="Times New Roman" w:cs="Times New Roman"/>
          <w:sz w:val="24"/>
          <w:szCs w:val="24"/>
          <w:lang w:val="en-US"/>
        </w:rPr>
        <w:t xml:space="preserve"> during the conjuncture of COVID-19,</w:t>
      </w:r>
      <w:r w:rsidR="0015351E" w:rsidRPr="001234AB">
        <w:rPr>
          <w:rFonts w:ascii="Times New Roman" w:hAnsi="Times New Roman" w:cs="Times New Roman"/>
          <w:sz w:val="24"/>
          <w:szCs w:val="24"/>
          <w:lang w:val="en-US"/>
        </w:rPr>
        <w:t xml:space="preserve"> this capital fraction </w:t>
      </w:r>
      <w:r w:rsidR="00405B60" w:rsidRPr="001234AB">
        <w:rPr>
          <w:rFonts w:ascii="Times New Roman" w:hAnsi="Times New Roman" w:cs="Times New Roman"/>
          <w:sz w:val="24"/>
          <w:szCs w:val="24"/>
          <w:lang w:val="en-US"/>
        </w:rPr>
        <w:t>guides the entire class structure towards a temporary alliance in favor of Eurobonds.</w:t>
      </w:r>
      <w:r w:rsidR="00ED0E47" w:rsidRPr="001234AB">
        <w:rPr>
          <w:rFonts w:ascii="Times New Roman" w:hAnsi="Times New Roman" w:cs="Times New Roman"/>
          <w:sz w:val="24"/>
          <w:szCs w:val="24"/>
          <w:lang w:val="en-US"/>
        </w:rPr>
        <w:t xml:space="preserve"> In this period, counter-hegemonic forces are incapable of rupturing this guidance</w:t>
      </w:r>
      <w:r w:rsidR="009F1B1D" w:rsidRPr="001234AB">
        <w:rPr>
          <w:rFonts w:ascii="Times New Roman" w:hAnsi="Times New Roman" w:cs="Times New Roman"/>
          <w:sz w:val="24"/>
          <w:szCs w:val="24"/>
          <w:lang w:val="en-US"/>
        </w:rPr>
        <w:t xml:space="preserve">. </w:t>
      </w:r>
      <w:r w:rsidR="00405B60" w:rsidRPr="001234AB">
        <w:rPr>
          <w:rFonts w:ascii="Times New Roman" w:hAnsi="Times New Roman" w:cs="Times New Roman"/>
          <w:sz w:val="24"/>
          <w:szCs w:val="24"/>
          <w:lang w:val="en-US"/>
        </w:rPr>
        <w:br/>
      </w:r>
      <w:r w:rsidR="00ED0E47" w:rsidRPr="001234AB">
        <w:rPr>
          <w:rFonts w:ascii="Times New Roman" w:hAnsi="Times New Roman" w:cs="Times New Roman"/>
          <w:sz w:val="24"/>
          <w:szCs w:val="24"/>
          <w:lang w:val="en-US"/>
        </w:rPr>
        <w:br/>
      </w:r>
      <w:r w:rsidRPr="00F116D2">
        <w:rPr>
          <w:rFonts w:ascii="Times New Roman" w:hAnsi="Times New Roman" w:cs="Times New Roman"/>
          <w:b/>
          <w:bCs/>
          <w:i/>
          <w:iCs/>
          <w:sz w:val="24"/>
          <w:szCs w:val="24"/>
          <w:lang w:val="en-US"/>
        </w:rPr>
        <w:t xml:space="preserve">2.3 </w:t>
      </w:r>
      <w:r w:rsidR="00492161" w:rsidRPr="00F116D2">
        <w:rPr>
          <w:rFonts w:ascii="Times New Roman" w:hAnsi="Times New Roman" w:cs="Times New Roman"/>
          <w:b/>
          <w:bCs/>
          <w:i/>
          <w:iCs/>
          <w:sz w:val="24"/>
          <w:szCs w:val="24"/>
          <w:lang w:val="en-US"/>
        </w:rPr>
        <w:t xml:space="preserve">Operationalization of </w:t>
      </w:r>
      <w:r w:rsidRPr="00F116D2">
        <w:rPr>
          <w:rFonts w:ascii="Times New Roman" w:hAnsi="Times New Roman" w:cs="Times New Roman"/>
          <w:b/>
          <w:bCs/>
          <w:i/>
          <w:iCs/>
          <w:sz w:val="24"/>
          <w:szCs w:val="24"/>
          <w:lang w:val="en-US"/>
        </w:rPr>
        <w:t>t</w:t>
      </w:r>
      <w:r w:rsidR="00492161" w:rsidRPr="00F116D2">
        <w:rPr>
          <w:rFonts w:ascii="Times New Roman" w:hAnsi="Times New Roman" w:cs="Times New Roman"/>
          <w:b/>
          <w:bCs/>
          <w:i/>
          <w:iCs/>
          <w:sz w:val="24"/>
          <w:szCs w:val="24"/>
          <w:lang w:val="en-US"/>
        </w:rPr>
        <w:t xml:space="preserve">heoretical </w:t>
      </w:r>
      <w:r w:rsidRPr="00F116D2">
        <w:rPr>
          <w:rFonts w:ascii="Times New Roman" w:hAnsi="Times New Roman" w:cs="Times New Roman"/>
          <w:b/>
          <w:bCs/>
          <w:i/>
          <w:iCs/>
          <w:sz w:val="24"/>
          <w:szCs w:val="24"/>
          <w:lang w:val="en-US"/>
        </w:rPr>
        <w:t>c</w:t>
      </w:r>
      <w:r w:rsidR="00492161" w:rsidRPr="00F116D2">
        <w:rPr>
          <w:rFonts w:ascii="Times New Roman" w:hAnsi="Times New Roman" w:cs="Times New Roman"/>
          <w:b/>
          <w:bCs/>
          <w:i/>
          <w:iCs/>
          <w:sz w:val="24"/>
          <w:szCs w:val="24"/>
          <w:lang w:val="en-US"/>
        </w:rPr>
        <w:t>oncepts</w:t>
      </w:r>
      <w:r w:rsidR="00492161" w:rsidRPr="00F116D2">
        <w:rPr>
          <w:rFonts w:ascii="Times New Roman" w:hAnsi="Times New Roman" w:cs="Times New Roman"/>
          <w:b/>
          <w:bCs/>
          <w:i/>
          <w:iCs/>
          <w:sz w:val="24"/>
          <w:szCs w:val="24"/>
          <w:lang w:val="en-US"/>
        </w:rPr>
        <w:br/>
      </w:r>
      <w:r w:rsidR="00492161" w:rsidRPr="001234AB">
        <w:rPr>
          <w:rFonts w:ascii="Times New Roman" w:hAnsi="Times New Roman" w:cs="Times New Roman"/>
          <w:sz w:val="24"/>
          <w:szCs w:val="24"/>
          <w:lang w:val="en-US"/>
        </w:rPr>
        <w:t>The theoretical discussion of this thesis has provided this thesis with various concepts that can explain the issuance of Eurobonds under NGEU in 2020. The following concepts are the most relevant to this thesis: ‘</w:t>
      </w:r>
      <w:r w:rsidR="009F1B1D" w:rsidRPr="001234AB">
        <w:rPr>
          <w:rFonts w:ascii="Times New Roman" w:hAnsi="Times New Roman" w:cs="Times New Roman"/>
          <w:sz w:val="24"/>
          <w:szCs w:val="24"/>
          <w:lang w:val="en-US"/>
        </w:rPr>
        <w:t>financialization</w:t>
      </w:r>
      <w:r w:rsidR="00492161" w:rsidRPr="001234AB">
        <w:rPr>
          <w:rFonts w:ascii="Times New Roman" w:hAnsi="Times New Roman" w:cs="Times New Roman"/>
          <w:sz w:val="24"/>
          <w:szCs w:val="24"/>
          <w:lang w:val="en-US"/>
        </w:rPr>
        <w:t xml:space="preserve">, </w:t>
      </w:r>
      <w:r w:rsidR="009F1B1D" w:rsidRPr="001234AB">
        <w:rPr>
          <w:rFonts w:ascii="Times New Roman" w:hAnsi="Times New Roman" w:cs="Times New Roman"/>
          <w:sz w:val="24"/>
          <w:szCs w:val="24"/>
          <w:lang w:val="en-US"/>
        </w:rPr>
        <w:t xml:space="preserve">‘strategic selectivity’, </w:t>
      </w:r>
      <w:r w:rsidR="00492161" w:rsidRPr="001234AB">
        <w:rPr>
          <w:rFonts w:ascii="Times New Roman" w:hAnsi="Times New Roman" w:cs="Times New Roman"/>
          <w:sz w:val="24"/>
          <w:szCs w:val="24"/>
          <w:lang w:val="en-US"/>
        </w:rPr>
        <w:t xml:space="preserve">‘class fractions’, ‘hegemony’, ‘organic intellectual’, and ‘concept of control’.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The context analysis amounts to the mapping out of a structure that has partial causal power, combined with agency and the consideration of the ideational dimension. In this structural part, then, financialization and the dominance of a financial capital fraction are outlined. The variable ‘total reserves (includes gold, current US$)’ is utilized to indicate overaccumulation (World Bank, 2024a). An increasing </w:t>
      </w:r>
      <w:proofErr w:type="gramStart"/>
      <w:r w:rsidR="00492161" w:rsidRPr="001234AB">
        <w:rPr>
          <w:rFonts w:ascii="Times New Roman" w:hAnsi="Times New Roman" w:cs="Times New Roman"/>
          <w:sz w:val="24"/>
          <w:szCs w:val="24"/>
          <w:lang w:val="en-US"/>
        </w:rPr>
        <w:t>amount</w:t>
      </w:r>
      <w:proofErr w:type="gramEnd"/>
      <w:r w:rsidR="00492161" w:rsidRPr="001234AB">
        <w:rPr>
          <w:rFonts w:ascii="Times New Roman" w:hAnsi="Times New Roman" w:cs="Times New Roman"/>
          <w:sz w:val="24"/>
          <w:szCs w:val="24"/>
          <w:lang w:val="en-US"/>
        </w:rPr>
        <w:t xml:space="preserve"> of total reserves denotes overaccumulation. This variable is selected for the Euro area since the data is not available for EU-27. This is a limitation of using this data, as it gives a </w:t>
      </w:r>
      <w:proofErr w:type="gramStart"/>
      <w:r w:rsidR="00492161" w:rsidRPr="001234AB">
        <w:rPr>
          <w:rFonts w:ascii="Times New Roman" w:hAnsi="Times New Roman" w:cs="Times New Roman"/>
          <w:sz w:val="24"/>
          <w:szCs w:val="24"/>
          <w:lang w:val="en-US"/>
        </w:rPr>
        <w:t>slight</w:t>
      </w:r>
      <w:proofErr w:type="gramEnd"/>
      <w:r w:rsidR="00492161" w:rsidRPr="001234AB">
        <w:rPr>
          <w:rFonts w:ascii="Times New Roman" w:hAnsi="Times New Roman" w:cs="Times New Roman"/>
          <w:sz w:val="24"/>
          <w:szCs w:val="24"/>
          <w:lang w:val="en-US"/>
        </w:rPr>
        <w:t xml:space="preserve"> different value than for the EU27. While this data does not indicate financialization per se, it is important for the outline of the structural conditions underpinning the financialization of the European political economy. Furthermore, </w:t>
      </w:r>
      <w:r w:rsidR="00492161" w:rsidRPr="001234AB">
        <w:rPr>
          <w:rFonts w:ascii="Times New Roman" w:hAnsi="Times New Roman" w:cs="Times New Roman"/>
          <w:sz w:val="24"/>
          <w:szCs w:val="24"/>
          <w:lang w:val="en-US"/>
        </w:rPr>
        <w:lastRenderedPageBreak/>
        <w:t>the variable ‘market capitalization of listed domestic companies (% of GDP)’ is used (World</w:t>
      </w:r>
      <w:r w:rsidR="00ED0E47" w:rsidRPr="001234AB">
        <w:rPr>
          <w:rFonts w:ascii="Times New Roman" w:hAnsi="Times New Roman" w:cs="Times New Roman"/>
          <w:sz w:val="24"/>
          <w:szCs w:val="24"/>
          <w:lang w:val="en-US"/>
        </w:rPr>
        <w:t xml:space="preserve"> B</w:t>
      </w:r>
      <w:r w:rsidR="00492161" w:rsidRPr="001234AB">
        <w:rPr>
          <w:rFonts w:ascii="Times New Roman" w:hAnsi="Times New Roman" w:cs="Times New Roman"/>
          <w:sz w:val="24"/>
          <w:szCs w:val="24"/>
          <w:lang w:val="en-US"/>
        </w:rPr>
        <w:t>ank, 2024b). Increasing stock market value indicates financialization (Becker et al., 2010, p. 227). Next to quantitative indicators, this thesis relies heavily on qualitative sources for the context analysis. Financial liberalization policies by the Commission, such as the opening of financial markets, removing legal barriers to the free flow of capital, and public investment in financial assets, are important qualitative components to assess both financialization, and the dominance of the financial capital fraction.</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The concept of strategic selectivity is part of the material dimension and contributes to the structure that sets the scene in which the decision to issue Eurobonds unfolded. So, this thesis considers how the strategic selectivity of the EU</w:t>
      </w:r>
      <w:r w:rsidR="00FB5950" w:rsidRPr="001234AB">
        <w:rPr>
          <w:rFonts w:ascii="Times New Roman" w:hAnsi="Times New Roman" w:cs="Times New Roman"/>
          <w:sz w:val="24"/>
          <w:szCs w:val="24"/>
          <w:lang w:val="en-US"/>
        </w:rPr>
        <w:t>, as the material condensation of past struggles,</w:t>
      </w:r>
      <w:r w:rsidR="00492161" w:rsidRPr="001234AB">
        <w:rPr>
          <w:rFonts w:ascii="Times New Roman" w:hAnsi="Times New Roman" w:cs="Times New Roman"/>
          <w:sz w:val="24"/>
          <w:szCs w:val="24"/>
          <w:lang w:val="en-US"/>
        </w:rPr>
        <w:t xml:space="preserve"> privileges some class (fraction) interests and their associated accumulation patterns more than others. For example, similar to the qualitative indicators for financialized accumulation, policies in favor of financial capital fraction point to the strategic selectivity of the EU.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The class fractions that will be studied are the financial capital fraction, the productive capital fraction, organized labor, and civil society. For financial capital, this thesis considers the lobby groups ‘Association for Financial Markets in Europe’ (AFME), and ‘European Financial Services Round Table</w:t>
      </w:r>
      <w:r w:rsidR="00484040">
        <w:rPr>
          <w:rFonts w:ascii="Times New Roman" w:hAnsi="Times New Roman" w:cs="Times New Roman"/>
          <w:sz w:val="24"/>
          <w:szCs w:val="24"/>
          <w:lang w:val="en-US"/>
        </w:rPr>
        <w:t xml:space="preserve">’ </w:t>
      </w:r>
      <w:proofErr w:type="gramStart"/>
      <w:r w:rsidR="00492161" w:rsidRPr="001234AB">
        <w:rPr>
          <w:rFonts w:ascii="Times New Roman" w:hAnsi="Times New Roman" w:cs="Times New Roman"/>
          <w:sz w:val="24"/>
          <w:szCs w:val="24"/>
          <w:lang w:val="en-US"/>
        </w:rPr>
        <w:t>( EFR</w:t>
      </w:r>
      <w:proofErr w:type="gramEnd"/>
      <w:r w:rsidR="00492161" w:rsidRPr="001234AB">
        <w:rPr>
          <w:rFonts w:ascii="Times New Roman" w:hAnsi="Times New Roman" w:cs="Times New Roman"/>
          <w:sz w:val="24"/>
          <w:szCs w:val="24"/>
          <w:lang w:val="en-US"/>
        </w:rPr>
        <w:t>). While AFME (n.d.) claims to represent the leading global and European banks, as well as other significant market players, EFR (n.d.) purports to bring together leading European banks and insurance companies.</w:t>
      </w:r>
      <w:r w:rsidR="0084356C"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For the productive capital fraction, this thesis considers ‘</w:t>
      </w:r>
      <w:proofErr w:type="spellStart"/>
      <w:r w:rsidR="00492161" w:rsidRPr="001234AB">
        <w:rPr>
          <w:rFonts w:ascii="Times New Roman" w:hAnsi="Times New Roman" w:cs="Times New Roman"/>
          <w:sz w:val="24"/>
          <w:szCs w:val="24"/>
          <w:lang w:val="en-US"/>
        </w:rPr>
        <w:t>BusinessEurope</w:t>
      </w:r>
      <w:proofErr w:type="spellEnd"/>
      <w:r w:rsidR="00492161" w:rsidRPr="001234AB">
        <w:rPr>
          <w:rFonts w:ascii="Times New Roman" w:hAnsi="Times New Roman" w:cs="Times New Roman"/>
          <w:sz w:val="24"/>
          <w:szCs w:val="24"/>
          <w:lang w:val="en-US"/>
        </w:rPr>
        <w:t>’, ‘Association of European Chambers of Commerce and Industry</w:t>
      </w:r>
      <w:r w:rsidR="00FB5950"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 xml:space="preserve"> (Eurochambres), the ‘Federation of German Industry (BDI), and </w:t>
      </w:r>
      <w:r w:rsidR="004F7B0F" w:rsidRPr="001234AB">
        <w:rPr>
          <w:rFonts w:ascii="Times New Roman" w:hAnsi="Times New Roman" w:cs="Times New Roman"/>
          <w:sz w:val="24"/>
          <w:szCs w:val="24"/>
          <w:lang w:val="en-US"/>
        </w:rPr>
        <w:t>the ‘</w:t>
      </w:r>
      <w:r w:rsidR="00492161" w:rsidRPr="001234AB">
        <w:rPr>
          <w:rFonts w:ascii="Times New Roman" w:hAnsi="Times New Roman" w:cs="Times New Roman"/>
          <w:sz w:val="24"/>
          <w:szCs w:val="24"/>
          <w:lang w:val="en-US"/>
        </w:rPr>
        <w:t>European Round Table for Industry’ (ERT). BE is a general lobby group for the productive capital fraction, while Eurochambres focuses more on small and medium-sized enterprises (SMEs). To account for the powerful position of Germany, BDI represents German industry, whilst ERT represents the transnational capital fraction</w:t>
      </w:r>
      <w:r w:rsidR="004F7B0F"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 xml:space="preserve"> For organized labor, the ‘European Trade Union Confederation’ (ETUC) is used. With regards to civil society, for a more mainstream representation, Finance Watch is considered. However, to account for </w:t>
      </w:r>
      <w:r w:rsidR="00FB6131">
        <w:rPr>
          <w:rFonts w:ascii="Times New Roman" w:hAnsi="Times New Roman" w:cs="Times New Roman"/>
          <w:sz w:val="24"/>
          <w:szCs w:val="24"/>
          <w:lang w:val="en-US"/>
        </w:rPr>
        <w:t xml:space="preserve">(subordinate) civil society actors </w:t>
      </w:r>
      <w:r w:rsidR="00492161" w:rsidRPr="001234AB">
        <w:rPr>
          <w:rFonts w:ascii="Times New Roman" w:hAnsi="Times New Roman" w:cs="Times New Roman"/>
          <w:sz w:val="24"/>
          <w:szCs w:val="24"/>
          <w:lang w:val="en-US"/>
        </w:rPr>
        <w:t>in a more comprehensive manner, the ‘European Economists for an Alternative Economic Policy in Europe’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 and the ‘European Women’s Lobby’ (EWL) are </w:t>
      </w:r>
      <w:r w:rsidR="0084356C" w:rsidRPr="001234AB">
        <w:rPr>
          <w:rFonts w:ascii="Times New Roman" w:hAnsi="Times New Roman" w:cs="Times New Roman"/>
          <w:sz w:val="24"/>
          <w:szCs w:val="24"/>
          <w:lang w:val="en-US"/>
        </w:rPr>
        <w:t xml:space="preserve">used.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lastRenderedPageBreak/>
        <w:t xml:space="preserve">In order to further account for the agential and ideational dimension, this thesis makes use of the AP’s notion of ‘(comprehensive) concept of control’, and the neo-Gramscian concept of ‘organic intellectual’. Both dominant social forces and subordinate social forces can articulate a concept of control. As outlined by van der </w:t>
      </w:r>
      <w:proofErr w:type="spellStart"/>
      <w:r w:rsidR="00492161" w:rsidRPr="001234AB">
        <w:rPr>
          <w:rFonts w:ascii="Times New Roman" w:hAnsi="Times New Roman" w:cs="Times New Roman"/>
          <w:sz w:val="24"/>
          <w:szCs w:val="24"/>
          <w:lang w:val="en-US"/>
        </w:rPr>
        <w:t>Pijl</w:t>
      </w:r>
      <w:proofErr w:type="spellEnd"/>
      <w:r w:rsidR="00492161" w:rsidRPr="001234AB">
        <w:rPr>
          <w:rFonts w:ascii="Times New Roman" w:hAnsi="Times New Roman" w:cs="Times New Roman"/>
          <w:sz w:val="24"/>
          <w:szCs w:val="24"/>
          <w:lang w:val="en-US"/>
        </w:rPr>
        <w:t xml:space="preserve"> (2004, p. 184), a concept of control contains three distinctive features. First, it is represented as the general interest, pertaining to the whole of society. Second, a concept of control incorporates the need for society’s reproduction, as well as security. Third, the concept of control validates specific economic structures</w:t>
      </w:r>
      <w:r w:rsidR="00FB6131">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Relatedly, the success of hegemonic and counter-hegemonic forces to reinforce or contest hegemony largely depends on the role of ‘organic </w:t>
      </w:r>
      <w:proofErr w:type="gramStart"/>
      <w:r w:rsidR="00492161" w:rsidRPr="001234AB">
        <w:rPr>
          <w:rFonts w:ascii="Times New Roman" w:hAnsi="Times New Roman" w:cs="Times New Roman"/>
          <w:sz w:val="24"/>
          <w:szCs w:val="24"/>
          <w:lang w:val="en-US"/>
        </w:rPr>
        <w:t>intellectuals’</w:t>
      </w:r>
      <w:proofErr w:type="gramEnd"/>
      <w:r w:rsidR="00492161" w:rsidRPr="001234AB">
        <w:rPr>
          <w:rFonts w:ascii="Times New Roman" w:hAnsi="Times New Roman" w:cs="Times New Roman"/>
          <w:sz w:val="24"/>
          <w:szCs w:val="24"/>
          <w:lang w:val="en-US"/>
        </w:rPr>
        <w:t xml:space="preserve">. With regards to operationalization, actors need to meet three criteria in order to be considered organic intellectuals. First, they must evidently be derived from a certain class fraction. Second, the actors must be occupied with the construction of a class fraction’s identity. Third, they must attempt to transcend their own class interests, transforming these certain class interests into ‘universal’ ideas. </w:t>
      </w:r>
      <w:r w:rsidR="00492161" w:rsidRPr="001234AB">
        <w:rPr>
          <w:rFonts w:ascii="Times New Roman" w:hAnsi="Times New Roman" w:cs="Times New Roman"/>
          <w:sz w:val="24"/>
          <w:szCs w:val="24"/>
          <w:lang w:val="en-US"/>
        </w:rPr>
        <w:br/>
      </w:r>
    </w:p>
    <w:p w14:paraId="19F20868" w14:textId="75392F02" w:rsidR="00492161" w:rsidRPr="001234AB" w:rsidRDefault="00492161" w:rsidP="00F807BD">
      <w:pPr>
        <w:spacing w:line="360" w:lineRule="auto"/>
        <w:rPr>
          <w:rFonts w:ascii="Times New Roman" w:hAnsi="Times New Roman" w:cs="Times New Roman"/>
          <w:sz w:val="24"/>
          <w:szCs w:val="24"/>
          <w:lang w:val="en-US"/>
        </w:rPr>
      </w:pPr>
    </w:p>
    <w:p w14:paraId="2DCD4688" w14:textId="37178AFA" w:rsidR="00492161" w:rsidRPr="001234AB" w:rsidRDefault="00492161" w:rsidP="00F807BD">
      <w:pPr>
        <w:spacing w:line="360" w:lineRule="auto"/>
        <w:rPr>
          <w:rFonts w:ascii="Times New Roman" w:hAnsi="Times New Roman" w:cs="Times New Roman"/>
          <w:sz w:val="24"/>
          <w:szCs w:val="24"/>
          <w:lang w:val="en-US"/>
        </w:rPr>
      </w:pPr>
    </w:p>
    <w:p w14:paraId="1D3B5BCF" w14:textId="093DD684" w:rsidR="00492161" w:rsidRPr="001234AB" w:rsidRDefault="00492161" w:rsidP="00F807BD">
      <w:pPr>
        <w:spacing w:line="360" w:lineRule="auto"/>
        <w:rPr>
          <w:rFonts w:ascii="Times New Roman" w:hAnsi="Times New Roman" w:cs="Times New Roman"/>
          <w:sz w:val="24"/>
          <w:szCs w:val="24"/>
          <w:lang w:val="en-US"/>
        </w:rPr>
      </w:pPr>
    </w:p>
    <w:p w14:paraId="245B2FEA" w14:textId="5949F30E" w:rsidR="00492161" w:rsidRPr="001234AB" w:rsidRDefault="00492161" w:rsidP="00F807BD">
      <w:pPr>
        <w:spacing w:line="360" w:lineRule="auto"/>
        <w:rPr>
          <w:rFonts w:ascii="Times New Roman" w:hAnsi="Times New Roman" w:cs="Times New Roman"/>
          <w:sz w:val="24"/>
          <w:szCs w:val="24"/>
          <w:lang w:val="en-US"/>
        </w:rPr>
      </w:pPr>
    </w:p>
    <w:p w14:paraId="04FE5221" w14:textId="2BA18100" w:rsidR="00492161" w:rsidRPr="001234AB" w:rsidRDefault="00492161" w:rsidP="00F807BD">
      <w:pPr>
        <w:spacing w:line="360" w:lineRule="auto"/>
        <w:rPr>
          <w:rFonts w:ascii="Times New Roman" w:hAnsi="Times New Roman" w:cs="Times New Roman"/>
          <w:sz w:val="24"/>
          <w:szCs w:val="24"/>
          <w:lang w:val="en-US"/>
        </w:rPr>
      </w:pPr>
    </w:p>
    <w:p w14:paraId="6DDE9BA3" w14:textId="1005B6BA" w:rsidR="00492161" w:rsidRPr="001234AB" w:rsidRDefault="00492161" w:rsidP="00F807BD">
      <w:pPr>
        <w:spacing w:line="360" w:lineRule="auto"/>
        <w:rPr>
          <w:rFonts w:ascii="Times New Roman" w:hAnsi="Times New Roman" w:cs="Times New Roman"/>
          <w:sz w:val="24"/>
          <w:szCs w:val="24"/>
          <w:lang w:val="en-US"/>
        </w:rPr>
      </w:pPr>
    </w:p>
    <w:p w14:paraId="463FB072" w14:textId="1460EC12" w:rsidR="00492161" w:rsidRPr="001234AB" w:rsidRDefault="00492161" w:rsidP="00F807BD">
      <w:pPr>
        <w:spacing w:line="360" w:lineRule="auto"/>
        <w:rPr>
          <w:rFonts w:ascii="Times New Roman" w:hAnsi="Times New Roman" w:cs="Times New Roman"/>
          <w:sz w:val="24"/>
          <w:szCs w:val="24"/>
          <w:lang w:val="en-US"/>
        </w:rPr>
      </w:pPr>
    </w:p>
    <w:p w14:paraId="654D1C2B" w14:textId="5A3E8F36" w:rsidR="00492161" w:rsidRPr="001234AB" w:rsidRDefault="00492161" w:rsidP="00F807BD">
      <w:pPr>
        <w:spacing w:line="360" w:lineRule="auto"/>
        <w:rPr>
          <w:rFonts w:ascii="Times New Roman" w:hAnsi="Times New Roman" w:cs="Times New Roman"/>
          <w:sz w:val="24"/>
          <w:szCs w:val="24"/>
          <w:lang w:val="en-US"/>
        </w:rPr>
      </w:pPr>
    </w:p>
    <w:p w14:paraId="2D08F28B" w14:textId="4B4D95DD" w:rsidR="00492161" w:rsidRPr="001234AB" w:rsidRDefault="00492161" w:rsidP="00F807BD">
      <w:pPr>
        <w:spacing w:line="360" w:lineRule="auto"/>
        <w:rPr>
          <w:rFonts w:ascii="Times New Roman" w:hAnsi="Times New Roman" w:cs="Times New Roman"/>
          <w:sz w:val="24"/>
          <w:szCs w:val="24"/>
          <w:lang w:val="en-US"/>
        </w:rPr>
      </w:pPr>
    </w:p>
    <w:p w14:paraId="7A7B112E" w14:textId="5E4F0001" w:rsidR="00492161" w:rsidRPr="001234AB" w:rsidRDefault="00492161" w:rsidP="00F807BD">
      <w:pPr>
        <w:spacing w:line="360" w:lineRule="auto"/>
        <w:rPr>
          <w:rFonts w:ascii="Times New Roman" w:hAnsi="Times New Roman" w:cs="Times New Roman"/>
          <w:sz w:val="24"/>
          <w:szCs w:val="24"/>
          <w:lang w:val="en-US"/>
        </w:rPr>
      </w:pPr>
    </w:p>
    <w:p w14:paraId="58516AFA" w14:textId="12AA84CE" w:rsidR="00492161" w:rsidRPr="001234AB" w:rsidRDefault="00561CE4" w:rsidP="00F807BD">
      <w:pPr>
        <w:spacing w:line="360" w:lineRule="auto"/>
        <w:rPr>
          <w:rFonts w:ascii="Times New Roman" w:hAnsi="Times New Roman" w:cs="Times New Roman"/>
          <w:b/>
          <w:bCs/>
          <w:sz w:val="24"/>
          <w:szCs w:val="24"/>
          <w:lang w:val="en-US"/>
        </w:rPr>
      </w:pP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r w:rsidR="00FB5950" w:rsidRPr="001234AB">
        <w:rPr>
          <w:rFonts w:ascii="Times New Roman" w:hAnsi="Times New Roman" w:cs="Times New Roman"/>
          <w:b/>
          <w:bCs/>
          <w:sz w:val="24"/>
          <w:szCs w:val="24"/>
          <w:lang w:val="en-US"/>
        </w:rPr>
        <w:lastRenderedPageBreak/>
        <w:br/>
      </w:r>
      <w:r w:rsidR="001C5258" w:rsidRPr="001234AB">
        <w:rPr>
          <w:rFonts w:ascii="Times New Roman" w:hAnsi="Times New Roman" w:cs="Times New Roman"/>
          <w:b/>
          <w:bCs/>
          <w:sz w:val="24"/>
          <w:szCs w:val="24"/>
          <w:lang w:val="en-US"/>
        </w:rPr>
        <w:t>Chapter 3: Empirical analysis</w:t>
      </w:r>
    </w:p>
    <w:p w14:paraId="763C28B3" w14:textId="33A0D60A" w:rsidR="00CD692E" w:rsidRPr="001234AB" w:rsidRDefault="001C5258" w:rsidP="00373CA7">
      <w:pPr>
        <w:spacing w:line="360" w:lineRule="auto"/>
        <w:rPr>
          <w:rFonts w:ascii="Times New Roman" w:hAnsi="Times New Roman" w:cs="Times New Roman"/>
          <w:sz w:val="24"/>
          <w:szCs w:val="24"/>
          <w:lang w:val="en-US"/>
        </w:rPr>
      </w:pPr>
      <w:r w:rsidRPr="00F116D2">
        <w:rPr>
          <w:rFonts w:ascii="Times New Roman" w:hAnsi="Times New Roman" w:cs="Times New Roman"/>
          <w:b/>
          <w:bCs/>
          <w:i/>
          <w:iCs/>
          <w:sz w:val="24"/>
          <w:szCs w:val="24"/>
          <w:lang w:val="en-US"/>
        </w:rPr>
        <w:t xml:space="preserve">3.1 </w:t>
      </w:r>
      <w:r w:rsidR="00561CE4" w:rsidRPr="00F116D2">
        <w:rPr>
          <w:rFonts w:ascii="Times New Roman" w:hAnsi="Times New Roman" w:cs="Times New Roman"/>
          <w:b/>
          <w:bCs/>
          <w:i/>
          <w:iCs/>
          <w:sz w:val="24"/>
          <w:szCs w:val="24"/>
          <w:lang w:val="en-US"/>
        </w:rPr>
        <w:t>Contextualizing EU’s Eurobonds</w:t>
      </w:r>
      <w:r w:rsidR="002E2938" w:rsidRPr="00F116D2">
        <w:rPr>
          <w:rFonts w:ascii="Times New Roman" w:hAnsi="Times New Roman" w:cs="Times New Roman"/>
          <w:b/>
          <w:bCs/>
          <w:i/>
          <w:iCs/>
          <w:sz w:val="24"/>
          <w:szCs w:val="24"/>
          <w:lang w:val="en-US"/>
        </w:rPr>
        <w:t xml:space="preserve"> proposals</w:t>
      </w:r>
      <w:r w:rsidR="00492161" w:rsidRPr="00F116D2">
        <w:rPr>
          <w:rFonts w:ascii="Times New Roman" w:hAnsi="Times New Roman" w:cs="Times New Roman"/>
          <w:b/>
          <w:bCs/>
          <w:i/>
          <w:iCs/>
          <w:sz w:val="24"/>
          <w:szCs w:val="24"/>
          <w:lang w:val="en-US"/>
        </w:rPr>
        <w:br/>
      </w:r>
      <w:r w:rsidR="00492161" w:rsidRPr="001234AB">
        <w:rPr>
          <w:rFonts w:ascii="Times New Roman" w:hAnsi="Times New Roman" w:cs="Times New Roman"/>
          <w:sz w:val="24"/>
          <w:szCs w:val="24"/>
          <w:lang w:val="en-US"/>
        </w:rPr>
        <w:t xml:space="preserve">In order to lay out an empirical analysis answering the research question, it is important to first expand on the explanandum as presented in the introduction. It is important to note that this thesis is not necessarily concerned with making an analogy between the Eurozone crisis and the economic crisis of 2020. However, because the implementation of a common debt instrument was proposed first during the Eurozone crisis, it is valuable to contextualize said crisis and the debate surrounding the issuance of Eurobonds. Afterwards, </w:t>
      </w:r>
      <w:r w:rsidR="00561CE4" w:rsidRPr="001234AB">
        <w:rPr>
          <w:rFonts w:ascii="Times New Roman" w:hAnsi="Times New Roman" w:cs="Times New Roman"/>
          <w:sz w:val="24"/>
          <w:szCs w:val="24"/>
          <w:lang w:val="en-US"/>
        </w:rPr>
        <w:t>the 2020 pandemic and the subsequent proposals to issue common debt are contextualized.</w:t>
      </w:r>
      <w:r w:rsidR="00561CE4"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Pr="00F116D2">
        <w:rPr>
          <w:rFonts w:ascii="Times New Roman" w:hAnsi="Times New Roman" w:cs="Times New Roman"/>
          <w:i/>
          <w:iCs/>
          <w:sz w:val="24"/>
          <w:szCs w:val="24"/>
          <w:lang w:val="en-US"/>
        </w:rPr>
        <w:t xml:space="preserve">3.1.1 </w:t>
      </w:r>
      <w:r w:rsidR="00492161" w:rsidRPr="00F116D2">
        <w:rPr>
          <w:rFonts w:ascii="Times New Roman" w:hAnsi="Times New Roman" w:cs="Times New Roman"/>
          <w:i/>
          <w:iCs/>
          <w:sz w:val="24"/>
          <w:szCs w:val="24"/>
          <w:lang w:val="en-US"/>
        </w:rPr>
        <w:t>The sovereign debt crisis and the Commission’s failed Eurobonds</w:t>
      </w:r>
      <w:r w:rsidRPr="00F116D2">
        <w:rPr>
          <w:rFonts w:ascii="Times New Roman" w:hAnsi="Times New Roman" w:cs="Times New Roman"/>
          <w:i/>
          <w:iCs/>
          <w:sz w:val="24"/>
          <w:szCs w:val="24"/>
          <w:lang w:val="en-US"/>
        </w:rPr>
        <w:t xml:space="preserve"> proposal</w:t>
      </w:r>
      <w:r w:rsidR="00492161" w:rsidRPr="00F116D2">
        <w:rPr>
          <w:rFonts w:ascii="Times New Roman" w:hAnsi="Times New Roman" w:cs="Times New Roman"/>
          <w:i/>
          <w:iCs/>
          <w:sz w:val="24"/>
          <w:szCs w:val="24"/>
          <w:lang w:val="en-US"/>
        </w:rPr>
        <w:br/>
      </w:r>
      <w:r w:rsidR="00492161" w:rsidRPr="001234AB">
        <w:rPr>
          <w:rFonts w:ascii="Times New Roman" w:hAnsi="Times New Roman" w:cs="Times New Roman"/>
          <w:sz w:val="24"/>
          <w:szCs w:val="24"/>
          <w:lang w:val="en-US"/>
        </w:rPr>
        <w:t>In 2011, it became manifest that the Eurozone crisis reached systemic proportions when multiple countries in the EU required a bailout, being unable to refinance its large government debt (Matthijs &amp; McNamara, 2015, p. 238; van Apeldoorn &amp; Horn, 2018, p. 16). There were fears of an actual break-up of the EU and it was clear that an adjustment to European fiscal policy was required. In an explicit attempt to deepen European fiscal integration, the European Commission (2011) followed up on some independent policy proposals and presented a Green Paper assessing the feasibility of establishing a common debt instrumen</w:t>
      </w:r>
      <w:r w:rsidR="00603DE8" w:rsidRPr="001234AB">
        <w:rPr>
          <w:rFonts w:ascii="Times New Roman" w:hAnsi="Times New Roman" w:cs="Times New Roman"/>
          <w:sz w:val="24"/>
          <w:szCs w:val="24"/>
          <w:lang w:val="en-US"/>
        </w:rPr>
        <w:t>t</w:t>
      </w:r>
      <w:r w:rsidR="00492161" w:rsidRPr="001234AB">
        <w:rPr>
          <w:rFonts w:ascii="Times New Roman" w:hAnsi="Times New Roman" w:cs="Times New Roman"/>
          <w:sz w:val="24"/>
          <w:szCs w:val="24"/>
          <w:lang w:val="en-US"/>
        </w:rPr>
        <w:t xml:space="preserve"> the Commission called ‘Stability Bonds’. This common debt instrument was to strengthen the macroeconomic governance framework of the Eurozone and ensure the overall integrity of the Euro (Matthijs &amp; McNamara, 2015, p. 236). The Commission (2011) argued that the introduction of the common debt instrument “could potentially quickly alleviate the current sovereign debt crisis, as the high-yield Member States could benefit from stronger creditworthiness of the low-yield Member States.” This common debt instrument would imply that weaker Member States – mostly Southern countries – could access liquidity under better conditions, backed by the strong joint credit of the Eurozone as a whole. The other side of the </w:t>
      </w:r>
      <w:proofErr w:type="gramStart"/>
      <w:r w:rsidR="00492161" w:rsidRPr="001234AB">
        <w:rPr>
          <w:rFonts w:ascii="Times New Roman" w:hAnsi="Times New Roman" w:cs="Times New Roman"/>
          <w:sz w:val="24"/>
          <w:szCs w:val="24"/>
          <w:lang w:val="en-US"/>
        </w:rPr>
        <w:t>Eurobond</w:t>
      </w:r>
      <w:r w:rsidR="00603DE8" w:rsidRPr="001234AB">
        <w:rPr>
          <w:rFonts w:ascii="Times New Roman" w:hAnsi="Times New Roman" w:cs="Times New Roman"/>
          <w:sz w:val="24"/>
          <w:szCs w:val="24"/>
          <w:lang w:val="en-US"/>
        </w:rPr>
        <w:t>s</w:t>
      </w:r>
      <w:proofErr w:type="gramEnd"/>
      <w:r w:rsidR="00492161" w:rsidRPr="001234AB">
        <w:rPr>
          <w:rFonts w:ascii="Times New Roman" w:hAnsi="Times New Roman" w:cs="Times New Roman"/>
          <w:sz w:val="24"/>
          <w:szCs w:val="24"/>
          <w:lang w:val="en-US"/>
        </w:rPr>
        <w:t xml:space="preserve"> coin would mean that stronger states would be jointly liable for the debt of weaker states, that is, mutualizing the debt, and be jointly accountable for their possible defaults.</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The proposal of a common debt instrument became subject to a fierce political debate, highlighting sharp divisions among Member States on the issue of European-level fiscal </w:t>
      </w:r>
      <w:r w:rsidR="00492161" w:rsidRPr="001234AB">
        <w:rPr>
          <w:rFonts w:ascii="Times New Roman" w:hAnsi="Times New Roman" w:cs="Times New Roman"/>
          <w:sz w:val="24"/>
          <w:szCs w:val="24"/>
          <w:lang w:val="en-US"/>
        </w:rPr>
        <w:lastRenderedPageBreak/>
        <w:t>policy. On the one hand, proponents echoed the Commission’s goal of boosting integration and the efficiency of financial markets in the Euro area, with Italian Economy Minister Giulio Tremonti naming jointly issued bonds the master solution to the sovereign debt crisis (De Grauwe, 2012;</w:t>
      </w:r>
      <w:r w:rsidR="004F7B0F" w:rsidRPr="001234AB">
        <w:rPr>
          <w:rFonts w:ascii="Times New Roman" w:hAnsi="Times New Roman" w:cs="Times New Roman"/>
          <w:sz w:val="24"/>
          <w:szCs w:val="24"/>
          <w:lang w:val="en-US"/>
        </w:rPr>
        <w:t xml:space="preserve"> “Italy backs euro”, 2011; </w:t>
      </w:r>
      <w:proofErr w:type="spellStart"/>
      <w:r w:rsidR="00492161" w:rsidRPr="001234AB">
        <w:rPr>
          <w:rFonts w:ascii="Times New Roman" w:hAnsi="Times New Roman" w:cs="Times New Roman"/>
          <w:sz w:val="24"/>
          <w:szCs w:val="24"/>
          <w:lang w:val="en-US"/>
        </w:rPr>
        <w:t>Muellbauer</w:t>
      </w:r>
      <w:proofErr w:type="spellEnd"/>
      <w:r w:rsidR="00492161" w:rsidRPr="001234AB">
        <w:rPr>
          <w:rFonts w:ascii="Times New Roman" w:hAnsi="Times New Roman" w:cs="Times New Roman"/>
          <w:sz w:val="24"/>
          <w:szCs w:val="24"/>
          <w:lang w:val="en-US"/>
        </w:rPr>
        <w:t xml:space="preserve">, 2013).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On the other hand, fiscally conservative countries such as Finland, Austria, the Netherlands, and Germany, stressed risks of moral hazard, fearing fiscal irresponsibility among Member States (Matthijs &amp; McNamara, 2015, pp. 235, 238). These member states expressed a general reluctance to debt mutualization and risk-sharing. The moral hazard debate was dominated by the argument of fiscal profligacy by the weaker Southern states, being unable to maintain fiscal discipline and, thus, for the time being, Eurobonds were off the table (Matthijs &amp; Blyth, 2015; </w:t>
      </w:r>
      <w:r w:rsidR="004F7B0F" w:rsidRPr="001234AB">
        <w:rPr>
          <w:rFonts w:ascii="Times New Roman" w:hAnsi="Times New Roman" w:cs="Times New Roman"/>
          <w:sz w:val="24"/>
          <w:szCs w:val="24"/>
          <w:lang w:val="en-US"/>
        </w:rPr>
        <w:t xml:space="preserve">Matthijs &amp; McNamara, 2015; </w:t>
      </w:r>
      <w:r w:rsidR="00492161" w:rsidRPr="001234AB">
        <w:rPr>
          <w:rFonts w:ascii="Times New Roman" w:hAnsi="Times New Roman" w:cs="Times New Roman"/>
          <w:sz w:val="24"/>
          <w:szCs w:val="24"/>
          <w:lang w:val="en-US"/>
        </w:rPr>
        <w:t>van Apeldoorn &amp; Horn, 2018, p. 17).</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Pr="00F116D2">
        <w:rPr>
          <w:rFonts w:ascii="Times New Roman" w:hAnsi="Times New Roman" w:cs="Times New Roman"/>
          <w:i/>
          <w:iCs/>
          <w:sz w:val="24"/>
          <w:szCs w:val="24"/>
          <w:lang w:val="en-US"/>
        </w:rPr>
        <w:t xml:space="preserve">3.1.2 </w:t>
      </w:r>
      <w:r w:rsidR="00492161" w:rsidRPr="00F116D2">
        <w:rPr>
          <w:rFonts w:ascii="Times New Roman" w:hAnsi="Times New Roman" w:cs="Times New Roman"/>
          <w:i/>
          <w:iCs/>
          <w:sz w:val="24"/>
          <w:szCs w:val="24"/>
          <w:lang w:val="en-US"/>
        </w:rPr>
        <w:t xml:space="preserve">The 2020 pandemic and the Commission’s successful </w:t>
      </w:r>
      <w:r w:rsidRPr="00F116D2">
        <w:rPr>
          <w:rFonts w:ascii="Times New Roman" w:hAnsi="Times New Roman" w:cs="Times New Roman"/>
          <w:i/>
          <w:iCs/>
          <w:sz w:val="24"/>
          <w:szCs w:val="24"/>
          <w:lang w:val="en-US"/>
        </w:rPr>
        <w:t>Euro</w:t>
      </w:r>
      <w:r w:rsidR="00492161" w:rsidRPr="00F116D2">
        <w:rPr>
          <w:rFonts w:ascii="Times New Roman" w:hAnsi="Times New Roman" w:cs="Times New Roman"/>
          <w:i/>
          <w:iCs/>
          <w:sz w:val="24"/>
          <w:szCs w:val="24"/>
          <w:lang w:val="en-US"/>
        </w:rPr>
        <w:t>bonds</w:t>
      </w:r>
      <w:r w:rsidRPr="00F116D2">
        <w:rPr>
          <w:rFonts w:ascii="Times New Roman" w:hAnsi="Times New Roman" w:cs="Times New Roman"/>
          <w:i/>
          <w:iCs/>
          <w:sz w:val="24"/>
          <w:szCs w:val="24"/>
          <w:lang w:val="en-US"/>
        </w:rPr>
        <w:t xml:space="preserve"> proposal</w:t>
      </w:r>
      <w:r w:rsidR="00492161" w:rsidRPr="00F116D2">
        <w:rPr>
          <w:rFonts w:ascii="Times New Roman" w:hAnsi="Times New Roman" w:cs="Times New Roman"/>
          <w:i/>
          <w:iCs/>
          <w:sz w:val="24"/>
          <w:szCs w:val="24"/>
          <w:lang w:val="en-US"/>
        </w:rPr>
        <w:br/>
      </w:r>
      <w:r w:rsidR="00492161" w:rsidRPr="001234AB">
        <w:rPr>
          <w:rFonts w:ascii="Times New Roman" w:hAnsi="Times New Roman" w:cs="Times New Roman"/>
          <w:sz w:val="24"/>
          <w:szCs w:val="24"/>
          <w:lang w:val="en-US"/>
        </w:rPr>
        <w:t xml:space="preserve">In light of the economic crisis triggered by the 2020 pandemic, the implementation of a common debt instrument was once again proposed. On 25 March 2020, nine Eurozone countries, consisting of countries hit the hardest by the pandemic, sent a letter to the president of the EU Council, Charles Michel, requesting the implementation of a common debt instrument – </w:t>
      </w:r>
      <w:proofErr w:type="gramStart"/>
      <w:r w:rsidR="00492161" w:rsidRPr="001234AB">
        <w:rPr>
          <w:rFonts w:ascii="Times New Roman" w:hAnsi="Times New Roman" w:cs="Times New Roman"/>
          <w:sz w:val="24"/>
          <w:szCs w:val="24"/>
          <w:lang w:val="en-US"/>
        </w:rPr>
        <w:t>labelled  corona</w:t>
      </w:r>
      <w:proofErr w:type="gramEnd"/>
      <w:r w:rsidR="00492161" w:rsidRPr="001234AB">
        <w:rPr>
          <w:rFonts w:ascii="Times New Roman" w:hAnsi="Times New Roman" w:cs="Times New Roman"/>
          <w:sz w:val="24"/>
          <w:szCs w:val="24"/>
          <w:lang w:val="en-US"/>
        </w:rPr>
        <w:t xml:space="preserve"> bonds - to address the financial impact of the coronavirus crisis (Letter of the nine, 2020). The letter stated that the mutualization of debt was necessary to ensure long-term financing for policies needed to combat the damage caused by this pandemic. On 26 March, a meeting of EU Heads of State intended to display EU’s unity, instead emphasized sharp divisions (</w:t>
      </w:r>
      <w:proofErr w:type="spellStart"/>
      <w:r w:rsidR="00492161" w:rsidRPr="001234AB">
        <w:rPr>
          <w:rFonts w:ascii="Times New Roman" w:hAnsi="Times New Roman" w:cs="Times New Roman"/>
          <w:sz w:val="24"/>
          <w:szCs w:val="24"/>
          <w:lang w:val="en-US"/>
        </w:rPr>
        <w:t>Herszenhorn</w:t>
      </w:r>
      <w:proofErr w:type="spellEnd"/>
      <w:r w:rsidR="00492161" w:rsidRPr="001234AB">
        <w:rPr>
          <w:rFonts w:ascii="Times New Roman" w:hAnsi="Times New Roman" w:cs="Times New Roman"/>
          <w:sz w:val="24"/>
          <w:szCs w:val="24"/>
          <w:lang w:val="en-US"/>
        </w:rPr>
        <w:t xml:space="preserve"> et al., 2020</w:t>
      </w:r>
      <w:r w:rsidR="008E5A5D" w:rsidRPr="001234AB">
        <w:rPr>
          <w:rFonts w:ascii="Times New Roman" w:hAnsi="Times New Roman" w:cs="Times New Roman"/>
          <w:sz w:val="24"/>
          <w:szCs w:val="24"/>
          <w:lang w:val="en-US"/>
        </w:rPr>
        <w:t>a</w:t>
      </w:r>
      <w:r w:rsidR="00492161"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 The fiscally conservative coalition that blocked Eurobonds during the sovereign debt crisis, now consisting of Austria, Denmark, the Netherlands, Finland, and Germany, once again resisted a debt mutualization proposal, essentially for the same reasons as it did a decade earlier</w:t>
      </w:r>
      <w:r w:rsidR="00373CA7">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In May 2020, a breakthrough followed when France and Germany called for a temporary €500 billion Recovery fund that would provide liquidity to the member states affected by the crisis (</w:t>
      </w:r>
      <w:proofErr w:type="spellStart"/>
      <w:r w:rsidR="00492161" w:rsidRPr="001234AB">
        <w:rPr>
          <w:rFonts w:ascii="Times New Roman" w:hAnsi="Times New Roman" w:cs="Times New Roman"/>
          <w:sz w:val="24"/>
          <w:szCs w:val="24"/>
          <w:lang w:val="en-US"/>
        </w:rPr>
        <w:t>Tesche</w:t>
      </w:r>
      <w:proofErr w:type="spellEnd"/>
      <w:r w:rsidR="00492161" w:rsidRPr="001234AB">
        <w:rPr>
          <w:rFonts w:ascii="Times New Roman" w:hAnsi="Times New Roman" w:cs="Times New Roman"/>
          <w:sz w:val="24"/>
          <w:szCs w:val="24"/>
          <w:lang w:val="en-US"/>
        </w:rPr>
        <w:t>, 2022, p. 481). This proposal by the French-German alliance would enable the Commission, for the first time in European history, to borrow on the capital markets on behalf of the EU (</w:t>
      </w:r>
      <w:proofErr w:type="spellStart"/>
      <w:r w:rsidR="00492161" w:rsidRPr="001234AB">
        <w:rPr>
          <w:rFonts w:ascii="Times New Roman" w:hAnsi="Times New Roman" w:cs="Times New Roman"/>
          <w:sz w:val="24"/>
          <w:szCs w:val="24"/>
          <w:lang w:val="en-US"/>
        </w:rPr>
        <w:t>Tesche</w:t>
      </w:r>
      <w:proofErr w:type="spellEnd"/>
      <w:r w:rsidR="00492161" w:rsidRPr="001234AB">
        <w:rPr>
          <w:rFonts w:ascii="Times New Roman" w:hAnsi="Times New Roman" w:cs="Times New Roman"/>
          <w:sz w:val="24"/>
          <w:szCs w:val="24"/>
          <w:lang w:val="en-US"/>
        </w:rPr>
        <w:t>, 2022, p. 489). After Germany’s staunch opposition to Eurobond</w:t>
      </w:r>
      <w:r w:rsidR="00603DE8" w:rsidRPr="001234AB">
        <w:rPr>
          <w:rFonts w:ascii="Times New Roman" w:hAnsi="Times New Roman" w:cs="Times New Roman"/>
          <w:sz w:val="24"/>
          <w:szCs w:val="24"/>
          <w:lang w:val="en-US"/>
        </w:rPr>
        <w:t>s</w:t>
      </w:r>
      <w:r w:rsidR="00492161"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lastRenderedPageBreak/>
        <w:t>exemplified by Merkel’s alleged lifelong dedication to the blockage of Eurobonds, Germany took a completely different position on the establishment of a common debt instrument (“</w:t>
      </w:r>
      <w:proofErr w:type="spellStart"/>
      <w:r w:rsidR="00492161" w:rsidRPr="001234AB">
        <w:rPr>
          <w:rFonts w:ascii="Times New Roman" w:hAnsi="Times New Roman" w:cs="Times New Roman"/>
          <w:sz w:val="24"/>
          <w:szCs w:val="24"/>
          <w:lang w:val="en-US"/>
        </w:rPr>
        <w:t>Keine</w:t>
      </w:r>
      <w:proofErr w:type="spellEnd"/>
      <w:r w:rsidR="00492161" w:rsidRPr="001234AB">
        <w:rPr>
          <w:rFonts w:ascii="Times New Roman" w:hAnsi="Times New Roman" w:cs="Times New Roman"/>
          <w:sz w:val="24"/>
          <w:szCs w:val="24"/>
          <w:lang w:val="en-US"/>
        </w:rPr>
        <w:t xml:space="preserve"> Eurobonds”, 2012). During the European Council Meeting in July 2020, rather than continued contestation over common debt issuance, obstacles such as the loans-to-grants ratio, the allocation of funds, rebates and own resources, and attached conditionalities, formed the topic of contention (European Council, 2020</w:t>
      </w:r>
      <w:r w:rsidR="006B39C1" w:rsidRPr="001234AB">
        <w:rPr>
          <w:rFonts w:ascii="Times New Roman" w:hAnsi="Times New Roman" w:cs="Times New Roman"/>
          <w:sz w:val="24"/>
          <w:szCs w:val="24"/>
          <w:lang w:val="en-US"/>
        </w:rPr>
        <w:t>a</w:t>
      </w:r>
      <w:r w:rsidR="00492161" w:rsidRPr="001234AB">
        <w:rPr>
          <w:rFonts w:ascii="Times New Roman" w:hAnsi="Times New Roman" w:cs="Times New Roman"/>
          <w:sz w:val="24"/>
          <w:szCs w:val="24"/>
          <w:lang w:val="en-US"/>
        </w:rPr>
        <w:t xml:space="preserve">). The negotiations were lengthy and challenging, but the major issue that had divided European countries for over a decade – the issuance of common debt – was no longer an obstacle. Indeed, it was firmly established as a foundation for the recovery package.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Pr="00373CA7">
        <w:rPr>
          <w:rFonts w:ascii="Times New Roman" w:hAnsi="Times New Roman" w:cs="Times New Roman"/>
          <w:i/>
          <w:iCs/>
          <w:sz w:val="24"/>
          <w:szCs w:val="24"/>
          <w:lang w:val="en-US"/>
        </w:rPr>
        <w:t xml:space="preserve">3.1.3 </w:t>
      </w:r>
      <w:proofErr w:type="spellStart"/>
      <w:r w:rsidR="00492161" w:rsidRPr="00373CA7">
        <w:rPr>
          <w:rFonts w:ascii="Times New Roman" w:hAnsi="Times New Roman" w:cs="Times New Roman"/>
          <w:i/>
          <w:iCs/>
          <w:sz w:val="24"/>
          <w:szCs w:val="24"/>
          <w:lang w:val="en-US"/>
        </w:rPr>
        <w:t>NextGenerationEU</w:t>
      </w:r>
      <w:proofErr w:type="spellEnd"/>
      <w:r w:rsidR="00492161" w:rsidRPr="00373CA7">
        <w:rPr>
          <w:rFonts w:ascii="Times New Roman" w:hAnsi="Times New Roman" w:cs="Times New Roman"/>
          <w:i/>
          <w:iCs/>
          <w:sz w:val="24"/>
          <w:szCs w:val="24"/>
          <w:lang w:val="en-US"/>
        </w:rPr>
        <w:t xml:space="preserve"> and the Resilience Recovery Facility</w:t>
      </w:r>
      <w:r w:rsidR="00492161" w:rsidRPr="001234AB">
        <w:rPr>
          <w:rFonts w:ascii="Times New Roman" w:hAnsi="Times New Roman" w:cs="Times New Roman"/>
          <w:b/>
          <w:bCs/>
          <w:sz w:val="24"/>
          <w:szCs w:val="24"/>
          <w:lang w:val="en-US"/>
        </w:rPr>
        <w:t xml:space="preserve"> </w:t>
      </w:r>
      <w:r w:rsidR="00492161" w:rsidRPr="001234AB">
        <w:rPr>
          <w:rFonts w:ascii="Times New Roman" w:hAnsi="Times New Roman" w:cs="Times New Roman"/>
          <w:sz w:val="24"/>
          <w:szCs w:val="24"/>
          <w:lang w:val="en-US"/>
        </w:rPr>
        <w:br/>
        <w:t>On 21 July 2020, the European Council</w:t>
      </w:r>
      <w:r w:rsidR="006B39C1" w:rsidRPr="001234AB">
        <w:rPr>
          <w:rFonts w:ascii="Times New Roman" w:hAnsi="Times New Roman" w:cs="Times New Roman"/>
          <w:sz w:val="24"/>
          <w:szCs w:val="24"/>
          <w:lang w:val="en-US"/>
        </w:rPr>
        <w:t xml:space="preserve"> (2020a)</w:t>
      </w:r>
      <w:r w:rsidR="00492161" w:rsidRPr="001234AB">
        <w:rPr>
          <w:rFonts w:ascii="Times New Roman" w:hAnsi="Times New Roman" w:cs="Times New Roman"/>
          <w:sz w:val="24"/>
          <w:szCs w:val="24"/>
          <w:lang w:val="en-US"/>
        </w:rPr>
        <w:t xml:space="preserve"> agreed to launch the temporary recovery instrument </w:t>
      </w:r>
      <w:proofErr w:type="spellStart"/>
      <w:r w:rsidR="00492161" w:rsidRPr="001234AB">
        <w:rPr>
          <w:rFonts w:ascii="Times New Roman" w:hAnsi="Times New Roman" w:cs="Times New Roman"/>
          <w:sz w:val="24"/>
          <w:szCs w:val="24"/>
          <w:lang w:val="en-US"/>
        </w:rPr>
        <w:t>NextGenerationEU</w:t>
      </w:r>
      <w:proofErr w:type="spellEnd"/>
      <w:r w:rsidR="00492161" w:rsidRPr="001234AB">
        <w:rPr>
          <w:rFonts w:ascii="Times New Roman" w:hAnsi="Times New Roman" w:cs="Times New Roman"/>
          <w:sz w:val="24"/>
          <w:szCs w:val="24"/>
          <w:lang w:val="en-US"/>
        </w:rPr>
        <w:t xml:space="preserve"> (NGEU), as proposed by the European Commission (2020a). NGEU aims to aid the EU’s post-pandemic recovery and promote investments in the green and digital transitions. The NGEU is combined with the EU’s 2021-2027 multiannual financial framework (MFF), which is EU’s long-term budget that sets out its spending priorities and limits over a certain timeframe, amounting to a package of €1 824.3 billion</w:t>
      </w:r>
      <w:r w:rsidR="006B39C1" w:rsidRPr="001234AB">
        <w:rPr>
          <w:rFonts w:ascii="Times New Roman" w:hAnsi="Times New Roman" w:cs="Times New Roman"/>
          <w:sz w:val="24"/>
          <w:szCs w:val="24"/>
          <w:lang w:val="en-US"/>
        </w:rPr>
        <w:t xml:space="preserve"> (European Council, 2020b). </w:t>
      </w:r>
      <w:r w:rsidR="00492161" w:rsidRPr="001234AB">
        <w:rPr>
          <w:rFonts w:ascii="Times New Roman" w:hAnsi="Times New Roman" w:cs="Times New Roman"/>
          <w:sz w:val="24"/>
          <w:szCs w:val="24"/>
          <w:lang w:val="en-US"/>
        </w:rPr>
        <w:t xml:space="preserve">The </w:t>
      </w:r>
      <w:proofErr w:type="spellStart"/>
      <w:r w:rsidR="00492161" w:rsidRPr="001234AB">
        <w:rPr>
          <w:rFonts w:ascii="Times New Roman" w:hAnsi="Times New Roman" w:cs="Times New Roman"/>
          <w:sz w:val="24"/>
          <w:szCs w:val="24"/>
          <w:lang w:val="en-US"/>
        </w:rPr>
        <w:t>centrepiece</w:t>
      </w:r>
      <w:proofErr w:type="spellEnd"/>
      <w:r w:rsidR="00492161" w:rsidRPr="001234AB">
        <w:rPr>
          <w:rFonts w:ascii="Times New Roman" w:hAnsi="Times New Roman" w:cs="Times New Roman"/>
          <w:sz w:val="24"/>
          <w:szCs w:val="24"/>
          <w:lang w:val="en-US"/>
        </w:rPr>
        <w:t xml:space="preserve"> </w:t>
      </w:r>
      <w:r w:rsidR="004F7B0F" w:rsidRPr="001234AB">
        <w:rPr>
          <w:rFonts w:ascii="Times New Roman" w:hAnsi="Times New Roman" w:cs="Times New Roman"/>
          <w:sz w:val="24"/>
          <w:szCs w:val="24"/>
          <w:lang w:val="en-US"/>
        </w:rPr>
        <w:t xml:space="preserve">RRF </w:t>
      </w:r>
      <w:r w:rsidR="00492161" w:rsidRPr="001234AB">
        <w:rPr>
          <w:rFonts w:ascii="Times New Roman" w:hAnsi="Times New Roman" w:cs="Times New Roman"/>
          <w:sz w:val="24"/>
          <w:szCs w:val="24"/>
          <w:lang w:val="en-US"/>
        </w:rPr>
        <w:t>offers grants and loans to support reforms and investment in the EU member states for a total of €723.8 billion in current prices</w:t>
      </w:r>
      <w:r w:rsidR="006B39C1"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 xml:space="preserve"> The reforms and investments should adhere to the European Semester’s key objectives, consisting of economic stability, digitization, productivity, the Green Deal, and social fairness</w:t>
      </w:r>
      <w:r w:rsidR="006B39C1"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Additionally, the reforms and investments should adequately tackle identified challenges, particularly those outlined in the country-specific recommendations adopted by the Council.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In order to finance this, the Commission is authorized to borrow funds on the capital markets on behalf of the Union</w:t>
      </w:r>
      <w:r w:rsidR="00B546FE"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establishing a large common debt instrument. The Eurobonds are issued outside EU’s regular budget framework, meaning they are not subject to the same budgetary processes as the standard annual EU budget. Repayment of EU borrowing will commence in 2028 and continue until 2058 </w:t>
      </w:r>
      <w:r w:rsidR="00B546FE" w:rsidRPr="001234AB">
        <w:rPr>
          <w:rFonts w:ascii="Times New Roman" w:hAnsi="Times New Roman" w:cs="Times New Roman"/>
          <w:sz w:val="24"/>
          <w:szCs w:val="24"/>
          <w:lang w:val="en-US"/>
        </w:rPr>
        <w:t xml:space="preserve">(European Council, 2020a, p. 2). </w:t>
      </w:r>
      <w:r w:rsidR="00492161" w:rsidRPr="001234AB">
        <w:rPr>
          <w:rFonts w:ascii="Times New Roman" w:hAnsi="Times New Roman" w:cs="Times New Roman"/>
          <w:sz w:val="24"/>
          <w:szCs w:val="24"/>
          <w:lang w:val="en-US"/>
        </w:rPr>
        <w:t xml:space="preserve">Grants will be repaid by the EU budget, while loans will be repaid by the borrowing member states. To facilitate the repayment of grants, the Commission has introduced additional own resources, including various taxes, levies, and contributions from member states </w:t>
      </w:r>
      <w:r w:rsidR="00B546FE" w:rsidRPr="001234AB">
        <w:rPr>
          <w:rFonts w:ascii="Times New Roman" w:hAnsi="Times New Roman" w:cs="Times New Roman"/>
          <w:sz w:val="24"/>
          <w:szCs w:val="24"/>
          <w:lang w:val="en-US"/>
        </w:rPr>
        <w:t xml:space="preserve">(European Council, 2020a, pp. 4, 8). </w:t>
      </w:r>
      <w:r w:rsidR="00492161" w:rsidRPr="001234AB">
        <w:rPr>
          <w:rFonts w:ascii="Times New Roman" w:hAnsi="Times New Roman" w:cs="Times New Roman"/>
          <w:sz w:val="24"/>
          <w:szCs w:val="24"/>
          <w:lang w:val="en-US"/>
        </w:rPr>
        <w:t xml:space="preserve">To ensure favorable borrowing conditions and maintain a high credit rating, sufficient headroom is necessary for potential economic losses. Therefore, the EU has raised </w:t>
      </w:r>
      <w:r w:rsidR="00492161" w:rsidRPr="001234AB">
        <w:rPr>
          <w:rFonts w:ascii="Times New Roman" w:hAnsi="Times New Roman" w:cs="Times New Roman"/>
          <w:sz w:val="24"/>
          <w:szCs w:val="24"/>
          <w:lang w:val="en-US"/>
        </w:rPr>
        <w:lastRenderedPageBreak/>
        <w:t xml:space="preserve">the Permanent Own Resources Ceiling of its budget by 0.6 percentage points of the EU's Gross National Income, increasing it from 1.4% to 2.0% </w:t>
      </w:r>
      <w:r w:rsidR="00B546FE" w:rsidRPr="001234AB">
        <w:rPr>
          <w:rFonts w:ascii="Times New Roman" w:hAnsi="Times New Roman" w:cs="Times New Roman"/>
          <w:sz w:val="24"/>
          <w:szCs w:val="24"/>
          <w:lang w:val="en-US"/>
        </w:rPr>
        <w:t xml:space="preserve">(European Council, 2020a, p. 3). </w:t>
      </w:r>
      <w:r w:rsidR="00492161" w:rsidRPr="001234AB">
        <w:rPr>
          <w:rFonts w:ascii="Times New Roman" w:hAnsi="Times New Roman" w:cs="Times New Roman"/>
          <w:sz w:val="24"/>
          <w:szCs w:val="24"/>
          <w:lang w:val="en-US"/>
        </w:rPr>
        <w:t>This adjustment does not immediately require individual member states to contribute more, but it guarantees future budgets post-2028, thereby enhancing the EU’s ability to finance NGEU through borrowing. This budget increase will remain in effect until 2058, when the NGEU borrowing is fully repaid.</w:t>
      </w:r>
      <w:r w:rsidR="00492161" w:rsidRPr="001234AB">
        <w:rPr>
          <w:rFonts w:ascii="Times New Roman" w:hAnsi="Times New Roman" w:cs="Times New Roman"/>
          <w:sz w:val="24"/>
          <w:szCs w:val="24"/>
          <w:lang w:val="en-US"/>
        </w:rPr>
        <w:br/>
      </w:r>
      <w:r w:rsidR="009C5393" w:rsidRPr="001234AB">
        <w:rPr>
          <w:rFonts w:ascii="Times New Roman" w:hAnsi="Times New Roman" w:cs="Times New Roman"/>
          <w:b/>
          <w:bCs/>
          <w:sz w:val="24"/>
          <w:szCs w:val="24"/>
          <w:lang w:val="en-US"/>
        </w:rPr>
        <w:br/>
      </w:r>
      <w:r w:rsidRPr="00373CA7">
        <w:rPr>
          <w:rFonts w:ascii="Times New Roman" w:hAnsi="Times New Roman" w:cs="Times New Roman"/>
          <w:b/>
          <w:bCs/>
          <w:i/>
          <w:iCs/>
          <w:sz w:val="24"/>
          <w:szCs w:val="24"/>
          <w:lang w:val="en-US"/>
        </w:rPr>
        <w:t xml:space="preserve">3.2. Analysis: </w:t>
      </w:r>
      <w:r w:rsidR="00492161" w:rsidRPr="00373CA7">
        <w:rPr>
          <w:rFonts w:ascii="Times New Roman" w:hAnsi="Times New Roman" w:cs="Times New Roman"/>
          <w:b/>
          <w:bCs/>
          <w:i/>
          <w:iCs/>
          <w:sz w:val="24"/>
          <w:szCs w:val="24"/>
          <w:lang w:val="en-US"/>
        </w:rPr>
        <w:t>Financialization and the dominance of the financial capital fraction</w:t>
      </w:r>
      <w:r w:rsidR="00492161" w:rsidRPr="00373CA7">
        <w:rPr>
          <w:rFonts w:ascii="Times New Roman" w:hAnsi="Times New Roman" w:cs="Times New Roman"/>
          <w:i/>
          <w:iCs/>
          <w:sz w:val="24"/>
          <w:szCs w:val="24"/>
          <w:lang w:val="en-US"/>
        </w:rPr>
        <w:br/>
      </w:r>
      <w:r w:rsidR="00492161" w:rsidRPr="001234AB">
        <w:rPr>
          <w:rFonts w:ascii="Times New Roman" w:hAnsi="Times New Roman" w:cs="Times New Roman"/>
          <w:sz w:val="24"/>
          <w:szCs w:val="24"/>
          <w:lang w:val="en-US"/>
        </w:rPr>
        <w:t>Since the 1990s, European integration has been marked by the transition towards a European financial capitalism (</w:t>
      </w:r>
      <w:proofErr w:type="spellStart"/>
      <w:r w:rsidR="00492161" w:rsidRPr="001234AB">
        <w:rPr>
          <w:rFonts w:ascii="Times New Roman" w:hAnsi="Times New Roman" w:cs="Times New Roman"/>
          <w:sz w:val="24"/>
          <w:szCs w:val="24"/>
          <w:lang w:val="en-US"/>
        </w:rPr>
        <w:t>Bieling</w:t>
      </w:r>
      <w:proofErr w:type="spellEnd"/>
      <w:r w:rsidR="00492161" w:rsidRPr="001234AB">
        <w:rPr>
          <w:rFonts w:ascii="Times New Roman" w:hAnsi="Times New Roman" w:cs="Times New Roman"/>
          <w:sz w:val="24"/>
          <w:szCs w:val="24"/>
          <w:lang w:val="en-US"/>
        </w:rPr>
        <w:t xml:space="preserve"> et al.</w:t>
      </w:r>
      <w:r w:rsidR="004D5E5C"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 xml:space="preserve"> 201</w:t>
      </w:r>
      <w:r w:rsidR="00561CE4" w:rsidRPr="001234AB">
        <w:rPr>
          <w:rFonts w:ascii="Times New Roman" w:hAnsi="Times New Roman" w:cs="Times New Roman"/>
          <w:sz w:val="24"/>
          <w:szCs w:val="24"/>
          <w:lang w:val="en-US"/>
        </w:rPr>
        <w:t>6</w:t>
      </w:r>
      <w:r w:rsidR="00492161" w:rsidRPr="001234AB">
        <w:rPr>
          <w:rFonts w:ascii="Times New Roman" w:hAnsi="Times New Roman" w:cs="Times New Roman"/>
          <w:sz w:val="24"/>
          <w:szCs w:val="24"/>
          <w:lang w:val="en-US"/>
        </w:rPr>
        <w:t xml:space="preserve">, p. 62, </w:t>
      </w:r>
      <w:proofErr w:type="spellStart"/>
      <w:r w:rsidR="00492161" w:rsidRPr="001234AB">
        <w:rPr>
          <w:rFonts w:ascii="Times New Roman" w:hAnsi="Times New Roman" w:cs="Times New Roman"/>
          <w:sz w:val="24"/>
          <w:szCs w:val="24"/>
          <w:lang w:val="en-US"/>
        </w:rPr>
        <w:t>Bieling</w:t>
      </w:r>
      <w:proofErr w:type="spellEnd"/>
      <w:r w:rsidR="004D5E5C"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201</w:t>
      </w:r>
      <w:r w:rsidR="00561CE4" w:rsidRPr="001234AB">
        <w:rPr>
          <w:rFonts w:ascii="Times New Roman" w:hAnsi="Times New Roman" w:cs="Times New Roman"/>
          <w:sz w:val="24"/>
          <w:szCs w:val="24"/>
          <w:lang w:val="en-US"/>
        </w:rPr>
        <w:t>3</w:t>
      </w:r>
      <w:r w:rsidR="00492161" w:rsidRPr="001234AB">
        <w:rPr>
          <w:rFonts w:ascii="Times New Roman" w:hAnsi="Times New Roman" w:cs="Times New Roman"/>
          <w:sz w:val="24"/>
          <w:szCs w:val="24"/>
          <w:lang w:val="en-US"/>
        </w:rPr>
        <w:t>). This kind of capitalism is characterized by the rise of the transnational accumulation of monetary assets and fictitious capital (</w:t>
      </w:r>
      <w:proofErr w:type="spellStart"/>
      <w:r w:rsidR="00492161" w:rsidRPr="001234AB">
        <w:rPr>
          <w:rFonts w:ascii="Times New Roman" w:hAnsi="Times New Roman" w:cs="Times New Roman"/>
          <w:sz w:val="24"/>
          <w:szCs w:val="24"/>
          <w:lang w:val="en-US"/>
        </w:rPr>
        <w:t>Bieling</w:t>
      </w:r>
      <w:proofErr w:type="spellEnd"/>
      <w:r w:rsidR="00492161" w:rsidRPr="001234AB">
        <w:rPr>
          <w:rFonts w:ascii="Times New Roman" w:hAnsi="Times New Roman" w:cs="Times New Roman"/>
          <w:sz w:val="24"/>
          <w:szCs w:val="24"/>
          <w:lang w:val="en-US"/>
        </w:rPr>
        <w:t xml:space="preserve"> 2013,</w:t>
      </w:r>
      <w:r w:rsidR="00561CE4"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p. 283).</w:t>
      </w:r>
      <w:r w:rsidR="004F7B0F"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This shift happened within a context of structural overaccumulation of capital</w:t>
      </w:r>
      <w:r w:rsidR="0084356C" w:rsidRPr="001234AB">
        <w:rPr>
          <w:rFonts w:ascii="Times New Roman" w:hAnsi="Times New Roman" w:cs="Times New Roman"/>
          <w:sz w:val="24"/>
          <w:szCs w:val="24"/>
          <w:lang w:val="en-US"/>
        </w:rPr>
        <w:t xml:space="preserve"> (see </w:t>
      </w:r>
      <w:r w:rsidR="004F7B0F" w:rsidRPr="001234AB">
        <w:rPr>
          <w:rFonts w:ascii="Times New Roman" w:hAnsi="Times New Roman" w:cs="Times New Roman"/>
          <w:sz w:val="24"/>
          <w:szCs w:val="24"/>
          <w:lang w:val="en-US"/>
        </w:rPr>
        <w:t>F</w:t>
      </w:r>
      <w:r w:rsidR="0084356C" w:rsidRPr="001234AB">
        <w:rPr>
          <w:rFonts w:ascii="Times New Roman" w:hAnsi="Times New Roman" w:cs="Times New Roman"/>
          <w:sz w:val="24"/>
          <w:szCs w:val="24"/>
          <w:lang w:val="en-US"/>
        </w:rPr>
        <w:t>igure</w:t>
      </w:r>
      <w:r w:rsidR="004F7B0F" w:rsidRPr="001234AB">
        <w:rPr>
          <w:rFonts w:ascii="Times New Roman" w:hAnsi="Times New Roman" w:cs="Times New Roman"/>
          <w:sz w:val="24"/>
          <w:szCs w:val="24"/>
          <w:lang w:val="en-US"/>
        </w:rPr>
        <w:t xml:space="preserve"> 1</w:t>
      </w:r>
      <w:r w:rsidR="0084356C" w:rsidRPr="001234AB">
        <w:rPr>
          <w:rFonts w:ascii="Times New Roman" w:hAnsi="Times New Roman" w:cs="Times New Roman"/>
          <w:sz w:val="24"/>
          <w:szCs w:val="24"/>
          <w:lang w:val="en-US"/>
        </w:rPr>
        <w:t>)</w:t>
      </w:r>
      <w:r w:rsidR="004F7B0F"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 xml:space="preserve"> With a shortage of productive investment opportunities, banks and investors soaked up increasing profits, seeking to capitalize on the potential returns available in deregulated financial markets. (</w:t>
      </w:r>
      <w:proofErr w:type="spellStart"/>
      <w:r w:rsidR="00492161" w:rsidRPr="001234AB">
        <w:rPr>
          <w:rFonts w:ascii="Times New Roman" w:hAnsi="Times New Roman" w:cs="Times New Roman"/>
          <w:sz w:val="24"/>
          <w:szCs w:val="24"/>
          <w:lang w:val="en-US"/>
        </w:rPr>
        <w:t>Bieling</w:t>
      </w:r>
      <w:proofErr w:type="spellEnd"/>
      <w:r w:rsidR="00492161" w:rsidRPr="001234AB">
        <w:rPr>
          <w:rFonts w:ascii="Times New Roman" w:hAnsi="Times New Roman" w:cs="Times New Roman"/>
          <w:sz w:val="24"/>
          <w:szCs w:val="24"/>
          <w:lang w:val="en-US"/>
        </w:rPr>
        <w:t xml:space="preserve"> et al.</w:t>
      </w:r>
      <w:r w:rsidR="004D5E5C"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 xml:space="preserve"> 201</w:t>
      </w:r>
      <w:r w:rsidR="004D5E5C" w:rsidRPr="001234AB">
        <w:rPr>
          <w:rFonts w:ascii="Times New Roman" w:hAnsi="Times New Roman" w:cs="Times New Roman"/>
          <w:sz w:val="24"/>
          <w:szCs w:val="24"/>
          <w:lang w:val="en-US"/>
        </w:rPr>
        <w:t>6</w:t>
      </w:r>
      <w:r w:rsidR="00492161" w:rsidRPr="001234AB">
        <w:rPr>
          <w:rFonts w:ascii="Times New Roman" w:hAnsi="Times New Roman" w:cs="Times New Roman"/>
          <w:sz w:val="24"/>
          <w:szCs w:val="24"/>
          <w:lang w:val="en-US"/>
        </w:rPr>
        <w:t>, p.62).</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CD692E" w:rsidRPr="001234AB">
        <w:rPr>
          <w:rFonts w:ascii="Times New Roman" w:hAnsi="Times New Roman" w:cs="Times New Roman"/>
          <w:noProof/>
          <w:sz w:val="24"/>
          <w:szCs w:val="24"/>
          <w:lang w:val="en-US"/>
        </w:rPr>
        <w:drawing>
          <wp:inline distT="0" distB="0" distL="0" distR="0" wp14:anchorId="500F034A" wp14:editId="27FC85AE">
            <wp:extent cx="4580357" cy="2751539"/>
            <wp:effectExtent l="0" t="0" r="0" b="0"/>
            <wp:docPr id="1" name="Picture 1" descr="A graph with a line going 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with a line going up&#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580357" cy="2751539"/>
                    </a:xfrm>
                    <a:prstGeom prst="rect">
                      <a:avLst/>
                    </a:prstGeom>
                  </pic:spPr>
                </pic:pic>
              </a:graphicData>
            </a:graphic>
          </wp:inline>
        </w:drawing>
      </w:r>
    </w:p>
    <w:p w14:paraId="7CF240C7" w14:textId="21426296" w:rsidR="00CD692E" w:rsidRPr="001234AB" w:rsidRDefault="00CD692E" w:rsidP="00F807BD">
      <w:pPr>
        <w:pStyle w:val="Caption"/>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Source: own graph, data from World Bank (2024a)</w:t>
      </w:r>
    </w:p>
    <w:p w14:paraId="4AD7102F" w14:textId="143AB6CF" w:rsidR="00CD692E" w:rsidRPr="001234AB" w:rsidRDefault="00492161" w:rsidP="00F807BD">
      <w:pPr>
        <w:keepNext/>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br/>
        <w:t>While in the most parts of the EU organized labor fraction have significantly weakened in recent decades the financial capital fraction, including investment and transnational commercial banks, investment banks, pension funds, and insurance companies, have increased their economic weight and political power (</w:t>
      </w:r>
      <w:r w:rsidR="004D5E5C" w:rsidRPr="001234AB">
        <w:rPr>
          <w:rFonts w:ascii="Times New Roman" w:hAnsi="Times New Roman" w:cs="Times New Roman"/>
          <w:sz w:val="24"/>
          <w:szCs w:val="24"/>
          <w:lang w:val="en-US"/>
        </w:rPr>
        <w:t>Peters, 2011; Epstein, 2006</w:t>
      </w:r>
      <w:r w:rsidR="004F7B0F" w:rsidRPr="001234AB">
        <w:rPr>
          <w:rFonts w:ascii="Times New Roman" w:hAnsi="Times New Roman" w:cs="Times New Roman"/>
          <w:sz w:val="24"/>
          <w:szCs w:val="24"/>
          <w:lang w:val="en-US"/>
        </w:rPr>
        <w:t>;</w:t>
      </w:r>
      <w:r w:rsidR="004D5E5C" w:rsidRPr="001234AB">
        <w:rPr>
          <w:rFonts w:ascii="Times New Roman" w:hAnsi="Times New Roman" w:cs="Times New Roman"/>
          <w:sz w:val="24"/>
          <w:szCs w:val="24"/>
          <w:lang w:val="en-US"/>
        </w:rPr>
        <w:t xml:space="preserve"> in </w:t>
      </w:r>
      <w:proofErr w:type="spellStart"/>
      <w:r w:rsidR="004D5E5C" w:rsidRPr="001234AB">
        <w:rPr>
          <w:rFonts w:ascii="Times New Roman" w:hAnsi="Times New Roman" w:cs="Times New Roman"/>
          <w:sz w:val="24"/>
          <w:szCs w:val="24"/>
          <w:lang w:val="en-US"/>
        </w:rPr>
        <w:t>Bieling</w:t>
      </w:r>
      <w:proofErr w:type="spellEnd"/>
      <w:r w:rsidR="004D5E5C" w:rsidRPr="001234AB">
        <w:rPr>
          <w:rFonts w:ascii="Times New Roman" w:hAnsi="Times New Roman" w:cs="Times New Roman"/>
          <w:sz w:val="24"/>
          <w:szCs w:val="24"/>
          <w:lang w:val="en-US"/>
        </w:rPr>
        <w:t xml:space="preserve">, </w:t>
      </w:r>
      <w:r w:rsidR="004D5E5C" w:rsidRPr="001234AB">
        <w:rPr>
          <w:rFonts w:ascii="Times New Roman" w:hAnsi="Times New Roman" w:cs="Times New Roman"/>
          <w:sz w:val="24"/>
          <w:szCs w:val="24"/>
          <w:lang w:val="en-US"/>
        </w:rPr>
        <w:lastRenderedPageBreak/>
        <w:t xml:space="preserve">2013, p. 287). </w:t>
      </w:r>
      <w:r w:rsidRPr="001234AB">
        <w:rPr>
          <w:rFonts w:ascii="Times New Roman" w:hAnsi="Times New Roman" w:cs="Times New Roman"/>
          <w:sz w:val="24"/>
          <w:szCs w:val="24"/>
          <w:lang w:val="en-US"/>
        </w:rPr>
        <w:t xml:space="preserve">Research by McKinsey </w:t>
      </w:r>
      <w:r w:rsidR="004D5E5C" w:rsidRPr="001234AB">
        <w:rPr>
          <w:rFonts w:ascii="Times New Roman" w:hAnsi="Times New Roman" w:cs="Times New Roman"/>
          <w:sz w:val="24"/>
          <w:szCs w:val="24"/>
          <w:lang w:val="en-US"/>
        </w:rPr>
        <w:t xml:space="preserve">(2021, p. 100) </w:t>
      </w:r>
      <w:r w:rsidRPr="001234AB">
        <w:rPr>
          <w:rFonts w:ascii="Times New Roman" w:hAnsi="Times New Roman" w:cs="Times New Roman"/>
          <w:sz w:val="24"/>
          <w:szCs w:val="24"/>
          <w:lang w:val="en-US"/>
        </w:rPr>
        <w:t xml:space="preserve">showed that global financial assets have grown significantly over the past 50 years, tripling relative to GDP between 1970 and 2020. Additionally, </w:t>
      </w:r>
      <w:r w:rsidR="004F7B0F" w:rsidRPr="001234AB">
        <w:rPr>
          <w:rFonts w:ascii="Times New Roman" w:hAnsi="Times New Roman" w:cs="Times New Roman"/>
          <w:sz w:val="24"/>
          <w:szCs w:val="24"/>
          <w:lang w:val="en-US"/>
        </w:rPr>
        <w:t xml:space="preserve">Figure 2 </w:t>
      </w:r>
      <w:r w:rsidRPr="001234AB">
        <w:rPr>
          <w:rFonts w:ascii="Times New Roman" w:hAnsi="Times New Roman" w:cs="Times New Roman"/>
          <w:sz w:val="24"/>
          <w:szCs w:val="24"/>
          <w:lang w:val="en-US"/>
        </w:rPr>
        <w:t>illustrates a financialization trend in the EU Member States</w:t>
      </w:r>
      <w:r w:rsidR="006A28BE" w:rsidRPr="001234AB">
        <w:rPr>
          <w:rFonts w:ascii="Times New Roman" w:hAnsi="Times New Roman" w:cs="Times New Roman"/>
          <w:sz w:val="24"/>
          <w:szCs w:val="24"/>
          <w:lang w:val="en-US"/>
        </w:rPr>
        <w:t xml:space="preserve"> as there is a general increase in market capitalization, despite fluctuations. </w:t>
      </w:r>
      <w:r w:rsidRPr="001234AB">
        <w:rPr>
          <w:rFonts w:ascii="Times New Roman" w:hAnsi="Times New Roman" w:cs="Times New Roman"/>
          <w:sz w:val="24"/>
          <w:szCs w:val="24"/>
          <w:lang w:val="en-US"/>
        </w:rPr>
        <w:t>These statistics are indicators of both the</w:t>
      </w:r>
      <w:r w:rsidR="0084356C"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financialization trend in the EU, and the increased economic weight of the financial capital fraction.</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r w:rsidR="00CD692E" w:rsidRPr="001234AB">
        <w:rPr>
          <w:rFonts w:ascii="Times New Roman" w:hAnsi="Times New Roman" w:cs="Times New Roman"/>
          <w:noProof/>
          <w:sz w:val="24"/>
          <w:szCs w:val="24"/>
          <w:lang w:val="en-US"/>
        </w:rPr>
        <w:drawing>
          <wp:inline distT="0" distB="0" distL="0" distR="0" wp14:anchorId="62417E59" wp14:editId="08650EFC">
            <wp:extent cx="4580357" cy="275153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80357" cy="2751539"/>
                    </a:xfrm>
                    <a:prstGeom prst="rect">
                      <a:avLst/>
                    </a:prstGeom>
                  </pic:spPr>
                </pic:pic>
              </a:graphicData>
            </a:graphic>
          </wp:inline>
        </w:drawing>
      </w:r>
    </w:p>
    <w:p w14:paraId="3794B6F0" w14:textId="339DE9A4" w:rsidR="00CD692E" w:rsidRPr="001234AB" w:rsidRDefault="00CD692E" w:rsidP="00F807BD">
      <w:pPr>
        <w:pStyle w:val="Caption"/>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Source: own graph, data from World Bank (2024b)</w:t>
      </w:r>
    </w:p>
    <w:p w14:paraId="3E6DB165" w14:textId="0AFE4C43" w:rsidR="008E2669" w:rsidRPr="001234AB" w:rsidRDefault="00492161"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The structural condition of overaccumulation of capital is </w:t>
      </w:r>
      <w:r w:rsidR="0084356C" w:rsidRPr="001234AB">
        <w:rPr>
          <w:rFonts w:ascii="Times New Roman" w:hAnsi="Times New Roman" w:cs="Times New Roman"/>
          <w:sz w:val="24"/>
          <w:szCs w:val="24"/>
          <w:lang w:val="en-US"/>
        </w:rPr>
        <w:t xml:space="preserve">thus </w:t>
      </w:r>
      <w:r w:rsidRPr="001234AB">
        <w:rPr>
          <w:rFonts w:ascii="Times New Roman" w:hAnsi="Times New Roman" w:cs="Times New Roman"/>
          <w:sz w:val="24"/>
          <w:szCs w:val="24"/>
          <w:lang w:val="en-US"/>
        </w:rPr>
        <w:t>accompanied by a dominant financial capital fraction, constituting a hegemonic bloc, that actively supports the reproduction of debt-led accumulation in Europe by deepening the financialization processes (</w:t>
      </w:r>
      <w:proofErr w:type="spellStart"/>
      <w:r w:rsidRPr="001234AB">
        <w:rPr>
          <w:rFonts w:ascii="Times New Roman" w:hAnsi="Times New Roman" w:cs="Times New Roman"/>
          <w:sz w:val="24"/>
          <w:szCs w:val="24"/>
          <w:lang w:val="en-US"/>
        </w:rPr>
        <w:t>Bieling</w:t>
      </w:r>
      <w:proofErr w:type="spellEnd"/>
      <w:r w:rsidR="004D5E5C"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2013</w:t>
      </w:r>
      <w:r w:rsidR="004D5E5C" w:rsidRPr="001234AB">
        <w:rPr>
          <w:rFonts w:ascii="Times New Roman" w:hAnsi="Times New Roman" w:cs="Times New Roman"/>
          <w:sz w:val="24"/>
          <w:szCs w:val="24"/>
          <w:lang w:val="en-US"/>
        </w:rPr>
        <w:t>, p.</w:t>
      </w:r>
      <w:r w:rsidRPr="001234AB">
        <w:rPr>
          <w:rFonts w:ascii="Times New Roman" w:hAnsi="Times New Roman" w:cs="Times New Roman"/>
          <w:sz w:val="24"/>
          <w:szCs w:val="24"/>
          <w:lang w:val="en-US"/>
        </w:rPr>
        <w:t xml:space="preserve"> 287</w:t>
      </w:r>
      <w:r w:rsidR="004D5E5C" w:rsidRPr="001234AB">
        <w:rPr>
          <w:rFonts w:ascii="Times New Roman" w:hAnsi="Times New Roman" w:cs="Times New Roman"/>
          <w:sz w:val="24"/>
          <w:szCs w:val="24"/>
          <w:lang w:val="en-US"/>
        </w:rPr>
        <w:t xml:space="preserve">). </w:t>
      </w:r>
      <w:r w:rsidR="000974AA">
        <w:rPr>
          <w:rFonts w:ascii="Times New Roman" w:hAnsi="Times New Roman" w:cs="Times New Roman"/>
          <w:sz w:val="24"/>
          <w:szCs w:val="24"/>
          <w:lang w:val="en-US"/>
        </w:rPr>
        <w:br/>
      </w:r>
      <w:r w:rsidR="000974AA">
        <w:rPr>
          <w:rFonts w:ascii="Times New Roman" w:hAnsi="Times New Roman" w:cs="Times New Roman"/>
          <w:sz w:val="24"/>
          <w:szCs w:val="24"/>
          <w:lang w:val="en-US"/>
        </w:rPr>
        <w:br/>
      </w:r>
      <w:r w:rsidRPr="001234AB">
        <w:rPr>
          <w:rFonts w:ascii="Times New Roman" w:hAnsi="Times New Roman" w:cs="Times New Roman"/>
          <w:sz w:val="24"/>
          <w:szCs w:val="24"/>
          <w:lang w:val="en-US"/>
        </w:rPr>
        <w:t xml:space="preserve">Already in the early stages of EU’s financial integration, EU’s liberalization policies and the deregulation of financial markets were heavily promoted by this financial capital fraction. For example, the 1990 </w:t>
      </w:r>
      <w:r w:rsidR="006A28BE"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One Money, One Market</w:t>
      </w:r>
      <w:r w:rsidR="006A28BE"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report by the Commission</w:t>
      </w:r>
      <w:r w:rsidR="008E2669" w:rsidRPr="001234AB">
        <w:rPr>
          <w:rFonts w:ascii="Times New Roman" w:hAnsi="Times New Roman" w:cs="Times New Roman"/>
          <w:sz w:val="24"/>
          <w:szCs w:val="24"/>
          <w:lang w:val="en-US"/>
        </w:rPr>
        <w:t xml:space="preserve"> (1990)</w:t>
      </w:r>
      <w:r w:rsidRPr="001234AB">
        <w:rPr>
          <w:rFonts w:ascii="Times New Roman" w:hAnsi="Times New Roman" w:cs="Times New Roman"/>
          <w:sz w:val="24"/>
          <w:szCs w:val="24"/>
          <w:lang w:val="en-US"/>
        </w:rPr>
        <w:t xml:space="preserve"> emphasized that monetary union would only succeed with integrated capital markets Likewise, the 1999 Financial Services Action Plan (FSAP), having the explicit goal of fostering the full integration of European financial markets, laid out concrete steps towards “raising capital on an EU-wide basis” via financial (de-)regulation (European Commission, 1999</w:t>
      </w:r>
      <w:r w:rsidR="008E2669"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To tackle the global financial crisis and the sovereign debt crisis, characterized by evident </w:t>
      </w:r>
      <w:r w:rsidRPr="001234AB">
        <w:rPr>
          <w:rFonts w:ascii="Times New Roman" w:hAnsi="Times New Roman" w:cs="Times New Roman"/>
          <w:sz w:val="24"/>
          <w:szCs w:val="24"/>
          <w:lang w:val="en-US"/>
        </w:rPr>
        <w:lastRenderedPageBreak/>
        <w:t>liquidity problems and a recuring fear of an ongoing credit crunch, (supra-)national measures such as liquidity injections and low interests rates were taken to restore trust in the financial system (</w:t>
      </w:r>
      <w:proofErr w:type="spellStart"/>
      <w:r w:rsidRPr="001234AB">
        <w:rPr>
          <w:rFonts w:ascii="Times New Roman" w:hAnsi="Times New Roman" w:cs="Times New Roman"/>
          <w:sz w:val="24"/>
          <w:szCs w:val="24"/>
          <w:lang w:val="en-US"/>
        </w:rPr>
        <w:t>Bieling</w:t>
      </w:r>
      <w:proofErr w:type="spellEnd"/>
      <w:r w:rsidR="008E2669"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2013</w:t>
      </w:r>
      <w:r w:rsidR="008E2669" w:rsidRPr="001234AB">
        <w:rPr>
          <w:rFonts w:ascii="Times New Roman" w:hAnsi="Times New Roman" w:cs="Times New Roman"/>
          <w:sz w:val="24"/>
          <w:szCs w:val="24"/>
          <w:lang w:val="en-US"/>
        </w:rPr>
        <w:t xml:space="preserve">, p. </w:t>
      </w:r>
      <w:r w:rsidRPr="001234AB">
        <w:rPr>
          <w:rFonts w:ascii="Times New Roman" w:hAnsi="Times New Roman" w:cs="Times New Roman"/>
          <w:sz w:val="24"/>
          <w:szCs w:val="24"/>
          <w:lang w:val="en-US"/>
        </w:rPr>
        <w:t>289). Through direct lobbing, but primarily because of the systematic economic and political salience of the financial sector that amounted to a structurally privileged role, the dominant financial capital fraction was able to socialize the losses. Summarizing</w:t>
      </w:r>
      <w:r w:rsidR="008E2669" w:rsidRPr="001234AB">
        <w:rPr>
          <w:rFonts w:ascii="Times New Roman" w:hAnsi="Times New Roman" w:cs="Times New Roman"/>
          <w:sz w:val="24"/>
          <w:szCs w:val="24"/>
          <w:lang w:val="en-US"/>
        </w:rPr>
        <w:t xml:space="preserve"> EU’s measures</w:t>
      </w:r>
      <w:r w:rsidRPr="001234AB">
        <w:rPr>
          <w:rFonts w:ascii="Times New Roman" w:hAnsi="Times New Roman" w:cs="Times New Roman"/>
          <w:sz w:val="24"/>
          <w:szCs w:val="24"/>
          <w:lang w:val="en-US"/>
        </w:rPr>
        <w:t>, Rasmus argued</w:t>
      </w:r>
      <w:r w:rsidR="008E2669" w:rsidRPr="001234AB">
        <w:rPr>
          <w:rFonts w:ascii="Times New Roman" w:hAnsi="Times New Roman" w:cs="Times New Roman"/>
          <w:sz w:val="24"/>
          <w:szCs w:val="24"/>
          <w:lang w:val="en-US"/>
        </w:rPr>
        <w:t>:</w:t>
      </w:r>
    </w:p>
    <w:p w14:paraId="3F340C57" w14:textId="56315A9A" w:rsidR="008E2669" w:rsidRPr="001234AB" w:rsidRDefault="008E2669" w:rsidP="00F807BD">
      <w:pPr>
        <w:spacing w:line="360" w:lineRule="auto"/>
        <w:ind w:left="737" w:right="624"/>
        <w:rPr>
          <w:rFonts w:ascii="Times New Roman" w:hAnsi="Times New Roman" w:cs="Times New Roman"/>
          <w:sz w:val="24"/>
          <w:szCs w:val="24"/>
          <w:lang w:val="en-US"/>
        </w:rPr>
      </w:pPr>
      <w:r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t>by funneling money and liquidity through the private banks, into the hands of investors and speculators, the objective was to boost stock, bond, derivatives and other speculative investment markets […] it was about restoring the [ﬁnancial elite’s] wealth and assets not just rescuing their banks.</w:t>
      </w:r>
      <w:r w:rsidRPr="001234AB">
        <w:rPr>
          <w:rFonts w:ascii="Times New Roman" w:hAnsi="Times New Roman" w:cs="Times New Roman"/>
          <w:sz w:val="24"/>
          <w:szCs w:val="24"/>
          <w:lang w:val="en-US"/>
        </w:rPr>
        <w:t xml:space="preserve"> (p. 24, in 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xml:space="preserve">, 2018, p. 255). </w:t>
      </w:r>
      <w:r w:rsidR="00492161" w:rsidRPr="001234AB">
        <w:rPr>
          <w:rFonts w:ascii="Times New Roman" w:hAnsi="Times New Roman" w:cs="Times New Roman"/>
          <w:sz w:val="24"/>
          <w:szCs w:val="24"/>
          <w:lang w:val="en-US"/>
        </w:rPr>
        <w:t xml:space="preserve"> </w:t>
      </w:r>
    </w:p>
    <w:p w14:paraId="4C113BAC" w14:textId="48557EDA" w:rsidR="00797B8C" w:rsidRPr="001234AB" w:rsidRDefault="00492161"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The dominance of the financial capital fraction necessitated the continuation of asset generation and trading to ensure profitability and capital flow</w:t>
      </w:r>
      <w:r w:rsidR="008E2669" w:rsidRPr="001234AB">
        <w:rPr>
          <w:rFonts w:ascii="Times New Roman" w:hAnsi="Times New Roman" w:cs="Times New Roman"/>
          <w:sz w:val="24"/>
          <w:szCs w:val="24"/>
          <w:lang w:val="en-US"/>
        </w:rPr>
        <w:t>s. Subsequently, b</w:t>
      </w:r>
      <w:r w:rsidRPr="001234AB">
        <w:rPr>
          <w:rFonts w:ascii="Times New Roman" w:hAnsi="Times New Roman" w:cs="Times New Roman"/>
          <w:sz w:val="24"/>
          <w:szCs w:val="24"/>
          <w:lang w:val="en-US"/>
        </w:rPr>
        <w:t>oth safe assets, such as sovereign bonds, and riskier financial bonds</w:t>
      </w:r>
      <w:r w:rsidR="008E2669"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are propelled to meet demand of an increasingly financialized European economy</w:t>
      </w:r>
      <w:r w:rsidR="008E2669"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European crisis management of the global financial crisis and the subsequent sovereign debt crisis was thus highly influenced by this hegemonic financial capital fraction. </w:t>
      </w:r>
      <w:r w:rsidR="0004761A" w:rsidRPr="001234AB">
        <w:rPr>
          <w:rFonts w:ascii="Times New Roman" w:hAnsi="Times New Roman" w:cs="Times New Roman"/>
          <w:sz w:val="24"/>
          <w:szCs w:val="24"/>
          <w:lang w:val="en-US"/>
        </w:rPr>
        <w:t xml:space="preserve">As outlined by </w:t>
      </w:r>
      <w:proofErr w:type="spellStart"/>
      <w:r w:rsidR="0004761A" w:rsidRPr="001234AB">
        <w:rPr>
          <w:rFonts w:ascii="Times New Roman" w:hAnsi="Times New Roman" w:cs="Times New Roman"/>
          <w:sz w:val="24"/>
          <w:szCs w:val="24"/>
          <w:lang w:val="en-US"/>
        </w:rPr>
        <w:t>Bieling</w:t>
      </w:r>
      <w:proofErr w:type="spellEnd"/>
      <w:r w:rsidR="0004761A" w:rsidRPr="001234AB">
        <w:rPr>
          <w:rFonts w:ascii="Times New Roman" w:hAnsi="Times New Roman" w:cs="Times New Roman"/>
          <w:sz w:val="24"/>
          <w:szCs w:val="24"/>
          <w:lang w:val="en-US"/>
        </w:rPr>
        <w:t xml:space="preserve"> (2013, p. 293), it was transnational banks and their respective associations and think thanks which pushed for mobilizing public resources and were </w:t>
      </w:r>
      <w:r w:rsidRPr="001234AB">
        <w:rPr>
          <w:rFonts w:ascii="Times New Roman" w:hAnsi="Times New Roman" w:cs="Times New Roman"/>
          <w:sz w:val="24"/>
          <w:szCs w:val="24"/>
          <w:lang w:val="en-US"/>
        </w:rPr>
        <w:t>very supportive of measures for an even more severe austerity-based management of the Economic and Monetary Union (EMU</w:t>
      </w:r>
      <w:r w:rsidR="0004761A" w:rsidRPr="001234AB">
        <w:rPr>
          <w:rFonts w:ascii="Times New Roman" w:hAnsi="Times New Roman" w:cs="Times New Roman"/>
          <w:sz w:val="24"/>
          <w:szCs w:val="24"/>
          <w:lang w:val="en-US"/>
        </w:rPr>
        <w:t>) (Corporate Europe Observatory, 2011)</w:t>
      </w:r>
      <w:r w:rsidRPr="001234AB">
        <w:rPr>
          <w:rFonts w:ascii="Times New Roman" w:hAnsi="Times New Roman" w:cs="Times New Roman"/>
          <w:sz w:val="24"/>
          <w:szCs w:val="24"/>
          <w:lang w:val="en-US"/>
        </w:rPr>
        <w:t>.</w:t>
      </w:r>
      <w:r w:rsidR="0004761A"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The same applies for the ‘European Semester’, a reform put in place in mid-2010 that included comprehensive supervision and control of national economic and budgetary policies (</w:t>
      </w:r>
      <w:proofErr w:type="spellStart"/>
      <w:r w:rsidRPr="001234AB">
        <w:rPr>
          <w:rFonts w:ascii="Times New Roman" w:hAnsi="Times New Roman" w:cs="Times New Roman"/>
          <w:sz w:val="24"/>
          <w:szCs w:val="24"/>
          <w:lang w:val="en-US"/>
        </w:rPr>
        <w:t>Bieling</w:t>
      </w:r>
      <w:proofErr w:type="spellEnd"/>
      <w:r w:rsidR="0004761A"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2013,</w:t>
      </w:r>
      <w:r w:rsidR="0004761A"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p. 291). Having become a core component of the EMU, the pact rests on the self-commitment of its members to enhance competitiveness and employment, improve the public budget, that is, meet the criterion of a sovereign debt ceiling of less than 60 percent of GDP, and ensure the stability of the financial sector.</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Th</w:t>
      </w:r>
      <w:r w:rsidR="0084356C" w:rsidRPr="001234AB">
        <w:rPr>
          <w:rFonts w:ascii="Times New Roman" w:hAnsi="Times New Roman" w:cs="Times New Roman"/>
          <w:sz w:val="24"/>
          <w:szCs w:val="24"/>
          <w:lang w:val="en-US"/>
        </w:rPr>
        <w:t>ese developments are</w:t>
      </w:r>
      <w:r w:rsidRPr="001234AB">
        <w:rPr>
          <w:rFonts w:ascii="Times New Roman" w:hAnsi="Times New Roman" w:cs="Times New Roman"/>
          <w:sz w:val="24"/>
          <w:szCs w:val="24"/>
          <w:lang w:val="en-US"/>
        </w:rPr>
        <w:t xml:space="preserve"> salient because market-based finance, including securitization, was generally perceived as the problem of both the global financial crisis, as well as the sovereign debt crisis (Braun et al.</w:t>
      </w:r>
      <w:r w:rsidR="0004761A"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2018, p. 102). Securitization includes pooling numerous types of </w:t>
      </w:r>
      <w:r w:rsidRPr="001234AB">
        <w:rPr>
          <w:rFonts w:ascii="Times New Roman" w:hAnsi="Times New Roman" w:cs="Times New Roman"/>
          <w:sz w:val="24"/>
          <w:szCs w:val="24"/>
          <w:lang w:val="en-US"/>
        </w:rPr>
        <w:lastRenderedPageBreak/>
        <w:t>debt, such as loans and mortgages and selling them as bonds to investors</w:t>
      </w:r>
      <w:r w:rsidR="00495A7E" w:rsidRPr="001234AB">
        <w:rPr>
          <w:rFonts w:ascii="Times New Roman" w:hAnsi="Times New Roman" w:cs="Times New Roman"/>
          <w:sz w:val="24"/>
          <w:szCs w:val="24"/>
          <w:lang w:val="en-US"/>
        </w:rPr>
        <w:t xml:space="preserve"> (Gorton &amp; </w:t>
      </w:r>
      <w:proofErr w:type="spellStart"/>
      <w:r w:rsidR="00495A7E" w:rsidRPr="001234AB">
        <w:rPr>
          <w:rFonts w:ascii="Times New Roman" w:hAnsi="Times New Roman" w:cs="Times New Roman"/>
          <w:sz w:val="24"/>
          <w:szCs w:val="24"/>
          <w:lang w:val="en-US"/>
        </w:rPr>
        <w:t>Metrick</w:t>
      </w:r>
      <w:proofErr w:type="spellEnd"/>
      <w:r w:rsidR="00495A7E" w:rsidRPr="001234AB">
        <w:rPr>
          <w:rFonts w:ascii="Times New Roman" w:hAnsi="Times New Roman" w:cs="Times New Roman"/>
          <w:sz w:val="24"/>
          <w:szCs w:val="24"/>
          <w:lang w:val="en-US"/>
        </w:rPr>
        <w:t>, 2013).</w:t>
      </w:r>
      <w:r w:rsidR="006A28BE"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In the process, illiquid assets are transformed into marketable securities.</w:t>
      </w:r>
      <w:r w:rsidR="0084356C"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(Political-)</w:t>
      </w:r>
      <w:r w:rsidR="000F6429">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economists have accentuated these market-based forms of (shadow) banking as the decisive cause of both these crises (see Adrian and Shin, 2010; </w:t>
      </w:r>
      <w:proofErr w:type="spellStart"/>
      <w:r w:rsidRPr="001234AB">
        <w:rPr>
          <w:rFonts w:ascii="Times New Roman" w:hAnsi="Times New Roman" w:cs="Times New Roman"/>
          <w:sz w:val="24"/>
          <w:szCs w:val="24"/>
          <w:lang w:val="en-US"/>
        </w:rPr>
        <w:t>Brunnermeier</w:t>
      </w:r>
      <w:proofErr w:type="spellEnd"/>
      <w:r w:rsidRPr="001234AB">
        <w:rPr>
          <w:rFonts w:ascii="Times New Roman" w:hAnsi="Times New Roman" w:cs="Times New Roman"/>
          <w:sz w:val="24"/>
          <w:szCs w:val="24"/>
          <w:lang w:val="en-US"/>
        </w:rPr>
        <w:t xml:space="preserve">, 2009; Gabor and Ban, 2016; Gorton and </w:t>
      </w:r>
      <w:proofErr w:type="spellStart"/>
      <w:r w:rsidRPr="001234AB">
        <w:rPr>
          <w:rFonts w:ascii="Times New Roman" w:hAnsi="Times New Roman" w:cs="Times New Roman"/>
          <w:sz w:val="24"/>
          <w:szCs w:val="24"/>
          <w:lang w:val="en-US"/>
        </w:rPr>
        <w:t>Metrick</w:t>
      </w:r>
      <w:proofErr w:type="spellEnd"/>
      <w:r w:rsidRPr="001234AB">
        <w:rPr>
          <w:rFonts w:ascii="Times New Roman" w:hAnsi="Times New Roman" w:cs="Times New Roman"/>
          <w:sz w:val="24"/>
          <w:szCs w:val="24"/>
          <w:lang w:val="en-US"/>
        </w:rPr>
        <w:t>, 2012, Thiemann, 2014).</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In 2012, </w:t>
      </w:r>
      <w:r w:rsidR="009B3E47" w:rsidRPr="001234AB">
        <w:rPr>
          <w:rFonts w:ascii="Times New Roman" w:hAnsi="Times New Roman" w:cs="Times New Roman"/>
          <w:sz w:val="24"/>
          <w:szCs w:val="24"/>
          <w:lang w:val="en-US"/>
        </w:rPr>
        <w:t xml:space="preserve">AFME &amp; EFR (2012), </w:t>
      </w:r>
      <w:r w:rsidRPr="001234AB">
        <w:rPr>
          <w:rFonts w:ascii="Times New Roman" w:hAnsi="Times New Roman" w:cs="Times New Roman"/>
          <w:sz w:val="24"/>
          <w:szCs w:val="24"/>
          <w:lang w:val="en-US"/>
        </w:rPr>
        <w:t xml:space="preserve">representing the financial capital fraction, sought to revive the securitization markets, launching a report ‘Prime </w:t>
      </w:r>
      <w:proofErr w:type="spellStart"/>
      <w:r w:rsidRPr="001234AB">
        <w:rPr>
          <w:rFonts w:ascii="Times New Roman" w:hAnsi="Times New Roman" w:cs="Times New Roman"/>
          <w:sz w:val="24"/>
          <w:szCs w:val="24"/>
          <w:lang w:val="en-US"/>
        </w:rPr>
        <w:t>Collateralised</w:t>
      </w:r>
      <w:proofErr w:type="spellEnd"/>
      <w:r w:rsidRPr="001234AB">
        <w:rPr>
          <w:rFonts w:ascii="Times New Roman" w:hAnsi="Times New Roman" w:cs="Times New Roman"/>
          <w:sz w:val="24"/>
          <w:szCs w:val="24"/>
          <w:lang w:val="en-US"/>
        </w:rPr>
        <w:t xml:space="preserve"> Securities’ (PCS</w:t>
      </w:r>
      <w:r w:rsidR="009B3E47"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The financial capital fraction argued that the securitization market was needed to overcome the funding gap of a Europe in crisis, deeming asset-backed securities an important component for investors.</w:t>
      </w:r>
      <w:r w:rsidR="00F45F16"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Europe’s general scarcity of high-quality bonds, such as sovereign bonds, caused the financial capital fraction to turn to securitization (Fernandez</w:t>
      </w:r>
      <w:r w:rsidR="009B3E47" w:rsidRPr="001234AB">
        <w:rPr>
          <w:rFonts w:ascii="Times New Roman" w:hAnsi="Times New Roman" w:cs="Times New Roman"/>
          <w:sz w:val="24"/>
          <w:szCs w:val="24"/>
          <w:lang w:val="en-US"/>
        </w:rPr>
        <w:t xml:space="preserve"> &amp; Wigger,</w:t>
      </w:r>
      <w:r w:rsidRPr="001234AB">
        <w:rPr>
          <w:rFonts w:ascii="Times New Roman" w:hAnsi="Times New Roman" w:cs="Times New Roman"/>
          <w:sz w:val="24"/>
          <w:szCs w:val="24"/>
          <w:lang w:val="en-US"/>
        </w:rPr>
        <w:t xml:space="preserve"> 2016, pp. 18-19).</w:t>
      </w:r>
      <w:r w:rsidR="0084356C"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This report served as a pillar for the Commission's Action Plan for Capital Markets Union (CMU), asserting that securitization and the consequent stronger capital markets allowed for the reinforcement of investment for the long term (</w:t>
      </w:r>
      <w:r w:rsidR="009B3E47" w:rsidRPr="001234AB">
        <w:rPr>
          <w:rFonts w:ascii="Times New Roman" w:hAnsi="Times New Roman" w:cs="Times New Roman"/>
          <w:sz w:val="24"/>
          <w:szCs w:val="24"/>
          <w:lang w:val="en-US"/>
        </w:rPr>
        <w:t>European Commission, 2015b</w:t>
      </w:r>
      <w:r w:rsidRPr="001234AB">
        <w:rPr>
          <w:rFonts w:ascii="Times New Roman" w:hAnsi="Times New Roman" w:cs="Times New Roman"/>
          <w:sz w:val="24"/>
          <w:szCs w:val="24"/>
          <w:lang w:val="en-US"/>
        </w:rPr>
        <w:t>). Securitization regulation would make the capital treatment of securitizations more risk-sensitive, effectively lowering capital requirements for securitized assets, therewith freeing capital from constraints</w:t>
      </w:r>
      <w:r w:rsidR="009B3E47"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Tellingly, for the framework of securitization, the Commission literally adopted the three-fold notion of ‘quality, transparency and simplicity’ as presented by the financial sector’s report.  There were more than 400 written responses to the consultation on the Commission’s Green Paper, which served as a blueprint for the actual Action Plan </w:t>
      </w:r>
      <w:r w:rsidR="009B3E47" w:rsidRPr="001234AB">
        <w:rPr>
          <w:rFonts w:ascii="Times New Roman" w:hAnsi="Times New Roman" w:cs="Times New Roman"/>
          <w:sz w:val="24"/>
          <w:szCs w:val="24"/>
          <w:lang w:val="en-US"/>
        </w:rPr>
        <w:t xml:space="preserve">(European Commission, 2015a; </w:t>
      </w:r>
      <w:r w:rsidRPr="001234AB">
        <w:rPr>
          <w:rFonts w:ascii="Times New Roman" w:hAnsi="Times New Roman" w:cs="Times New Roman"/>
          <w:sz w:val="24"/>
          <w:szCs w:val="24"/>
          <w:lang w:val="en-US"/>
        </w:rPr>
        <w:t>Quaglia</w:t>
      </w:r>
      <w:r w:rsidR="009B3E47" w:rsidRPr="001234AB">
        <w:rPr>
          <w:rFonts w:ascii="Times New Roman" w:hAnsi="Times New Roman" w:cs="Times New Roman"/>
          <w:sz w:val="24"/>
          <w:szCs w:val="24"/>
          <w:lang w:val="en-US"/>
        </w:rPr>
        <w:t xml:space="preserve"> et al., 2016,</w:t>
      </w:r>
      <w:r w:rsidRPr="001234AB">
        <w:rPr>
          <w:rFonts w:ascii="Times New Roman" w:hAnsi="Times New Roman" w:cs="Times New Roman"/>
          <w:sz w:val="24"/>
          <w:szCs w:val="24"/>
          <w:lang w:val="en-US"/>
        </w:rPr>
        <w:t xml:space="preserve"> p</w:t>
      </w:r>
      <w:r w:rsidR="009B3E47" w:rsidRPr="001234AB">
        <w:rPr>
          <w:rFonts w:ascii="Times New Roman" w:hAnsi="Times New Roman" w:cs="Times New Roman"/>
          <w:sz w:val="24"/>
          <w:szCs w:val="24"/>
          <w:lang w:val="en-US"/>
        </w:rPr>
        <w:t>p</w:t>
      </w:r>
      <w:r w:rsidRPr="001234AB">
        <w:rPr>
          <w:rFonts w:ascii="Times New Roman" w:hAnsi="Times New Roman" w:cs="Times New Roman"/>
          <w:sz w:val="24"/>
          <w:szCs w:val="24"/>
          <w:lang w:val="en-US"/>
        </w:rPr>
        <w:t>. 191-192</w:t>
      </w:r>
      <w:r w:rsidR="009B3E47"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Research by Quaglia et al (</w:t>
      </w:r>
      <w:r w:rsidR="009B3E47" w:rsidRPr="001234AB">
        <w:rPr>
          <w:rFonts w:ascii="Times New Roman" w:hAnsi="Times New Roman" w:cs="Times New Roman"/>
          <w:sz w:val="24"/>
          <w:szCs w:val="24"/>
          <w:lang w:val="en-US"/>
        </w:rPr>
        <w:t xml:space="preserve">2016, </w:t>
      </w:r>
      <w:r w:rsidRPr="001234AB">
        <w:rPr>
          <w:rFonts w:ascii="Times New Roman" w:hAnsi="Times New Roman" w:cs="Times New Roman"/>
          <w:sz w:val="24"/>
          <w:szCs w:val="24"/>
          <w:lang w:val="en-US"/>
        </w:rPr>
        <w:t>p</w:t>
      </w:r>
      <w:r w:rsidR="009B3E47" w:rsidRPr="001234AB">
        <w:rPr>
          <w:rFonts w:ascii="Times New Roman" w:hAnsi="Times New Roman" w:cs="Times New Roman"/>
          <w:sz w:val="24"/>
          <w:szCs w:val="24"/>
          <w:lang w:val="en-US"/>
        </w:rPr>
        <w:t>p</w:t>
      </w:r>
      <w:r w:rsidRPr="001234AB">
        <w:rPr>
          <w:rFonts w:ascii="Times New Roman" w:hAnsi="Times New Roman" w:cs="Times New Roman"/>
          <w:sz w:val="24"/>
          <w:szCs w:val="24"/>
          <w:lang w:val="en-US"/>
        </w:rPr>
        <w:t>. 191-194) indicated that CMU primarily attracted the interests of the Northern financial industry. In 2017, the ECB calculated that the share of non-bank entities in the euro area financial sector was increasing, implying that the financial capital fraction was outrunning the regulated bank sector again (</w:t>
      </w:r>
      <w:proofErr w:type="spellStart"/>
      <w:r w:rsidR="006751F7" w:rsidRPr="001234AB">
        <w:rPr>
          <w:rFonts w:ascii="Times New Roman" w:hAnsi="Times New Roman" w:cs="Times New Roman"/>
          <w:sz w:val="24"/>
          <w:szCs w:val="24"/>
          <w:lang w:val="en-US"/>
        </w:rPr>
        <w:t>Lautenschläger</w:t>
      </w:r>
      <w:proofErr w:type="spellEnd"/>
      <w:r w:rsidR="006751F7" w:rsidRPr="001234AB">
        <w:rPr>
          <w:rFonts w:ascii="Times New Roman" w:hAnsi="Times New Roman" w:cs="Times New Roman"/>
          <w:sz w:val="24"/>
          <w:szCs w:val="24"/>
          <w:lang w:val="en-US"/>
        </w:rPr>
        <w:t xml:space="preserve">, 2017; in </w:t>
      </w:r>
      <w:r w:rsidRPr="001234AB">
        <w:rPr>
          <w:rFonts w:ascii="Times New Roman" w:hAnsi="Times New Roman" w:cs="Times New Roman"/>
          <w:sz w:val="24"/>
          <w:szCs w:val="24"/>
          <w:lang w:val="en-US"/>
        </w:rPr>
        <w:t xml:space="preserve">van der </w:t>
      </w:r>
      <w:proofErr w:type="spellStart"/>
      <w:r w:rsidRPr="001234AB">
        <w:rPr>
          <w:rFonts w:ascii="Times New Roman" w:hAnsi="Times New Roman" w:cs="Times New Roman"/>
          <w:sz w:val="24"/>
          <w:szCs w:val="24"/>
          <w:lang w:val="en-US"/>
        </w:rPr>
        <w:t>Pijl</w:t>
      </w:r>
      <w:proofErr w:type="spellEnd"/>
      <w:r w:rsidR="009B3E47" w:rsidRPr="001234AB">
        <w:rPr>
          <w:rFonts w:ascii="Times New Roman" w:hAnsi="Times New Roman" w:cs="Times New Roman"/>
          <w:sz w:val="24"/>
          <w:szCs w:val="24"/>
          <w:lang w:val="en-US"/>
        </w:rPr>
        <w:t>, 2</w:t>
      </w:r>
      <w:r w:rsidRPr="001234AB">
        <w:rPr>
          <w:rFonts w:ascii="Times New Roman" w:hAnsi="Times New Roman" w:cs="Times New Roman"/>
          <w:sz w:val="24"/>
          <w:szCs w:val="24"/>
          <w:lang w:val="en-US"/>
        </w:rPr>
        <w:t>018, p. 256). The CMU was not completed by 2019. In November 2019, after the Commission</w:t>
      </w:r>
      <w:r w:rsidR="00A330A8" w:rsidRPr="001234AB">
        <w:rPr>
          <w:rFonts w:ascii="Times New Roman" w:hAnsi="Times New Roman" w:cs="Times New Roman"/>
          <w:sz w:val="24"/>
          <w:szCs w:val="24"/>
          <w:lang w:val="en-US"/>
        </w:rPr>
        <w:t xml:space="preserve"> (2020e)</w:t>
      </w:r>
      <w:r w:rsidRPr="001234AB">
        <w:rPr>
          <w:rFonts w:ascii="Times New Roman" w:hAnsi="Times New Roman" w:cs="Times New Roman"/>
          <w:sz w:val="24"/>
          <w:szCs w:val="24"/>
          <w:lang w:val="en-US"/>
        </w:rPr>
        <w:t xml:space="preserve"> consulted 28 senior industry executives, experts, and scholars, primarily part of the financial capital fraction, a new Action Plan was presented in September 2020</w:t>
      </w:r>
      <w:r w:rsidR="00A330A8"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The new Action Plan continued on the same path as the initial Action Plan, arguing that, in light of “the unprecedented economic crisis caused by the COVID-19 outbreak […] market financing will be the lifeblood that sustains the recovery and future growth over the long-term”</w:t>
      </w:r>
      <w:r w:rsidR="00A330A8" w:rsidRPr="001234AB">
        <w:rPr>
          <w:rFonts w:ascii="Times New Roman" w:hAnsi="Times New Roman" w:cs="Times New Roman"/>
          <w:sz w:val="24"/>
          <w:szCs w:val="24"/>
          <w:lang w:val="en-US"/>
        </w:rPr>
        <w:t xml:space="preserve"> (European Commission, 2020e, p. 3).</w:t>
      </w:r>
      <w:r w:rsidRPr="001234AB">
        <w:rPr>
          <w:rFonts w:ascii="Times New Roman" w:hAnsi="Times New Roman" w:cs="Times New Roman"/>
          <w:sz w:val="24"/>
          <w:szCs w:val="24"/>
          <w:lang w:val="en-US"/>
        </w:rPr>
        <w:t xml:space="preserve"> Market-based financing, and securitization, was still deemed the adequate path to achieve a ‘genuine single market’.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lastRenderedPageBreak/>
        <w:br/>
        <w:t xml:space="preserve">The Commission’s promotion of securitization and in general its endorsement of market-based finance supports the argument put forward by </w:t>
      </w:r>
      <w:r w:rsidR="00A330A8" w:rsidRPr="001234AB">
        <w:rPr>
          <w:rFonts w:ascii="Times New Roman" w:hAnsi="Times New Roman" w:cs="Times New Roman"/>
          <w:sz w:val="24"/>
          <w:szCs w:val="24"/>
          <w:lang w:val="en-US"/>
        </w:rPr>
        <w:t xml:space="preserve">Fernandez &amp; Wigger </w:t>
      </w:r>
      <w:r w:rsidRPr="001234AB">
        <w:rPr>
          <w:rFonts w:ascii="Times New Roman" w:hAnsi="Times New Roman" w:cs="Times New Roman"/>
          <w:sz w:val="24"/>
          <w:szCs w:val="24"/>
          <w:lang w:val="en-US"/>
        </w:rPr>
        <w:t>(2016, p. 2) “that the facilitation of credit/</w:t>
      </w:r>
      <w:proofErr w:type="spellStart"/>
      <w:r w:rsidRPr="001234AB">
        <w:rPr>
          <w:rFonts w:ascii="Times New Roman" w:hAnsi="Times New Roman" w:cs="Times New Roman"/>
          <w:sz w:val="24"/>
          <w:szCs w:val="24"/>
          <w:lang w:val="en-US"/>
        </w:rPr>
        <w:t>debt</w:t>
      </w:r>
      <w:proofErr w:type="spellEnd"/>
      <w:r w:rsidRPr="001234AB">
        <w:rPr>
          <w:rFonts w:ascii="Times New Roman" w:hAnsi="Times New Roman" w:cs="Times New Roman"/>
          <w:sz w:val="24"/>
          <w:szCs w:val="24"/>
          <w:lang w:val="en-US"/>
        </w:rPr>
        <w:t xml:space="preserve"> […] does not take place in an unregulated environment but in fact prospers due to state regulation.” CMU and its regulation of securitization is one of the many examples of how the EU facilitates the expansion of debt. Following the concept of strategic selectivity, EU is a material condensation of past struggles (</w:t>
      </w:r>
      <w:r w:rsidR="00A330A8" w:rsidRPr="001234AB">
        <w:rPr>
          <w:rFonts w:ascii="Times New Roman" w:hAnsi="Times New Roman" w:cs="Times New Roman"/>
          <w:sz w:val="24"/>
          <w:szCs w:val="24"/>
          <w:lang w:val="en-US"/>
        </w:rPr>
        <w:t xml:space="preserve">Jessop, 199; in </w:t>
      </w:r>
      <w:r w:rsidRPr="001234AB">
        <w:rPr>
          <w:rFonts w:ascii="Times New Roman" w:hAnsi="Times New Roman" w:cs="Times New Roman"/>
          <w:sz w:val="24"/>
          <w:szCs w:val="24"/>
          <w:lang w:val="en-US"/>
        </w:rPr>
        <w:t>Wigger &amp; Horn, 20</w:t>
      </w:r>
      <w:r w:rsidR="00A330A8" w:rsidRPr="001234AB">
        <w:rPr>
          <w:rFonts w:ascii="Times New Roman" w:hAnsi="Times New Roman" w:cs="Times New Roman"/>
          <w:sz w:val="24"/>
          <w:szCs w:val="24"/>
          <w:lang w:val="en-US"/>
        </w:rPr>
        <w:t>23</w:t>
      </w:r>
      <w:r w:rsidRPr="001234AB">
        <w:rPr>
          <w:rFonts w:ascii="Times New Roman" w:hAnsi="Times New Roman" w:cs="Times New Roman"/>
          <w:sz w:val="24"/>
          <w:szCs w:val="24"/>
          <w:lang w:val="en-US"/>
        </w:rPr>
        <w:t>, p. 96). The further financialization of the European political economy has exacerbated the power of the financial capital fraction, and this dynamic, in turn, affects EU institutional bodies. Simultaneously, this debt-led accumulation of capital reproduces the institutional power of the EU, making the EU increasingly dependent on this form of accumulation. EU institutional bodies are thus not impartial, but instead, guarantee debt-led accumulation through (supra-)national (de-)regulation. In this process it recreates capitalist social relations production and reproduction (Wigger &amp; Horn, 20</w:t>
      </w:r>
      <w:r w:rsidR="00A330A8" w:rsidRPr="001234AB">
        <w:rPr>
          <w:rFonts w:ascii="Times New Roman" w:hAnsi="Times New Roman" w:cs="Times New Roman"/>
          <w:sz w:val="24"/>
          <w:szCs w:val="24"/>
          <w:lang w:val="en-US"/>
        </w:rPr>
        <w:t>23</w:t>
      </w:r>
      <w:r w:rsidRPr="001234AB">
        <w:rPr>
          <w:rFonts w:ascii="Times New Roman" w:hAnsi="Times New Roman" w:cs="Times New Roman"/>
          <w:sz w:val="24"/>
          <w:szCs w:val="24"/>
          <w:lang w:val="en-US"/>
        </w:rPr>
        <w:t xml:space="preserve">, p. 96). Consequently, it can be seen how strategic selectivity points to the preponderance of the financial capital fraction. </w:t>
      </w:r>
      <w:r w:rsidRPr="001234AB">
        <w:rPr>
          <w:rFonts w:ascii="Times New Roman" w:hAnsi="Times New Roman" w:cs="Times New Roman"/>
          <w:sz w:val="24"/>
          <w:szCs w:val="24"/>
          <w:lang w:val="en-US"/>
        </w:rPr>
        <w:br/>
      </w:r>
      <w:r w:rsidR="00954742" w:rsidRPr="001234AB">
        <w:rPr>
          <w:rFonts w:ascii="Times New Roman" w:hAnsi="Times New Roman" w:cs="Times New Roman"/>
          <w:b/>
          <w:bCs/>
          <w:sz w:val="24"/>
          <w:szCs w:val="24"/>
          <w:lang w:val="en-US"/>
        </w:rPr>
        <w:br/>
      </w:r>
      <w:r w:rsidR="001C5258" w:rsidRPr="00373CA7">
        <w:rPr>
          <w:rFonts w:ascii="Times New Roman" w:hAnsi="Times New Roman" w:cs="Times New Roman"/>
          <w:b/>
          <w:bCs/>
          <w:i/>
          <w:iCs/>
          <w:sz w:val="24"/>
          <w:szCs w:val="24"/>
          <w:lang w:val="en-US"/>
        </w:rPr>
        <w:t xml:space="preserve">3.3 </w:t>
      </w:r>
      <w:r w:rsidR="00F45F16" w:rsidRPr="00373CA7">
        <w:rPr>
          <w:rFonts w:ascii="Times New Roman" w:hAnsi="Times New Roman" w:cs="Times New Roman"/>
          <w:b/>
          <w:bCs/>
          <w:i/>
          <w:iCs/>
          <w:sz w:val="24"/>
          <w:szCs w:val="24"/>
          <w:lang w:val="en-US"/>
        </w:rPr>
        <w:t>The pro-Eurobonds alliance during</w:t>
      </w:r>
      <w:r w:rsidRPr="00373CA7">
        <w:rPr>
          <w:rFonts w:ascii="Times New Roman" w:hAnsi="Times New Roman" w:cs="Times New Roman"/>
          <w:b/>
          <w:bCs/>
          <w:i/>
          <w:iCs/>
          <w:sz w:val="24"/>
          <w:szCs w:val="24"/>
          <w:lang w:val="en-US"/>
        </w:rPr>
        <w:t xml:space="preserve"> COVID-19</w:t>
      </w:r>
      <w:r w:rsidR="00F45F16"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t xml:space="preserve">Having </w:t>
      </w:r>
      <w:r w:rsidR="00F45F16" w:rsidRPr="001234AB">
        <w:rPr>
          <w:rFonts w:ascii="Times New Roman" w:hAnsi="Times New Roman" w:cs="Times New Roman"/>
          <w:sz w:val="24"/>
          <w:szCs w:val="24"/>
          <w:lang w:val="en-US"/>
        </w:rPr>
        <w:t xml:space="preserve">outlined </w:t>
      </w:r>
      <w:r w:rsidRPr="001234AB">
        <w:rPr>
          <w:rFonts w:ascii="Times New Roman" w:hAnsi="Times New Roman" w:cs="Times New Roman"/>
          <w:sz w:val="24"/>
          <w:szCs w:val="24"/>
          <w:lang w:val="en-US"/>
        </w:rPr>
        <w:t>the financialization of the European economy</w:t>
      </w:r>
      <w:r w:rsidR="00F45F16"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and the dominance of the financial capital fraction,</w:t>
      </w:r>
      <w:r w:rsidR="00F45F16" w:rsidRPr="001234AB">
        <w:rPr>
          <w:rFonts w:ascii="Times New Roman" w:hAnsi="Times New Roman" w:cs="Times New Roman"/>
          <w:sz w:val="24"/>
          <w:szCs w:val="24"/>
          <w:lang w:val="en-US"/>
        </w:rPr>
        <w:t xml:space="preserve"> guided by the European Union, this chapter will examine the expected temporary alliance during the conjuncture of COVID-19. </w:t>
      </w:r>
      <w:r w:rsidRPr="001234AB">
        <w:rPr>
          <w:rFonts w:ascii="Times New Roman" w:hAnsi="Times New Roman" w:cs="Times New Roman"/>
          <w:sz w:val="24"/>
          <w:szCs w:val="24"/>
          <w:lang w:val="en-US"/>
        </w:rPr>
        <w:t xml:space="preserve">In order to do so, </w:t>
      </w:r>
      <w:r w:rsidR="00F45F16" w:rsidRPr="001234AB">
        <w:rPr>
          <w:rFonts w:ascii="Times New Roman" w:hAnsi="Times New Roman" w:cs="Times New Roman"/>
          <w:sz w:val="24"/>
          <w:szCs w:val="24"/>
          <w:lang w:val="en-US"/>
        </w:rPr>
        <w:t xml:space="preserve">timetables for </w:t>
      </w:r>
      <w:r w:rsidRPr="001234AB">
        <w:rPr>
          <w:rFonts w:ascii="Times New Roman" w:hAnsi="Times New Roman" w:cs="Times New Roman"/>
          <w:sz w:val="24"/>
          <w:szCs w:val="24"/>
          <w:lang w:val="en-US"/>
        </w:rPr>
        <w:t xml:space="preserve">the relevant </w:t>
      </w:r>
      <w:r w:rsidR="00F45F16" w:rsidRPr="001234AB">
        <w:rPr>
          <w:rFonts w:ascii="Times New Roman" w:hAnsi="Times New Roman" w:cs="Times New Roman"/>
          <w:sz w:val="24"/>
          <w:szCs w:val="24"/>
          <w:lang w:val="en-US"/>
        </w:rPr>
        <w:t xml:space="preserve">class fractions, that is financial and productive capital, organized labor, and civil society, will be outlined.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r w:rsidR="001C5258" w:rsidRPr="00373CA7">
        <w:rPr>
          <w:rFonts w:ascii="Times New Roman" w:hAnsi="Times New Roman" w:cs="Times New Roman"/>
          <w:i/>
          <w:iCs/>
          <w:sz w:val="24"/>
          <w:szCs w:val="24"/>
          <w:lang w:val="en-US"/>
        </w:rPr>
        <w:t xml:space="preserve">3.3.1 </w:t>
      </w:r>
      <w:r w:rsidR="00F45F16" w:rsidRPr="00373CA7">
        <w:rPr>
          <w:rFonts w:ascii="Times New Roman" w:hAnsi="Times New Roman" w:cs="Times New Roman"/>
          <w:i/>
          <w:iCs/>
          <w:sz w:val="24"/>
          <w:szCs w:val="24"/>
          <w:lang w:val="en-US"/>
        </w:rPr>
        <w:t>Finance capital fraction’s shift on Eurobonds</w:t>
      </w:r>
      <w:r w:rsidRPr="00373CA7">
        <w:rPr>
          <w:rFonts w:ascii="Times New Roman" w:hAnsi="Times New Roman" w:cs="Times New Roman"/>
          <w:i/>
          <w:iCs/>
          <w:sz w:val="24"/>
          <w:szCs w:val="24"/>
          <w:lang w:val="en-US"/>
        </w:rPr>
        <w:br/>
      </w:r>
      <w:r w:rsidRPr="001234AB">
        <w:rPr>
          <w:rFonts w:ascii="Times New Roman" w:hAnsi="Times New Roman" w:cs="Times New Roman"/>
          <w:sz w:val="24"/>
          <w:szCs w:val="24"/>
          <w:lang w:val="en-US"/>
        </w:rPr>
        <w:t xml:space="preserve">In 2013, when the impacts of the sovereign debt crisis were far from resolved, AFME (2013, p. 7) was straight-forward about possible crisis responses: “we maintain that the </w:t>
      </w:r>
      <w:proofErr w:type="spellStart"/>
      <w:r w:rsidRPr="001234AB">
        <w:rPr>
          <w:rFonts w:ascii="Times New Roman" w:hAnsi="Times New Roman" w:cs="Times New Roman"/>
          <w:sz w:val="24"/>
          <w:szCs w:val="24"/>
          <w:lang w:val="en-US"/>
        </w:rPr>
        <w:t>mutualisation</w:t>
      </w:r>
      <w:proofErr w:type="spellEnd"/>
      <w:r w:rsidRPr="001234AB">
        <w:rPr>
          <w:rFonts w:ascii="Times New Roman" w:hAnsi="Times New Roman" w:cs="Times New Roman"/>
          <w:sz w:val="24"/>
          <w:szCs w:val="24"/>
          <w:lang w:val="en-US"/>
        </w:rPr>
        <w:t xml:space="preserve"> of any losses other than to insured depositors in the form of deposit insurance – whether funded by the taxpayer or the industry – fosters moral hazard.” Instead, AFME &amp; EFR (2012) emphasized the revival of securitization markets, putting forward an industry-led report in 2012, as outlined in</w:t>
      </w:r>
      <w:r w:rsidR="00797B8C" w:rsidRPr="001234AB">
        <w:rPr>
          <w:rFonts w:ascii="Times New Roman" w:hAnsi="Times New Roman" w:cs="Times New Roman"/>
          <w:sz w:val="24"/>
          <w:szCs w:val="24"/>
          <w:lang w:val="en-US"/>
        </w:rPr>
        <w:t xml:space="preserve"> the </w:t>
      </w:r>
      <w:r w:rsidR="009C5393" w:rsidRPr="001234AB">
        <w:rPr>
          <w:rFonts w:ascii="Times New Roman" w:hAnsi="Times New Roman" w:cs="Times New Roman"/>
          <w:sz w:val="24"/>
          <w:szCs w:val="24"/>
          <w:lang w:val="en-US"/>
        </w:rPr>
        <w:t>section</w:t>
      </w:r>
      <w:r w:rsidR="00797B8C" w:rsidRPr="001234AB">
        <w:rPr>
          <w:rFonts w:ascii="Times New Roman" w:hAnsi="Times New Roman" w:cs="Times New Roman"/>
          <w:sz w:val="24"/>
          <w:szCs w:val="24"/>
          <w:lang w:val="en-US"/>
        </w:rPr>
        <w:t xml:space="preserve"> on the financialization of the European economy</w:t>
      </w:r>
      <w:r w:rsidRPr="001234AB">
        <w:rPr>
          <w:rFonts w:ascii="Times New Roman" w:hAnsi="Times New Roman" w:cs="Times New Roman"/>
          <w:sz w:val="24"/>
          <w:szCs w:val="24"/>
          <w:lang w:val="en-US"/>
        </w:rPr>
        <w:t xml:space="preserve">. The financial sector welcomed the Commission’s 2015 Action Plan for CMU to revive the securitization market, essentially copying the report put forward by AFME and EFR. Securitization offered substantial benefits to the financial capital fraction by enhancing </w:t>
      </w:r>
      <w:r w:rsidRPr="001234AB">
        <w:rPr>
          <w:rFonts w:ascii="Times New Roman" w:hAnsi="Times New Roman" w:cs="Times New Roman"/>
          <w:sz w:val="24"/>
          <w:szCs w:val="24"/>
          <w:lang w:val="en-US"/>
        </w:rPr>
        <w:lastRenderedPageBreak/>
        <w:t xml:space="preserve">liquidity, increasing capital efficiency, softening the frictional costs of investment, generally increasing Europe’s investment attraction, and raising profitability (EFR, 2015). In the years following the establishment of the CMU, the financial capital fraction insisted on deepening the CMU which entailed the further integration of capital markets, increase of access to finance for companies and a greater diversification of funding sources (EFR, 2016a; AFME, 2017). To better address the various financing needs, EFR (2016a, p. 8) reiterated the calls for the removal of various impediments to investments, to “truly enable the financial industry to step in.”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This call for a deepening of the market-based financing of CMU on the basis of debt-led accumulation took place midst global, and European developments that highlighted the funding gaps that persisted in Europe. First, in their commitment to help deliver the climate goals of the Paris Agreement, EFR (2016b) encouraged the EU to set up initiatives that would create national capital raising plans. Relatedly, in 2018, EFR (2018, p. 15) called for the increase of the availability of sustainable projects, as numerous financiers had voiced worries about the limited opportunities for sustainable assets to finance or invest in. Second, in 2016, EFR (2016, p. 14) asserted that Europe needed infrastructure investments - both debt and equity - ranging from EUR 1.5 trillion to EUR 2 trillion to achieve its Europe 2020 strategy goals, which, apart from the reduction of greenhouse gas emissions, involved the creation of a digital single market. EFR (2016, p. 14) posited that there is a significant funding challenge arising from traditional lenders, that is banks, being pressured to deleverage and reduce their balance sheets. In other words, facing demands to reduce debt was considered the problem of Europe’s illiquidity. Third, given increased competitiveness by the US and China, as well as protectionist tendencies by those superpowers, EFR (2017, p. 5) increasingly highlighted EU’s endangered competitive position, asserting that “the European Union has to keep the focus on growth and investment, responsible fiscal policies, and structural reforms to increase competitiveness.”</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In a 2017 reflection paper on the deepening of the EMU, the Commission (2017), discussed a common safe asset named sovereign bond-backed securities (SBBS) that could be designed by securitizing government debt. Although the proposed SBBS did not amount to a Eurobond that guaranteed debt jointly by all participating Member States, they involved a form of public risk-sharing and common debt that precede such Eurobonds. The Commission (2017, p. 22) argued that “the common issuance of debt […] would reinforce integration and financial </w:t>
      </w:r>
      <w:r w:rsidRPr="001234AB">
        <w:rPr>
          <w:rFonts w:ascii="Times New Roman" w:hAnsi="Times New Roman" w:cs="Times New Roman"/>
          <w:sz w:val="24"/>
          <w:szCs w:val="24"/>
          <w:lang w:val="en-US"/>
        </w:rPr>
        <w:lastRenderedPageBreak/>
        <w:t xml:space="preserve">stability,” opting for debt mutualization by stressing its benefits for the European economy. In particular, SBBS would allow banks and other investors to diversify their portfolios, and it would alleviate the safe asset scarcity in Europe that has haunted the EU since its inception (European Commission, 2018). In a consultation response, however, AFME (2018) expressed doubts regarding the feasibility of the Commission’s proposal, while supporting the discussion regarding the creation of a European safe asset. AFME (2018, p. 2) questioned the Commission’s assumption that the SBBS would obtain the AAA credit rating, failing to meet the prerequisite of a safe asset, namely being low-risk. Most importantly, AFME (2018, p. 4) feared that the creation of SBBS would fragment the market and negatively affect market liquidity. That is, AFME feared fragmented markets and reduced liquidity would increase trading costs and risks, reducing the financial sector’s profits. In 2019, AFME (2019, p. 9) echoed its wariness of CMU’s Action Plan to develop a Eurozone safe asset.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In March 2020, when the coronavirus was officially a global pandemic, EFR (2020a, p. 1, 2020b) published both a letter and an annual report that addressed the economic fall-out of the pandemic, calling for decisive action to “dispel any doubt about national governments, central banks and the European Union’s readiness to directly support business with sufficient liquidity.” It welcomed European and national measures to support liquidity on the financial markets, as well as public guarantees, tax deferrals, and full credit guarantees. In the 2020 annual report, a year after repeating doubts regarding a Eurozone safe asset, AFME</w:t>
      </w:r>
      <w:r w:rsidR="00D775B3" w:rsidRPr="001234AB">
        <w:rPr>
          <w:rFonts w:ascii="Times New Roman" w:hAnsi="Times New Roman" w:cs="Times New Roman"/>
          <w:sz w:val="24"/>
          <w:szCs w:val="24"/>
          <w:lang w:val="en-US"/>
        </w:rPr>
        <w:t xml:space="preserve"> (2020b)</w:t>
      </w:r>
      <w:r w:rsidRPr="001234AB">
        <w:rPr>
          <w:rFonts w:ascii="Times New Roman" w:hAnsi="Times New Roman" w:cs="Times New Roman"/>
          <w:sz w:val="24"/>
          <w:szCs w:val="24"/>
          <w:lang w:val="en-US"/>
        </w:rPr>
        <w:t xml:space="preserve"> reviewed the financial sector’s interest in a Eurozone safe asset once again: </w:t>
      </w:r>
    </w:p>
    <w:p w14:paraId="232EB216" w14:textId="77777777" w:rsidR="00797B8C" w:rsidRPr="001234AB" w:rsidRDefault="00492161" w:rsidP="00F807BD">
      <w:pPr>
        <w:spacing w:line="360" w:lineRule="auto"/>
        <w:ind w:left="737" w:right="624"/>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The European Commission should undertake a reflection on the possibilities for the creation of a European safe asset, in consultation with industry and market participants. Such an instrument could offer a highly liquid and safe asset which could stimulate cross-border capital market transactions and CMU. A Euro-denominated safe asset would also serve the strategic objectives of strengthening the international role of the euro and deepening the banking and monetary union. </w:t>
      </w:r>
      <w:r w:rsidR="00797B8C" w:rsidRPr="001234AB">
        <w:rPr>
          <w:rFonts w:ascii="Times New Roman" w:hAnsi="Times New Roman" w:cs="Times New Roman"/>
          <w:sz w:val="24"/>
          <w:szCs w:val="24"/>
          <w:lang w:val="en-US"/>
        </w:rPr>
        <w:t>(p. 27)</w:t>
      </w:r>
    </w:p>
    <w:p w14:paraId="402DF1F7" w14:textId="6F136B59" w:rsidR="00CC7313" w:rsidRPr="001234AB" w:rsidRDefault="00492161"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This statement stipulates a clear shift from suspicion of a European safe asset and its implied debt mutualization to a somewhat positive stance on such asset. For years, the financial capital fraction had brought to the fore the significant financing needs of Europe, seeking to expand the circulation of capital via financial instruments through CMU and securitization. In light of expectations of decreasing market liquidity and increasing financial instability </w:t>
      </w:r>
      <w:r w:rsidRPr="001234AB">
        <w:rPr>
          <w:rFonts w:ascii="Times New Roman" w:hAnsi="Times New Roman" w:cs="Times New Roman"/>
          <w:sz w:val="24"/>
          <w:szCs w:val="24"/>
          <w:lang w:val="en-US"/>
        </w:rPr>
        <w:lastRenderedPageBreak/>
        <w:t>because of the pandemic, Eurobonds offered the financial capital fraction a temporary outcome to guarantee profitability and alleviate the contradictions regarding Europe’s general lack of liquidity.</w:t>
      </w:r>
      <w:r w:rsidR="00797B8C"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Exemplary for the financial capital fraction’s interest in the issuance of common debt is the fact that it is heavily involved in the Eurobonds issuance (European Commission, 2024, p. 6). As of February 2024, fund managers (33.0%), bank treasuries (24.1%), central banks (21.0%), and insurance and pension funds (13.1%) make up 91.2 per cent of the issuers of Eurobonds under NGEU. </w:t>
      </w:r>
      <w:r w:rsidRPr="001234AB">
        <w:rPr>
          <w:rFonts w:ascii="Times New Roman" w:hAnsi="Times New Roman" w:cs="Times New Roman"/>
          <w:sz w:val="24"/>
          <w:szCs w:val="24"/>
          <w:lang w:val="en-US"/>
        </w:rPr>
        <w:br/>
      </w:r>
      <w:r w:rsidR="004F6A40" w:rsidRPr="001234AB">
        <w:rPr>
          <w:rFonts w:ascii="Times New Roman" w:hAnsi="Times New Roman" w:cs="Times New Roman"/>
          <w:b/>
          <w:bCs/>
          <w:sz w:val="24"/>
          <w:szCs w:val="24"/>
          <w:lang w:val="en-US"/>
        </w:rPr>
        <w:br/>
      </w:r>
      <w:r w:rsidR="001C5258" w:rsidRPr="00373CA7">
        <w:rPr>
          <w:rFonts w:ascii="Times New Roman" w:hAnsi="Times New Roman" w:cs="Times New Roman"/>
          <w:i/>
          <w:iCs/>
          <w:sz w:val="24"/>
          <w:szCs w:val="24"/>
          <w:lang w:val="en-US"/>
        </w:rPr>
        <w:t xml:space="preserve">3.3.2 </w:t>
      </w:r>
      <w:r w:rsidRPr="00373CA7">
        <w:rPr>
          <w:rFonts w:ascii="Times New Roman" w:hAnsi="Times New Roman" w:cs="Times New Roman"/>
          <w:i/>
          <w:iCs/>
          <w:sz w:val="24"/>
          <w:szCs w:val="24"/>
          <w:lang w:val="en-US"/>
        </w:rPr>
        <w:t>Productive capital fraction</w:t>
      </w:r>
      <w:r w:rsidR="00F45F16" w:rsidRPr="00373CA7">
        <w:rPr>
          <w:rFonts w:ascii="Times New Roman" w:hAnsi="Times New Roman" w:cs="Times New Roman"/>
          <w:i/>
          <w:iCs/>
          <w:sz w:val="24"/>
          <w:szCs w:val="24"/>
          <w:lang w:val="en-US"/>
        </w:rPr>
        <w:t xml:space="preserve"> and its liquidity needs</w:t>
      </w:r>
      <w:r w:rsidRPr="001234AB">
        <w:rPr>
          <w:rFonts w:ascii="Times New Roman" w:hAnsi="Times New Roman" w:cs="Times New Roman"/>
          <w:b/>
          <w:bCs/>
          <w:sz w:val="24"/>
          <w:szCs w:val="24"/>
          <w:lang w:val="en-US"/>
        </w:rPr>
        <w:br/>
      </w:r>
      <w:r w:rsidRPr="001234AB">
        <w:rPr>
          <w:rFonts w:ascii="Times New Roman" w:hAnsi="Times New Roman" w:cs="Times New Roman"/>
          <w:sz w:val="24"/>
          <w:szCs w:val="24"/>
          <w:lang w:val="en-US"/>
        </w:rPr>
        <w:t>The European productive capital fraction endorsed the austerity agenda as a crisis response to the sovereign debt crisis (</w:t>
      </w:r>
      <w:proofErr w:type="spellStart"/>
      <w:r w:rsidRPr="001234AB">
        <w:rPr>
          <w:rFonts w:ascii="Times New Roman" w:hAnsi="Times New Roman" w:cs="Times New Roman"/>
          <w:sz w:val="24"/>
          <w:szCs w:val="24"/>
          <w:lang w:val="en-US"/>
        </w:rPr>
        <w:t>Bieling</w:t>
      </w:r>
      <w:proofErr w:type="spellEnd"/>
      <w:r w:rsidRPr="001234AB">
        <w:rPr>
          <w:rFonts w:ascii="Times New Roman" w:hAnsi="Times New Roman" w:cs="Times New Roman"/>
          <w:sz w:val="24"/>
          <w:szCs w:val="24"/>
          <w:lang w:val="en-US"/>
        </w:rPr>
        <w:t xml:space="preserve">, 2013 pp. 291-293, </w:t>
      </w:r>
      <w:proofErr w:type="spellStart"/>
      <w:r w:rsidRPr="001234AB">
        <w:rPr>
          <w:rFonts w:ascii="Times New Roman" w:hAnsi="Times New Roman" w:cs="Times New Roman"/>
          <w:sz w:val="24"/>
          <w:szCs w:val="24"/>
          <w:lang w:val="en-US"/>
        </w:rPr>
        <w:t>BusinessEurope</w:t>
      </w:r>
      <w:proofErr w:type="spellEnd"/>
      <w:r w:rsidRPr="001234AB">
        <w:rPr>
          <w:rFonts w:ascii="Times New Roman" w:hAnsi="Times New Roman" w:cs="Times New Roman"/>
          <w:sz w:val="24"/>
          <w:szCs w:val="24"/>
          <w:lang w:val="en-US"/>
        </w:rPr>
        <w:t xml:space="preserve">, 2010a, 2010b). In 2010, </w:t>
      </w:r>
      <w:proofErr w:type="spellStart"/>
      <w:r w:rsidRPr="001234AB">
        <w:rPr>
          <w:rFonts w:ascii="Times New Roman" w:hAnsi="Times New Roman" w:cs="Times New Roman"/>
          <w:sz w:val="24"/>
          <w:szCs w:val="24"/>
          <w:lang w:val="en-US"/>
        </w:rPr>
        <w:t>BusinessEurope</w:t>
      </w:r>
      <w:proofErr w:type="spellEnd"/>
      <w:r w:rsidRPr="001234AB">
        <w:rPr>
          <w:rFonts w:ascii="Times New Roman" w:hAnsi="Times New Roman" w:cs="Times New Roman"/>
          <w:sz w:val="24"/>
          <w:szCs w:val="24"/>
          <w:lang w:val="en-US"/>
        </w:rPr>
        <w:t xml:space="preserve"> (2010b, p. 3) advocated for urgent and forceful reforms in the form of tighter fiscal rules, spending cuts and the privatization of public sectors as </w:t>
      </w:r>
      <w:r w:rsidR="00D775B3" w:rsidRPr="001234AB">
        <w:rPr>
          <w:rFonts w:ascii="Times New Roman" w:hAnsi="Times New Roman" w:cs="Times New Roman"/>
          <w:sz w:val="24"/>
          <w:szCs w:val="24"/>
          <w:lang w:val="en-US"/>
        </w:rPr>
        <w:t>it</w:t>
      </w:r>
      <w:r w:rsidRPr="001234AB">
        <w:rPr>
          <w:rFonts w:ascii="Times New Roman" w:hAnsi="Times New Roman" w:cs="Times New Roman"/>
          <w:sz w:val="24"/>
          <w:szCs w:val="24"/>
          <w:lang w:val="en-US"/>
        </w:rPr>
        <w:t xml:space="preserve"> argued that “the current instability has its origin in years of indulgence and poor economic governance, long before the financial crisis broke out.” Likewise, the German employer and business associations, BDA &amp; BDI (2010) supported the imposition of EU austerity programs (in Erne et al., 2024, p. 311). In 2014, in a joint statement, </w:t>
      </w:r>
      <w:proofErr w:type="spellStart"/>
      <w:r w:rsidRPr="001234AB">
        <w:rPr>
          <w:rFonts w:ascii="Times New Roman" w:hAnsi="Times New Roman" w:cs="Times New Roman"/>
          <w:sz w:val="24"/>
          <w:szCs w:val="24"/>
          <w:lang w:val="en-US"/>
        </w:rPr>
        <w:t>BusinessEurope</w:t>
      </w:r>
      <w:proofErr w:type="spellEnd"/>
      <w:r w:rsidRPr="001234AB">
        <w:rPr>
          <w:rFonts w:ascii="Times New Roman" w:hAnsi="Times New Roman" w:cs="Times New Roman"/>
          <w:sz w:val="24"/>
          <w:szCs w:val="24"/>
          <w:lang w:val="en-US"/>
        </w:rPr>
        <w:t xml:space="preserve"> (2014, p. 2), </w:t>
      </w:r>
      <w:proofErr w:type="spellStart"/>
      <w:r w:rsidRPr="001234AB">
        <w:rPr>
          <w:rFonts w:ascii="Times New Roman" w:hAnsi="Times New Roman" w:cs="Times New Roman"/>
          <w:sz w:val="24"/>
          <w:szCs w:val="24"/>
          <w:lang w:val="en-US"/>
        </w:rPr>
        <w:t>EuroChambres</w:t>
      </w:r>
      <w:proofErr w:type="spellEnd"/>
      <w:r w:rsidRPr="001234AB">
        <w:rPr>
          <w:rFonts w:ascii="Times New Roman" w:hAnsi="Times New Roman" w:cs="Times New Roman"/>
          <w:sz w:val="24"/>
          <w:szCs w:val="24"/>
          <w:lang w:val="en-US"/>
        </w:rPr>
        <w:t xml:space="preserve">, as well as </w:t>
      </w:r>
      <w:proofErr w:type="spellStart"/>
      <w:r w:rsidRPr="001234AB">
        <w:rPr>
          <w:rFonts w:ascii="Times New Roman" w:hAnsi="Times New Roman" w:cs="Times New Roman"/>
          <w:sz w:val="24"/>
          <w:szCs w:val="24"/>
          <w:lang w:val="en-US"/>
        </w:rPr>
        <w:t>EuroCommerce</w:t>
      </w:r>
      <w:proofErr w:type="spellEnd"/>
      <w:r w:rsidRPr="001234AB">
        <w:rPr>
          <w:rFonts w:ascii="Times New Roman" w:hAnsi="Times New Roman" w:cs="Times New Roman"/>
          <w:sz w:val="24"/>
          <w:szCs w:val="24"/>
          <w:lang w:val="en-US"/>
        </w:rPr>
        <w:t xml:space="preserve"> and the European Association of Craft, Small and Medium-Sized Enterprises (UEAPME) reiterated this austerity agenda by promoting the further implementation of structural reforms. In the same joint statement, the need for sufficient access to finance was voiced (</w:t>
      </w:r>
      <w:proofErr w:type="spellStart"/>
      <w:r w:rsidRPr="001234AB">
        <w:rPr>
          <w:rFonts w:ascii="Times New Roman" w:hAnsi="Times New Roman" w:cs="Times New Roman"/>
          <w:sz w:val="24"/>
          <w:szCs w:val="24"/>
          <w:lang w:val="en-US"/>
        </w:rPr>
        <w:t>BusinessEurope</w:t>
      </w:r>
      <w:proofErr w:type="spellEnd"/>
      <w:r w:rsidRPr="001234AB">
        <w:rPr>
          <w:rFonts w:ascii="Times New Roman" w:hAnsi="Times New Roman" w:cs="Times New Roman"/>
          <w:sz w:val="24"/>
          <w:szCs w:val="24"/>
          <w:lang w:val="en-US"/>
        </w:rPr>
        <w:t xml:space="preserve"> 2014, pp. 4-5). Adding to the ongoing proposals for the implementation of CMU, the business organizations asked EU institutions to support alternative forms of finance and risk-finance instruments, as well as extend public support for securitization. By doing so, the productive capital fraction directly aligned with the interests of the financial capital fraction.</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Already in 2011, </w:t>
      </w:r>
      <w:proofErr w:type="spellStart"/>
      <w:r w:rsidRPr="001234AB">
        <w:rPr>
          <w:rFonts w:ascii="Times New Roman" w:hAnsi="Times New Roman" w:cs="Times New Roman"/>
          <w:sz w:val="24"/>
          <w:szCs w:val="24"/>
          <w:lang w:val="en-US"/>
        </w:rPr>
        <w:t>BusinessEurope</w:t>
      </w:r>
      <w:proofErr w:type="spellEnd"/>
      <w:r w:rsidRPr="001234AB">
        <w:rPr>
          <w:rFonts w:ascii="Times New Roman" w:hAnsi="Times New Roman" w:cs="Times New Roman"/>
          <w:sz w:val="24"/>
          <w:szCs w:val="24"/>
          <w:lang w:val="en-US"/>
        </w:rPr>
        <w:t xml:space="preserve"> (2011a, p. 3; 2011b) explicitly discussed Eurobonds as a “long-term aspiration” when reflecting on what is needed to reinforce the euro. </w:t>
      </w:r>
      <w:proofErr w:type="spellStart"/>
      <w:r w:rsidRPr="001234AB">
        <w:rPr>
          <w:rFonts w:ascii="Times New Roman" w:hAnsi="Times New Roman" w:cs="Times New Roman"/>
          <w:sz w:val="24"/>
          <w:szCs w:val="24"/>
          <w:lang w:val="en-US"/>
        </w:rPr>
        <w:t>BusinessEurope</w:t>
      </w:r>
      <w:proofErr w:type="spellEnd"/>
      <w:r w:rsidRPr="001234AB">
        <w:rPr>
          <w:rFonts w:ascii="Times New Roman" w:hAnsi="Times New Roman" w:cs="Times New Roman"/>
          <w:sz w:val="24"/>
          <w:szCs w:val="24"/>
          <w:lang w:val="en-US"/>
        </w:rPr>
        <w:t xml:space="preserve"> (2011a, p. 3) reasoned that “by increasing liquidity for investors [Eurobonds] offer the potential for lowering costs for governments across the entire euro area,” amounting to a high-liquid, low-risk safe asset that provides significant funding for investment in the productive sphere of the economy. The following years, </w:t>
      </w:r>
      <w:proofErr w:type="spellStart"/>
      <w:r w:rsidRPr="001234AB">
        <w:rPr>
          <w:rFonts w:ascii="Times New Roman" w:hAnsi="Times New Roman" w:cs="Times New Roman"/>
          <w:sz w:val="24"/>
          <w:szCs w:val="24"/>
          <w:lang w:val="en-US"/>
        </w:rPr>
        <w:t>BusinessEurope</w:t>
      </w:r>
      <w:proofErr w:type="spellEnd"/>
      <w:r w:rsidRPr="001234AB">
        <w:rPr>
          <w:rFonts w:ascii="Times New Roman" w:hAnsi="Times New Roman" w:cs="Times New Roman"/>
          <w:sz w:val="24"/>
          <w:szCs w:val="24"/>
          <w:lang w:val="en-US"/>
        </w:rPr>
        <w:t xml:space="preserve"> (2015, 2018) reiterated the productive sector’s interest in adopting a joint European debt instrument.</w:t>
      </w:r>
      <w:r w:rsidR="00D775B3"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In the same vein, and in contrast to the financial capital fraction, the productive capital fraction </w:t>
      </w:r>
      <w:r w:rsidRPr="001234AB">
        <w:rPr>
          <w:rFonts w:ascii="Times New Roman" w:hAnsi="Times New Roman" w:cs="Times New Roman"/>
          <w:sz w:val="24"/>
          <w:szCs w:val="24"/>
          <w:lang w:val="en-US"/>
        </w:rPr>
        <w:lastRenderedPageBreak/>
        <w:t xml:space="preserve">supported the development of the SBBS because </w:t>
      </w:r>
      <w:r w:rsidRPr="001234AB">
        <w:rPr>
          <w:rStyle w:val="normaltextrun"/>
          <w:rFonts w:ascii="Times New Roman" w:hAnsi="Times New Roman" w:cs="Times New Roman"/>
          <w:color w:val="000000"/>
          <w:sz w:val="24"/>
          <w:szCs w:val="24"/>
          <w:shd w:val="clear" w:color="auto" w:fill="FFFFFF"/>
          <w:lang w:val="en-US"/>
        </w:rPr>
        <w:t>it argued that such securities could actually improve liquidity (</w:t>
      </w:r>
      <w:proofErr w:type="spellStart"/>
      <w:r w:rsidRPr="001234AB">
        <w:rPr>
          <w:rStyle w:val="normaltextrun"/>
          <w:rFonts w:ascii="Times New Roman" w:hAnsi="Times New Roman" w:cs="Times New Roman"/>
          <w:color w:val="000000"/>
          <w:sz w:val="24"/>
          <w:szCs w:val="24"/>
          <w:shd w:val="clear" w:color="auto" w:fill="FFFFFF"/>
          <w:lang w:val="en-US"/>
        </w:rPr>
        <w:t>BusinessEurope</w:t>
      </w:r>
      <w:proofErr w:type="spellEnd"/>
      <w:r w:rsidRPr="001234AB">
        <w:rPr>
          <w:rStyle w:val="normaltextrun"/>
          <w:rFonts w:ascii="Times New Roman" w:hAnsi="Times New Roman" w:cs="Times New Roman"/>
          <w:color w:val="000000"/>
          <w:sz w:val="24"/>
          <w:szCs w:val="24"/>
          <w:shd w:val="clear" w:color="auto" w:fill="FFFFFF"/>
          <w:lang w:val="en-US"/>
        </w:rPr>
        <w:t>, 2018). The contrasting use of liquidity as an argument to support SBBS</w:t>
      </w:r>
      <w:r w:rsidR="006A28BE" w:rsidRPr="001234AB">
        <w:rPr>
          <w:rStyle w:val="normaltextrun"/>
          <w:rFonts w:ascii="Times New Roman" w:hAnsi="Times New Roman" w:cs="Times New Roman"/>
          <w:color w:val="000000"/>
          <w:sz w:val="24"/>
          <w:szCs w:val="24"/>
          <w:shd w:val="clear" w:color="auto" w:fill="FFFFFF"/>
          <w:lang w:val="en-US"/>
        </w:rPr>
        <w:t xml:space="preserve"> </w:t>
      </w:r>
      <w:r w:rsidRPr="001234AB">
        <w:rPr>
          <w:rStyle w:val="normaltextrun"/>
          <w:rFonts w:ascii="Times New Roman" w:hAnsi="Times New Roman" w:cs="Times New Roman"/>
          <w:color w:val="000000"/>
          <w:sz w:val="24"/>
          <w:szCs w:val="24"/>
          <w:shd w:val="clear" w:color="auto" w:fill="FFFFFF"/>
          <w:lang w:val="en-US"/>
        </w:rPr>
        <w:t>stems from the fact that the productive capital fraction relies on investment in the productive sphere to expand, for which it needs low-risk, high-liquid access to finance.</w:t>
      </w:r>
      <w:r w:rsidR="00D775B3" w:rsidRPr="001234AB">
        <w:rPr>
          <w:rStyle w:val="normaltextrun"/>
          <w:rFonts w:ascii="Times New Roman" w:hAnsi="Times New Roman" w:cs="Times New Roman"/>
          <w:color w:val="000000"/>
          <w:sz w:val="24"/>
          <w:szCs w:val="24"/>
          <w:shd w:val="clear" w:color="auto" w:fill="FFFFFF"/>
          <w:lang w:val="en-US"/>
        </w:rPr>
        <w:t xml:space="preserve"> T</w:t>
      </w:r>
      <w:r w:rsidRPr="001234AB">
        <w:rPr>
          <w:rStyle w:val="normaltextrun"/>
          <w:rFonts w:ascii="Times New Roman" w:hAnsi="Times New Roman" w:cs="Times New Roman"/>
          <w:color w:val="000000"/>
          <w:sz w:val="24"/>
          <w:szCs w:val="24"/>
          <w:shd w:val="clear" w:color="auto" w:fill="FFFFFF"/>
          <w:lang w:val="en-US"/>
        </w:rPr>
        <w:t xml:space="preserve">he financial capital </w:t>
      </w:r>
      <w:r w:rsidRPr="001234AB">
        <w:rPr>
          <w:rStyle w:val="normaltextrun"/>
          <w:rFonts w:ascii="Times New Roman" w:hAnsi="Times New Roman" w:cs="Times New Roman"/>
          <w:sz w:val="24"/>
          <w:szCs w:val="24"/>
          <w:shd w:val="clear" w:color="auto" w:fill="FFFFFF"/>
          <w:lang w:val="en-US"/>
        </w:rPr>
        <w:t xml:space="preserve">fraction opposed the Commission’s proposal of the implementation of SBBS because it questioned the actual safeness of the securities, and feared the securities would negatively affect market unity and liquidity. The financial capital fraction relies on the expansion of financial assets and this circulation of fictitious capital is promoted by CMU and securitization. It is feared that SBBS will form an obstacle to this circulation because the creation of a safe asset is likely to discourage tapping into the capital markets. </w:t>
      </w:r>
      <w:r w:rsidRPr="001234AB">
        <w:rPr>
          <w:rFonts w:ascii="Times New Roman" w:hAnsi="Times New Roman" w:cs="Times New Roman"/>
          <w:sz w:val="24"/>
          <w:szCs w:val="24"/>
          <w:lang w:val="en-US"/>
        </w:rPr>
        <w:t>It illustrates how specific fractions within the capitalist class advance their particular interests from their own standpoint, while generally they form an alliance (van Apeldoorn, 2004, p. 155).</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In th</w:t>
      </w:r>
      <w:r w:rsidR="00D775B3" w:rsidRPr="001234AB">
        <w:rPr>
          <w:rFonts w:ascii="Times New Roman" w:hAnsi="Times New Roman" w:cs="Times New Roman"/>
          <w:sz w:val="24"/>
          <w:szCs w:val="24"/>
          <w:lang w:val="en-US"/>
        </w:rPr>
        <w:t>e same</w:t>
      </w:r>
      <w:r w:rsidRPr="001234AB">
        <w:rPr>
          <w:rFonts w:ascii="Times New Roman" w:hAnsi="Times New Roman" w:cs="Times New Roman"/>
          <w:sz w:val="24"/>
          <w:szCs w:val="24"/>
          <w:lang w:val="en-US"/>
        </w:rPr>
        <w:t xml:space="preserve"> period, as a European representative of the transnational productive capital fraction, ERT (2019</w:t>
      </w:r>
      <w:r w:rsidR="00A01909" w:rsidRPr="001234AB">
        <w:rPr>
          <w:rFonts w:ascii="Times New Roman" w:hAnsi="Times New Roman" w:cs="Times New Roman"/>
          <w:sz w:val="24"/>
          <w:szCs w:val="24"/>
          <w:lang w:val="en-US"/>
        </w:rPr>
        <w:t>a</w:t>
      </w:r>
      <w:r w:rsidRPr="001234AB">
        <w:rPr>
          <w:rFonts w:ascii="Times New Roman" w:hAnsi="Times New Roman" w:cs="Times New Roman"/>
          <w:sz w:val="24"/>
          <w:szCs w:val="24"/>
          <w:lang w:val="en-US"/>
        </w:rPr>
        <w:t>) published a report on how Europe is falling behind its peers, specifically China and USA. In light of this, ERT (2019</w:t>
      </w:r>
      <w:r w:rsidR="00A01909" w:rsidRPr="001234AB">
        <w:rPr>
          <w:rFonts w:ascii="Times New Roman" w:hAnsi="Times New Roman" w:cs="Times New Roman"/>
          <w:sz w:val="24"/>
          <w:szCs w:val="24"/>
          <w:lang w:val="en-US"/>
        </w:rPr>
        <w:t>b</w:t>
      </w:r>
      <w:r w:rsidRPr="001234AB">
        <w:rPr>
          <w:rFonts w:ascii="Times New Roman" w:hAnsi="Times New Roman" w:cs="Times New Roman"/>
          <w:sz w:val="24"/>
          <w:szCs w:val="24"/>
          <w:lang w:val="en-US"/>
        </w:rPr>
        <w:t>) called for an ambitious new industrial strategy, to be determined by the new Commission taking up office in 2019. Acknowledging that climate change, technological developments, and escalating tensions between major geopolitical powers fundamentally changed the market environment, ERT (2019</w:t>
      </w:r>
      <w:r w:rsidR="00A01909" w:rsidRPr="001234AB">
        <w:rPr>
          <w:rFonts w:ascii="Times New Roman" w:hAnsi="Times New Roman" w:cs="Times New Roman"/>
          <w:sz w:val="24"/>
          <w:szCs w:val="24"/>
          <w:lang w:val="en-US"/>
        </w:rPr>
        <w:t>b</w:t>
      </w:r>
      <w:r w:rsidRPr="001234AB">
        <w:rPr>
          <w:rFonts w:ascii="Times New Roman" w:hAnsi="Times New Roman" w:cs="Times New Roman"/>
          <w:sz w:val="24"/>
          <w:szCs w:val="24"/>
          <w:lang w:val="en-US"/>
        </w:rPr>
        <w:t>) urged the EU and its Member states to ensure economic and financial stability, as well as better access to finance. Statistics from an ERT (2020a, p. 3) survey in 2020 reveal that, because of the COVID-19 outbreak, a larger part of the productive capital fraction had a pessimistic view of business and economic conditions, especially compared to earlier years. When asked to name what crisis-related measures was thought to ensure the viability of one’s business in the long-term, “to issue more debt,” was the most popular measure by 21% (ERT, 2020</w:t>
      </w:r>
      <w:r w:rsidR="006A28BE" w:rsidRPr="001234AB">
        <w:rPr>
          <w:rFonts w:ascii="Times New Roman" w:hAnsi="Times New Roman" w:cs="Times New Roman"/>
          <w:sz w:val="24"/>
          <w:szCs w:val="24"/>
          <w:lang w:val="en-US"/>
        </w:rPr>
        <w:t>a</w:t>
      </w:r>
      <w:r w:rsidRPr="001234AB">
        <w:rPr>
          <w:rFonts w:ascii="Times New Roman" w:hAnsi="Times New Roman" w:cs="Times New Roman"/>
          <w:sz w:val="24"/>
          <w:szCs w:val="24"/>
          <w:lang w:val="en-US"/>
        </w:rPr>
        <w:t xml:space="preserve">, p. 13).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In April 2020, both </w:t>
      </w:r>
      <w:proofErr w:type="spellStart"/>
      <w:r w:rsidRPr="00EA1FA9">
        <w:rPr>
          <w:rFonts w:ascii="Times New Roman" w:hAnsi="Times New Roman" w:cs="Times New Roman"/>
          <w:sz w:val="24"/>
          <w:szCs w:val="24"/>
          <w:lang w:val="en-US"/>
        </w:rPr>
        <w:t>BusinessEurope</w:t>
      </w:r>
      <w:proofErr w:type="spellEnd"/>
      <w:r w:rsidRPr="00EA1FA9">
        <w:rPr>
          <w:rFonts w:ascii="Times New Roman" w:hAnsi="Times New Roman" w:cs="Times New Roman"/>
          <w:sz w:val="24"/>
          <w:szCs w:val="24"/>
          <w:lang w:val="en-US"/>
        </w:rPr>
        <w:t xml:space="preserve"> (2020, pp. 1-3) and Eurochambres (2020, p. 2) underlined the necessity of quickly reaching an agreement on an ambitious new</w:t>
      </w:r>
      <w:r w:rsidRPr="001234AB">
        <w:rPr>
          <w:rFonts w:ascii="Times New Roman" w:hAnsi="Times New Roman" w:cs="Times New Roman"/>
          <w:sz w:val="24"/>
          <w:szCs w:val="24"/>
          <w:lang w:val="en-US"/>
        </w:rPr>
        <w:t xml:space="preserve"> multi-annual financial framework (MFF) – which was to be laid out for 2021 - as well as the possibility of a European Recovery Fund to relaunch the European economy. An allusion to the EU budget is illustrative for the productive sector, as the EU budget holds a vital guarantee for investment in the productive sphere. According to </w:t>
      </w:r>
      <w:proofErr w:type="spellStart"/>
      <w:r w:rsidRPr="001234AB">
        <w:rPr>
          <w:rFonts w:ascii="Times New Roman" w:hAnsi="Times New Roman" w:cs="Times New Roman"/>
          <w:sz w:val="24"/>
          <w:szCs w:val="24"/>
          <w:lang w:val="en-US"/>
        </w:rPr>
        <w:t>BusinessEurope</w:t>
      </w:r>
      <w:proofErr w:type="spellEnd"/>
      <w:r w:rsidRPr="001234AB">
        <w:rPr>
          <w:rFonts w:ascii="Times New Roman" w:hAnsi="Times New Roman" w:cs="Times New Roman"/>
          <w:sz w:val="24"/>
          <w:szCs w:val="24"/>
          <w:lang w:val="en-US"/>
        </w:rPr>
        <w:t xml:space="preserve"> (2020, p, 1), the recovery plan had to “bring new money to the table without mutualizing existing debt between Member </w:t>
      </w:r>
      <w:r w:rsidRPr="001234AB">
        <w:rPr>
          <w:rFonts w:ascii="Times New Roman" w:hAnsi="Times New Roman" w:cs="Times New Roman"/>
          <w:sz w:val="24"/>
          <w:szCs w:val="24"/>
          <w:lang w:val="en-US"/>
        </w:rPr>
        <w:lastRenderedPageBreak/>
        <w:t xml:space="preserve">States”, indirectly demanding a joint debt instrument (Schneider, 2023, p. 1311). In the footnotes, </w:t>
      </w:r>
      <w:proofErr w:type="spellStart"/>
      <w:r w:rsidRPr="001234AB">
        <w:rPr>
          <w:rFonts w:ascii="Times New Roman" w:hAnsi="Times New Roman" w:cs="Times New Roman"/>
          <w:sz w:val="24"/>
          <w:szCs w:val="24"/>
          <w:lang w:val="en-US"/>
        </w:rPr>
        <w:t>BusinessEurope</w:t>
      </w:r>
      <w:proofErr w:type="spellEnd"/>
      <w:r w:rsidRPr="001234AB">
        <w:rPr>
          <w:rFonts w:ascii="Times New Roman" w:hAnsi="Times New Roman" w:cs="Times New Roman"/>
          <w:sz w:val="24"/>
          <w:szCs w:val="24"/>
          <w:lang w:val="en-US"/>
        </w:rPr>
        <w:t xml:space="preserve"> (2020, p. 1) acknowledged that the Confederation of German Employers’ Association (BDA) did not completely agree with BE’s passage regarding the new MFF and the European Recovery Fund. Although Hacker (2022, p. 15) concluded that various German associations, including BDA, welcomed the recovery initiative, it is unclear on what exact grounds and to what extent BDA did not agree with the statement. BDA’s differing stance reflects Germany’s internal divisions regarding Eurobonds and is exemplary for the internal contradictions that are present in capital fractions and in need for reconciliation, as theorized by 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xml:space="preserve"> (2018, p. 244). In a joint statement, the demand for a common debt instrument was reiterated by BDI (2020) and its Italian and French counterparts (in Schneider, 2023, p. 1311). Eurochambres (2020, p. 4), with their focus on SMEs, deemed the preservation of financial liquidity also a critical tool, and urged the EU to provide accessible financing instruments through both public and private risk-sharing. In June 2020, ERT (2020b) announced its complete support of the NGEU recovery plan as unveiled by the Commission, and called on EU Member States to endorse it.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Since a low-risk, high-liquid asset in the form of Eurobonds </w:t>
      </w:r>
      <w:r w:rsidR="00D044E5" w:rsidRPr="001234AB">
        <w:rPr>
          <w:rFonts w:ascii="Times New Roman" w:hAnsi="Times New Roman" w:cs="Times New Roman"/>
          <w:sz w:val="24"/>
          <w:szCs w:val="24"/>
          <w:lang w:val="en-US"/>
        </w:rPr>
        <w:t xml:space="preserve">guarantees investments and the subsequent expansion of the productive sphere, </w:t>
      </w:r>
      <w:r w:rsidRPr="001234AB">
        <w:rPr>
          <w:rFonts w:ascii="Times New Roman" w:hAnsi="Times New Roman" w:cs="Times New Roman"/>
          <w:sz w:val="24"/>
          <w:szCs w:val="24"/>
          <w:lang w:val="en-US"/>
        </w:rPr>
        <w:t xml:space="preserve">it is clear why some form of joint European debt instrument has consistently been on the agenda </w:t>
      </w:r>
      <w:r w:rsidR="00D044E5" w:rsidRPr="001234AB">
        <w:rPr>
          <w:rFonts w:ascii="Times New Roman" w:hAnsi="Times New Roman" w:cs="Times New Roman"/>
          <w:sz w:val="24"/>
          <w:szCs w:val="24"/>
          <w:lang w:val="en-US"/>
        </w:rPr>
        <w:t xml:space="preserve">of </w:t>
      </w:r>
      <w:r w:rsidRPr="001234AB">
        <w:rPr>
          <w:rFonts w:ascii="Times New Roman" w:hAnsi="Times New Roman" w:cs="Times New Roman"/>
          <w:sz w:val="24"/>
          <w:szCs w:val="24"/>
          <w:lang w:val="en-US"/>
        </w:rPr>
        <w:t xml:space="preserve">the productive capital fraction. </w:t>
      </w:r>
      <w:r w:rsidR="00D044E5" w:rsidRPr="001234AB">
        <w:rPr>
          <w:rFonts w:ascii="Times New Roman" w:hAnsi="Times New Roman" w:cs="Times New Roman"/>
          <w:sz w:val="24"/>
          <w:szCs w:val="24"/>
          <w:lang w:val="en-US"/>
        </w:rPr>
        <w:t xml:space="preserve">While it has also been a driver of the austerity agenda, differing economic conditions, particularly challenges that expose Europe’s illiquidity, underscored the need for financial stability that Eurobonds could temporarily offer. The varying stances within different national business associations reveal the deep-rooted contradictions and the need for reconciliation within the broader capitalist class. The contradictions, in turn, highlight the dynamic and contested nature of EU policymaking. </w:t>
      </w:r>
      <w:r w:rsidRPr="001234AB">
        <w:rPr>
          <w:rFonts w:ascii="Times New Roman" w:hAnsi="Times New Roman" w:cs="Times New Roman"/>
          <w:sz w:val="24"/>
          <w:szCs w:val="24"/>
          <w:lang w:val="en-US"/>
        </w:rPr>
        <w:t xml:space="preserve">Throughout this period, the productive capital fraction has </w:t>
      </w:r>
      <w:r w:rsidR="00D044E5" w:rsidRPr="001234AB">
        <w:rPr>
          <w:rFonts w:ascii="Times New Roman" w:hAnsi="Times New Roman" w:cs="Times New Roman"/>
          <w:sz w:val="24"/>
          <w:szCs w:val="24"/>
          <w:lang w:val="en-US"/>
        </w:rPr>
        <w:t xml:space="preserve">closely </w:t>
      </w:r>
      <w:r w:rsidRPr="001234AB">
        <w:rPr>
          <w:rFonts w:ascii="Times New Roman" w:hAnsi="Times New Roman" w:cs="Times New Roman"/>
          <w:sz w:val="24"/>
          <w:szCs w:val="24"/>
          <w:lang w:val="en-US"/>
        </w:rPr>
        <w:t xml:space="preserve">aligned with the </w:t>
      </w:r>
      <w:r w:rsidR="00D044E5" w:rsidRPr="001234AB">
        <w:rPr>
          <w:rFonts w:ascii="Times New Roman" w:hAnsi="Times New Roman" w:cs="Times New Roman"/>
          <w:sz w:val="24"/>
          <w:szCs w:val="24"/>
          <w:lang w:val="en-US"/>
        </w:rPr>
        <w:t xml:space="preserve">interests of the </w:t>
      </w:r>
      <w:r w:rsidRPr="001234AB">
        <w:rPr>
          <w:rFonts w:ascii="Times New Roman" w:hAnsi="Times New Roman" w:cs="Times New Roman"/>
          <w:sz w:val="24"/>
          <w:szCs w:val="24"/>
          <w:lang w:val="en-US"/>
        </w:rPr>
        <w:t>financial capital fraction</w:t>
      </w:r>
      <w:r w:rsidR="00D044E5" w:rsidRPr="001234AB">
        <w:rPr>
          <w:rFonts w:ascii="Times New Roman" w:hAnsi="Times New Roman" w:cs="Times New Roman"/>
          <w:sz w:val="24"/>
          <w:szCs w:val="24"/>
          <w:lang w:val="en-US"/>
        </w:rPr>
        <w:t xml:space="preserve">, in particular </w:t>
      </w:r>
      <w:r w:rsidRPr="001234AB">
        <w:rPr>
          <w:rFonts w:ascii="Times New Roman" w:hAnsi="Times New Roman" w:cs="Times New Roman"/>
          <w:sz w:val="24"/>
          <w:szCs w:val="24"/>
          <w:lang w:val="en-US"/>
        </w:rPr>
        <w:t>by promoting CMU and securitization</w:t>
      </w:r>
      <w:r w:rsidR="00D044E5" w:rsidRPr="001234AB">
        <w:rPr>
          <w:rFonts w:ascii="Times New Roman" w:hAnsi="Times New Roman" w:cs="Times New Roman"/>
          <w:sz w:val="24"/>
          <w:szCs w:val="24"/>
          <w:lang w:val="en-US"/>
        </w:rPr>
        <w:t xml:space="preserve">. </w:t>
      </w:r>
      <w:r w:rsidR="00CC7313"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r w:rsidR="001C5258" w:rsidRPr="00373CA7">
        <w:rPr>
          <w:rFonts w:ascii="Times New Roman" w:hAnsi="Times New Roman" w:cs="Times New Roman"/>
          <w:i/>
          <w:iCs/>
          <w:sz w:val="24"/>
          <w:szCs w:val="24"/>
          <w:lang w:val="en-US"/>
        </w:rPr>
        <w:t xml:space="preserve">3.3.3 </w:t>
      </w:r>
      <w:r w:rsidR="00F45F16" w:rsidRPr="00373CA7">
        <w:rPr>
          <w:rFonts w:ascii="Times New Roman" w:hAnsi="Times New Roman" w:cs="Times New Roman"/>
          <w:i/>
          <w:iCs/>
          <w:sz w:val="24"/>
          <w:szCs w:val="24"/>
          <w:lang w:val="en-US"/>
        </w:rPr>
        <w:t xml:space="preserve">Organized labor’s demand for </w:t>
      </w:r>
      <w:r w:rsidR="00797B8C" w:rsidRPr="00373CA7">
        <w:rPr>
          <w:rFonts w:ascii="Times New Roman" w:hAnsi="Times New Roman" w:cs="Times New Roman"/>
          <w:i/>
          <w:iCs/>
          <w:sz w:val="24"/>
          <w:szCs w:val="24"/>
          <w:lang w:val="en-US"/>
        </w:rPr>
        <w:t>public investment</w:t>
      </w:r>
      <w:r w:rsidR="00797B8C" w:rsidRPr="001234AB">
        <w:rPr>
          <w:rFonts w:ascii="Times New Roman" w:hAnsi="Times New Roman" w:cs="Times New Roman"/>
          <w:b/>
          <w:bCs/>
          <w:sz w:val="24"/>
          <w:szCs w:val="24"/>
          <w:lang w:val="en-US"/>
        </w:rPr>
        <w:t xml:space="preserve"> </w:t>
      </w:r>
      <w:r w:rsidRPr="001234AB">
        <w:rPr>
          <w:rFonts w:ascii="Times New Roman" w:hAnsi="Times New Roman" w:cs="Times New Roman"/>
          <w:sz w:val="24"/>
          <w:szCs w:val="24"/>
          <w:lang w:val="en-US"/>
        </w:rPr>
        <w:br/>
        <w:t xml:space="preserve">In 2010, when the impacts of the financial crisis and sovereign debt crisis on the European working class were not yet entirely clear, ETUC (2010, pp. 6, 34-36) already demanded a shift in EU’s focus on the pressing need for new sources of finance, of which the issue of Eurobonds was the most pertinent. ETUC’s urge to move forward on the idea of </w:t>
      </w:r>
      <w:r w:rsidR="00603DE8" w:rsidRPr="001234AB">
        <w:rPr>
          <w:rFonts w:ascii="Times New Roman" w:hAnsi="Times New Roman" w:cs="Times New Roman"/>
          <w:sz w:val="24"/>
          <w:szCs w:val="24"/>
          <w:lang w:val="en-US"/>
        </w:rPr>
        <w:t>c</w:t>
      </w:r>
      <w:r w:rsidRPr="001234AB">
        <w:rPr>
          <w:rFonts w:ascii="Times New Roman" w:hAnsi="Times New Roman" w:cs="Times New Roman"/>
          <w:sz w:val="24"/>
          <w:szCs w:val="24"/>
          <w:lang w:val="en-US"/>
        </w:rPr>
        <w:t>ommon Eurobond</w:t>
      </w:r>
      <w:r w:rsidR="00603DE8" w:rsidRPr="001234AB">
        <w:rPr>
          <w:rFonts w:ascii="Times New Roman" w:hAnsi="Times New Roman" w:cs="Times New Roman"/>
          <w:sz w:val="24"/>
          <w:szCs w:val="24"/>
          <w:lang w:val="en-US"/>
        </w:rPr>
        <w:t xml:space="preserve">s </w:t>
      </w:r>
      <w:r w:rsidRPr="001234AB">
        <w:rPr>
          <w:rFonts w:ascii="Times New Roman" w:hAnsi="Times New Roman" w:cs="Times New Roman"/>
          <w:sz w:val="24"/>
          <w:szCs w:val="24"/>
          <w:lang w:val="en-US"/>
        </w:rPr>
        <w:t xml:space="preserve">was prompted by the expectation that the austerity agenda was going to be pushed </w:t>
      </w:r>
      <w:r w:rsidRPr="001234AB">
        <w:rPr>
          <w:rFonts w:ascii="Times New Roman" w:hAnsi="Times New Roman" w:cs="Times New Roman"/>
          <w:sz w:val="24"/>
          <w:szCs w:val="24"/>
          <w:lang w:val="en-US"/>
        </w:rPr>
        <w:lastRenderedPageBreak/>
        <w:t xml:space="preserve">forcefully, with countries subject to speculative attacks and increased pressure to cut wages. The proposed common bond, collectively guaranteed by European Member States, was seen as a remedy for the irrationality and self-destruction of financial markets, and would launch both short-term demand as well as long-term growth, by increasing liquidity (ETUC, 2010, pp. 34-35).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When the crisis unfolded and the detriment to the European working class became evident, ETUC’s (2011, p. 8) expectations turned out to be right, observing that “the austerity policies have not solved the problems and […] the deficits have increased in Greece, Ireland and the United Kingdom.” As a consequence, ETUC repeated its call for a commitment on Eurobonds, condemning the major cutbacks in the labor markets and social security systems of Europe. As a pillar for Europe’s long-term recovery plan, Eurobonds would protect countries from uncontrolled speculation and serve as an efficient instrument for productive investments (ETUC, 2015a, p. 115). Still, ETUC (2015a, p. 123) asserted that “even if there is a greater financial input from one country rather than another, this should not be seen as a permanent transfer,” as the assets would earn a return in the future or from a certain country’s tax revenue. Thus, to a certain extent, ETUC approached the issue of Eurobonds with a caution that reflected the austerity agenda and its hostility to significant redistribution.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In the following years, ETUC did not actively push the idea of a common Eurobond. In its activity report, however, ETUC (2019, p. 10) made reference to the creation of a financial tool to pool future public investment spending across Europe, funded by European treasury securities. This proposed precursor to Eurobonds continued to have the same wariness of mutualization of debts. In the meantime, ETUC (2015b, p. 11) fiercely denounced the apparent bias against public investment dictated by the Stability and Growth pact that enforces strict rules concerning budget deficit, debt control and fiscal discipline. It observed that, while corporations can finance investments by taking on more debt, “the rules of the Stability and Growth Pact governing public finances make it very hard, if not impossible, for Member States to finance their public investments through debt issuance” (ETUC, 2015</w:t>
      </w:r>
      <w:r w:rsidR="004E233B" w:rsidRPr="001234AB">
        <w:rPr>
          <w:rFonts w:ascii="Times New Roman" w:hAnsi="Times New Roman" w:cs="Times New Roman"/>
          <w:sz w:val="24"/>
          <w:szCs w:val="24"/>
          <w:lang w:val="en-US"/>
        </w:rPr>
        <w:t>b</w:t>
      </w:r>
      <w:r w:rsidRPr="001234AB">
        <w:rPr>
          <w:rFonts w:ascii="Times New Roman" w:hAnsi="Times New Roman" w:cs="Times New Roman"/>
          <w:sz w:val="24"/>
          <w:szCs w:val="24"/>
          <w:lang w:val="en-US"/>
        </w:rPr>
        <w:t xml:space="preserve">, p. 11). While ETUC simultaneously encouraged the rebalancing of the principle of the perceived sanctity of debt with social needs, this quote effectively supports and legitimizes debt-led accumulation.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That austerity ought to be tackled by public investments financed by debt issuance becomes </w:t>
      </w:r>
      <w:r w:rsidRPr="001234AB">
        <w:rPr>
          <w:rFonts w:ascii="Times New Roman" w:hAnsi="Times New Roman" w:cs="Times New Roman"/>
          <w:sz w:val="24"/>
          <w:szCs w:val="24"/>
          <w:lang w:val="en-US"/>
        </w:rPr>
        <w:lastRenderedPageBreak/>
        <w:t>apparent in ETUC’s (2020</w:t>
      </w:r>
      <w:r w:rsidR="0040381A" w:rsidRPr="001234AB">
        <w:rPr>
          <w:rFonts w:ascii="Times New Roman" w:hAnsi="Times New Roman" w:cs="Times New Roman"/>
          <w:sz w:val="24"/>
          <w:szCs w:val="24"/>
          <w:lang w:val="en-US"/>
        </w:rPr>
        <w:t>a</w:t>
      </w:r>
      <w:r w:rsidRPr="001234AB">
        <w:rPr>
          <w:rFonts w:ascii="Times New Roman" w:hAnsi="Times New Roman" w:cs="Times New Roman"/>
          <w:sz w:val="24"/>
          <w:szCs w:val="24"/>
          <w:lang w:val="en-US"/>
        </w:rPr>
        <w:t>, pp. 1-2) endorsement of the Commission’s NGEU proposal. Contrasting the new recovery package with a decade of austerity and cuts, ETUC argued that the EU was in need of a new economic and social governance with a more people-centered agenda. The purpose of EU’s recovery strategy should be multifold according to ETUC. Next to immediate crisis recovery, the recovery package should enhance public spending and investment to assist the green and digital transition, as well as strengthen EU’s industrial policy. To achieve this, the recovery package was to be based on a European safe asset. This asset, in turn, would be supported by an enlarged fiscal capacity based on the increase of EU’s own resources – via taxation and increased contributions on the basis of Member States’ gross national income.</w:t>
      </w:r>
      <w:r w:rsidR="00CC7313"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In its endorsement of the NGEU, ETUC (2020</w:t>
      </w:r>
      <w:r w:rsidR="0040381A" w:rsidRPr="001234AB">
        <w:rPr>
          <w:rFonts w:ascii="Times New Roman" w:hAnsi="Times New Roman" w:cs="Times New Roman"/>
          <w:sz w:val="24"/>
          <w:szCs w:val="24"/>
          <w:lang w:val="en-US"/>
        </w:rPr>
        <w:t>a</w:t>
      </w:r>
      <w:r w:rsidRPr="001234AB">
        <w:rPr>
          <w:rFonts w:ascii="Times New Roman" w:hAnsi="Times New Roman" w:cs="Times New Roman"/>
          <w:sz w:val="24"/>
          <w:szCs w:val="24"/>
          <w:lang w:val="en-US"/>
        </w:rPr>
        <w:t>, p. 3) observed that its demands have been incorporated in the program, deeming the recovery plan a significant step in the right direction. Regarding the Eurobonds under NGEU, ETUC (2020</w:t>
      </w:r>
      <w:r w:rsidR="0040381A" w:rsidRPr="001234AB">
        <w:rPr>
          <w:rFonts w:ascii="Times New Roman" w:hAnsi="Times New Roman" w:cs="Times New Roman"/>
          <w:sz w:val="24"/>
          <w:szCs w:val="24"/>
          <w:lang w:val="en-US"/>
        </w:rPr>
        <w:t>a</w:t>
      </w:r>
      <w:r w:rsidR="00CC7313"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is equally praiseful of the Commission:</w:t>
      </w:r>
      <w:r w:rsidR="00CC7313" w:rsidRPr="001234AB">
        <w:rPr>
          <w:rFonts w:ascii="Times New Roman" w:hAnsi="Times New Roman" w:cs="Times New Roman"/>
          <w:sz w:val="24"/>
          <w:szCs w:val="24"/>
          <w:lang w:val="en-US"/>
        </w:rPr>
        <w:t xml:space="preserve"> </w:t>
      </w:r>
    </w:p>
    <w:p w14:paraId="1A7CC57F" w14:textId="77777777" w:rsidR="00CC7313" w:rsidRPr="001234AB" w:rsidRDefault="00492161" w:rsidP="00F807BD">
      <w:pPr>
        <w:spacing w:line="360" w:lineRule="auto"/>
        <w:ind w:left="737" w:right="624"/>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ETUC appreciates that such a massive investment will largely be provided to member states through direct grants (€500 bn out of €750 bn), and that the money will be raised via common debt instruments guaranteed by the European Commission through a </w:t>
      </w:r>
      <w:proofErr w:type="gramStart"/>
      <w:r w:rsidRPr="001234AB">
        <w:rPr>
          <w:rFonts w:ascii="Times New Roman" w:hAnsi="Times New Roman" w:cs="Times New Roman"/>
          <w:sz w:val="24"/>
          <w:szCs w:val="24"/>
          <w:lang w:val="en-US"/>
        </w:rPr>
        <w:t>much awaited</w:t>
      </w:r>
      <w:proofErr w:type="gramEnd"/>
      <w:r w:rsidRPr="001234AB">
        <w:rPr>
          <w:rFonts w:ascii="Times New Roman" w:hAnsi="Times New Roman" w:cs="Times New Roman"/>
          <w:sz w:val="24"/>
          <w:szCs w:val="24"/>
          <w:lang w:val="en-US"/>
        </w:rPr>
        <w:t xml:space="preserve"> increase of EU own resources, thus avoiding creating additional debt in EU countries.</w:t>
      </w:r>
      <w:r w:rsidR="00CC7313" w:rsidRPr="001234AB">
        <w:rPr>
          <w:rFonts w:ascii="Times New Roman" w:hAnsi="Times New Roman" w:cs="Times New Roman"/>
          <w:sz w:val="24"/>
          <w:szCs w:val="24"/>
          <w:lang w:val="en-US"/>
        </w:rPr>
        <w:t xml:space="preserve"> (p. 3)</w:t>
      </w:r>
    </w:p>
    <w:p w14:paraId="3D0141F9" w14:textId="74C581ED" w:rsidR="008E5A5D" w:rsidRPr="001234AB" w:rsidRDefault="00492161"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It can be inferred that ETUC has been </w:t>
      </w:r>
      <w:r w:rsidR="000F6429">
        <w:rPr>
          <w:rFonts w:ascii="Times New Roman" w:hAnsi="Times New Roman" w:cs="Times New Roman"/>
          <w:sz w:val="24"/>
          <w:szCs w:val="24"/>
          <w:lang w:val="en-US"/>
        </w:rPr>
        <w:t>v</w:t>
      </w:r>
      <w:r w:rsidRPr="001234AB">
        <w:rPr>
          <w:rFonts w:ascii="Times New Roman" w:hAnsi="Times New Roman" w:cs="Times New Roman"/>
          <w:sz w:val="24"/>
          <w:szCs w:val="24"/>
          <w:lang w:val="en-US"/>
        </w:rPr>
        <w:t xml:space="preserve">ocal and consistent about the benefits of a joint debt instrument to the European working class. Even at the peak of the austerity agenda, ETUC pushed for Eurobonds, albeit with caution. Contrasting years of austerity, the proposed recovery package was to include major public investments. This amplified </w:t>
      </w:r>
      <w:r w:rsidR="00CC7313" w:rsidRPr="001234AB">
        <w:rPr>
          <w:rFonts w:ascii="Times New Roman" w:hAnsi="Times New Roman" w:cs="Times New Roman"/>
          <w:sz w:val="24"/>
          <w:szCs w:val="24"/>
          <w:lang w:val="en-US"/>
        </w:rPr>
        <w:t>ETUC’s</w:t>
      </w:r>
      <w:r w:rsidRPr="001234AB">
        <w:rPr>
          <w:rFonts w:ascii="Times New Roman" w:hAnsi="Times New Roman" w:cs="Times New Roman"/>
          <w:sz w:val="24"/>
          <w:szCs w:val="24"/>
          <w:lang w:val="en-US"/>
        </w:rPr>
        <w:t xml:space="preserve"> endorsement of Eurobonds under NGEU</w:t>
      </w:r>
      <w:r w:rsidR="00CC7313"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r w:rsidR="001C5258" w:rsidRPr="00373CA7">
        <w:rPr>
          <w:rFonts w:ascii="Times New Roman" w:hAnsi="Times New Roman" w:cs="Times New Roman"/>
          <w:i/>
          <w:iCs/>
          <w:sz w:val="24"/>
          <w:szCs w:val="24"/>
          <w:lang w:val="en-US"/>
        </w:rPr>
        <w:t xml:space="preserve">3.3.4 </w:t>
      </w:r>
      <w:r w:rsidR="00797B8C" w:rsidRPr="00373CA7">
        <w:rPr>
          <w:rFonts w:ascii="Times New Roman" w:hAnsi="Times New Roman" w:cs="Times New Roman"/>
          <w:i/>
          <w:iCs/>
          <w:sz w:val="24"/>
          <w:szCs w:val="24"/>
          <w:lang w:val="en-US"/>
        </w:rPr>
        <w:t>Fina</w:t>
      </w:r>
      <w:r w:rsidR="00CC7313" w:rsidRPr="00373CA7">
        <w:rPr>
          <w:rFonts w:ascii="Times New Roman" w:hAnsi="Times New Roman" w:cs="Times New Roman"/>
          <w:i/>
          <w:iCs/>
          <w:sz w:val="24"/>
          <w:szCs w:val="24"/>
          <w:lang w:val="en-US"/>
        </w:rPr>
        <w:t>nc</w:t>
      </w:r>
      <w:r w:rsidR="00797B8C" w:rsidRPr="00373CA7">
        <w:rPr>
          <w:rFonts w:ascii="Times New Roman" w:hAnsi="Times New Roman" w:cs="Times New Roman"/>
          <w:i/>
          <w:iCs/>
          <w:sz w:val="24"/>
          <w:szCs w:val="24"/>
          <w:lang w:val="en-US"/>
        </w:rPr>
        <w:t>e Watch’s ambiguous stance on Eurobonds</w:t>
      </w:r>
      <w:r w:rsidRPr="001234AB">
        <w:rPr>
          <w:rFonts w:ascii="Times New Roman" w:hAnsi="Times New Roman" w:cs="Times New Roman"/>
          <w:sz w:val="24"/>
          <w:szCs w:val="24"/>
          <w:lang w:val="en-US"/>
        </w:rPr>
        <w:br/>
        <w:t xml:space="preserve">In 2012, Finance Watch (2012) declared two flaws in the EU financial market to be at the root of the sovereign debt crisis. First, the fact that the EU is not fiscally integrated resulted in the absence of a </w:t>
      </w:r>
      <w:r w:rsidR="000F6429" w:rsidRPr="001234AB">
        <w:rPr>
          <w:rFonts w:ascii="Times New Roman" w:hAnsi="Times New Roman" w:cs="Times New Roman"/>
          <w:sz w:val="24"/>
          <w:szCs w:val="24"/>
          <w:lang w:val="en-US"/>
        </w:rPr>
        <w:t>risk-free</w:t>
      </w:r>
      <w:r w:rsidRPr="001234AB">
        <w:rPr>
          <w:rFonts w:ascii="Times New Roman" w:hAnsi="Times New Roman" w:cs="Times New Roman"/>
          <w:sz w:val="24"/>
          <w:szCs w:val="24"/>
          <w:lang w:val="en-US"/>
        </w:rPr>
        <w:t xml:space="preserve"> rate as a pilar for EU’s financial system, making the Eurozone inherently prone to financial crises. Second, Finance Watch argues that the presence of moral hazard, that is the lack of incentive to guard against financial risk, creates a mechanism at all levels of EU’s financial system in which costs are socialized, and profits are privatized. The bail-outs of banks by Member States </w:t>
      </w:r>
      <w:r w:rsidR="000F6429" w:rsidRPr="001234AB">
        <w:rPr>
          <w:rFonts w:ascii="Times New Roman" w:hAnsi="Times New Roman" w:cs="Times New Roman"/>
          <w:sz w:val="24"/>
          <w:szCs w:val="24"/>
          <w:lang w:val="en-US"/>
        </w:rPr>
        <w:t>were</w:t>
      </w:r>
      <w:r w:rsidRPr="001234AB">
        <w:rPr>
          <w:rFonts w:ascii="Times New Roman" w:hAnsi="Times New Roman" w:cs="Times New Roman"/>
          <w:sz w:val="24"/>
          <w:szCs w:val="24"/>
          <w:lang w:val="en-US"/>
        </w:rPr>
        <w:t xml:space="preserve"> testimony to this.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lastRenderedPageBreak/>
        <w:t>In a 2014 position paper on the Commission’s long-term financing initiative focused on securitization, Finance Watch (2014) criticized the Commission’s turn to the revival of securitization and the promotion of capital market financing. Concretely, Finance Watch opposed the oversimplified consensus that banks caused the sovereign debt crisis and that EU is thus in need of less banks and more capital markets to increase access to finance. By doing so, it pointed out the financial capital fraction’s interest behind the push for securitization and capital markets.</w:t>
      </w:r>
      <w:r w:rsidR="00CC7313"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This position was repeated by Finance Watch (2015) in a response to the Commission’s 2015 Green Paper on Capital Markets Union</w:t>
      </w:r>
      <w:r w:rsidR="00476F57" w:rsidRPr="001234AB">
        <w:rPr>
          <w:rFonts w:ascii="Times New Roman" w:hAnsi="Times New Roman" w:cs="Times New Roman"/>
          <w:sz w:val="24"/>
          <w:szCs w:val="24"/>
          <w:lang w:val="en-US"/>
        </w:rPr>
        <w:t xml:space="preserve"> (European Commission, 2015a).</w:t>
      </w:r>
      <w:r w:rsidRPr="001234AB">
        <w:rPr>
          <w:rFonts w:ascii="Times New Roman" w:hAnsi="Times New Roman" w:cs="Times New Roman"/>
          <w:sz w:val="24"/>
          <w:szCs w:val="24"/>
          <w:lang w:val="en-US"/>
        </w:rPr>
        <w:t xml:space="preserve"> It contended that relying on capital market financing will expose the economy to the fluctuations of financial markets. Rather than building on such a fake safe asset, Finance Watch (2015, p. 10) argued that promotion of “patient capital investing in illiquid assets” would lead to a safer asset that provides liquidity for productive investment and enable companies to grow, which are both ultimately finance’s purpose for society, according to Finance Watch.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Debt mutualization and the issuance of Eurobonds are only directly referred to in a 2016 plea for restoring the confidence and trust of depositors in the banking system which Finance Watch claims to be necessary for financial stability. In 2015, the Commission </w:t>
      </w:r>
      <w:r w:rsidR="00476F57" w:rsidRPr="001234AB">
        <w:rPr>
          <w:rFonts w:ascii="Times New Roman" w:hAnsi="Times New Roman" w:cs="Times New Roman"/>
          <w:sz w:val="24"/>
          <w:szCs w:val="24"/>
          <w:lang w:val="en-US"/>
        </w:rPr>
        <w:t>(2015</w:t>
      </w:r>
      <w:r w:rsidR="009B3E47" w:rsidRPr="001234AB">
        <w:rPr>
          <w:rFonts w:ascii="Times New Roman" w:hAnsi="Times New Roman" w:cs="Times New Roman"/>
          <w:sz w:val="24"/>
          <w:szCs w:val="24"/>
          <w:lang w:val="en-US"/>
        </w:rPr>
        <w:t>c</w:t>
      </w:r>
      <w:r w:rsidR="00476F57"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proposed </w:t>
      </w:r>
      <w:r w:rsidR="000F6429" w:rsidRPr="001234AB">
        <w:rPr>
          <w:rFonts w:ascii="Times New Roman" w:hAnsi="Times New Roman" w:cs="Times New Roman"/>
          <w:sz w:val="24"/>
          <w:szCs w:val="24"/>
          <w:lang w:val="en-US"/>
        </w:rPr>
        <w:t>a</w:t>
      </w:r>
      <w:r w:rsidRPr="001234AB">
        <w:rPr>
          <w:rFonts w:ascii="Times New Roman" w:hAnsi="Times New Roman" w:cs="Times New Roman"/>
          <w:sz w:val="24"/>
          <w:szCs w:val="24"/>
          <w:lang w:val="en-US"/>
        </w:rPr>
        <w:t xml:space="preserve"> European Deposit Insurance Scheme (EDIS) to provide a consistent level of protection for depositors across the EU, reducing risks and creating a stronger safety net for depositors (Finance Watch, 2016). The reinsurance scheme as depicted should pool risks and weaken sovereign-bank links. EDIS would limit moral hazard by means of prior agreement on the shares of supranational funding in depositor pay-outs, and according to Finance Watch (2016), “should be a significant step towards debt mutualization.” The scarce mention of debt mutualization and Eurobonds is remarkable, as one would expect that the issuance of common debt – usually commonly mentioned in fiscal debates - would surface more frequently in Finance Watch’s analysis of the institutionalization of moral hazard and the fiscal fragmentation as vital reasons for why finance does not serve the public interest appropriately. Reassuring that the eradication of moral hazard is of utmost importance, Finance Watch (2016) stated that whether the implementation of EDIS happens “will depend on the political will of several member states.” This statement, then, points to a reason why Finance Watch has abstained from taking a straightforward position on debt mutualization, as it deems the latter a political affair. </w:t>
      </w:r>
      <w:r w:rsidRPr="001234AB">
        <w:rPr>
          <w:rFonts w:ascii="Times New Roman" w:hAnsi="Times New Roman" w:cs="Times New Roman"/>
          <w:sz w:val="24"/>
          <w:szCs w:val="24"/>
          <w:lang w:val="en-US"/>
        </w:rPr>
        <w:b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lastRenderedPageBreak/>
        <w:t>In 2020, in a contribution to the then-ongoing discussion of a</w:t>
      </w:r>
      <w:r w:rsidR="000F6429">
        <w:rPr>
          <w:rFonts w:ascii="Times New Roman" w:hAnsi="Times New Roman" w:cs="Times New Roman"/>
          <w:sz w:val="24"/>
          <w:szCs w:val="24"/>
          <w:lang w:val="en-US"/>
        </w:rPr>
        <w:t>n</w:t>
      </w:r>
      <w:r w:rsidRPr="001234AB">
        <w:rPr>
          <w:rFonts w:ascii="Times New Roman" w:hAnsi="Times New Roman" w:cs="Times New Roman"/>
          <w:sz w:val="24"/>
          <w:szCs w:val="24"/>
          <w:lang w:val="en-US"/>
        </w:rPr>
        <w:t xml:space="preserve"> EU recovery instrument, Finance Watch (2020, pp. 1, 4) warned how recovery packages historically have had the tendency to socialize risks and privatize profits. It observed how yesterday’s supporters of balanced public budgets became the sudden supporters of public deficits targeted at supporting the economy as a whole, irrespective of the economic or environmental sustainability of the assisted companies. Void of (implicit) references to Eurobonds or debt mutualization, the policy brief stressed that recovery packages must circumvent the institutionalization of moral hazard and the asymmetrical sharing of risks and gains, which would inevitably damage the economy.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r w:rsidR="006A28BE" w:rsidRPr="001234AB">
        <w:rPr>
          <w:rFonts w:ascii="Times New Roman" w:hAnsi="Times New Roman" w:cs="Times New Roman"/>
          <w:sz w:val="24"/>
          <w:szCs w:val="24"/>
          <w:lang w:val="en-US"/>
        </w:rPr>
        <w:t>T</w:t>
      </w:r>
      <w:r w:rsidRPr="001234AB">
        <w:rPr>
          <w:rFonts w:ascii="Times New Roman" w:hAnsi="Times New Roman" w:cs="Times New Roman"/>
          <w:sz w:val="24"/>
          <w:szCs w:val="24"/>
          <w:lang w:val="en-US"/>
        </w:rPr>
        <w:t xml:space="preserve">o sum up, Finance Watch has observed the significance of debt mutualization in the context of EDIS and the restoration of trust in banks. In general, Finance Watch has emphasized the necessity of structural reforms in EU’s financial system. The emphasis on political complexities surrounding debt mutualization and Member States’ political willpower signifies an artificial boundary between politics and economics being upheld by Finance Watch. Hence, its position on both debt mutualization and the issuance of common debt remains ambiguous, making it difficult to regard Finance Watch either as part of the alliance in favor of common debt issuance or against it. </w:t>
      </w:r>
      <w:r w:rsidRPr="001234AB">
        <w:rPr>
          <w:rFonts w:ascii="Times New Roman" w:hAnsi="Times New Roman" w:cs="Times New Roman"/>
          <w:sz w:val="24"/>
          <w:szCs w:val="24"/>
          <w:lang w:val="en-US"/>
        </w:rPr>
        <w:br/>
      </w:r>
      <w:r w:rsidR="00476F57" w:rsidRPr="00697D65">
        <w:rPr>
          <w:rFonts w:ascii="Times New Roman" w:hAnsi="Times New Roman" w:cs="Times New Roman"/>
          <w:i/>
          <w:iCs/>
          <w:sz w:val="24"/>
          <w:szCs w:val="24"/>
          <w:lang w:val="en-US"/>
        </w:rPr>
        <w:br/>
      </w:r>
      <w:r w:rsidR="001C5258" w:rsidRPr="00697D65">
        <w:rPr>
          <w:rFonts w:ascii="Times New Roman" w:hAnsi="Times New Roman" w:cs="Times New Roman"/>
          <w:i/>
          <w:iCs/>
          <w:sz w:val="24"/>
          <w:szCs w:val="24"/>
          <w:lang w:val="en-US"/>
        </w:rPr>
        <w:t xml:space="preserve">3.3.5 Summary: </w:t>
      </w:r>
      <w:r w:rsidR="000F6429">
        <w:rPr>
          <w:rFonts w:ascii="Times New Roman" w:hAnsi="Times New Roman" w:cs="Times New Roman"/>
          <w:i/>
          <w:iCs/>
          <w:sz w:val="24"/>
          <w:szCs w:val="24"/>
          <w:lang w:val="en-US"/>
        </w:rPr>
        <w:t>A</w:t>
      </w:r>
      <w:r w:rsidR="00797B8C" w:rsidRPr="00697D65">
        <w:rPr>
          <w:rFonts w:ascii="Times New Roman" w:hAnsi="Times New Roman" w:cs="Times New Roman"/>
          <w:i/>
          <w:iCs/>
          <w:sz w:val="24"/>
          <w:szCs w:val="24"/>
          <w:lang w:val="en-US"/>
        </w:rPr>
        <w:t xml:space="preserve"> temporary</w:t>
      </w:r>
      <w:r w:rsidRPr="00697D65">
        <w:rPr>
          <w:rFonts w:ascii="Times New Roman" w:hAnsi="Times New Roman" w:cs="Times New Roman"/>
          <w:i/>
          <w:iCs/>
          <w:sz w:val="24"/>
          <w:szCs w:val="24"/>
          <w:lang w:val="en-US"/>
        </w:rPr>
        <w:t xml:space="preserve"> alliance in favor of Eurobonds</w:t>
      </w:r>
      <w:r w:rsidRPr="00697D65">
        <w:rPr>
          <w:rFonts w:ascii="Times New Roman" w:hAnsi="Times New Roman" w:cs="Times New Roman"/>
          <w:i/>
          <w:iCs/>
          <w:sz w:val="24"/>
          <w:szCs w:val="24"/>
          <w:lang w:val="en-US"/>
        </w:rPr>
        <w:br/>
      </w:r>
      <w:r w:rsidRPr="001234AB">
        <w:rPr>
          <w:rFonts w:ascii="Times New Roman" w:hAnsi="Times New Roman" w:cs="Times New Roman"/>
          <w:sz w:val="24"/>
          <w:szCs w:val="24"/>
          <w:lang w:val="en-US"/>
        </w:rPr>
        <w:t>On the basis of the timelines of different relevant social forces within the EU, a</w:t>
      </w:r>
      <w:r w:rsidR="00476F57" w:rsidRPr="001234AB">
        <w:rPr>
          <w:rFonts w:ascii="Times New Roman" w:hAnsi="Times New Roman" w:cs="Times New Roman"/>
          <w:sz w:val="24"/>
          <w:szCs w:val="24"/>
          <w:lang w:val="en-US"/>
        </w:rPr>
        <w:t xml:space="preserve"> temporal</w:t>
      </w:r>
      <w:r w:rsidRPr="001234AB">
        <w:rPr>
          <w:rFonts w:ascii="Times New Roman" w:hAnsi="Times New Roman" w:cs="Times New Roman"/>
          <w:sz w:val="24"/>
          <w:szCs w:val="24"/>
          <w:lang w:val="en-US"/>
        </w:rPr>
        <w:t xml:space="preserve"> alliance in favor of the issuance of common debt and the mutualization of debt during the conjuncture of COVID-19 can be outlined. This alignment of interests, however, is context-specific rather than collectively driven. The financial capital fraction has made the most important shift in its stance on the issuance of common debt. And by virtue of its dominance, this shift has been vital for the alliance, validating the AP’s theoretical and empirical claim that the financial capital fraction remains the directive force within the capitalist system (van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2018, p. 241). At the time of the negotiations for a</w:t>
      </w:r>
      <w:r w:rsidR="000F6429">
        <w:rPr>
          <w:rFonts w:ascii="Times New Roman" w:hAnsi="Times New Roman" w:cs="Times New Roman"/>
          <w:sz w:val="24"/>
          <w:szCs w:val="24"/>
          <w:lang w:val="en-US"/>
        </w:rPr>
        <w:t>n</w:t>
      </w:r>
      <w:r w:rsidRPr="001234AB">
        <w:rPr>
          <w:rFonts w:ascii="Times New Roman" w:hAnsi="Times New Roman" w:cs="Times New Roman"/>
          <w:sz w:val="24"/>
          <w:szCs w:val="24"/>
          <w:lang w:val="en-US"/>
        </w:rPr>
        <w:t xml:space="preserve"> EU recovery package, it was in the interests of almost every fraction and social force to endorse some extent of debt mutualization and issuance of common debt, for various reasons. </w:t>
      </w:r>
      <w:r w:rsidR="00476F57" w:rsidRPr="001234AB">
        <w:rPr>
          <w:rFonts w:ascii="Times New Roman" w:hAnsi="Times New Roman" w:cs="Times New Roman"/>
          <w:sz w:val="24"/>
          <w:szCs w:val="24"/>
          <w:lang w:val="en-US"/>
        </w:rPr>
        <w:t xml:space="preserve">The temporal alliance reflects the temporary character of NGEU and </w:t>
      </w:r>
      <w:r w:rsidR="00185250" w:rsidRPr="001234AB">
        <w:rPr>
          <w:rFonts w:ascii="Times New Roman" w:hAnsi="Times New Roman" w:cs="Times New Roman"/>
          <w:sz w:val="24"/>
          <w:szCs w:val="24"/>
          <w:lang w:val="en-US"/>
        </w:rPr>
        <w:t>the</w:t>
      </w:r>
      <w:r w:rsidR="00476F57" w:rsidRPr="001234AB">
        <w:rPr>
          <w:rFonts w:ascii="Times New Roman" w:hAnsi="Times New Roman" w:cs="Times New Roman"/>
          <w:sz w:val="24"/>
          <w:szCs w:val="24"/>
          <w:lang w:val="en-US"/>
        </w:rPr>
        <w:t xml:space="preserve"> temporary institutionalization of common debt. </w:t>
      </w:r>
      <w:r w:rsidRPr="001234AB">
        <w:rPr>
          <w:rFonts w:ascii="Times New Roman" w:hAnsi="Times New Roman" w:cs="Times New Roman"/>
          <w:sz w:val="24"/>
          <w:szCs w:val="24"/>
          <w:lang w:val="en-US"/>
        </w:rPr>
        <w:t xml:space="preserve">The financial capital fraction feared the expected reduction in market liquidity and increasing financial instability to hurt its profitability. While the productive capital fraction had always been in favor of a Eurozone safe asset, it expressed similar concerns that were to </w:t>
      </w:r>
      <w:r w:rsidRPr="001234AB">
        <w:rPr>
          <w:rFonts w:ascii="Times New Roman" w:hAnsi="Times New Roman" w:cs="Times New Roman"/>
          <w:sz w:val="24"/>
          <w:szCs w:val="24"/>
          <w:lang w:val="en-US"/>
        </w:rPr>
        <w:lastRenderedPageBreak/>
        <w:t>hurt the expansion of the productive investment. Both capital fractions emphasized the significant funding gaps persistent in the EU, propelled by climate change, industrial policy and geopolitical competition. During the conjuncture of COVID-19, these circumstances paved the way for solutions beyond market-based financing. Eurobonds, and thus the ability to borrow funds at lower interest rates, backed by the excellent creditworthiness of EU-27, w</w:t>
      </w:r>
      <w:r w:rsidR="00E80A39" w:rsidRPr="001234AB">
        <w:rPr>
          <w:rFonts w:ascii="Times New Roman" w:hAnsi="Times New Roman" w:cs="Times New Roman"/>
          <w:sz w:val="24"/>
          <w:szCs w:val="24"/>
          <w:lang w:val="en-US"/>
        </w:rPr>
        <w:t>ere</w:t>
      </w:r>
      <w:r w:rsidRPr="001234AB">
        <w:rPr>
          <w:rFonts w:ascii="Times New Roman" w:hAnsi="Times New Roman" w:cs="Times New Roman"/>
          <w:sz w:val="24"/>
          <w:szCs w:val="24"/>
          <w:lang w:val="en-US"/>
        </w:rPr>
        <w:t xml:space="preserve"> such a </w:t>
      </w:r>
      <w:r w:rsidR="00476F57" w:rsidRPr="001234AB">
        <w:rPr>
          <w:rFonts w:ascii="Times New Roman" w:hAnsi="Times New Roman" w:cs="Times New Roman"/>
          <w:sz w:val="24"/>
          <w:szCs w:val="24"/>
          <w:lang w:val="en-US"/>
        </w:rPr>
        <w:t xml:space="preserve">temporary </w:t>
      </w:r>
      <w:r w:rsidRPr="001234AB">
        <w:rPr>
          <w:rFonts w:ascii="Times New Roman" w:hAnsi="Times New Roman" w:cs="Times New Roman"/>
          <w:sz w:val="24"/>
          <w:szCs w:val="24"/>
          <w:lang w:val="en-US"/>
        </w:rPr>
        <w:t xml:space="preserve">solution. For the organized labor fraction, NGEU’s significant public investment the NGEU, contrasting years of austerity, stimulated organized labor to double down on its endorsement of Eurobonds. As a proxy for civil society, Finance Watch was ambiguous on the </w:t>
      </w:r>
      <w:r w:rsidR="00476F57" w:rsidRPr="001234AB">
        <w:rPr>
          <w:rFonts w:ascii="Times New Roman" w:hAnsi="Times New Roman" w:cs="Times New Roman"/>
          <w:sz w:val="24"/>
          <w:szCs w:val="24"/>
          <w:lang w:val="en-US"/>
        </w:rPr>
        <w:t>topic</w:t>
      </w:r>
      <w:r w:rsidRPr="001234AB">
        <w:rPr>
          <w:rFonts w:ascii="Times New Roman" w:hAnsi="Times New Roman" w:cs="Times New Roman"/>
          <w:sz w:val="24"/>
          <w:szCs w:val="24"/>
          <w:lang w:val="en-US"/>
        </w:rPr>
        <w:t xml:space="preserve"> as its depoliticizing stance cannot be categorized as being either in favor or against the alliance. To sum up, </w:t>
      </w:r>
      <w:r w:rsidR="00476F57" w:rsidRPr="001234AB">
        <w:rPr>
          <w:rFonts w:ascii="Times New Roman" w:hAnsi="Times New Roman" w:cs="Times New Roman"/>
          <w:sz w:val="24"/>
          <w:szCs w:val="24"/>
          <w:lang w:val="en-US"/>
        </w:rPr>
        <w:t xml:space="preserve">during </w:t>
      </w:r>
      <w:r w:rsidRPr="001234AB">
        <w:rPr>
          <w:rFonts w:ascii="Times New Roman" w:hAnsi="Times New Roman" w:cs="Times New Roman"/>
          <w:sz w:val="24"/>
          <w:szCs w:val="24"/>
          <w:lang w:val="en-US"/>
        </w:rPr>
        <w:t>the conjuncture of COVID-19</w:t>
      </w:r>
      <w:r w:rsidR="00476F57"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the interests of different fractions and social </w:t>
      </w:r>
      <w:r w:rsidR="00476F57" w:rsidRPr="001234AB">
        <w:rPr>
          <w:rFonts w:ascii="Times New Roman" w:hAnsi="Times New Roman" w:cs="Times New Roman"/>
          <w:sz w:val="24"/>
          <w:szCs w:val="24"/>
          <w:lang w:val="en-US"/>
        </w:rPr>
        <w:t xml:space="preserve">forces </w:t>
      </w:r>
      <w:r w:rsidR="00460A19" w:rsidRPr="001234AB">
        <w:rPr>
          <w:rFonts w:ascii="Times New Roman" w:hAnsi="Times New Roman" w:cs="Times New Roman"/>
          <w:sz w:val="24"/>
          <w:szCs w:val="24"/>
          <w:lang w:val="en-US"/>
        </w:rPr>
        <w:t xml:space="preserve">aligned </w:t>
      </w:r>
      <w:r w:rsidRPr="001234AB">
        <w:rPr>
          <w:rFonts w:ascii="Times New Roman" w:hAnsi="Times New Roman" w:cs="Times New Roman"/>
          <w:sz w:val="24"/>
          <w:szCs w:val="24"/>
          <w:lang w:val="en-US"/>
        </w:rPr>
        <w:t xml:space="preserve">on the topic of debt mutualization and common debt issuance, </w:t>
      </w:r>
      <w:r w:rsidR="00460A19" w:rsidRPr="001234AB">
        <w:rPr>
          <w:rFonts w:ascii="Times New Roman" w:hAnsi="Times New Roman" w:cs="Times New Roman"/>
          <w:sz w:val="24"/>
          <w:szCs w:val="24"/>
          <w:lang w:val="en-US"/>
        </w:rPr>
        <w:t xml:space="preserve">amounting to a </w:t>
      </w:r>
      <w:r w:rsidR="00476F57" w:rsidRPr="001234AB">
        <w:rPr>
          <w:rFonts w:ascii="Times New Roman" w:hAnsi="Times New Roman" w:cs="Times New Roman"/>
          <w:sz w:val="24"/>
          <w:szCs w:val="24"/>
          <w:lang w:val="en-US"/>
        </w:rPr>
        <w:t xml:space="preserve">temporary </w:t>
      </w:r>
      <w:r w:rsidRPr="001234AB">
        <w:rPr>
          <w:rFonts w:ascii="Times New Roman" w:hAnsi="Times New Roman" w:cs="Times New Roman"/>
          <w:sz w:val="24"/>
          <w:szCs w:val="24"/>
          <w:lang w:val="en-US"/>
        </w:rPr>
        <w:t xml:space="preserve">alliance. This paved the way for the implementation of </w:t>
      </w:r>
      <w:r w:rsidR="00476F57" w:rsidRPr="001234AB">
        <w:rPr>
          <w:rFonts w:ascii="Times New Roman" w:hAnsi="Times New Roman" w:cs="Times New Roman"/>
          <w:sz w:val="24"/>
          <w:szCs w:val="24"/>
          <w:lang w:val="en-US"/>
        </w:rPr>
        <w:t>Eurobonds to finance</w:t>
      </w:r>
      <w:r w:rsidRPr="001234AB">
        <w:rPr>
          <w:rFonts w:ascii="Times New Roman" w:hAnsi="Times New Roman" w:cs="Times New Roman"/>
          <w:sz w:val="24"/>
          <w:szCs w:val="24"/>
          <w:lang w:val="en-US"/>
        </w:rPr>
        <w:t xml:space="preserve"> NGEU. </w:t>
      </w:r>
      <w:r w:rsidRPr="001234AB">
        <w:rPr>
          <w:rFonts w:ascii="Times New Roman" w:hAnsi="Times New Roman" w:cs="Times New Roman"/>
          <w:sz w:val="24"/>
          <w:szCs w:val="24"/>
          <w:lang w:val="en-US"/>
        </w:rPr>
        <w:br/>
      </w:r>
      <w:r w:rsidR="001C5258" w:rsidRPr="001234AB">
        <w:rPr>
          <w:rFonts w:ascii="Times New Roman" w:hAnsi="Times New Roman" w:cs="Times New Roman"/>
          <w:b/>
          <w:bCs/>
          <w:sz w:val="24"/>
          <w:szCs w:val="24"/>
          <w:lang w:val="en-US"/>
        </w:rPr>
        <w:br/>
      </w:r>
      <w:r w:rsidR="001C5258" w:rsidRPr="00697D65">
        <w:rPr>
          <w:rFonts w:ascii="Times New Roman" w:hAnsi="Times New Roman" w:cs="Times New Roman"/>
          <w:b/>
          <w:bCs/>
          <w:i/>
          <w:iCs/>
          <w:sz w:val="24"/>
          <w:szCs w:val="24"/>
          <w:lang w:val="en-US"/>
        </w:rPr>
        <w:t>3.4</w:t>
      </w:r>
      <w:r w:rsidR="00FC173F" w:rsidRPr="00697D65">
        <w:rPr>
          <w:rFonts w:ascii="Times New Roman" w:hAnsi="Times New Roman" w:cs="Times New Roman"/>
          <w:b/>
          <w:bCs/>
          <w:i/>
          <w:iCs/>
          <w:sz w:val="24"/>
          <w:szCs w:val="24"/>
          <w:lang w:val="en-US"/>
        </w:rPr>
        <w:t xml:space="preserve"> </w:t>
      </w:r>
      <w:r w:rsidRPr="00697D65">
        <w:rPr>
          <w:rFonts w:ascii="Times New Roman" w:hAnsi="Times New Roman" w:cs="Times New Roman"/>
          <w:b/>
          <w:bCs/>
          <w:i/>
          <w:iCs/>
          <w:sz w:val="24"/>
          <w:szCs w:val="24"/>
          <w:lang w:val="en-US"/>
        </w:rPr>
        <w:t xml:space="preserve">Consolidating the hegemony of the </w:t>
      </w:r>
      <w:r w:rsidR="00FC173F" w:rsidRPr="00697D65">
        <w:rPr>
          <w:rFonts w:ascii="Times New Roman" w:hAnsi="Times New Roman" w:cs="Times New Roman"/>
          <w:b/>
          <w:bCs/>
          <w:i/>
          <w:iCs/>
          <w:sz w:val="24"/>
          <w:szCs w:val="24"/>
          <w:lang w:val="en-US"/>
        </w:rPr>
        <w:t>financial capital fraction</w:t>
      </w:r>
      <w:r w:rsidRPr="001234AB">
        <w:rPr>
          <w:rFonts w:ascii="Times New Roman" w:hAnsi="Times New Roman" w:cs="Times New Roman"/>
          <w:sz w:val="24"/>
          <w:szCs w:val="24"/>
          <w:lang w:val="en-US"/>
        </w:rPr>
        <w:br/>
      </w:r>
      <w:r w:rsidR="00476F57" w:rsidRPr="001234AB">
        <w:rPr>
          <w:rFonts w:ascii="Times New Roman" w:hAnsi="Times New Roman" w:cs="Times New Roman"/>
          <w:sz w:val="24"/>
          <w:szCs w:val="24"/>
          <w:lang w:val="en-US"/>
        </w:rPr>
        <w:t xml:space="preserve">The latter chapter outlined the temporal alliance between different class fractions and social forces in favor of Eurobonds. This alliance is </w:t>
      </w:r>
      <w:r w:rsidR="00206CCB" w:rsidRPr="001234AB">
        <w:rPr>
          <w:rFonts w:ascii="Times New Roman" w:hAnsi="Times New Roman" w:cs="Times New Roman"/>
          <w:sz w:val="24"/>
          <w:szCs w:val="24"/>
          <w:lang w:val="en-US"/>
        </w:rPr>
        <w:t xml:space="preserve">largely </w:t>
      </w:r>
      <w:r w:rsidR="00476F57" w:rsidRPr="001234AB">
        <w:rPr>
          <w:rFonts w:ascii="Times New Roman" w:hAnsi="Times New Roman" w:cs="Times New Roman"/>
          <w:sz w:val="24"/>
          <w:szCs w:val="24"/>
          <w:lang w:val="en-US"/>
        </w:rPr>
        <w:t xml:space="preserve">based on the material dimension, as </w:t>
      </w:r>
      <w:r w:rsidR="00537403" w:rsidRPr="001234AB">
        <w:rPr>
          <w:rFonts w:ascii="Times New Roman" w:hAnsi="Times New Roman" w:cs="Times New Roman"/>
          <w:sz w:val="24"/>
          <w:szCs w:val="24"/>
          <w:lang w:val="en-US"/>
        </w:rPr>
        <w:t>it denotes an alignment o</w:t>
      </w:r>
      <w:r w:rsidR="00476F57" w:rsidRPr="001234AB">
        <w:rPr>
          <w:rFonts w:ascii="Times New Roman" w:hAnsi="Times New Roman" w:cs="Times New Roman"/>
          <w:sz w:val="24"/>
          <w:szCs w:val="24"/>
          <w:lang w:val="en-US"/>
        </w:rPr>
        <w:t xml:space="preserve">f interests. </w:t>
      </w:r>
      <w:r w:rsidRPr="001234AB">
        <w:rPr>
          <w:rFonts w:ascii="Times New Roman" w:hAnsi="Times New Roman" w:cs="Times New Roman"/>
          <w:sz w:val="24"/>
          <w:szCs w:val="24"/>
          <w:lang w:val="en-US"/>
        </w:rPr>
        <w:t>To complement this material dimension and provide a comprehensive account of the</w:t>
      </w:r>
      <w:r w:rsidR="00476F57" w:rsidRPr="001234AB">
        <w:rPr>
          <w:rFonts w:ascii="Times New Roman" w:hAnsi="Times New Roman" w:cs="Times New Roman"/>
          <w:sz w:val="24"/>
          <w:szCs w:val="24"/>
          <w:lang w:val="en-US"/>
        </w:rPr>
        <w:t xml:space="preserve"> issuance of Eurobonds under NGEU as a</w:t>
      </w:r>
      <w:r w:rsidRPr="001234AB">
        <w:rPr>
          <w:rFonts w:ascii="Times New Roman" w:hAnsi="Times New Roman" w:cs="Times New Roman"/>
          <w:sz w:val="24"/>
          <w:szCs w:val="24"/>
          <w:lang w:val="en-US"/>
        </w:rPr>
        <w:t xml:space="preserve"> historical phenomenon, the ideational and agential dimension needs to be accounted for. The notion of organic intellectual will help explain how a political narrative surrounding EU’s recovery package has been formed at the beginning of the COVID-19 pandemic.</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r w:rsidR="001C5258" w:rsidRPr="00697D65">
        <w:rPr>
          <w:rFonts w:ascii="Times New Roman" w:hAnsi="Times New Roman" w:cs="Times New Roman"/>
          <w:i/>
          <w:iCs/>
          <w:sz w:val="24"/>
          <w:szCs w:val="24"/>
          <w:lang w:val="en-US"/>
        </w:rPr>
        <w:t xml:space="preserve">3.4.1 </w:t>
      </w:r>
      <w:r w:rsidRPr="00697D65">
        <w:rPr>
          <w:rFonts w:ascii="Times New Roman" w:hAnsi="Times New Roman" w:cs="Times New Roman"/>
          <w:i/>
          <w:iCs/>
          <w:sz w:val="24"/>
          <w:szCs w:val="24"/>
          <w:lang w:val="en-US"/>
        </w:rPr>
        <w:t xml:space="preserve">Ursula von der Leyen: </w:t>
      </w:r>
      <w:r w:rsidR="000F6429">
        <w:rPr>
          <w:rFonts w:ascii="Times New Roman" w:hAnsi="Times New Roman" w:cs="Times New Roman"/>
          <w:i/>
          <w:iCs/>
          <w:sz w:val="24"/>
          <w:szCs w:val="24"/>
          <w:lang w:val="en-US"/>
        </w:rPr>
        <w:t>T</w:t>
      </w:r>
      <w:r w:rsidRPr="00697D65">
        <w:rPr>
          <w:rFonts w:ascii="Times New Roman" w:hAnsi="Times New Roman" w:cs="Times New Roman"/>
          <w:i/>
          <w:iCs/>
          <w:sz w:val="24"/>
          <w:szCs w:val="24"/>
          <w:lang w:val="en-US"/>
        </w:rPr>
        <w:t>he face of NGEU</w:t>
      </w:r>
    </w:p>
    <w:p w14:paraId="12BEAA2C" w14:textId="484FA324" w:rsidR="008E5A5D" w:rsidRPr="001234AB" w:rsidRDefault="00492161" w:rsidP="00F807BD">
      <w:pPr>
        <w:spacing w:line="360" w:lineRule="auto"/>
        <w:ind w:left="737" w:right="624"/>
        <w:rPr>
          <w:rFonts w:ascii="Times New Roman" w:hAnsi="Times New Roman" w:cs="Times New Roman"/>
          <w:sz w:val="24"/>
          <w:szCs w:val="24"/>
          <w:lang w:val="en-US"/>
        </w:rPr>
      </w:pPr>
      <w:r w:rsidRPr="001234AB">
        <w:rPr>
          <w:rFonts w:ascii="Times New Roman" w:hAnsi="Times New Roman" w:cs="Times New Roman"/>
          <w:sz w:val="24"/>
          <w:szCs w:val="24"/>
          <w:lang w:val="en-US"/>
        </w:rPr>
        <w:t>We need a Marshall Plan for Europe's recovery and it needs to be put in place immediately. There is only one instrument we have that is trusted by all Member States, which is already in place and can deliver quickly. It is transparent and it is time tested as an instrument for cohesion, convergence and investment. And that instrument is the European budget. The European budget will be the mothership of our recovery</w:t>
      </w:r>
      <w:r w:rsidR="008E5A5D" w:rsidRPr="001234AB">
        <w:rPr>
          <w:rFonts w:ascii="Times New Roman" w:hAnsi="Times New Roman" w:cs="Times New Roman"/>
          <w:sz w:val="24"/>
          <w:szCs w:val="24"/>
          <w:lang w:val="en-US"/>
        </w:rPr>
        <w:t>. (von der Leyen, 2020a)</w:t>
      </w:r>
    </w:p>
    <w:p w14:paraId="6DA83841" w14:textId="77777777" w:rsidR="000F6429" w:rsidRDefault="008E5A5D"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br/>
        <w:t>Ursula von der Leyen</w:t>
      </w:r>
      <w:r w:rsidR="008652D8" w:rsidRPr="001234AB">
        <w:rPr>
          <w:rFonts w:ascii="Times New Roman" w:hAnsi="Times New Roman" w:cs="Times New Roman"/>
          <w:sz w:val="24"/>
          <w:szCs w:val="24"/>
          <w:lang w:val="en-US"/>
        </w:rPr>
        <w:t xml:space="preserve"> (2020d)</w:t>
      </w:r>
      <w:r w:rsidR="00492161" w:rsidRPr="001234AB">
        <w:rPr>
          <w:rFonts w:ascii="Times New Roman" w:hAnsi="Times New Roman" w:cs="Times New Roman"/>
          <w:sz w:val="24"/>
          <w:szCs w:val="24"/>
          <w:lang w:val="en-US"/>
        </w:rPr>
        <w:t xml:space="preserve">, the president of the European Commission, effectively became the face of EU’s response to the pandemic, as the Commission proposed NGEU in an effort to </w:t>
      </w:r>
      <w:r w:rsidR="00492161" w:rsidRPr="001234AB">
        <w:rPr>
          <w:rFonts w:ascii="Times New Roman" w:hAnsi="Times New Roman" w:cs="Times New Roman"/>
          <w:sz w:val="24"/>
          <w:szCs w:val="24"/>
          <w:lang w:val="en-US"/>
        </w:rPr>
        <w:lastRenderedPageBreak/>
        <w:t>overcome “debates about ‘</w:t>
      </w:r>
      <w:proofErr w:type="spellStart"/>
      <w:r w:rsidR="00492161" w:rsidRPr="001234AB">
        <w:rPr>
          <w:rFonts w:ascii="Times New Roman" w:hAnsi="Times New Roman" w:cs="Times New Roman"/>
          <w:sz w:val="24"/>
          <w:szCs w:val="24"/>
          <w:lang w:val="en-US"/>
        </w:rPr>
        <w:t>coronabonds</w:t>
      </w:r>
      <w:proofErr w:type="spellEnd"/>
      <w:r w:rsidR="00492161" w:rsidRPr="001234AB">
        <w:rPr>
          <w:rFonts w:ascii="Times New Roman" w:hAnsi="Times New Roman" w:cs="Times New Roman"/>
          <w:sz w:val="24"/>
          <w:szCs w:val="24"/>
          <w:lang w:val="en-US"/>
        </w:rPr>
        <w:t>’ which ended with clenched fists and pointed fingers</w:t>
      </w:r>
      <w:r w:rsidR="006A7872"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 Von der Leyen’s fierce advocacy for NGEU is testimony to the crucial role the Commission played in the implementation of NGEU and the concomitant issuance of common debt. As early as April 2020, von der Leyen</w:t>
      </w:r>
      <w:r w:rsidR="008652D8" w:rsidRPr="001234AB">
        <w:rPr>
          <w:rFonts w:ascii="Times New Roman" w:hAnsi="Times New Roman" w:cs="Times New Roman"/>
          <w:sz w:val="24"/>
          <w:szCs w:val="24"/>
          <w:lang w:val="en-US"/>
        </w:rPr>
        <w:t xml:space="preserve"> (2020a)</w:t>
      </w:r>
      <w:r w:rsidR="00492161" w:rsidRPr="001234AB">
        <w:rPr>
          <w:rFonts w:ascii="Times New Roman" w:hAnsi="Times New Roman" w:cs="Times New Roman"/>
          <w:sz w:val="24"/>
          <w:szCs w:val="24"/>
          <w:lang w:val="en-US"/>
        </w:rPr>
        <w:t xml:space="preserve"> claimed that “unprecedented” fiscal and financial capacity were needed to combat the pandemic, urging all people in Europe to stand up “with courage, trust, and solidarity</w:t>
      </w:r>
      <w:r w:rsidR="006A7872"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w:t>
      </w:r>
      <w:r w:rsidR="006A7872"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In a speech that emphasized the unity and solidarity vital to combat the crisis, von der Leyen</w:t>
      </w:r>
      <w:r w:rsidR="008652D8" w:rsidRPr="001234AB">
        <w:rPr>
          <w:rFonts w:ascii="Times New Roman" w:hAnsi="Times New Roman" w:cs="Times New Roman"/>
          <w:sz w:val="24"/>
          <w:szCs w:val="24"/>
          <w:lang w:val="en-US"/>
        </w:rPr>
        <w:t xml:space="preserve"> (2020b)</w:t>
      </w:r>
      <w:r w:rsidR="00492161" w:rsidRPr="001234AB">
        <w:rPr>
          <w:rFonts w:ascii="Times New Roman" w:hAnsi="Times New Roman" w:cs="Times New Roman"/>
          <w:sz w:val="24"/>
          <w:szCs w:val="24"/>
          <w:lang w:val="en-US"/>
        </w:rPr>
        <w:t xml:space="preserve"> presented this capacity in the Commission’s recovery plan for Europe. This proposal was built on three pillars, outlined by von der Leyen: </w:t>
      </w:r>
    </w:p>
    <w:p w14:paraId="552786F0" w14:textId="58166186" w:rsidR="00372129" w:rsidRDefault="00492161"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br/>
        <w:t xml:space="preserve">1. The need to support those that need it the most. </w:t>
      </w:r>
      <w:r w:rsidRPr="001234AB">
        <w:rPr>
          <w:rFonts w:ascii="Times New Roman" w:hAnsi="Times New Roman" w:cs="Times New Roman"/>
          <w:sz w:val="24"/>
          <w:szCs w:val="24"/>
          <w:lang w:val="en-US"/>
        </w:rPr>
        <w:br/>
        <w:t xml:space="preserve">2. The push for investment and reforms aligned with European priorities. </w:t>
      </w:r>
      <w:r w:rsidRPr="001234AB">
        <w:rPr>
          <w:rFonts w:ascii="Times New Roman" w:hAnsi="Times New Roman" w:cs="Times New Roman"/>
          <w:sz w:val="24"/>
          <w:szCs w:val="24"/>
          <w:lang w:val="en-US"/>
        </w:rPr>
        <w:br/>
        <w:t xml:space="preserve">3. The strengthening of European economies by focusing on common priorities, like the European Green Deal, digitalization and resilience.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This enumeration essentially captures the role von der Leyen played as an organic intellectual in consolidating hegemonic forces and the hegemonic bloc. First, the push for investment and reforms aligned with European priorities, as outlined in the European Semester, expresses the class interests of both the financial capital fraction and the productive capital fraction to find profitable outlets for their capital. Second, the allusion to common priorities points to the invocation of a European common sense that transcends the dominant class interests that are actually behind these priorities. Third, the reference to support the ones that need it the most is a literal compromise to and unification of subordinate groups within the existing hegemonic bloc.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In the same speech, von der Leyen</w:t>
      </w:r>
      <w:r w:rsidR="006A7872" w:rsidRPr="001234AB">
        <w:rPr>
          <w:rFonts w:ascii="Times New Roman" w:hAnsi="Times New Roman" w:cs="Times New Roman"/>
          <w:sz w:val="24"/>
          <w:szCs w:val="24"/>
          <w:lang w:val="en-US"/>
        </w:rPr>
        <w:t xml:space="preserve"> (2020b) </w:t>
      </w:r>
      <w:r w:rsidRPr="001234AB">
        <w:rPr>
          <w:rFonts w:ascii="Times New Roman" w:hAnsi="Times New Roman" w:cs="Times New Roman"/>
          <w:sz w:val="24"/>
          <w:szCs w:val="24"/>
          <w:lang w:val="en-US"/>
        </w:rPr>
        <w:t>concedes that the recovery package comes at a price: rising debt</w:t>
      </w:r>
      <w:r w:rsidR="006A7872"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“If it is necessary to increase our debt,” </w:t>
      </w:r>
      <w:r w:rsidR="006A7872" w:rsidRPr="001234AB">
        <w:rPr>
          <w:rFonts w:ascii="Times New Roman" w:hAnsi="Times New Roman" w:cs="Times New Roman"/>
          <w:sz w:val="24"/>
          <w:szCs w:val="24"/>
          <w:lang w:val="en-US"/>
        </w:rPr>
        <w:t>von der Leyen (2020b)</w:t>
      </w:r>
      <w:r w:rsidRPr="001234AB">
        <w:rPr>
          <w:rFonts w:ascii="Times New Roman" w:hAnsi="Times New Roman" w:cs="Times New Roman"/>
          <w:sz w:val="24"/>
          <w:szCs w:val="24"/>
          <w:lang w:val="en-US"/>
        </w:rPr>
        <w:t xml:space="preserve"> states, “which our children will then inherit, then at the very least, we must use that money to invest in their future.” The necessity of increased debt is harmonized with ‘common’ goals such as addressing climate change. In essence, however, von der Leyen naturalizes the facilitation and continuation of debt-led accumulation, per the financial capital fraction’s interest. Through this, debt-led accumulation acquires an ‘objective’ logic that limits the political horizon for every social class in society, while corresponding predominantly to the interest of the </w:t>
      </w:r>
      <w:r w:rsidRPr="001234AB">
        <w:rPr>
          <w:rFonts w:ascii="Times New Roman" w:hAnsi="Times New Roman" w:cs="Times New Roman"/>
          <w:sz w:val="24"/>
          <w:szCs w:val="24"/>
          <w:lang w:val="en-US"/>
        </w:rPr>
        <w:lastRenderedPageBreak/>
        <w:t xml:space="preserve">financial capital fraction (van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xml:space="preserve">, 1998, p. 51, in Horn &amp; Wigger, 2018, p. 212). In the AP’s theory, debt-led accumulation is then to be seen as a comprehensive concept of control, as it constitutes a ‘general’ interest in relation to other fractions and social forces (van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2018, p. 244</w:t>
      </w:r>
      <w:r w:rsidR="006A28BE"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t xml:space="preserve"> van Apeldoorn, 2004, p. 155). In other words, it continues to be hegemonic. In later speeches, von der Leyen </w:t>
      </w:r>
      <w:r w:rsidR="006A7872" w:rsidRPr="001234AB">
        <w:rPr>
          <w:rFonts w:ascii="Times New Roman" w:hAnsi="Times New Roman" w:cs="Times New Roman"/>
          <w:sz w:val="24"/>
          <w:szCs w:val="24"/>
          <w:lang w:val="en-US"/>
        </w:rPr>
        <w:t xml:space="preserve">(2020c) </w:t>
      </w:r>
      <w:r w:rsidRPr="001234AB">
        <w:rPr>
          <w:rFonts w:ascii="Times New Roman" w:hAnsi="Times New Roman" w:cs="Times New Roman"/>
          <w:sz w:val="24"/>
          <w:szCs w:val="24"/>
          <w:lang w:val="en-US"/>
        </w:rPr>
        <w:t>continued to present NGEU and the implied issuance of Eurobonds as benefitting to all, deeming NGEU “a new European common good” as “it will be owned by us all.”</w:t>
      </w:r>
      <w:r w:rsidR="006A7872"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r w:rsidR="00FC173F" w:rsidRPr="00372129">
        <w:rPr>
          <w:rFonts w:ascii="Times New Roman" w:hAnsi="Times New Roman" w:cs="Times New Roman"/>
          <w:i/>
          <w:iCs/>
          <w:sz w:val="24"/>
          <w:szCs w:val="24"/>
          <w:lang w:val="en-US"/>
        </w:rPr>
        <w:t xml:space="preserve">3.4.2 </w:t>
      </w:r>
      <w:bookmarkStart w:id="1" w:name="_Hlk174455835"/>
      <w:r w:rsidR="00FE5CF6" w:rsidRPr="00372129">
        <w:rPr>
          <w:rFonts w:ascii="Times New Roman" w:hAnsi="Times New Roman" w:cs="Times New Roman"/>
          <w:i/>
          <w:iCs/>
          <w:sz w:val="24"/>
          <w:szCs w:val="24"/>
          <w:lang w:val="en-US"/>
        </w:rPr>
        <w:t>Putting a stop to a ‘hyper-financialized’ world in an attempt to crush Euroscepticism</w:t>
      </w:r>
      <w:r w:rsidR="00FE5CF6" w:rsidRPr="001234AB">
        <w:rPr>
          <w:rFonts w:ascii="Times New Roman" w:hAnsi="Times New Roman" w:cs="Times New Roman"/>
          <w:sz w:val="24"/>
          <w:szCs w:val="24"/>
          <w:u w:val="single"/>
          <w:lang w:val="en-US"/>
        </w:rPr>
        <w:t xml:space="preserve">  </w:t>
      </w:r>
      <w:bookmarkEnd w:id="1"/>
      <w:r w:rsidRPr="001234AB">
        <w:rPr>
          <w:rFonts w:ascii="Times New Roman" w:hAnsi="Times New Roman" w:cs="Times New Roman"/>
          <w:sz w:val="24"/>
          <w:szCs w:val="24"/>
          <w:lang w:val="en-US"/>
        </w:rPr>
        <w:br/>
        <w:t xml:space="preserve">Other organic intellectuals echoed the same pro-European rhapsody as von der Leyen. On 8 July 2020, at the beginning of the German Presidency of the Council of the EU, German Chancellor Merkel </w:t>
      </w:r>
      <w:r w:rsidR="00E93C2B" w:rsidRPr="001234AB">
        <w:rPr>
          <w:rFonts w:ascii="Times New Roman" w:hAnsi="Times New Roman" w:cs="Times New Roman"/>
          <w:sz w:val="24"/>
          <w:szCs w:val="24"/>
          <w:lang w:val="en-US"/>
        </w:rPr>
        <w:t xml:space="preserve">(2020) </w:t>
      </w:r>
      <w:r w:rsidRPr="001234AB">
        <w:rPr>
          <w:rFonts w:ascii="Times New Roman" w:hAnsi="Times New Roman" w:cs="Times New Roman"/>
          <w:sz w:val="24"/>
          <w:szCs w:val="24"/>
          <w:lang w:val="en-US"/>
        </w:rPr>
        <w:t>urged a quick deal on the EU budget and recovery package, while expressing pleasure at how the Commission adopted the framework of a Franco-German proposal for the package (</w:t>
      </w:r>
      <w:proofErr w:type="spellStart"/>
      <w:r w:rsidR="008E5A5D" w:rsidRPr="001234AB">
        <w:rPr>
          <w:rFonts w:ascii="Times New Roman" w:hAnsi="Times New Roman" w:cs="Times New Roman"/>
          <w:sz w:val="24"/>
          <w:szCs w:val="24"/>
          <w:lang w:val="en-US"/>
        </w:rPr>
        <w:t>Herszenhorn</w:t>
      </w:r>
      <w:proofErr w:type="spellEnd"/>
      <w:r w:rsidR="008E5A5D" w:rsidRPr="001234AB">
        <w:rPr>
          <w:rFonts w:ascii="Times New Roman" w:hAnsi="Times New Roman" w:cs="Times New Roman"/>
          <w:sz w:val="24"/>
          <w:szCs w:val="24"/>
          <w:lang w:val="en-US"/>
        </w:rPr>
        <w:t xml:space="preserve"> et al., 2020b</w:t>
      </w:r>
      <w:r w:rsidR="00E93C2B"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Merkel </w:t>
      </w:r>
      <w:r w:rsidR="00E93C2B" w:rsidRPr="001234AB">
        <w:rPr>
          <w:rFonts w:ascii="Times New Roman" w:hAnsi="Times New Roman" w:cs="Times New Roman"/>
          <w:sz w:val="24"/>
          <w:szCs w:val="24"/>
          <w:lang w:val="en-US"/>
        </w:rPr>
        <w:t xml:space="preserve">(2020) </w:t>
      </w:r>
      <w:r w:rsidRPr="001234AB">
        <w:rPr>
          <w:rFonts w:ascii="Times New Roman" w:hAnsi="Times New Roman" w:cs="Times New Roman"/>
          <w:sz w:val="24"/>
          <w:szCs w:val="24"/>
          <w:lang w:val="en-US"/>
        </w:rPr>
        <w:t>called out Eurosceptics who “are just waiting to misuse the crisis for their own ends.”</w:t>
      </w:r>
      <w:r w:rsidR="00E93C2B"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In fact, this rhetoric unveils political reasons of national leaders for supporting debt mutualization, as fear of growing Euroscepticism, mainly originating from the imposition of austerity and structural reforms, made EU-wide public investment more urgent (Erne et al., 2024, pp. 311-312).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During this period and a week before the crucial European Council meeting on 17 July 2020, president of the European Central Bank Lagarde</w:t>
      </w:r>
      <w:r w:rsidR="00E93C2B" w:rsidRPr="001234AB">
        <w:rPr>
          <w:rFonts w:ascii="Times New Roman" w:hAnsi="Times New Roman" w:cs="Times New Roman"/>
          <w:sz w:val="24"/>
          <w:szCs w:val="24"/>
          <w:lang w:val="en-US"/>
        </w:rPr>
        <w:t xml:space="preserve"> (2020)</w:t>
      </w:r>
      <w:r w:rsidRPr="001234AB">
        <w:rPr>
          <w:rFonts w:ascii="Times New Roman" w:hAnsi="Times New Roman" w:cs="Times New Roman"/>
          <w:sz w:val="24"/>
          <w:szCs w:val="24"/>
          <w:lang w:val="en-US"/>
        </w:rPr>
        <w:t xml:space="preserve"> implored EU leaders to endorse the recovery package, deeming it the “real game-changer element,” as it will “establish a degree of unity and solidarity to benefit those that have suffered the most.”</w:t>
      </w:r>
      <w:r w:rsidR="00E93C2B"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While using crisis as a justification for radical action is commonplace, French president Macron used the strongest words to advocate for the issuance of common debt. In an interview with </w:t>
      </w:r>
      <w:r w:rsidRPr="001234AB">
        <w:rPr>
          <w:rFonts w:ascii="Times New Roman" w:hAnsi="Times New Roman" w:cs="Times New Roman"/>
          <w:i/>
          <w:iCs/>
          <w:sz w:val="24"/>
          <w:szCs w:val="24"/>
          <w:lang w:val="en-US"/>
        </w:rPr>
        <w:t>Financial Times</w:t>
      </w:r>
      <w:r w:rsidRPr="001234AB">
        <w:rPr>
          <w:rFonts w:ascii="Times New Roman" w:hAnsi="Times New Roman" w:cs="Times New Roman"/>
          <w:sz w:val="24"/>
          <w:szCs w:val="24"/>
          <w:lang w:val="en-US"/>
        </w:rPr>
        <w:t>, he claimed that both the EU and the euro will be in danger if the richer Member States, such as Germany and the Netherlands, do not express more solidarity with the vulnerable southern Member States</w:t>
      </w:r>
      <w:r w:rsidR="00E93C2B" w:rsidRPr="001234AB">
        <w:rPr>
          <w:rFonts w:ascii="Times New Roman" w:hAnsi="Times New Roman" w:cs="Times New Roman"/>
          <w:sz w:val="24"/>
          <w:szCs w:val="24"/>
          <w:lang w:val="en-US"/>
        </w:rPr>
        <w:t xml:space="preserve"> (Mallet &amp; Khalaf, 2020). </w:t>
      </w:r>
      <w:r w:rsidRPr="001234AB">
        <w:rPr>
          <w:rFonts w:ascii="Times New Roman" w:hAnsi="Times New Roman" w:cs="Times New Roman"/>
          <w:sz w:val="24"/>
          <w:szCs w:val="24"/>
          <w:lang w:val="en-US"/>
        </w:rPr>
        <w:t xml:space="preserve">Opting for a complete fiscal union, </w:t>
      </w:r>
      <w:r w:rsidR="004A5FB2">
        <w:rPr>
          <w:rFonts w:ascii="Times New Roman" w:hAnsi="Times New Roman" w:cs="Times New Roman"/>
          <w:sz w:val="24"/>
          <w:szCs w:val="24"/>
          <w:lang w:val="en-US"/>
        </w:rPr>
        <w:t>Macron</w:t>
      </w:r>
      <w:r w:rsidRPr="001234AB">
        <w:rPr>
          <w:rFonts w:ascii="Times New Roman" w:hAnsi="Times New Roman" w:cs="Times New Roman"/>
          <w:sz w:val="24"/>
          <w:szCs w:val="24"/>
          <w:lang w:val="en-US"/>
        </w:rPr>
        <w:t xml:space="preserve"> argued that “we need financial transfers and solidarity, if only so that Europe holds on”</w:t>
      </w:r>
      <w:r w:rsidR="004A5FB2">
        <w:rPr>
          <w:rFonts w:ascii="Times New Roman" w:hAnsi="Times New Roman" w:cs="Times New Roman"/>
          <w:sz w:val="24"/>
          <w:szCs w:val="24"/>
          <w:lang w:val="en-US"/>
        </w:rPr>
        <w:t xml:space="preserve"> (Mallet &amp; Khalaf, 2020).</w:t>
      </w:r>
      <w:r w:rsidRPr="001234AB">
        <w:rPr>
          <w:rFonts w:ascii="Times New Roman" w:hAnsi="Times New Roman" w:cs="Times New Roman"/>
          <w:sz w:val="24"/>
          <w:szCs w:val="24"/>
          <w:lang w:val="en-US"/>
        </w:rPr>
        <w:t xml:space="preserve"> Again, </w:t>
      </w:r>
      <w:r w:rsidR="00476F57" w:rsidRPr="001234AB">
        <w:rPr>
          <w:rFonts w:ascii="Times New Roman" w:hAnsi="Times New Roman" w:cs="Times New Roman"/>
          <w:sz w:val="24"/>
          <w:szCs w:val="24"/>
          <w:lang w:val="en-US"/>
        </w:rPr>
        <w:t xml:space="preserve">this </w:t>
      </w:r>
      <w:r w:rsidRPr="001234AB">
        <w:rPr>
          <w:rFonts w:ascii="Times New Roman" w:hAnsi="Times New Roman" w:cs="Times New Roman"/>
          <w:sz w:val="24"/>
          <w:szCs w:val="24"/>
          <w:lang w:val="en-US"/>
        </w:rPr>
        <w:t>political leader’s rhetoric reflects fear of Euroscepticism and EU disintegration.</w:t>
      </w:r>
      <w:r w:rsidR="006A28BE"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Macron viewed Covid-19 as an opportunity to humanize capitalism, in a statement that is similar to one by Mariana Mazzucato</w:t>
      </w:r>
      <w:r w:rsidR="00AA16A4" w:rsidRPr="001234AB">
        <w:rPr>
          <w:rFonts w:ascii="Times New Roman" w:hAnsi="Times New Roman" w:cs="Times New Roman"/>
          <w:sz w:val="24"/>
          <w:szCs w:val="24"/>
          <w:lang w:val="en-US"/>
        </w:rPr>
        <w:t xml:space="preserve"> (2020)</w:t>
      </w:r>
      <w:r w:rsidRPr="001234AB">
        <w:rPr>
          <w:rFonts w:ascii="Times New Roman" w:hAnsi="Times New Roman" w:cs="Times New Roman"/>
          <w:sz w:val="24"/>
          <w:szCs w:val="24"/>
          <w:lang w:val="en-US"/>
        </w:rPr>
        <w:t>, a renowned New-Keynesian economist who considered the COVID-19 crisis a chance to do capitalism differently.</w:t>
      </w:r>
      <w:r w:rsidR="00AA16A4"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t xml:space="preserve">While NGEU </w:t>
      </w:r>
      <w:r w:rsidR="00E93C2B" w:rsidRPr="001234AB">
        <w:rPr>
          <w:rFonts w:ascii="Times New Roman" w:hAnsi="Times New Roman" w:cs="Times New Roman"/>
          <w:sz w:val="24"/>
          <w:szCs w:val="24"/>
          <w:lang w:val="en-US"/>
        </w:rPr>
        <w:t xml:space="preserve">is </w:t>
      </w:r>
      <w:r w:rsidRPr="001234AB">
        <w:rPr>
          <w:rFonts w:ascii="Times New Roman" w:hAnsi="Times New Roman" w:cs="Times New Roman"/>
          <w:sz w:val="24"/>
          <w:szCs w:val="24"/>
          <w:lang w:val="en-US"/>
        </w:rPr>
        <w:t>based on increased financialization, Macron claim</w:t>
      </w:r>
      <w:r w:rsidR="00E93C2B" w:rsidRPr="001234AB">
        <w:rPr>
          <w:rFonts w:ascii="Times New Roman" w:hAnsi="Times New Roman" w:cs="Times New Roman"/>
          <w:sz w:val="24"/>
          <w:szCs w:val="24"/>
          <w:lang w:val="en-US"/>
        </w:rPr>
        <w:t>ed</w:t>
      </w:r>
      <w:r w:rsidRPr="001234AB">
        <w:rPr>
          <w:rFonts w:ascii="Times New Roman" w:hAnsi="Times New Roman" w:cs="Times New Roman"/>
          <w:sz w:val="24"/>
          <w:szCs w:val="24"/>
          <w:lang w:val="en-US"/>
        </w:rPr>
        <w:t xml:space="preserve"> that the humanization of </w:t>
      </w:r>
      <w:r w:rsidRPr="001234AB">
        <w:rPr>
          <w:rFonts w:ascii="Times New Roman" w:hAnsi="Times New Roman" w:cs="Times New Roman"/>
          <w:sz w:val="24"/>
          <w:szCs w:val="24"/>
          <w:lang w:val="en-US"/>
        </w:rPr>
        <w:lastRenderedPageBreak/>
        <w:t xml:space="preserve">capitalism through EU’s recovery program means putting an end to a “hyper-financialized” world </w:t>
      </w:r>
      <w:r w:rsidR="00E93C2B" w:rsidRPr="001234AB">
        <w:rPr>
          <w:rFonts w:ascii="Times New Roman" w:hAnsi="Times New Roman" w:cs="Times New Roman"/>
          <w:sz w:val="24"/>
          <w:szCs w:val="24"/>
          <w:lang w:val="en-US"/>
        </w:rPr>
        <w:t>(Mallet &amp; Khalaf, 2020).</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The conjuncture at the beginning of the pandemic had culminated in a political narrative formulated by various organic intellectuals in which EU’s recovery package, based on the issuance of common debt, was presented as “an urgent and exceptional necessity for an urgent and exceptional crisis,” as encapsulated by von der Leyen</w:t>
      </w:r>
      <w:r w:rsidR="00AA16A4" w:rsidRPr="001234AB">
        <w:rPr>
          <w:rFonts w:ascii="Times New Roman" w:hAnsi="Times New Roman" w:cs="Times New Roman"/>
          <w:sz w:val="24"/>
          <w:szCs w:val="24"/>
          <w:lang w:val="en-US"/>
        </w:rPr>
        <w:t xml:space="preserve"> (2020c). </w:t>
      </w:r>
      <w:r w:rsidRPr="001234AB">
        <w:rPr>
          <w:rFonts w:ascii="Times New Roman" w:hAnsi="Times New Roman" w:cs="Times New Roman"/>
          <w:sz w:val="24"/>
          <w:szCs w:val="24"/>
          <w:lang w:val="en-US"/>
        </w:rPr>
        <w:t xml:space="preserve">NGEU was put forward as the beginning for a new Europe, as well as an all-encompassing solution to all European, and global challenges, such as climate change, digitalization, Euroscepticism, and EU’s endangered competitiveness. In doing so, the political narrative combined a plurality of (subordinate) social forces to support NGEU. This included presenting Eurobonds and debt mutualization as common sense, effectively removing the taboo that had surrounded these topics. While it was even claimed that NGEU comprised a reconstruction of capitalism and thus of the social relations of production, NGEU continues the debt-led accumulation that upholds the </w:t>
      </w:r>
      <w:r w:rsidR="00945C44">
        <w:rPr>
          <w:rFonts w:ascii="Times New Roman" w:hAnsi="Times New Roman" w:cs="Times New Roman"/>
          <w:sz w:val="24"/>
          <w:szCs w:val="24"/>
          <w:lang w:val="en-US"/>
        </w:rPr>
        <w:t xml:space="preserve">hegemony </w:t>
      </w:r>
      <w:r w:rsidRPr="001234AB">
        <w:rPr>
          <w:rFonts w:ascii="Times New Roman" w:hAnsi="Times New Roman" w:cs="Times New Roman"/>
          <w:sz w:val="24"/>
          <w:szCs w:val="24"/>
          <w:lang w:val="en-US"/>
        </w:rPr>
        <w:t>of the financial capital fraction. Thus, in a sense, NGEU constitutes a change within continuity</w:t>
      </w:r>
      <w:r w:rsidR="00476F57" w:rsidRPr="001234AB">
        <w:rPr>
          <w:rFonts w:ascii="Times New Roman" w:hAnsi="Times New Roman" w:cs="Times New Roman"/>
          <w:sz w:val="24"/>
          <w:szCs w:val="24"/>
          <w:lang w:val="en-US"/>
        </w:rPr>
        <w:t>.</w:t>
      </w:r>
    </w:p>
    <w:p w14:paraId="1807D89F" w14:textId="69830900" w:rsidR="005D25DA" w:rsidRDefault="00537403" w:rsidP="00F807BD">
      <w:pPr>
        <w:spacing w:line="360" w:lineRule="auto"/>
        <w:rPr>
          <w:rFonts w:ascii="Times New Roman" w:hAnsi="Times New Roman" w:cs="Times New Roman"/>
          <w:sz w:val="24"/>
          <w:szCs w:val="24"/>
          <w:u w:val="single"/>
          <w:lang w:val="en-US"/>
        </w:rPr>
      </w:pPr>
      <w:r w:rsidRPr="001234AB">
        <w:rPr>
          <w:rFonts w:ascii="Times New Roman" w:hAnsi="Times New Roman" w:cs="Times New Roman"/>
          <w:sz w:val="24"/>
          <w:szCs w:val="24"/>
          <w:lang w:val="en-US"/>
        </w:rPr>
        <w:br/>
      </w:r>
      <w:r w:rsidR="00FC173F" w:rsidRPr="00372129">
        <w:rPr>
          <w:rFonts w:ascii="Times New Roman" w:hAnsi="Times New Roman" w:cs="Times New Roman"/>
          <w:b/>
          <w:bCs/>
          <w:i/>
          <w:iCs/>
          <w:sz w:val="24"/>
          <w:szCs w:val="24"/>
          <w:lang w:val="en-US"/>
        </w:rPr>
        <w:t xml:space="preserve">3.5 </w:t>
      </w:r>
      <w:r w:rsidR="00492161" w:rsidRPr="00372129">
        <w:rPr>
          <w:rFonts w:ascii="Times New Roman" w:hAnsi="Times New Roman" w:cs="Times New Roman"/>
          <w:b/>
          <w:bCs/>
          <w:i/>
          <w:iCs/>
          <w:sz w:val="24"/>
          <w:szCs w:val="24"/>
          <w:lang w:val="en-US"/>
        </w:rPr>
        <w:t>Counter-hegemonic forces</w:t>
      </w:r>
      <w:r w:rsidR="00492161" w:rsidRPr="001234AB">
        <w:rPr>
          <w:rFonts w:ascii="Times New Roman" w:hAnsi="Times New Roman" w:cs="Times New Roman"/>
          <w:b/>
          <w:bCs/>
          <w:sz w:val="24"/>
          <w:szCs w:val="24"/>
          <w:lang w:val="en-US"/>
        </w:rPr>
        <w:t xml:space="preserve"> </w:t>
      </w:r>
      <w:r w:rsidR="00492161" w:rsidRPr="001234AB">
        <w:rPr>
          <w:rFonts w:ascii="Times New Roman" w:hAnsi="Times New Roman" w:cs="Times New Roman"/>
          <w:sz w:val="24"/>
          <w:szCs w:val="24"/>
          <w:lang w:val="en-US"/>
        </w:rPr>
        <w:br/>
      </w:r>
      <w:r w:rsidR="00FC0E24" w:rsidRPr="001234AB">
        <w:rPr>
          <w:rFonts w:ascii="Times New Roman" w:hAnsi="Times New Roman" w:cs="Times New Roman"/>
          <w:sz w:val="24"/>
          <w:szCs w:val="24"/>
          <w:lang w:val="en-US"/>
        </w:rPr>
        <w:t xml:space="preserve">With </w:t>
      </w:r>
      <w:r w:rsidR="00492161" w:rsidRPr="001234AB">
        <w:rPr>
          <w:rFonts w:ascii="Times New Roman" w:hAnsi="Times New Roman" w:cs="Times New Roman"/>
          <w:sz w:val="24"/>
          <w:szCs w:val="24"/>
          <w:lang w:val="en-US"/>
        </w:rPr>
        <w:t xml:space="preserve">regards to crisis moments, the </w:t>
      </w:r>
      <w:r w:rsidR="00FC0E24" w:rsidRPr="001234AB">
        <w:rPr>
          <w:rFonts w:ascii="Times New Roman" w:hAnsi="Times New Roman" w:cs="Times New Roman"/>
          <w:sz w:val="24"/>
          <w:szCs w:val="24"/>
          <w:lang w:val="en-US"/>
        </w:rPr>
        <w:t xml:space="preserve">dominant financial capital fraction preserves </w:t>
      </w:r>
      <w:r w:rsidR="00492161" w:rsidRPr="001234AB">
        <w:rPr>
          <w:rFonts w:ascii="Times New Roman" w:hAnsi="Times New Roman" w:cs="Times New Roman"/>
          <w:sz w:val="24"/>
          <w:szCs w:val="24"/>
          <w:lang w:val="en-US"/>
        </w:rPr>
        <w:t>its dominance in terms of ideology</w:t>
      </w:r>
      <w:r w:rsidR="00FC0E24" w:rsidRPr="001234AB">
        <w:rPr>
          <w:rFonts w:ascii="Times New Roman" w:hAnsi="Times New Roman" w:cs="Times New Roman"/>
          <w:sz w:val="24"/>
          <w:szCs w:val="24"/>
          <w:lang w:val="en-US"/>
        </w:rPr>
        <w:t>, as has been outlined in the previous chapter.</w:t>
      </w:r>
      <w:r w:rsidR="00492161" w:rsidRPr="001234AB">
        <w:rPr>
          <w:rFonts w:ascii="Times New Roman" w:hAnsi="Times New Roman" w:cs="Times New Roman"/>
          <w:sz w:val="24"/>
          <w:szCs w:val="24"/>
          <w:lang w:val="en-US"/>
        </w:rPr>
        <w:t xml:space="preserve"> </w:t>
      </w:r>
      <w:r w:rsidR="00FC0E24" w:rsidRPr="001234AB">
        <w:rPr>
          <w:rFonts w:ascii="Times New Roman" w:hAnsi="Times New Roman" w:cs="Times New Roman"/>
          <w:sz w:val="24"/>
          <w:szCs w:val="24"/>
          <w:lang w:val="en-US"/>
        </w:rPr>
        <w:t>Nevertheless, c</w:t>
      </w:r>
      <w:r w:rsidR="00492161" w:rsidRPr="001234AB">
        <w:rPr>
          <w:rFonts w:ascii="Times New Roman" w:hAnsi="Times New Roman" w:cs="Times New Roman"/>
          <w:sz w:val="24"/>
          <w:szCs w:val="24"/>
          <w:lang w:val="en-US"/>
        </w:rPr>
        <w:t>ounter-hegemonic</w:t>
      </w:r>
      <w:r w:rsidR="00FC0E24" w:rsidRPr="001234AB">
        <w:rPr>
          <w:rFonts w:ascii="Times New Roman" w:hAnsi="Times New Roman" w:cs="Times New Roman"/>
          <w:sz w:val="24"/>
          <w:szCs w:val="24"/>
          <w:lang w:val="en-US"/>
        </w:rPr>
        <w:t xml:space="preserve"> forces can</w:t>
      </w:r>
      <w:r w:rsidR="00492161" w:rsidRPr="001234AB">
        <w:rPr>
          <w:rFonts w:ascii="Times New Roman" w:hAnsi="Times New Roman" w:cs="Times New Roman"/>
          <w:sz w:val="24"/>
          <w:szCs w:val="24"/>
          <w:lang w:val="en-US"/>
        </w:rPr>
        <w:t xml:space="preserve"> be discerned because crises are moments of potential change. This section will be devoted to outlining </w:t>
      </w:r>
      <w:r w:rsidR="00FC0E24" w:rsidRPr="001234AB">
        <w:rPr>
          <w:rFonts w:ascii="Times New Roman" w:hAnsi="Times New Roman" w:cs="Times New Roman"/>
          <w:sz w:val="24"/>
          <w:szCs w:val="24"/>
          <w:lang w:val="en-US"/>
        </w:rPr>
        <w:t xml:space="preserve">these </w:t>
      </w:r>
      <w:r w:rsidR="00492161" w:rsidRPr="001234AB">
        <w:rPr>
          <w:rFonts w:ascii="Times New Roman" w:hAnsi="Times New Roman" w:cs="Times New Roman"/>
          <w:sz w:val="24"/>
          <w:szCs w:val="24"/>
          <w:lang w:val="en-US"/>
        </w:rPr>
        <w:t xml:space="preserve">counter-hegemonic forces. </w:t>
      </w:r>
      <w:r w:rsidR="00FC0E24" w:rsidRPr="001234AB">
        <w:rPr>
          <w:rFonts w:ascii="Times New Roman" w:hAnsi="Times New Roman" w:cs="Times New Roman"/>
          <w:sz w:val="24"/>
          <w:szCs w:val="24"/>
          <w:lang w:val="en-US"/>
        </w:rPr>
        <w:t xml:space="preserve">First, I will outline social forces of which counter-hegemonic efforts are to be expected, but instead were part of the alliance in favor of Eurobonds during the conjuncture of COVID-19. </w:t>
      </w:r>
      <w:r w:rsidR="00492161" w:rsidRPr="001234AB">
        <w:rPr>
          <w:rFonts w:ascii="Times New Roman" w:hAnsi="Times New Roman" w:cs="Times New Roman"/>
          <w:sz w:val="24"/>
          <w:szCs w:val="24"/>
          <w:lang w:val="en-US"/>
        </w:rPr>
        <w:t>Second, I will outline counter-hegemonic</w:t>
      </w:r>
      <w:r w:rsidR="00FC0E24" w:rsidRPr="001234AB">
        <w:rPr>
          <w:rFonts w:ascii="Times New Roman" w:hAnsi="Times New Roman" w:cs="Times New Roman"/>
          <w:sz w:val="24"/>
          <w:szCs w:val="24"/>
          <w:lang w:val="en-US"/>
        </w:rPr>
        <w:t xml:space="preserve"> forces</w:t>
      </w:r>
      <w:r w:rsidR="00492161" w:rsidRPr="001234AB">
        <w:rPr>
          <w:rFonts w:ascii="Times New Roman" w:hAnsi="Times New Roman" w:cs="Times New Roman"/>
          <w:sz w:val="24"/>
          <w:szCs w:val="24"/>
          <w:lang w:val="en-US"/>
        </w:rPr>
        <w:t xml:space="preserve"> that have been marginalized, testimony to the strategic selectivity </w:t>
      </w:r>
      <w:r w:rsidR="00FC0E24" w:rsidRPr="001234AB">
        <w:rPr>
          <w:rFonts w:ascii="Times New Roman" w:hAnsi="Times New Roman" w:cs="Times New Roman"/>
          <w:sz w:val="24"/>
          <w:szCs w:val="24"/>
          <w:lang w:val="en-US"/>
        </w:rPr>
        <w:t>conducted by the EU.</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FC173F" w:rsidRPr="00372129">
        <w:rPr>
          <w:rFonts w:ascii="Times New Roman" w:hAnsi="Times New Roman" w:cs="Times New Roman"/>
          <w:i/>
          <w:iCs/>
          <w:sz w:val="24"/>
          <w:szCs w:val="24"/>
          <w:lang w:val="en-US"/>
        </w:rPr>
        <w:t xml:space="preserve">3.5.1 </w:t>
      </w:r>
      <w:r w:rsidR="00FC0E24" w:rsidRPr="00372129">
        <w:rPr>
          <w:rFonts w:ascii="Times New Roman" w:hAnsi="Times New Roman" w:cs="Times New Roman"/>
          <w:i/>
          <w:iCs/>
          <w:sz w:val="24"/>
          <w:szCs w:val="24"/>
          <w:lang w:val="en-US"/>
        </w:rPr>
        <w:t xml:space="preserve">Organized </w:t>
      </w:r>
      <w:proofErr w:type="gramStart"/>
      <w:r w:rsidR="00FC0E24" w:rsidRPr="00372129">
        <w:rPr>
          <w:rFonts w:ascii="Times New Roman" w:hAnsi="Times New Roman" w:cs="Times New Roman"/>
          <w:i/>
          <w:iCs/>
          <w:sz w:val="24"/>
          <w:szCs w:val="24"/>
          <w:lang w:val="en-US"/>
        </w:rPr>
        <w:t>labor’s</w:t>
      </w:r>
      <w:proofErr w:type="gramEnd"/>
      <w:r w:rsidR="00FC0E24" w:rsidRPr="00372129">
        <w:rPr>
          <w:rFonts w:ascii="Times New Roman" w:hAnsi="Times New Roman" w:cs="Times New Roman"/>
          <w:i/>
          <w:iCs/>
          <w:sz w:val="24"/>
          <w:szCs w:val="24"/>
          <w:lang w:val="en-US"/>
        </w:rPr>
        <w:t xml:space="preserve"> </w:t>
      </w:r>
      <w:r w:rsidR="000A5CF3" w:rsidRPr="00372129">
        <w:rPr>
          <w:rFonts w:ascii="Times New Roman" w:hAnsi="Times New Roman" w:cs="Times New Roman"/>
          <w:i/>
          <w:iCs/>
          <w:sz w:val="24"/>
          <w:szCs w:val="24"/>
          <w:lang w:val="en-US"/>
        </w:rPr>
        <w:t>yearn for public investment</w:t>
      </w:r>
      <w:r w:rsidR="00FC0E24" w:rsidRPr="001234AB">
        <w:rPr>
          <w:rFonts w:ascii="Times New Roman" w:hAnsi="Times New Roman" w:cs="Times New Roman"/>
          <w:b/>
          <w:bCs/>
          <w:sz w:val="24"/>
          <w:szCs w:val="24"/>
          <w:lang w:val="en-US"/>
        </w:rPr>
        <w:br/>
      </w:r>
      <w:r w:rsidR="00492161" w:rsidRPr="001234AB">
        <w:rPr>
          <w:rFonts w:ascii="Times New Roman" w:hAnsi="Times New Roman" w:cs="Times New Roman"/>
          <w:sz w:val="24"/>
          <w:szCs w:val="24"/>
          <w:lang w:val="en-US"/>
        </w:rPr>
        <w:t>When identifying counter-hegemonic forces, it makes sense to consider organized labor, as it represents the main antagonistic force to the dominant capitalist class. As outlined earlier, ETUC</w:t>
      </w:r>
      <w:r w:rsidR="00FC0E24"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has been a consistent advocate of the issuance of common debt. It claimed responsibility for the content of EU’s recovery package, deeming NGEU the correct response to the pandemic for the European working class. Additionally, ETUC</w:t>
      </w:r>
      <w:r w:rsidR="000A5CF3" w:rsidRPr="001234AB">
        <w:rPr>
          <w:rFonts w:ascii="Times New Roman" w:hAnsi="Times New Roman" w:cs="Times New Roman"/>
          <w:sz w:val="24"/>
          <w:szCs w:val="24"/>
          <w:lang w:val="en-US"/>
        </w:rPr>
        <w:t xml:space="preserve"> (2023) </w:t>
      </w:r>
      <w:r w:rsidR="00492161" w:rsidRPr="001234AB">
        <w:rPr>
          <w:rFonts w:ascii="Times New Roman" w:hAnsi="Times New Roman" w:cs="Times New Roman"/>
          <w:sz w:val="24"/>
          <w:szCs w:val="24"/>
          <w:lang w:val="en-US"/>
        </w:rPr>
        <w:t xml:space="preserve">claimed it </w:t>
      </w:r>
      <w:r w:rsidR="00492161" w:rsidRPr="001234AB">
        <w:rPr>
          <w:rFonts w:ascii="Times New Roman" w:hAnsi="Times New Roman" w:cs="Times New Roman"/>
          <w:sz w:val="24"/>
          <w:szCs w:val="24"/>
          <w:lang w:val="en-US"/>
        </w:rPr>
        <w:lastRenderedPageBreak/>
        <w:t xml:space="preserve">intensively campaigned for social conditions in NGEU. This self-praise is misguided since </w:t>
      </w:r>
      <w:proofErr w:type="spellStart"/>
      <w:r w:rsidR="00492161" w:rsidRPr="001234AB">
        <w:rPr>
          <w:rFonts w:ascii="Times New Roman" w:hAnsi="Times New Roman" w:cs="Times New Roman"/>
          <w:sz w:val="24"/>
          <w:szCs w:val="24"/>
          <w:lang w:val="en-US"/>
        </w:rPr>
        <w:t>Vanhercke</w:t>
      </w:r>
      <w:proofErr w:type="spellEnd"/>
      <w:r w:rsidR="00492161" w:rsidRPr="001234AB">
        <w:rPr>
          <w:rFonts w:ascii="Times New Roman" w:hAnsi="Times New Roman" w:cs="Times New Roman"/>
          <w:sz w:val="24"/>
          <w:szCs w:val="24"/>
          <w:lang w:val="en-US"/>
        </w:rPr>
        <w:t xml:space="preserve"> </w:t>
      </w:r>
      <w:r w:rsidR="000A5CF3" w:rsidRPr="001234AB">
        <w:rPr>
          <w:rFonts w:ascii="Times New Roman" w:hAnsi="Times New Roman" w:cs="Times New Roman"/>
          <w:sz w:val="24"/>
          <w:szCs w:val="24"/>
          <w:lang w:val="en-US"/>
        </w:rPr>
        <w:t xml:space="preserve">&amp; </w:t>
      </w:r>
      <w:r w:rsidR="00492161" w:rsidRPr="001234AB">
        <w:rPr>
          <w:rFonts w:ascii="Times New Roman" w:hAnsi="Times New Roman" w:cs="Times New Roman"/>
          <w:sz w:val="24"/>
          <w:szCs w:val="24"/>
          <w:lang w:val="en-US"/>
        </w:rPr>
        <w:t>Verdun</w:t>
      </w:r>
      <w:r w:rsidR="000A5CF3"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2021</w:t>
      </w:r>
      <w:r w:rsidR="000A5CF3"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 xml:space="preserve"> analyzed how all pleas by European unions and social NGOs to include a minimum goal for social expenditure in the RRF came to nothing. Instead, the quotas mainly concern investments into the green economy, and the digitalization of the economy, thanks to heavy lobbying by the</w:t>
      </w:r>
      <w:r w:rsidR="00FC0E24" w:rsidRPr="001234AB">
        <w:rPr>
          <w:rFonts w:ascii="Times New Roman" w:hAnsi="Times New Roman" w:cs="Times New Roman"/>
          <w:sz w:val="24"/>
          <w:szCs w:val="24"/>
          <w:lang w:val="en-US"/>
        </w:rPr>
        <w:t>ir</w:t>
      </w:r>
      <w:r w:rsidR="00492161" w:rsidRPr="001234AB">
        <w:rPr>
          <w:rFonts w:ascii="Times New Roman" w:hAnsi="Times New Roman" w:cs="Times New Roman"/>
          <w:sz w:val="24"/>
          <w:szCs w:val="24"/>
          <w:lang w:val="en-US"/>
        </w:rPr>
        <w:t xml:space="preserve"> respective industries (Erne et al., 2024, pp. 316-318).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ETUC</w:t>
      </w:r>
      <w:r w:rsidR="000A5CF3" w:rsidRPr="001234AB">
        <w:rPr>
          <w:rFonts w:ascii="Times New Roman" w:hAnsi="Times New Roman" w:cs="Times New Roman"/>
          <w:sz w:val="24"/>
          <w:szCs w:val="24"/>
          <w:lang w:val="en-US"/>
        </w:rPr>
        <w:t xml:space="preserve"> (2020b, p. 4)</w:t>
      </w:r>
      <w:r w:rsidR="00492161" w:rsidRPr="001234AB">
        <w:rPr>
          <w:rFonts w:ascii="Times New Roman" w:hAnsi="Times New Roman" w:cs="Times New Roman"/>
          <w:sz w:val="24"/>
          <w:szCs w:val="24"/>
          <w:lang w:val="en-US"/>
        </w:rPr>
        <w:t xml:space="preserve"> criticizes the European Semester underpinning NGEU, as it is vigilant that the funding for recovery may be turned into new austerity measures</w:t>
      </w:r>
      <w:r w:rsidR="000A5CF3"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ETUC’s critical voice, however, does not go beyond this. </w:t>
      </w:r>
      <w:r w:rsidR="0040381A" w:rsidRPr="001234AB">
        <w:rPr>
          <w:rFonts w:ascii="Times New Roman" w:hAnsi="Times New Roman" w:cs="Times New Roman"/>
          <w:sz w:val="24"/>
          <w:szCs w:val="24"/>
          <w:lang w:val="en-US"/>
        </w:rPr>
        <w:t xml:space="preserve">Namely, as outlined in the chapter on the alliance, </w:t>
      </w:r>
      <w:r w:rsidR="00492161" w:rsidRPr="001234AB">
        <w:rPr>
          <w:rFonts w:ascii="Times New Roman" w:hAnsi="Times New Roman" w:cs="Times New Roman"/>
          <w:sz w:val="24"/>
          <w:szCs w:val="24"/>
          <w:lang w:val="en-US"/>
        </w:rPr>
        <w:t>organized labor completely legitimizes debt-led accumulation. Emblematic for this, ETUC (</w:t>
      </w:r>
      <w:r w:rsidR="0040381A" w:rsidRPr="001234AB">
        <w:rPr>
          <w:rFonts w:ascii="Times New Roman" w:hAnsi="Times New Roman" w:cs="Times New Roman"/>
          <w:sz w:val="24"/>
          <w:szCs w:val="24"/>
          <w:lang w:val="en-US"/>
        </w:rPr>
        <w:t>2021, p. 9</w:t>
      </w:r>
      <w:r w:rsidR="00492161" w:rsidRPr="001234AB">
        <w:rPr>
          <w:rFonts w:ascii="Times New Roman" w:hAnsi="Times New Roman" w:cs="Times New Roman"/>
          <w:sz w:val="24"/>
          <w:szCs w:val="24"/>
          <w:lang w:val="en-US"/>
        </w:rPr>
        <w:t>) claimed in a reflection on European public debt issuance that “the failure to engage in debt-financed investments, be it at Member State or European level, can result in a chronic lack of aggregate demand when the private sector is struggling. This can raise unemployment and lower growth and inflation.” Indeed, in 2020, ETUC</w:t>
      </w:r>
      <w:r w:rsidR="0040381A" w:rsidRPr="001234AB">
        <w:rPr>
          <w:rFonts w:ascii="Times New Roman" w:hAnsi="Times New Roman" w:cs="Times New Roman"/>
          <w:sz w:val="24"/>
          <w:szCs w:val="24"/>
          <w:lang w:val="en-US"/>
        </w:rPr>
        <w:t xml:space="preserve"> (2020b, p. 6)</w:t>
      </w:r>
      <w:r w:rsidR="00492161" w:rsidRPr="001234AB">
        <w:rPr>
          <w:rFonts w:ascii="Times New Roman" w:hAnsi="Times New Roman" w:cs="Times New Roman"/>
          <w:sz w:val="24"/>
          <w:szCs w:val="24"/>
          <w:lang w:val="en-US"/>
        </w:rPr>
        <w:t xml:space="preserve"> demanded that the European Semester would include a minimum level of public investment being financed through debt, backed by the EU and national budgets</w:t>
      </w:r>
      <w:r w:rsidR="0040381A"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It essentially advocated for the institutionalization of common debt.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However, given plentiful research positing that debt-led accumulation has deteriorating effects on the working class, a problematization of debt-led accumulation would make more sense than light-hearted aims to make the European Semester more socially sustainable. For example, Hein &amp; </w:t>
      </w:r>
      <w:proofErr w:type="spellStart"/>
      <w:r w:rsidR="00492161" w:rsidRPr="001234AB">
        <w:rPr>
          <w:rFonts w:ascii="Times New Roman" w:hAnsi="Times New Roman" w:cs="Times New Roman"/>
          <w:sz w:val="24"/>
          <w:szCs w:val="24"/>
          <w:lang w:val="en-US"/>
        </w:rPr>
        <w:t>Dodig</w:t>
      </w:r>
      <w:proofErr w:type="spellEnd"/>
      <w:r w:rsidR="00492161" w:rsidRPr="001234AB">
        <w:rPr>
          <w:rFonts w:ascii="Times New Roman" w:hAnsi="Times New Roman" w:cs="Times New Roman"/>
          <w:sz w:val="24"/>
          <w:szCs w:val="24"/>
          <w:lang w:val="en-US"/>
        </w:rPr>
        <w:t xml:space="preserve"> (2014, p. 49) show how financialization and debt-led growth have increased income inequality and led to a general declining share of labor income. Additionally, Santos et al. (2017, pp. 97-100) have outlined how in the EU debt has pressurized the working class to work more and under worse conditions. As </w:t>
      </w:r>
      <w:proofErr w:type="spellStart"/>
      <w:r w:rsidR="00492161" w:rsidRPr="001234AB">
        <w:rPr>
          <w:rFonts w:ascii="Times New Roman" w:hAnsi="Times New Roman" w:cs="Times New Roman"/>
          <w:sz w:val="24"/>
          <w:szCs w:val="24"/>
          <w:lang w:val="en-US"/>
        </w:rPr>
        <w:t>Ryner</w:t>
      </w:r>
      <w:proofErr w:type="spellEnd"/>
      <w:r w:rsidR="00492161" w:rsidRPr="001234AB">
        <w:rPr>
          <w:rFonts w:ascii="Times New Roman" w:hAnsi="Times New Roman" w:cs="Times New Roman"/>
          <w:sz w:val="24"/>
          <w:szCs w:val="24"/>
          <w:lang w:val="en-US"/>
        </w:rPr>
        <w:t xml:space="preserve"> (2023, p. 629) observes, the continued reliance on finance-led mechanisms, as well as access to recovery grants being dependent on ‘Country Specific Recommendations’ as outlined by the European Semester indicates “authoritarian neoliberal restoration.” It can be seen that a paradox is present in the organized labor fraction. On the one hand, </w:t>
      </w:r>
      <w:r w:rsidR="004E233B" w:rsidRPr="001234AB">
        <w:rPr>
          <w:rFonts w:ascii="Times New Roman" w:hAnsi="Times New Roman" w:cs="Times New Roman"/>
          <w:sz w:val="24"/>
          <w:szCs w:val="24"/>
          <w:lang w:val="en-US"/>
        </w:rPr>
        <w:t>ETUC (2015b, p. 12)</w:t>
      </w:r>
      <w:r w:rsidR="00492161" w:rsidRPr="001234AB">
        <w:rPr>
          <w:rFonts w:ascii="Times New Roman" w:hAnsi="Times New Roman" w:cs="Times New Roman"/>
          <w:sz w:val="24"/>
          <w:szCs w:val="24"/>
          <w:lang w:val="en-US"/>
        </w:rPr>
        <w:t xml:space="preserve"> reportedly aims to balance “the principle of the sanctity of debt” with social needs, which entails addressing the problem of debt</w:t>
      </w:r>
      <w:r w:rsidR="004E233B"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On the other hand, it deems not engaging in debt-financed investments a failure, thereby completely legitimizing</w:t>
      </w:r>
      <w:r w:rsidR="008A01B4" w:rsidRPr="001234AB">
        <w:rPr>
          <w:rFonts w:ascii="Times New Roman" w:hAnsi="Times New Roman" w:cs="Times New Roman"/>
          <w:sz w:val="24"/>
          <w:szCs w:val="24"/>
          <w:lang w:val="en-US"/>
        </w:rPr>
        <w:t xml:space="preserve"> debt-led accumulation patterns such as NGEU.</w:t>
      </w:r>
      <w:r w:rsidR="00492161" w:rsidRPr="001234AB">
        <w:rPr>
          <w:rFonts w:ascii="Times New Roman" w:hAnsi="Times New Roman" w:cs="Times New Roman"/>
          <w:sz w:val="24"/>
          <w:szCs w:val="24"/>
          <w:lang w:val="en-US"/>
        </w:rPr>
        <w:t xml:space="preserve"> The fact that organized labor is not providing an alternative to the </w:t>
      </w:r>
      <w:r w:rsidR="00492161" w:rsidRPr="001234AB">
        <w:rPr>
          <w:rFonts w:ascii="Times New Roman" w:hAnsi="Times New Roman" w:cs="Times New Roman"/>
          <w:sz w:val="24"/>
          <w:szCs w:val="24"/>
          <w:lang w:val="en-US"/>
        </w:rPr>
        <w:lastRenderedPageBreak/>
        <w:t xml:space="preserve">hegemony of the transnational financial historical bloc, but instead advocates the interests of the financial historical bloc, points to the success of the hegemony of this bloc. </w:t>
      </w:r>
      <w:r w:rsidR="008A01B4" w:rsidRPr="001234AB">
        <w:rPr>
          <w:rFonts w:ascii="Times New Roman" w:hAnsi="Times New Roman" w:cs="Times New Roman"/>
          <w:sz w:val="24"/>
          <w:szCs w:val="24"/>
          <w:lang w:val="en-US"/>
        </w:rPr>
        <w:t xml:space="preserve">By almost unequivocally equating public investment with the advancement of the interests of the European working class, organized labor actively consented to the hegemony of the financial capital fraction. </w:t>
      </w:r>
      <w:r w:rsidR="00FC0E24"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FC173F" w:rsidRPr="005D25DA">
        <w:rPr>
          <w:rFonts w:ascii="Times New Roman" w:hAnsi="Times New Roman" w:cs="Times New Roman"/>
          <w:i/>
          <w:iCs/>
          <w:sz w:val="24"/>
          <w:szCs w:val="24"/>
          <w:lang w:val="en-US"/>
        </w:rPr>
        <w:t xml:space="preserve">3.5.2 </w:t>
      </w:r>
      <w:r w:rsidR="00492161" w:rsidRPr="005D25DA">
        <w:rPr>
          <w:rFonts w:ascii="Times New Roman" w:hAnsi="Times New Roman" w:cs="Times New Roman"/>
          <w:i/>
          <w:iCs/>
          <w:sz w:val="24"/>
          <w:szCs w:val="24"/>
          <w:lang w:val="en-US"/>
        </w:rPr>
        <w:t>Finance Watch</w:t>
      </w:r>
      <w:r w:rsidR="008A01B4" w:rsidRPr="005D25DA">
        <w:rPr>
          <w:rFonts w:ascii="Times New Roman" w:hAnsi="Times New Roman" w:cs="Times New Roman"/>
          <w:i/>
          <w:iCs/>
          <w:sz w:val="24"/>
          <w:szCs w:val="24"/>
          <w:lang w:val="en-US"/>
        </w:rPr>
        <w:t>’s depoliticizing stance on Eurobonds</w:t>
      </w:r>
      <w:r w:rsidR="00492161" w:rsidRPr="001234AB">
        <w:rPr>
          <w:rFonts w:ascii="Times New Roman" w:hAnsi="Times New Roman" w:cs="Times New Roman"/>
          <w:sz w:val="24"/>
          <w:szCs w:val="24"/>
          <w:u w:val="single"/>
          <w:lang w:val="en-US"/>
        </w:rPr>
        <w:br/>
      </w:r>
      <w:r w:rsidR="00492161" w:rsidRPr="001234AB">
        <w:rPr>
          <w:rFonts w:ascii="Times New Roman" w:hAnsi="Times New Roman" w:cs="Times New Roman"/>
          <w:sz w:val="24"/>
          <w:szCs w:val="24"/>
          <w:lang w:val="en-US"/>
        </w:rPr>
        <w:t xml:space="preserve">In the section pertaining to civil society’s interest, it was discussed how during the COVID-19 crisis Finance Watch’s position on debt mutualization was ambiguous. More concretely, it deemed debt mutualization a political affair, abstaining from taking a straight-forward position on the matter. This is salient for different reasons. First, Finance Watch has been critical of how the financial market was prioritized during the sovereign debt crisis. Second, it opposed the Commission’s promotion of market-based financing. Third, Finance Watch warned how, historically, recovery packages have tended to socialize risks and privatize profits. Fourth, it urged structural change to EU’s financial system. The political choice to abstain from taking a clear stance on the debt mutualization issue on the grounds of an artificial dichotomy between politics and economics is remarkable for a lobby group dedicated to making the financial system work for the public interest. It can be argued that such a depoliticized stance on debt mutualization effectively upholds dominant class fraction’s interests, rather than protecting the public’s interest. In any case, due to the absence of a clear opposing strategy, Finance Watch does not constitute a significant counter-hegemonic force to the issuance of common debt, nor does it contribute to the formulation of any alternative concept of control.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FC173F" w:rsidRPr="005D25DA">
        <w:rPr>
          <w:rFonts w:ascii="Times New Roman" w:hAnsi="Times New Roman" w:cs="Times New Roman"/>
          <w:i/>
          <w:iCs/>
          <w:sz w:val="24"/>
          <w:szCs w:val="24"/>
          <w:lang w:val="en-US"/>
        </w:rPr>
        <w:t xml:space="preserve">3.5.3 </w:t>
      </w:r>
      <w:proofErr w:type="spellStart"/>
      <w:r w:rsidR="00FC173F" w:rsidRPr="005D25DA">
        <w:rPr>
          <w:rFonts w:ascii="Times New Roman" w:hAnsi="Times New Roman" w:cs="Times New Roman"/>
          <w:i/>
          <w:iCs/>
          <w:sz w:val="24"/>
          <w:szCs w:val="24"/>
          <w:lang w:val="en-US"/>
        </w:rPr>
        <w:t>EuroMemo</w:t>
      </w:r>
      <w:proofErr w:type="spellEnd"/>
      <w:r w:rsidR="00FC173F" w:rsidRPr="005D25DA">
        <w:rPr>
          <w:rFonts w:ascii="Times New Roman" w:hAnsi="Times New Roman" w:cs="Times New Roman"/>
          <w:i/>
          <w:iCs/>
          <w:sz w:val="24"/>
          <w:szCs w:val="24"/>
          <w:lang w:val="en-US"/>
        </w:rPr>
        <w:t xml:space="preserve"> Group’s compromised critical voice</w:t>
      </w:r>
      <w:r w:rsidR="00492161" w:rsidRPr="001234AB">
        <w:rPr>
          <w:rFonts w:ascii="Times New Roman" w:hAnsi="Times New Roman" w:cs="Times New Roman"/>
          <w:sz w:val="24"/>
          <w:szCs w:val="24"/>
          <w:lang w:val="en-US"/>
        </w:rPr>
        <w:br/>
        <w:t xml:space="preserve">There are other civil society voices that have, for various reasons, not formed a counter-hegemonic force to the issuance of common debt. Since civil society consists of a diverse variety of agents, it is valuable to outline a few more. </w:t>
      </w:r>
      <w:r w:rsidR="006A28BE" w:rsidRPr="001234AB">
        <w:rPr>
          <w:rFonts w:ascii="Times New Roman" w:hAnsi="Times New Roman" w:cs="Times New Roman"/>
          <w:sz w:val="24"/>
          <w:szCs w:val="24"/>
          <w:lang w:val="en-US"/>
        </w:rPr>
        <w:t xml:space="preserve">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w:t>
      </w:r>
      <w:r w:rsidR="006A28BE" w:rsidRPr="001234AB">
        <w:rPr>
          <w:rFonts w:ascii="Times New Roman" w:hAnsi="Times New Roman" w:cs="Times New Roman"/>
          <w:sz w:val="24"/>
          <w:szCs w:val="24"/>
          <w:lang w:val="en-US"/>
        </w:rPr>
        <w:t>p</w:t>
      </w:r>
      <w:r w:rsidR="00492161" w:rsidRPr="001234AB">
        <w:rPr>
          <w:rFonts w:ascii="Times New Roman" w:hAnsi="Times New Roman" w:cs="Times New Roman"/>
          <w:sz w:val="24"/>
          <w:szCs w:val="24"/>
          <w:lang w:val="en-US"/>
        </w:rPr>
        <w:t xml:space="preserve"> is a network of European social scientists dedicated to promoting full employment, social justice and inclusion, on the basis of ecological sustainability and international solidarity (</w:t>
      </w:r>
      <w:proofErr w:type="spellStart"/>
      <w:r w:rsidR="004E233B" w:rsidRPr="001234AB">
        <w:rPr>
          <w:rFonts w:ascii="Times New Roman" w:hAnsi="Times New Roman" w:cs="Times New Roman"/>
          <w:sz w:val="24"/>
          <w:szCs w:val="24"/>
          <w:lang w:val="en-US"/>
        </w:rPr>
        <w:t>EuroMemo</w:t>
      </w:r>
      <w:proofErr w:type="spellEnd"/>
      <w:r w:rsidR="004E233B" w:rsidRPr="001234AB">
        <w:rPr>
          <w:rFonts w:ascii="Times New Roman" w:hAnsi="Times New Roman" w:cs="Times New Roman"/>
          <w:sz w:val="24"/>
          <w:szCs w:val="24"/>
          <w:lang w:val="en-US"/>
        </w:rPr>
        <w:t xml:space="preserve"> Group, n.d.)</w:t>
      </w:r>
      <w:r w:rsidR="00492161" w:rsidRPr="001234AB">
        <w:rPr>
          <w:rFonts w:ascii="Times New Roman" w:hAnsi="Times New Roman" w:cs="Times New Roman"/>
          <w:sz w:val="24"/>
          <w:szCs w:val="24"/>
          <w:lang w:val="en-US"/>
        </w:rPr>
        <w:t xml:space="preserve">. It can be considered a critical left-wing fraction within civil society. In contrast to Finance Watch, the past fifteen years, </w:t>
      </w:r>
      <w:r w:rsidR="004E233B" w:rsidRPr="001234AB">
        <w:rPr>
          <w:rFonts w:ascii="Times New Roman" w:hAnsi="Times New Roman" w:cs="Times New Roman"/>
          <w:sz w:val="24"/>
          <w:szCs w:val="24"/>
          <w:lang w:val="en-US"/>
        </w:rPr>
        <w:t xml:space="preserve">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w:t>
      </w:r>
      <w:r w:rsidR="004E233B" w:rsidRPr="001234AB">
        <w:rPr>
          <w:rFonts w:ascii="Times New Roman" w:hAnsi="Times New Roman" w:cs="Times New Roman"/>
          <w:sz w:val="24"/>
          <w:szCs w:val="24"/>
          <w:lang w:val="en-US"/>
        </w:rPr>
        <w:t xml:space="preserve"> (2011, p. 4)</w:t>
      </w:r>
      <w:r w:rsidR="00492161" w:rsidRPr="001234AB">
        <w:rPr>
          <w:rFonts w:ascii="Times New Roman" w:hAnsi="Times New Roman" w:cs="Times New Roman"/>
          <w:sz w:val="24"/>
          <w:szCs w:val="24"/>
          <w:lang w:val="en-US"/>
        </w:rPr>
        <w:t xml:space="preserve"> has consistently advocated for debt mutualization and Eurobonds guaranteed by all EU governments, claiming in its 2010/2011 report that “transfers are economically necessary for the survival of the </w:t>
      </w:r>
      <w:r w:rsidR="00492161" w:rsidRPr="001234AB">
        <w:rPr>
          <w:rFonts w:ascii="Times New Roman" w:hAnsi="Times New Roman" w:cs="Times New Roman"/>
          <w:sz w:val="24"/>
          <w:szCs w:val="24"/>
          <w:lang w:val="en-US"/>
        </w:rPr>
        <w:lastRenderedPageBreak/>
        <w:t>monetary union, and socially necessary to ensure social cohesion.”</w:t>
      </w:r>
      <w:r w:rsidR="004E233B"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Acknowledging the need for an adequate supply of safe public sector bonds,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w:t>
      </w:r>
      <w:r w:rsidR="004E233B" w:rsidRPr="001234AB">
        <w:rPr>
          <w:rFonts w:ascii="Times New Roman" w:hAnsi="Times New Roman" w:cs="Times New Roman"/>
          <w:sz w:val="24"/>
          <w:szCs w:val="24"/>
          <w:lang w:val="en-US"/>
        </w:rPr>
        <w:t xml:space="preserve"> (2018, p. 11)</w:t>
      </w:r>
      <w:r w:rsidR="00492161" w:rsidRPr="001234AB">
        <w:rPr>
          <w:rFonts w:ascii="Times New Roman" w:hAnsi="Times New Roman" w:cs="Times New Roman"/>
          <w:sz w:val="24"/>
          <w:szCs w:val="24"/>
          <w:lang w:val="en-US"/>
        </w:rPr>
        <w:t xml:space="preserve"> has championed the transfer of authority to permit the Commission or EU agencies such as the European Investment Bank (EIB) to borrow on a large scale.</w:t>
      </w:r>
      <w:r w:rsidR="004E233B"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w:t>
      </w:r>
      <w:r w:rsidR="004E233B" w:rsidRPr="001234AB">
        <w:rPr>
          <w:rFonts w:ascii="Times New Roman" w:hAnsi="Times New Roman" w:cs="Times New Roman"/>
          <w:sz w:val="24"/>
          <w:szCs w:val="24"/>
          <w:lang w:val="en-US"/>
        </w:rPr>
        <w:t xml:space="preserve"> (2021, p. 7)</w:t>
      </w:r>
      <w:r w:rsidR="00492161" w:rsidRPr="001234AB">
        <w:rPr>
          <w:rFonts w:ascii="Times New Roman" w:hAnsi="Times New Roman" w:cs="Times New Roman"/>
          <w:sz w:val="24"/>
          <w:szCs w:val="24"/>
          <w:lang w:val="en-US"/>
        </w:rPr>
        <w:t xml:space="preserve"> considered NGEU and the decision to implement mutualized forms of European debt “a further, though hesitant, step towards economic integration,” and “a significant development.”</w:t>
      </w:r>
      <w:r w:rsidR="004E233B"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It was in general supportive of NGEU, and specifically the creation of European debt, but critical of certain aspects. First,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w:t>
      </w:r>
      <w:r w:rsidR="004E233B" w:rsidRPr="001234AB">
        <w:rPr>
          <w:rFonts w:ascii="Times New Roman" w:hAnsi="Times New Roman" w:cs="Times New Roman"/>
          <w:sz w:val="24"/>
          <w:szCs w:val="24"/>
          <w:lang w:val="en-US"/>
        </w:rPr>
        <w:t xml:space="preserve"> (2021, p. 12) </w:t>
      </w:r>
      <w:r w:rsidR="00492161" w:rsidRPr="001234AB">
        <w:rPr>
          <w:rFonts w:ascii="Times New Roman" w:hAnsi="Times New Roman" w:cs="Times New Roman"/>
          <w:sz w:val="24"/>
          <w:szCs w:val="24"/>
          <w:lang w:val="en-US"/>
        </w:rPr>
        <w:t>estimated NGEU to be too small in scale for the challenge</w:t>
      </w:r>
      <w:r w:rsidR="008C0379"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Second, it was concerned about the adherence to the European Semester procedure as a prerequisite for financing. The procedure,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 (</w:t>
      </w:r>
      <w:r w:rsidR="008C0379" w:rsidRPr="001234AB">
        <w:rPr>
          <w:rFonts w:ascii="Times New Roman" w:hAnsi="Times New Roman" w:cs="Times New Roman"/>
          <w:sz w:val="24"/>
          <w:szCs w:val="24"/>
          <w:lang w:val="en-US"/>
        </w:rPr>
        <w:t xml:space="preserve">2021, </w:t>
      </w:r>
      <w:r w:rsidR="00492161" w:rsidRPr="001234AB">
        <w:rPr>
          <w:rFonts w:ascii="Times New Roman" w:hAnsi="Times New Roman" w:cs="Times New Roman"/>
          <w:sz w:val="24"/>
          <w:szCs w:val="24"/>
          <w:lang w:val="en-US"/>
        </w:rPr>
        <w:t xml:space="preserve">p. 12) continued, “involves so-called structural reforms which are based on promoting neo-liberal notions of flexibility and competition.”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In the 2022 annual report,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w:t>
      </w:r>
      <w:r w:rsidR="008C0379" w:rsidRPr="001234AB">
        <w:rPr>
          <w:rFonts w:ascii="Times New Roman" w:hAnsi="Times New Roman" w:cs="Times New Roman"/>
          <w:sz w:val="24"/>
          <w:szCs w:val="24"/>
          <w:lang w:val="en-US"/>
        </w:rPr>
        <w:t xml:space="preserve"> (2022, p. 15)</w:t>
      </w:r>
      <w:r w:rsidR="00492161" w:rsidRPr="001234AB">
        <w:rPr>
          <w:rFonts w:ascii="Times New Roman" w:hAnsi="Times New Roman" w:cs="Times New Roman"/>
          <w:sz w:val="24"/>
          <w:szCs w:val="24"/>
          <w:lang w:val="en-US"/>
        </w:rPr>
        <w:t xml:space="preserve"> reflected that despite serious constraints having to do with, among others, neoliberal conditionalities, “the qualitative changes introduced under the pressure of the pandemic crisis open up space for public debate on issues that social movements, trade unions and initiatives such as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 have long been advocating.”</w:t>
      </w:r>
      <w:r w:rsidR="008C0379"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However,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Group's advocacy of public debate on issues such as transfer payments and Eurobonds is overshadowed by the issue of debt-led accumulation being a pillar of NGEU. The fact that during the COVID-19 crisis,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 did not provide a comprehensive analysis of the dangers of debt-led accumulation is salient given its outspokenness regarding EU’s financial sector. For example, in 2019,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 collaborated with two other critical voices, the </w:t>
      </w:r>
      <w:proofErr w:type="spellStart"/>
      <w:r w:rsidR="00492161" w:rsidRPr="001234AB">
        <w:rPr>
          <w:rFonts w:ascii="Times New Roman" w:hAnsi="Times New Roman" w:cs="Times New Roman"/>
          <w:sz w:val="24"/>
          <w:szCs w:val="24"/>
          <w:lang w:val="en-US"/>
        </w:rPr>
        <w:t>Nicos</w:t>
      </w:r>
      <w:proofErr w:type="spellEnd"/>
      <w:r w:rsidR="00492161" w:rsidRPr="001234AB">
        <w:rPr>
          <w:rFonts w:ascii="Times New Roman" w:hAnsi="Times New Roman" w:cs="Times New Roman"/>
          <w:sz w:val="24"/>
          <w:szCs w:val="24"/>
          <w:lang w:val="en-US"/>
        </w:rPr>
        <w:t xml:space="preserve"> </w:t>
      </w:r>
      <w:proofErr w:type="spellStart"/>
      <w:r w:rsidR="00492161" w:rsidRPr="001234AB">
        <w:rPr>
          <w:rFonts w:ascii="Times New Roman" w:hAnsi="Times New Roman" w:cs="Times New Roman"/>
          <w:sz w:val="24"/>
          <w:szCs w:val="24"/>
          <w:lang w:val="en-US"/>
        </w:rPr>
        <w:t>Poulantzas</w:t>
      </w:r>
      <w:proofErr w:type="spellEnd"/>
      <w:r w:rsidR="00492161" w:rsidRPr="001234AB">
        <w:rPr>
          <w:rFonts w:ascii="Times New Roman" w:hAnsi="Times New Roman" w:cs="Times New Roman"/>
          <w:sz w:val="24"/>
          <w:szCs w:val="24"/>
          <w:lang w:val="en-US"/>
        </w:rPr>
        <w:t xml:space="preserve"> Institute, and </w:t>
      </w:r>
      <w:proofErr w:type="spellStart"/>
      <w:proofErr w:type="gramStart"/>
      <w:r w:rsidR="00492161" w:rsidRPr="001234AB">
        <w:rPr>
          <w:rFonts w:ascii="Times New Roman" w:hAnsi="Times New Roman" w:cs="Times New Roman"/>
          <w:sz w:val="24"/>
          <w:szCs w:val="24"/>
          <w:lang w:val="en-US"/>
        </w:rPr>
        <w:t>transform!europe</w:t>
      </w:r>
      <w:proofErr w:type="spellEnd"/>
      <w:proofErr w:type="gramEnd"/>
      <w:r w:rsidR="00492161" w:rsidRPr="001234AB">
        <w:rPr>
          <w:rFonts w:ascii="Times New Roman" w:hAnsi="Times New Roman" w:cs="Times New Roman"/>
          <w:sz w:val="24"/>
          <w:szCs w:val="24"/>
          <w:lang w:val="en-US"/>
        </w:rPr>
        <w:t>, and published a book on the current state of finance in the EU (</w:t>
      </w:r>
      <w:proofErr w:type="spellStart"/>
      <w:r w:rsidR="00C569B6" w:rsidRPr="001234AB">
        <w:rPr>
          <w:rFonts w:ascii="Times New Roman" w:hAnsi="Times New Roman" w:cs="Times New Roman"/>
          <w:sz w:val="24"/>
          <w:szCs w:val="24"/>
          <w:lang w:val="en-US"/>
        </w:rPr>
        <w:t>Dellheim</w:t>
      </w:r>
      <w:proofErr w:type="spellEnd"/>
      <w:r w:rsidR="00C569B6" w:rsidRPr="001234AB">
        <w:rPr>
          <w:rFonts w:ascii="Times New Roman" w:hAnsi="Times New Roman" w:cs="Times New Roman"/>
          <w:sz w:val="24"/>
          <w:szCs w:val="24"/>
          <w:lang w:val="en-US"/>
        </w:rPr>
        <w:t xml:space="preserve"> et al., 2019</w:t>
      </w:r>
      <w:r w:rsidR="00492161" w:rsidRPr="001234AB">
        <w:rPr>
          <w:rFonts w:ascii="Times New Roman" w:hAnsi="Times New Roman" w:cs="Times New Roman"/>
          <w:sz w:val="24"/>
          <w:szCs w:val="24"/>
          <w:lang w:val="en-US"/>
        </w:rPr>
        <w:t>). In this book, it was discussed, among others, how EU is a source of causes for financial crises</w:t>
      </w:r>
      <w:r w:rsidR="00492161" w:rsidRPr="001234AB">
        <w:rPr>
          <w:rFonts w:ascii="Times New Roman" w:hAnsi="Times New Roman" w:cs="Times New Roman"/>
          <w:color w:val="FF0000"/>
          <w:sz w:val="24"/>
          <w:szCs w:val="24"/>
          <w:lang w:val="en-US"/>
        </w:rPr>
        <w:t xml:space="preserve"> </w:t>
      </w:r>
      <w:r w:rsidR="00492161" w:rsidRPr="001234AB">
        <w:rPr>
          <w:rFonts w:ascii="Times New Roman" w:hAnsi="Times New Roman" w:cs="Times New Roman"/>
          <w:sz w:val="24"/>
          <w:szCs w:val="24"/>
          <w:lang w:val="en-US"/>
        </w:rPr>
        <w:t>(</w:t>
      </w:r>
      <w:proofErr w:type="spellStart"/>
      <w:r w:rsidR="00C569B6" w:rsidRPr="001234AB">
        <w:rPr>
          <w:rFonts w:ascii="Times New Roman" w:hAnsi="Times New Roman" w:cs="Times New Roman"/>
          <w:sz w:val="24"/>
          <w:szCs w:val="24"/>
          <w:lang w:val="en-US"/>
        </w:rPr>
        <w:t>Dellheim</w:t>
      </w:r>
      <w:proofErr w:type="spellEnd"/>
      <w:r w:rsidR="00C569B6" w:rsidRPr="001234AB">
        <w:rPr>
          <w:rFonts w:ascii="Times New Roman" w:hAnsi="Times New Roman" w:cs="Times New Roman"/>
          <w:sz w:val="24"/>
          <w:szCs w:val="24"/>
          <w:lang w:val="en-US"/>
        </w:rPr>
        <w:t xml:space="preserve"> et al., 2019,</w:t>
      </w:r>
      <w:r w:rsidR="00492161" w:rsidRPr="001234AB">
        <w:rPr>
          <w:rFonts w:ascii="Times New Roman" w:hAnsi="Times New Roman" w:cs="Times New Roman"/>
          <w:sz w:val="24"/>
          <w:szCs w:val="24"/>
          <w:lang w:val="en-US"/>
        </w:rPr>
        <w:t xml:space="preserve"> pp. 73-100). These analyses, however, were not sufficiently extended to the scrutiny of NGEU as the continuation of debt-led accumulation.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It must also be noted that part of the absence of a counter-hegemonic force to either common debt issuance or debt-led accumulation has to do with the strategic selectivity attained by the EU, allowing it to promote or obstruct specific fraction interests.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w:t>
      </w:r>
      <w:r w:rsidR="00C569B6"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has adequately showed that the sovereign debt crisis could have been prevented and that the EU is inherently financially fragile</w:t>
      </w:r>
      <w:r w:rsidR="00C569B6" w:rsidRPr="001234AB">
        <w:rPr>
          <w:rFonts w:ascii="Times New Roman" w:hAnsi="Times New Roman" w:cs="Times New Roman"/>
          <w:sz w:val="24"/>
          <w:szCs w:val="24"/>
          <w:lang w:val="en-US"/>
        </w:rPr>
        <w:t xml:space="preserve"> (</w:t>
      </w:r>
      <w:proofErr w:type="spellStart"/>
      <w:r w:rsidR="00C569B6" w:rsidRPr="001234AB">
        <w:rPr>
          <w:rFonts w:ascii="Times New Roman" w:hAnsi="Times New Roman" w:cs="Times New Roman"/>
          <w:sz w:val="24"/>
          <w:szCs w:val="24"/>
          <w:lang w:val="en-US"/>
        </w:rPr>
        <w:t>Dellheim</w:t>
      </w:r>
      <w:proofErr w:type="spellEnd"/>
      <w:r w:rsidR="00C569B6" w:rsidRPr="001234AB">
        <w:rPr>
          <w:rFonts w:ascii="Times New Roman" w:hAnsi="Times New Roman" w:cs="Times New Roman"/>
          <w:sz w:val="24"/>
          <w:szCs w:val="24"/>
          <w:lang w:val="en-US"/>
        </w:rPr>
        <w:t xml:space="preserve"> et al., 2019, p. 98).</w:t>
      </w:r>
      <w:r w:rsidR="00492161" w:rsidRPr="001234AB">
        <w:rPr>
          <w:rFonts w:ascii="Times New Roman" w:hAnsi="Times New Roman" w:cs="Times New Roman"/>
          <w:sz w:val="24"/>
          <w:szCs w:val="24"/>
          <w:lang w:val="en-US"/>
        </w:rPr>
        <w:t xml:space="preserve"> And, while in favor of debt </w:t>
      </w:r>
      <w:r w:rsidR="00492161" w:rsidRPr="001234AB">
        <w:rPr>
          <w:rFonts w:ascii="Times New Roman" w:hAnsi="Times New Roman" w:cs="Times New Roman"/>
          <w:sz w:val="24"/>
          <w:szCs w:val="24"/>
          <w:lang w:val="en-US"/>
        </w:rPr>
        <w:lastRenderedPageBreak/>
        <w:t xml:space="preserve">mutualization,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w:t>
      </w:r>
      <w:r w:rsidR="008C0379" w:rsidRPr="001234AB">
        <w:rPr>
          <w:rFonts w:ascii="Times New Roman" w:hAnsi="Times New Roman" w:cs="Times New Roman"/>
          <w:sz w:val="24"/>
          <w:szCs w:val="24"/>
          <w:lang w:val="en-US"/>
        </w:rPr>
        <w:t xml:space="preserve"> (2021, pp. 13, 33)</w:t>
      </w:r>
      <w:r w:rsidR="00492161" w:rsidRPr="001234AB">
        <w:rPr>
          <w:rFonts w:ascii="Times New Roman" w:hAnsi="Times New Roman" w:cs="Times New Roman"/>
          <w:sz w:val="24"/>
          <w:szCs w:val="24"/>
          <w:lang w:val="en-US"/>
        </w:rPr>
        <w:t xml:space="preserve"> has also called for (partial) debt cancellation, for example with regards to green public investment</w:t>
      </w:r>
      <w:r w:rsidR="008C0379"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This touches the core of a fundamental critique of debt-led accumulation. EU’s institutions have ignored these critical voices despite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Group’s persistent pressure on EU decision-making. In this way,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Group’s contribution to the issue of Eurobonds, debt mutualization, as well as its preliminary counter-strategy concerning debt cancellation, is marginalized, partially preventing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 from forming a hegemony project and thus articulate an alternative concept of control.</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FC173F" w:rsidRPr="005D25DA">
        <w:rPr>
          <w:rFonts w:ascii="Times New Roman" w:hAnsi="Times New Roman" w:cs="Times New Roman"/>
          <w:i/>
          <w:iCs/>
          <w:sz w:val="24"/>
          <w:szCs w:val="24"/>
          <w:lang w:val="en-US"/>
        </w:rPr>
        <w:t xml:space="preserve">3.5.4 </w:t>
      </w:r>
      <w:r w:rsidR="00492161" w:rsidRPr="005D25DA">
        <w:rPr>
          <w:rFonts w:ascii="Times New Roman" w:hAnsi="Times New Roman" w:cs="Times New Roman"/>
          <w:i/>
          <w:iCs/>
          <w:sz w:val="24"/>
          <w:szCs w:val="24"/>
          <w:lang w:val="en-US"/>
        </w:rPr>
        <w:t>The gendered conjuncture of COVID-19</w:t>
      </w:r>
      <w:r w:rsidR="00492161" w:rsidRPr="001234AB">
        <w:rPr>
          <w:rFonts w:ascii="Times New Roman" w:hAnsi="Times New Roman" w:cs="Times New Roman"/>
          <w:sz w:val="24"/>
          <w:szCs w:val="24"/>
          <w:lang w:val="en-US"/>
        </w:rPr>
        <w:br/>
        <w:t>Critical perspectives themselves are inextricably linked to the conjuncture in which they are based (Wigger &amp; Horn, 2023, p. 97). And because COVID-19 has disproportionally affected women, the civil society fraction that highlights the gendered dimension of COVID-19 needs to be considered. In order to do this, EWL</w:t>
      </w:r>
      <w:r w:rsidR="00C569B6" w:rsidRPr="001234AB">
        <w:rPr>
          <w:rFonts w:ascii="Times New Roman" w:hAnsi="Times New Roman" w:cs="Times New Roman"/>
          <w:sz w:val="24"/>
          <w:szCs w:val="24"/>
          <w:lang w:val="en-US"/>
        </w:rPr>
        <w:t xml:space="preserve"> (2022)</w:t>
      </w:r>
      <w:r w:rsidR="00492161" w:rsidRPr="001234AB">
        <w:rPr>
          <w:rFonts w:ascii="Times New Roman" w:hAnsi="Times New Roman" w:cs="Times New Roman"/>
          <w:sz w:val="24"/>
          <w:szCs w:val="24"/>
          <w:lang w:val="en-US"/>
        </w:rPr>
        <w:t xml:space="preserve"> as the largest European umbrella network of women's association representing a total of more than 2000 organizations in the EU</w:t>
      </w:r>
      <w:r w:rsidR="00C569B6"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is used</w:t>
      </w:r>
      <w:r w:rsidR="00C569B6"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Amidst the COVID-19 outbreak, EWL</w:t>
      </w:r>
      <w:r w:rsidR="00210D53" w:rsidRPr="001234AB">
        <w:rPr>
          <w:rFonts w:ascii="Times New Roman" w:hAnsi="Times New Roman" w:cs="Times New Roman"/>
          <w:sz w:val="24"/>
          <w:szCs w:val="24"/>
          <w:lang w:val="en-US"/>
        </w:rPr>
        <w:t xml:space="preserve"> (2020a, p. 7)</w:t>
      </w:r>
      <w:r w:rsidR="00492161" w:rsidRPr="001234AB">
        <w:rPr>
          <w:rFonts w:ascii="Times New Roman" w:hAnsi="Times New Roman" w:cs="Times New Roman"/>
          <w:sz w:val="24"/>
          <w:szCs w:val="24"/>
          <w:lang w:val="en-US"/>
        </w:rPr>
        <w:t xml:space="preserve"> argued for strong EU-wide fiscal policies directed at the redistribution of wealth, as a way of European solidarity</w:t>
      </w:r>
      <w:r w:rsidR="00210D53"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EWL (</w:t>
      </w:r>
      <w:r w:rsidR="00210D53" w:rsidRPr="001234AB">
        <w:rPr>
          <w:rFonts w:ascii="Times New Roman" w:hAnsi="Times New Roman" w:cs="Times New Roman"/>
          <w:sz w:val="24"/>
          <w:szCs w:val="24"/>
          <w:lang w:val="en-US"/>
        </w:rPr>
        <w:t>2020a, p. 7</w:t>
      </w:r>
      <w:r w:rsidR="00492161" w:rsidRPr="001234AB">
        <w:rPr>
          <w:rFonts w:ascii="Times New Roman" w:hAnsi="Times New Roman" w:cs="Times New Roman"/>
          <w:sz w:val="24"/>
          <w:szCs w:val="24"/>
          <w:lang w:val="en-US"/>
        </w:rPr>
        <w:t>) endorsed “proposals to issue ‘corona/ Euro bonds [...] to enable public investment by Member States,” deeming it welcome measures as long as they were aimed at the development of the care economy. EWL</w:t>
      </w:r>
      <w:r w:rsidR="00210D53" w:rsidRPr="001234AB">
        <w:rPr>
          <w:rFonts w:ascii="Times New Roman" w:hAnsi="Times New Roman" w:cs="Times New Roman"/>
          <w:sz w:val="24"/>
          <w:szCs w:val="24"/>
          <w:lang w:val="en-US"/>
        </w:rPr>
        <w:t xml:space="preserve"> (2020b, pp. 1-2)</w:t>
      </w:r>
      <w:r w:rsidR="00492161" w:rsidRPr="001234AB">
        <w:rPr>
          <w:rFonts w:ascii="Times New Roman" w:hAnsi="Times New Roman" w:cs="Times New Roman"/>
          <w:sz w:val="24"/>
          <w:szCs w:val="24"/>
          <w:lang w:val="en-US"/>
        </w:rPr>
        <w:t xml:space="preserve"> questioned whether NGEU would actually advance gender equality, as the Commission's adoption of NGEU and the new MFF did not include any additional funds to achieve the Commi</w:t>
      </w:r>
      <w:r w:rsidRPr="001234AB">
        <w:rPr>
          <w:rFonts w:ascii="Times New Roman" w:hAnsi="Times New Roman" w:cs="Times New Roman"/>
          <w:sz w:val="24"/>
          <w:szCs w:val="24"/>
          <w:lang w:val="en-US"/>
        </w:rPr>
        <w:t>s</w:t>
      </w:r>
      <w:r w:rsidR="00492161" w:rsidRPr="001234AB">
        <w:rPr>
          <w:rFonts w:ascii="Times New Roman" w:hAnsi="Times New Roman" w:cs="Times New Roman"/>
          <w:sz w:val="24"/>
          <w:szCs w:val="24"/>
          <w:lang w:val="en-US"/>
        </w:rPr>
        <w:t>sion's five-year Gender Equality Strategy adopted in March 2020</w:t>
      </w:r>
      <w:r w:rsidR="00210D53"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In a letter to von der Leyen, EWL</w:t>
      </w:r>
      <w:r w:rsidR="00210D53"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president Gwendoline Lefebvre</w:t>
      </w:r>
      <w:r w:rsidR="00210D53" w:rsidRPr="001234AB">
        <w:rPr>
          <w:rFonts w:ascii="Times New Roman" w:hAnsi="Times New Roman" w:cs="Times New Roman"/>
          <w:sz w:val="24"/>
          <w:szCs w:val="24"/>
          <w:lang w:val="en-US"/>
        </w:rPr>
        <w:t xml:space="preserve"> (2020c) </w:t>
      </w:r>
      <w:r w:rsidR="00492161" w:rsidRPr="001234AB">
        <w:rPr>
          <w:rFonts w:ascii="Times New Roman" w:hAnsi="Times New Roman" w:cs="Times New Roman"/>
          <w:sz w:val="24"/>
          <w:szCs w:val="24"/>
          <w:lang w:val="en-US"/>
        </w:rPr>
        <w:t>urged the Commission to increase fundings for gender equality as part of its recovery plans</w:t>
      </w:r>
      <w:r w:rsidR="00210D53"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EWL (</w:t>
      </w:r>
      <w:r w:rsidR="00210D53" w:rsidRPr="001234AB">
        <w:rPr>
          <w:rFonts w:ascii="Times New Roman" w:hAnsi="Times New Roman" w:cs="Times New Roman"/>
          <w:sz w:val="24"/>
          <w:szCs w:val="24"/>
          <w:lang w:val="en-US"/>
        </w:rPr>
        <w:t>2020c</w:t>
      </w:r>
      <w:r w:rsidR="00492161" w:rsidRPr="001234AB">
        <w:rPr>
          <w:rFonts w:ascii="Times New Roman" w:hAnsi="Times New Roman" w:cs="Times New Roman"/>
          <w:sz w:val="24"/>
          <w:szCs w:val="24"/>
          <w:lang w:val="en-US"/>
        </w:rPr>
        <w:t xml:space="preserve">) had to conclude that NGEU “fails to capture to the fullest extent, the deep-seated inequalities between women and men made even more visible by COVID-19.”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Still, despite concerns regarding NGEU, EWL lacks an examination of how Eurobonds will contribute to gender equality, apart from the implicit reasoning that the supposed distributional economic effects of the issuance of common debt will automatically contribute to gender equality. This, however, is by no means a given. Indeed, drawing on critical feminist political economy literature, financial capitalism and the debt-led accumulation can be theorized as a gendered system</w:t>
      </w:r>
      <w:r w:rsidR="00210D53" w:rsidRPr="001234AB">
        <w:rPr>
          <w:rFonts w:ascii="Times New Roman" w:hAnsi="Times New Roman" w:cs="Times New Roman"/>
          <w:sz w:val="24"/>
          <w:szCs w:val="24"/>
          <w:lang w:val="en-US"/>
        </w:rPr>
        <w:t xml:space="preserve"> (</w:t>
      </w:r>
      <w:proofErr w:type="spellStart"/>
      <w:r w:rsidR="00210D53" w:rsidRPr="001234AB">
        <w:rPr>
          <w:rFonts w:ascii="Times New Roman" w:hAnsi="Times New Roman" w:cs="Times New Roman"/>
          <w:sz w:val="24"/>
          <w:szCs w:val="24"/>
          <w:lang w:val="en-US"/>
        </w:rPr>
        <w:t>Bohoslavsky</w:t>
      </w:r>
      <w:proofErr w:type="spellEnd"/>
      <w:r w:rsidR="00210D53" w:rsidRPr="001234AB">
        <w:rPr>
          <w:rFonts w:ascii="Times New Roman" w:hAnsi="Times New Roman" w:cs="Times New Roman"/>
          <w:sz w:val="24"/>
          <w:szCs w:val="24"/>
          <w:lang w:val="en-US"/>
        </w:rPr>
        <w:t xml:space="preserve"> &amp; </w:t>
      </w:r>
      <w:proofErr w:type="spellStart"/>
      <w:r w:rsidR="00210D53" w:rsidRPr="001234AB">
        <w:rPr>
          <w:rFonts w:ascii="Times New Roman" w:hAnsi="Times New Roman" w:cs="Times New Roman"/>
          <w:sz w:val="24"/>
          <w:szCs w:val="24"/>
          <w:lang w:val="en-US"/>
        </w:rPr>
        <w:t>Rulli</w:t>
      </w:r>
      <w:proofErr w:type="spellEnd"/>
      <w:r w:rsidR="00210D53" w:rsidRPr="001234AB">
        <w:rPr>
          <w:rFonts w:ascii="Times New Roman" w:hAnsi="Times New Roman" w:cs="Times New Roman"/>
          <w:sz w:val="24"/>
          <w:szCs w:val="24"/>
          <w:lang w:val="en-US"/>
        </w:rPr>
        <w:t xml:space="preserve">, 2024). </w:t>
      </w:r>
      <w:r w:rsidR="00492161" w:rsidRPr="001234AB">
        <w:rPr>
          <w:rFonts w:ascii="Times New Roman" w:hAnsi="Times New Roman" w:cs="Times New Roman"/>
          <w:sz w:val="24"/>
          <w:szCs w:val="24"/>
          <w:lang w:val="en-US"/>
        </w:rPr>
        <w:t xml:space="preserve">Women have most of the responsibility for unpaid care work in the sphere of social reproduction, which is fundamental </w:t>
      </w:r>
      <w:r w:rsidR="00492161" w:rsidRPr="001234AB">
        <w:rPr>
          <w:rFonts w:ascii="Times New Roman" w:hAnsi="Times New Roman" w:cs="Times New Roman"/>
          <w:sz w:val="24"/>
          <w:szCs w:val="24"/>
          <w:lang w:val="en-US"/>
        </w:rPr>
        <w:lastRenderedPageBreak/>
        <w:t>for the production and reproduction of capitalist social relations (Wigger &amp; Horn, 2023, p. 91). This leads to fundamental asymmetries in the social reproductive sphere, and thus the social relations of production. To carry its activities, finance capital relies on unpaid services provided by women. The risks in the financial system are not pooled and shared but are offloaded, among others, onto marginalized women (Elson</w:t>
      </w:r>
      <w:r w:rsidR="00210D53" w:rsidRPr="001234AB">
        <w:rPr>
          <w:rFonts w:ascii="Times New Roman" w:hAnsi="Times New Roman" w:cs="Times New Roman"/>
          <w:sz w:val="24"/>
          <w:szCs w:val="24"/>
          <w:lang w:val="en-US"/>
        </w:rPr>
        <w:t>, 2024, p.</w:t>
      </w:r>
      <w:r w:rsidR="00492161" w:rsidRPr="001234AB">
        <w:rPr>
          <w:rFonts w:ascii="Times New Roman" w:hAnsi="Times New Roman" w:cs="Times New Roman"/>
          <w:sz w:val="24"/>
          <w:szCs w:val="24"/>
          <w:lang w:val="en-US"/>
        </w:rPr>
        <w:t xml:space="preserve"> xxiii).</w:t>
      </w:r>
      <w:r w:rsidR="00210D53"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Subsequently, Elson (</w:t>
      </w:r>
      <w:r w:rsidR="00210D53" w:rsidRPr="001234AB">
        <w:rPr>
          <w:rFonts w:ascii="Times New Roman" w:hAnsi="Times New Roman" w:cs="Times New Roman"/>
          <w:sz w:val="24"/>
          <w:szCs w:val="24"/>
          <w:lang w:val="en-US"/>
        </w:rPr>
        <w:t xml:space="preserve">2024, p. </w:t>
      </w:r>
      <w:r w:rsidR="00492161" w:rsidRPr="001234AB">
        <w:rPr>
          <w:rFonts w:ascii="Times New Roman" w:hAnsi="Times New Roman" w:cs="Times New Roman"/>
          <w:sz w:val="24"/>
          <w:szCs w:val="24"/>
          <w:lang w:val="en-US"/>
        </w:rPr>
        <w:t xml:space="preserve">xxiv) argues that “encouraging governments to borrow more is a strange way to address debt distress and the burden it places on women, especially low-income women.” This, however, is exactly what EWL has done by promoting debt-led public investment under NGEU. Since a critical analysis of the gendered effects of debt-led accumulation was absent, EWL had no interest in opposing debt mutualization or problematizing debt-led accumulation. Hence, EWL was also part of the alliance for common debt issuance during the conjuncture of COVID-19.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FC173F" w:rsidRPr="005D25DA">
        <w:rPr>
          <w:rFonts w:ascii="Times New Roman" w:hAnsi="Times New Roman" w:cs="Times New Roman"/>
          <w:i/>
          <w:iCs/>
          <w:sz w:val="24"/>
          <w:szCs w:val="24"/>
          <w:lang w:val="en-US"/>
        </w:rPr>
        <w:t xml:space="preserve">3.5.5 </w:t>
      </w:r>
      <w:r w:rsidR="00492161" w:rsidRPr="005D25DA">
        <w:rPr>
          <w:rFonts w:ascii="Times New Roman" w:hAnsi="Times New Roman" w:cs="Times New Roman"/>
          <w:i/>
          <w:iCs/>
          <w:sz w:val="24"/>
          <w:szCs w:val="24"/>
          <w:lang w:val="en-US"/>
        </w:rPr>
        <w:t>Frail counter-hegemony alliances</w:t>
      </w:r>
      <w:r w:rsidR="00492161" w:rsidRPr="001234AB">
        <w:rPr>
          <w:rFonts w:ascii="Times New Roman" w:hAnsi="Times New Roman" w:cs="Times New Roman"/>
          <w:sz w:val="24"/>
          <w:szCs w:val="24"/>
          <w:lang w:val="en-US"/>
        </w:rPr>
        <w:br/>
        <w:t xml:space="preserve">For the identification of a strategy that questions debt mutualization and the continuation of debt-led accumulation under NGEU, CEE </w:t>
      </w:r>
      <w:proofErr w:type="spellStart"/>
      <w:r w:rsidR="00492161" w:rsidRPr="001234AB">
        <w:rPr>
          <w:rFonts w:ascii="Times New Roman" w:hAnsi="Times New Roman" w:cs="Times New Roman"/>
          <w:sz w:val="24"/>
          <w:szCs w:val="24"/>
          <w:lang w:val="en-US"/>
        </w:rPr>
        <w:t>Bankwatch</w:t>
      </w:r>
      <w:proofErr w:type="spellEnd"/>
      <w:r w:rsidR="00492161" w:rsidRPr="001234AB">
        <w:rPr>
          <w:rFonts w:ascii="Times New Roman" w:hAnsi="Times New Roman" w:cs="Times New Roman"/>
          <w:sz w:val="24"/>
          <w:szCs w:val="24"/>
          <w:lang w:val="en-US"/>
        </w:rPr>
        <w:t xml:space="preserve"> Network (CEE </w:t>
      </w:r>
      <w:proofErr w:type="spellStart"/>
      <w:r w:rsidR="00492161" w:rsidRPr="001234AB">
        <w:rPr>
          <w:rFonts w:ascii="Times New Roman" w:hAnsi="Times New Roman" w:cs="Times New Roman"/>
          <w:sz w:val="24"/>
          <w:szCs w:val="24"/>
          <w:lang w:val="en-US"/>
        </w:rPr>
        <w:t>Bankwatch</w:t>
      </w:r>
      <w:proofErr w:type="spellEnd"/>
      <w:r w:rsidR="00492161" w:rsidRPr="001234AB">
        <w:rPr>
          <w:rFonts w:ascii="Times New Roman" w:hAnsi="Times New Roman" w:cs="Times New Roman"/>
          <w:sz w:val="24"/>
          <w:szCs w:val="24"/>
          <w:lang w:val="en-US"/>
        </w:rPr>
        <w:t xml:space="preserve">) is relevant. CEE </w:t>
      </w:r>
      <w:proofErr w:type="spellStart"/>
      <w:r w:rsidR="00492161" w:rsidRPr="001234AB">
        <w:rPr>
          <w:rFonts w:ascii="Times New Roman" w:hAnsi="Times New Roman" w:cs="Times New Roman"/>
          <w:sz w:val="24"/>
          <w:szCs w:val="24"/>
          <w:lang w:val="en-US"/>
        </w:rPr>
        <w:t>Bankwatch</w:t>
      </w:r>
      <w:proofErr w:type="spellEnd"/>
      <w:r w:rsidR="0010049E" w:rsidRPr="001234AB">
        <w:rPr>
          <w:rFonts w:ascii="Times New Roman" w:hAnsi="Times New Roman" w:cs="Times New Roman"/>
          <w:sz w:val="24"/>
          <w:szCs w:val="24"/>
          <w:lang w:val="en-US"/>
        </w:rPr>
        <w:t xml:space="preserve"> (n.d.) </w:t>
      </w:r>
      <w:r w:rsidR="00492161" w:rsidRPr="001234AB">
        <w:rPr>
          <w:rFonts w:ascii="Times New Roman" w:hAnsi="Times New Roman" w:cs="Times New Roman"/>
          <w:sz w:val="24"/>
          <w:szCs w:val="24"/>
          <w:lang w:val="en-US"/>
        </w:rPr>
        <w:t xml:space="preserve">is “the largest network of grassroots, environmental and human rights groups in central and eastern Europe,” monitoring public finance institutions “to expose their influence and provide a counterbalance to their unchecked power.” CEE </w:t>
      </w:r>
      <w:proofErr w:type="spellStart"/>
      <w:r w:rsidR="00492161" w:rsidRPr="001234AB">
        <w:rPr>
          <w:rFonts w:ascii="Times New Roman" w:hAnsi="Times New Roman" w:cs="Times New Roman"/>
          <w:sz w:val="24"/>
          <w:szCs w:val="24"/>
          <w:lang w:val="en-US"/>
        </w:rPr>
        <w:t>Bankwatch’s</w:t>
      </w:r>
      <w:proofErr w:type="spellEnd"/>
      <w:r w:rsidR="00492161" w:rsidRPr="001234AB">
        <w:rPr>
          <w:rFonts w:ascii="Times New Roman" w:hAnsi="Times New Roman" w:cs="Times New Roman"/>
          <w:sz w:val="24"/>
          <w:szCs w:val="24"/>
          <w:lang w:val="en-US"/>
        </w:rPr>
        <w:t xml:space="preserve"> </w:t>
      </w:r>
      <w:r w:rsidR="0010049E" w:rsidRPr="001234AB">
        <w:rPr>
          <w:rFonts w:ascii="Times New Roman" w:hAnsi="Times New Roman" w:cs="Times New Roman"/>
          <w:sz w:val="24"/>
          <w:szCs w:val="24"/>
          <w:lang w:val="en-US"/>
        </w:rPr>
        <w:t xml:space="preserve">(2020a) </w:t>
      </w:r>
      <w:r w:rsidR="00492161" w:rsidRPr="001234AB">
        <w:rPr>
          <w:rFonts w:ascii="Times New Roman" w:hAnsi="Times New Roman" w:cs="Times New Roman"/>
          <w:sz w:val="24"/>
          <w:szCs w:val="24"/>
          <w:lang w:val="en-US"/>
        </w:rPr>
        <w:t>most relevant effort during the COVID-19 crisis was the joint letter to European Investment Bank president Hoyer, forming an alliance with other NGOs</w:t>
      </w:r>
      <w:r w:rsidR="0010049E"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 xml:space="preserve"> In this letter, various NGOs, such as Greenpeace, 350.org, and </w:t>
      </w:r>
      <w:proofErr w:type="spellStart"/>
      <w:r w:rsidR="00492161" w:rsidRPr="001234AB">
        <w:rPr>
          <w:rFonts w:ascii="Times New Roman" w:hAnsi="Times New Roman" w:cs="Times New Roman"/>
          <w:sz w:val="24"/>
          <w:szCs w:val="24"/>
          <w:lang w:val="en-US"/>
        </w:rPr>
        <w:t>CounterBalance</w:t>
      </w:r>
      <w:proofErr w:type="spellEnd"/>
      <w:r w:rsidR="00492161" w:rsidRPr="001234AB">
        <w:rPr>
          <w:rFonts w:ascii="Times New Roman" w:hAnsi="Times New Roman" w:cs="Times New Roman"/>
          <w:sz w:val="24"/>
          <w:szCs w:val="24"/>
          <w:lang w:val="en-US"/>
        </w:rPr>
        <w:t xml:space="preserve"> urged the EIB to make sure that all financial instruments from the recovery package should be fully transparent and address the acute problems the real economy faces. The joint letter stated that interventions “should not lead to privatizations and further financialization of the economy: instead, particularly in the health sector, they should reinforce essential public services and support essential workers”</w:t>
      </w:r>
      <w:r w:rsidR="0010049E" w:rsidRPr="001234AB">
        <w:rPr>
          <w:rFonts w:ascii="Times New Roman" w:hAnsi="Times New Roman" w:cs="Times New Roman"/>
          <w:sz w:val="24"/>
          <w:szCs w:val="24"/>
          <w:lang w:val="en-US"/>
        </w:rPr>
        <w:t xml:space="preserve"> (CEE </w:t>
      </w:r>
      <w:proofErr w:type="spellStart"/>
      <w:r w:rsidR="0010049E" w:rsidRPr="001234AB">
        <w:rPr>
          <w:rFonts w:ascii="Times New Roman" w:hAnsi="Times New Roman" w:cs="Times New Roman"/>
          <w:sz w:val="24"/>
          <w:szCs w:val="24"/>
          <w:lang w:val="en-US"/>
        </w:rPr>
        <w:t>Bankwatch</w:t>
      </w:r>
      <w:proofErr w:type="spellEnd"/>
      <w:r w:rsidR="0010049E" w:rsidRPr="001234AB">
        <w:rPr>
          <w:rFonts w:ascii="Times New Roman" w:hAnsi="Times New Roman" w:cs="Times New Roman"/>
          <w:sz w:val="24"/>
          <w:szCs w:val="24"/>
          <w:lang w:val="en-US"/>
        </w:rPr>
        <w:t>, 2020a).</w:t>
      </w:r>
      <w:r w:rsidR="00492161" w:rsidRPr="001234AB">
        <w:rPr>
          <w:rFonts w:ascii="Times New Roman" w:hAnsi="Times New Roman" w:cs="Times New Roman"/>
          <w:sz w:val="24"/>
          <w:szCs w:val="24"/>
          <w:lang w:val="en-US"/>
        </w:rPr>
        <w:t xml:space="preserve"> In a more general statement, CEE </w:t>
      </w:r>
      <w:proofErr w:type="spellStart"/>
      <w:r w:rsidR="00492161" w:rsidRPr="001234AB">
        <w:rPr>
          <w:rFonts w:ascii="Times New Roman" w:hAnsi="Times New Roman" w:cs="Times New Roman"/>
          <w:sz w:val="24"/>
          <w:szCs w:val="24"/>
          <w:lang w:val="en-US"/>
        </w:rPr>
        <w:t>Bankwatch</w:t>
      </w:r>
      <w:proofErr w:type="spellEnd"/>
      <w:r w:rsidR="0010049E" w:rsidRPr="001234AB">
        <w:rPr>
          <w:rFonts w:ascii="Times New Roman" w:hAnsi="Times New Roman" w:cs="Times New Roman"/>
          <w:sz w:val="24"/>
          <w:szCs w:val="24"/>
          <w:lang w:val="en-US"/>
        </w:rPr>
        <w:t xml:space="preserve"> (2020b)</w:t>
      </w:r>
      <w:r w:rsidR="00492161" w:rsidRPr="001234AB">
        <w:rPr>
          <w:rFonts w:ascii="Times New Roman" w:hAnsi="Times New Roman" w:cs="Times New Roman"/>
          <w:sz w:val="24"/>
          <w:szCs w:val="24"/>
          <w:lang w:val="en-US"/>
        </w:rPr>
        <w:t xml:space="preserve"> noted that post COVID-19 economic development should “prevent further economic and financial burdens from being added to the huge debt.”</w:t>
      </w:r>
      <w:r w:rsidR="0010049E"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The statement expresses a hostility to the incurred debt, as well as the necessity for the prevention of further exacerbation of debt-related issues. An opposing strategy to NGEU and its pillar of common debt issuance can thus be identified and by virtue of the alliance with other relevant NGOs, this strategy can be considered a hegemony project during the conjuncture of COVID-19</w:t>
      </w:r>
      <w:r w:rsidR="0010049E"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w:t>
      </w:r>
      <w:proofErr w:type="spellStart"/>
      <w:r w:rsidR="00492161" w:rsidRPr="001234AB">
        <w:rPr>
          <w:rFonts w:ascii="Times New Roman" w:hAnsi="Times New Roman" w:cs="Times New Roman"/>
          <w:sz w:val="24"/>
          <w:szCs w:val="24"/>
          <w:lang w:val="en-US"/>
        </w:rPr>
        <w:t>Kannankulam</w:t>
      </w:r>
      <w:proofErr w:type="spellEnd"/>
      <w:r w:rsidR="00492161" w:rsidRPr="001234AB">
        <w:rPr>
          <w:rFonts w:ascii="Times New Roman" w:hAnsi="Times New Roman" w:cs="Times New Roman"/>
          <w:sz w:val="24"/>
          <w:szCs w:val="24"/>
          <w:lang w:val="en-US"/>
        </w:rPr>
        <w:t xml:space="preserve"> &amp; Georgi, 2014, p. 64). Nevertheless, this hegemony project was particularly frail. First, it did </w:t>
      </w:r>
      <w:r w:rsidR="00492161" w:rsidRPr="001234AB">
        <w:rPr>
          <w:rFonts w:ascii="Times New Roman" w:hAnsi="Times New Roman" w:cs="Times New Roman"/>
          <w:sz w:val="24"/>
          <w:szCs w:val="24"/>
          <w:lang w:val="en-US"/>
        </w:rPr>
        <w:lastRenderedPageBreak/>
        <w:t>not succeed to mobilize a plurality of social forces in a coherent alliance. Second, there was a severe lack of power resources that prevented this hegemony project from becoming hegemonic (</w:t>
      </w:r>
      <w:proofErr w:type="spellStart"/>
      <w:r w:rsidR="00492161" w:rsidRPr="001234AB">
        <w:rPr>
          <w:rFonts w:ascii="Times New Roman" w:hAnsi="Times New Roman" w:cs="Times New Roman"/>
          <w:sz w:val="24"/>
          <w:szCs w:val="24"/>
          <w:lang w:val="en-US"/>
        </w:rPr>
        <w:t>Kannankulam</w:t>
      </w:r>
      <w:proofErr w:type="spellEnd"/>
      <w:r w:rsidR="00492161" w:rsidRPr="001234AB">
        <w:rPr>
          <w:rFonts w:ascii="Times New Roman" w:hAnsi="Times New Roman" w:cs="Times New Roman"/>
          <w:sz w:val="24"/>
          <w:szCs w:val="24"/>
          <w:lang w:val="en-US"/>
        </w:rPr>
        <w:t xml:space="preserve"> &amp; Georgi, 2014, p. 65). More specifically, the hegemony project lacked organizational resources, such as contact networks and financial capacities, as well as systemic resources, meaning that it did not have the capacity to disrupt system-relevant processes. Besides, with the EU as a material condensation of the capitalist relationships of social forces, the hegemony project’s aims and strategies are uncomplimentary with the </w:t>
      </w:r>
      <w:proofErr w:type="spellStart"/>
      <w:r w:rsidR="00492161" w:rsidRPr="001234AB">
        <w:rPr>
          <w:rFonts w:ascii="Times New Roman" w:hAnsi="Times New Roman" w:cs="Times New Roman"/>
          <w:sz w:val="24"/>
          <w:szCs w:val="24"/>
          <w:lang w:val="en-US"/>
        </w:rPr>
        <w:t>selectivities</w:t>
      </w:r>
      <w:proofErr w:type="spellEnd"/>
      <w:r w:rsidR="00492161" w:rsidRPr="001234AB">
        <w:rPr>
          <w:rFonts w:ascii="Times New Roman" w:hAnsi="Times New Roman" w:cs="Times New Roman"/>
          <w:sz w:val="24"/>
          <w:szCs w:val="24"/>
          <w:lang w:val="en-US"/>
        </w:rPr>
        <w:t xml:space="preserve"> inscribed in EU’s state apparatus (</w:t>
      </w:r>
      <w:proofErr w:type="spellStart"/>
      <w:r w:rsidR="0010049E" w:rsidRPr="001234AB">
        <w:rPr>
          <w:rFonts w:ascii="Times New Roman" w:hAnsi="Times New Roman" w:cs="Times New Roman"/>
          <w:sz w:val="24"/>
          <w:szCs w:val="24"/>
          <w:lang w:val="en-US"/>
        </w:rPr>
        <w:t>Kannankulam</w:t>
      </w:r>
      <w:proofErr w:type="spellEnd"/>
      <w:r w:rsidR="0010049E" w:rsidRPr="001234AB">
        <w:rPr>
          <w:rFonts w:ascii="Times New Roman" w:hAnsi="Times New Roman" w:cs="Times New Roman"/>
          <w:sz w:val="24"/>
          <w:szCs w:val="24"/>
          <w:lang w:val="en-US"/>
        </w:rPr>
        <w:t xml:space="preserve"> &amp; Georgi, 2014, p. </w:t>
      </w:r>
      <w:r w:rsidR="00492161" w:rsidRPr="001234AB">
        <w:rPr>
          <w:rFonts w:ascii="Times New Roman" w:hAnsi="Times New Roman" w:cs="Times New Roman"/>
          <w:sz w:val="24"/>
          <w:szCs w:val="24"/>
          <w:lang w:val="en-US"/>
        </w:rPr>
        <w:t>65).</w:t>
      </w:r>
      <w:r w:rsidR="007A5631" w:rsidRPr="001234AB">
        <w:rPr>
          <w:rFonts w:ascii="Times New Roman" w:hAnsi="Times New Roman" w:cs="Times New Roman"/>
          <w:sz w:val="24"/>
          <w:szCs w:val="24"/>
          <w:lang w:val="en-US"/>
        </w:rPr>
        <w:t xml:space="preserve"> In effect, comparable to the </w:t>
      </w:r>
      <w:proofErr w:type="spellStart"/>
      <w:r w:rsidR="007A5631" w:rsidRPr="001234AB">
        <w:rPr>
          <w:rFonts w:ascii="Times New Roman" w:hAnsi="Times New Roman" w:cs="Times New Roman"/>
          <w:sz w:val="24"/>
          <w:szCs w:val="24"/>
          <w:lang w:val="en-US"/>
        </w:rPr>
        <w:t>EuroMemo</w:t>
      </w:r>
      <w:proofErr w:type="spellEnd"/>
      <w:r w:rsidR="007A5631" w:rsidRPr="001234AB">
        <w:rPr>
          <w:rFonts w:ascii="Times New Roman" w:hAnsi="Times New Roman" w:cs="Times New Roman"/>
          <w:sz w:val="24"/>
          <w:szCs w:val="24"/>
          <w:lang w:val="en-US"/>
        </w:rPr>
        <w:t xml:space="preserve"> Group’s possible counter-hegemony project, EU’s strategic selectivity prevents such projects from constituting a threat to the financial capital fraction’s hegemony. </w:t>
      </w:r>
      <w:r w:rsidR="00492161"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r>
      <w:r w:rsidR="00FC173F" w:rsidRPr="005D25DA">
        <w:rPr>
          <w:rFonts w:ascii="Times New Roman" w:hAnsi="Times New Roman" w:cs="Times New Roman"/>
          <w:i/>
          <w:iCs/>
          <w:sz w:val="24"/>
          <w:szCs w:val="24"/>
          <w:lang w:val="en-US"/>
        </w:rPr>
        <w:t xml:space="preserve">3.5.6 </w:t>
      </w:r>
      <w:r w:rsidR="00492161" w:rsidRPr="005D25DA">
        <w:rPr>
          <w:rFonts w:ascii="Times New Roman" w:hAnsi="Times New Roman" w:cs="Times New Roman"/>
          <w:i/>
          <w:iCs/>
          <w:sz w:val="24"/>
          <w:szCs w:val="24"/>
          <w:lang w:val="en-US"/>
        </w:rPr>
        <w:t>Concluding remarks on counter-hegemonic forces</w:t>
      </w:r>
      <w:r w:rsidR="00492161" w:rsidRPr="001234AB">
        <w:rPr>
          <w:rFonts w:ascii="Times New Roman" w:hAnsi="Times New Roman" w:cs="Times New Roman"/>
          <w:sz w:val="24"/>
          <w:szCs w:val="24"/>
          <w:lang w:val="en-US"/>
        </w:rPr>
        <w:br/>
        <w:t xml:space="preserve">To conclude, during the conjuncture of COVID-19, there was generally a lack of counterhegemonic forces, opposing strategies, and the formation of counter-hegemony projects. First, social forces expected to oppose debt mutualization on the basis of a problematization of debt-led accumulation, such as the organized labor fraction and the critical fraction within civil society, turned out to be fierce advocates of Eurobonds and the issuance of common debt. Second, incoherent opposing strategies, as defined by the </w:t>
      </w:r>
      <w:proofErr w:type="spellStart"/>
      <w:r w:rsidR="00492161" w:rsidRPr="001234AB">
        <w:rPr>
          <w:rFonts w:ascii="Times New Roman" w:hAnsi="Times New Roman" w:cs="Times New Roman"/>
          <w:sz w:val="24"/>
          <w:szCs w:val="24"/>
          <w:lang w:val="en-US"/>
        </w:rPr>
        <w:t>EuroMemo</w:t>
      </w:r>
      <w:proofErr w:type="spellEnd"/>
      <w:r w:rsidR="00492161" w:rsidRPr="001234AB">
        <w:rPr>
          <w:rFonts w:ascii="Times New Roman" w:hAnsi="Times New Roman" w:cs="Times New Roman"/>
          <w:sz w:val="24"/>
          <w:szCs w:val="24"/>
          <w:lang w:val="en-US"/>
        </w:rPr>
        <w:t xml:space="preserve"> Group and CEE </w:t>
      </w:r>
      <w:proofErr w:type="spellStart"/>
      <w:r w:rsidR="00492161" w:rsidRPr="001234AB">
        <w:rPr>
          <w:rFonts w:ascii="Times New Roman" w:hAnsi="Times New Roman" w:cs="Times New Roman"/>
          <w:sz w:val="24"/>
          <w:szCs w:val="24"/>
          <w:lang w:val="en-US"/>
        </w:rPr>
        <w:t>Bankwatch</w:t>
      </w:r>
      <w:proofErr w:type="spellEnd"/>
      <w:r w:rsidR="00492161" w:rsidRPr="001234AB">
        <w:rPr>
          <w:rFonts w:ascii="Times New Roman" w:hAnsi="Times New Roman" w:cs="Times New Roman"/>
          <w:sz w:val="24"/>
          <w:szCs w:val="24"/>
          <w:lang w:val="en-US"/>
        </w:rPr>
        <w:t xml:space="preserve">, failed to materialize as a meaningful counter-hegemonic force, for various reasons. </w:t>
      </w:r>
      <w:r w:rsidR="00BA3F3A" w:rsidRPr="001234AB">
        <w:rPr>
          <w:rFonts w:ascii="Times New Roman" w:hAnsi="Times New Roman" w:cs="Times New Roman"/>
          <w:sz w:val="24"/>
          <w:szCs w:val="24"/>
          <w:lang w:val="en-US"/>
        </w:rPr>
        <w:t>The fractional interests of social forces are articulated through th</w:t>
      </w:r>
      <w:r w:rsidR="0072059B" w:rsidRPr="001234AB">
        <w:rPr>
          <w:rFonts w:ascii="Times New Roman" w:hAnsi="Times New Roman" w:cs="Times New Roman"/>
          <w:sz w:val="24"/>
          <w:szCs w:val="24"/>
          <w:lang w:val="en-US"/>
        </w:rPr>
        <w:t xml:space="preserve">e hegemonic discourses of debt-led accumulation, which are ultimately configured around the hegemony of the financial capital fraction. This points to the success of the </w:t>
      </w:r>
      <w:r w:rsidR="00492161" w:rsidRPr="001234AB">
        <w:rPr>
          <w:rFonts w:ascii="Times New Roman" w:hAnsi="Times New Roman" w:cs="Times New Roman"/>
          <w:sz w:val="24"/>
          <w:szCs w:val="24"/>
          <w:lang w:val="en-US"/>
        </w:rPr>
        <w:t xml:space="preserve">hegemony of the financial capital fraction. </w:t>
      </w:r>
      <w:r w:rsidR="0072059B" w:rsidRPr="001234AB">
        <w:rPr>
          <w:rFonts w:ascii="Times New Roman" w:hAnsi="Times New Roman" w:cs="Times New Roman"/>
          <w:sz w:val="24"/>
          <w:szCs w:val="24"/>
          <w:lang w:val="en-US"/>
        </w:rPr>
        <w:t xml:space="preserve">It also helps explain the alliance in favor of Eurobonds, as the strength of debt-led accumulation as a hegemonic discourse limits the political horizon of every social class, and thus also the grounds to oppose debt mutualization as a policy. </w:t>
      </w:r>
      <w:r w:rsidR="00492161" w:rsidRPr="001234AB">
        <w:rPr>
          <w:rFonts w:ascii="Times New Roman" w:hAnsi="Times New Roman" w:cs="Times New Roman"/>
          <w:sz w:val="24"/>
          <w:szCs w:val="24"/>
          <w:lang w:val="en-US"/>
        </w:rPr>
        <w:br/>
      </w:r>
    </w:p>
    <w:p w14:paraId="501E6865" w14:textId="77777777" w:rsidR="00A21F4E" w:rsidRDefault="00A21F4E" w:rsidP="00F807BD">
      <w:pPr>
        <w:spacing w:line="360" w:lineRule="auto"/>
        <w:rPr>
          <w:rFonts w:ascii="Times New Roman" w:hAnsi="Times New Roman" w:cs="Times New Roman"/>
          <w:sz w:val="24"/>
          <w:szCs w:val="24"/>
          <w:u w:val="single"/>
          <w:lang w:val="en-US"/>
        </w:rPr>
      </w:pPr>
    </w:p>
    <w:p w14:paraId="36FC76B1" w14:textId="77777777" w:rsidR="005D25DA" w:rsidRDefault="005D25DA" w:rsidP="00F807BD">
      <w:pPr>
        <w:spacing w:line="360" w:lineRule="auto"/>
        <w:rPr>
          <w:rFonts w:ascii="Times New Roman" w:hAnsi="Times New Roman" w:cs="Times New Roman"/>
          <w:sz w:val="24"/>
          <w:szCs w:val="24"/>
          <w:u w:val="single"/>
          <w:lang w:val="en-US"/>
        </w:rPr>
      </w:pPr>
    </w:p>
    <w:p w14:paraId="67D4A2F5" w14:textId="77777777" w:rsidR="005D25DA" w:rsidRDefault="005D25DA" w:rsidP="00F807BD">
      <w:pPr>
        <w:spacing w:line="360" w:lineRule="auto"/>
        <w:rPr>
          <w:rFonts w:ascii="Times New Roman" w:hAnsi="Times New Roman" w:cs="Times New Roman"/>
          <w:sz w:val="24"/>
          <w:szCs w:val="24"/>
          <w:u w:val="single"/>
          <w:lang w:val="en-US"/>
        </w:rPr>
      </w:pPr>
    </w:p>
    <w:p w14:paraId="39BC53E1" w14:textId="77777777" w:rsidR="005D25DA" w:rsidRDefault="005D25DA" w:rsidP="00F807BD">
      <w:pPr>
        <w:spacing w:line="360" w:lineRule="auto"/>
        <w:rPr>
          <w:rFonts w:ascii="Times New Roman" w:hAnsi="Times New Roman" w:cs="Times New Roman"/>
          <w:sz w:val="24"/>
          <w:szCs w:val="24"/>
          <w:u w:val="single"/>
          <w:lang w:val="en-US"/>
        </w:rPr>
      </w:pPr>
    </w:p>
    <w:p w14:paraId="2EDD6145" w14:textId="77777777" w:rsidR="005D25DA" w:rsidRDefault="005D25DA" w:rsidP="00F807BD">
      <w:pPr>
        <w:spacing w:line="360" w:lineRule="auto"/>
        <w:rPr>
          <w:rFonts w:ascii="Times New Roman" w:hAnsi="Times New Roman" w:cs="Times New Roman"/>
          <w:sz w:val="24"/>
          <w:szCs w:val="24"/>
          <w:u w:val="single"/>
          <w:lang w:val="en-US"/>
        </w:rPr>
      </w:pPr>
    </w:p>
    <w:p w14:paraId="4679652A" w14:textId="4A9A3CFB" w:rsidR="00087A12" w:rsidRPr="001234AB" w:rsidRDefault="00FC173F" w:rsidP="00F807BD">
      <w:pPr>
        <w:spacing w:line="360" w:lineRule="auto"/>
        <w:rPr>
          <w:rFonts w:ascii="Times New Roman" w:eastAsia="Calibri" w:hAnsi="Times New Roman" w:cs="Times New Roman"/>
          <w:sz w:val="24"/>
          <w:szCs w:val="24"/>
          <w:lang w:val="en-US"/>
        </w:rPr>
      </w:pPr>
      <w:r w:rsidRPr="001234AB">
        <w:rPr>
          <w:rFonts w:ascii="Times New Roman" w:hAnsi="Times New Roman" w:cs="Times New Roman"/>
          <w:b/>
          <w:bCs/>
          <w:sz w:val="24"/>
          <w:szCs w:val="24"/>
          <w:lang w:val="en-US"/>
        </w:rPr>
        <w:t>Chapter 4:</w:t>
      </w:r>
      <w:r w:rsidR="00492161" w:rsidRPr="001234AB">
        <w:rPr>
          <w:rFonts w:ascii="Times New Roman" w:hAnsi="Times New Roman" w:cs="Times New Roman"/>
          <w:b/>
          <w:bCs/>
          <w:sz w:val="24"/>
          <w:szCs w:val="24"/>
          <w:lang w:val="en-US"/>
        </w:rPr>
        <w:t xml:space="preserve"> Conclusion</w:t>
      </w:r>
      <w:r w:rsidRPr="001234AB">
        <w:rPr>
          <w:rFonts w:ascii="Times New Roman" w:hAnsi="Times New Roman" w:cs="Times New Roman"/>
          <w:b/>
          <w:bCs/>
          <w:sz w:val="24"/>
          <w:szCs w:val="24"/>
          <w:lang w:val="en-US"/>
        </w:rPr>
        <w:t>, discussion and avenues for future (critical) research</w:t>
      </w:r>
      <w:r w:rsidR="00492161" w:rsidRPr="001234AB">
        <w:rPr>
          <w:rFonts w:ascii="Times New Roman" w:hAnsi="Times New Roman" w:cs="Times New Roman"/>
          <w:sz w:val="24"/>
          <w:szCs w:val="24"/>
          <w:lang w:val="en-US"/>
        </w:rPr>
        <w:br/>
        <w:t>The research question central in this thesis was</w:t>
      </w:r>
      <w:r w:rsidR="00492161" w:rsidRPr="001234AB">
        <w:rPr>
          <w:rFonts w:ascii="Times New Roman" w:hAnsi="Times New Roman" w:cs="Times New Roman"/>
          <w:i/>
          <w:iCs/>
          <w:sz w:val="24"/>
          <w:szCs w:val="24"/>
          <w:lang w:val="en-US"/>
        </w:rPr>
        <w:t>: What explains the decision of the EU, that is, the European Parliament, Council</w:t>
      </w:r>
      <w:r w:rsidR="0030343B" w:rsidRPr="001234AB">
        <w:rPr>
          <w:rFonts w:ascii="Times New Roman" w:hAnsi="Times New Roman" w:cs="Times New Roman"/>
          <w:i/>
          <w:iCs/>
          <w:sz w:val="24"/>
          <w:szCs w:val="24"/>
          <w:lang w:val="en-US"/>
        </w:rPr>
        <w:t xml:space="preserve">, </w:t>
      </w:r>
      <w:r w:rsidR="00087A12">
        <w:rPr>
          <w:rFonts w:ascii="Times New Roman" w:hAnsi="Times New Roman" w:cs="Times New Roman"/>
          <w:i/>
          <w:iCs/>
          <w:sz w:val="24"/>
          <w:szCs w:val="24"/>
          <w:lang w:val="en-US"/>
        </w:rPr>
        <w:t xml:space="preserve">and the </w:t>
      </w:r>
      <w:r w:rsidR="00492161" w:rsidRPr="001234AB">
        <w:rPr>
          <w:rFonts w:ascii="Times New Roman" w:hAnsi="Times New Roman" w:cs="Times New Roman"/>
          <w:i/>
          <w:iCs/>
          <w:sz w:val="24"/>
          <w:szCs w:val="24"/>
          <w:lang w:val="en-US"/>
        </w:rPr>
        <w:t xml:space="preserve">Commission, to issue Eurobonds to finance the </w:t>
      </w:r>
      <w:proofErr w:type="spellStart"/>
      <w:r w:rsidR="00492161" w:rsidRPr="001234AB">
        <w:rPr>
          <w:rFonts w:ascii="Times New Roman" w:hAnsi="Times New Roman" w:cs="Times New Roman"/>
          <w:i/>
          <w:iCs/>
          <w:sz w:val="24"/>
          <w:szCs w:val="24"/>
          <w:lang w:val="en-US"/>
        </w:rPr>
        <w:t>NextGenerationEU</w:t>
      </w:r>
      <w:proofErr w:type="spellEnd"/>
      <w:r w:rsidR="00492161" w:rsidRPr="001234AB">
        <w:rPr>
          <w:rFonts w:ascii="Times New Roman" w:hAnsi="Times New Roman" w:cs="Times New Roman"/>
          <w:i/>
          <w:iCs/>
          <w:sz w:val="24"/>
          <w:szCs w:val="24"/>
          <w:lang w:val="en-US"/>
        </w:rPr>
        <w:t xml:space="preserve"> </w:t>
      </w:r>
      <w:r w:rsidR="004119C6" w:rsidRPr="001234AB">
        <w:rPr>
          <w:rFonts w:ascii="Times New Roman" w:hAnsi="Times New Roman" w:cs="Times New Roman"/>
          <w:i/>
          <w:iCs/>
          <w:sz w:val="24"/>
          <w:szCs w:val="24"/>
          <w:lang w:val="en-US"/>
        </w:rPr>
        <w:t>recovery package</w:t>
      </w:r>
      <w:r w:rsidR="00492161" w:rsidRPr="001234AB">
        <w:rPr>
          <w:rFonts w:ascii="Times New Roman" w:hAnsi="Times New Roman" w:cs="Times New Roman"/>
          <w:i/>
          <w:iCs/>
          <w:sz w:val="24"/>
          <w:szCs w:val="24"/>
          <w:lang w:val="en-US"/>
        </w:rPr>
        <w:t xml:space="preserve"> in 2020</w:t>
      </w:r>
      <w:r w:rsidR="00492161" w:rsidRPr="001234AB">
        <w:rPr>
          <w:rFonts w:ascii="Times New Roman" w:hAnsi="Times New Roman" w:cs="Times New Roman"/>
          <w:sz w:val="24"/>
          <w:szCs w:val="24"/>
          <w:lang w:val="en-US"/>
        </w:rPr>
        <w:t>? Rather than approaching this question with the assumption that Eurobonds lead to greater fiscal and financial integration, and thus European integration, this thesis has situated EU’s decision in the broader context of the dynamics of finance-led capitalism, and particularly debt-led accumulation. To do this, a CPE perspective was employed, with insights from the AP, Gramsci, and feminist CPE. The analysis shows through a dialectical interplay of structure and agency that during the conjuncture of COVID-19, a</w:t>
      </w:r>
      <w:r w:rsidR="00185250" w:rsidRPr="001234AB">
        <w:rPr>
          <w:rFonts w:ascii="Times New Roman" w:hAnsi="Times New Roman" w:cs="Times New Roman"/>
          <w:sz w:val="24"/>
          <w:szCs w:val="24"/>
          <w:lang w:val="en-US"/>
        </w:rPr>
        <w:t xml:space="preserve"> temporal </w:t>
      </w:r>
      <w:r w:rsidR="00492161" w:rsidRPr="001234AB">
        <w:rPr>
          <w:rFonts w:ascii="Times New Roman" w:hAnsi="Times New Roman" w:cs="Times New Roman"/>
          <w:sz w:val="24"/>
          <w:szCs w:val="24"/>
          <w:lang w:val="en-US"/>
        </w:rPr>
        <w:t xml:space="preserve">alliance </w:t>
      </w:r>
      <w:r w:rsidR="004119C6" w:rsidRPr="001234AB">
        <w:rPr>
          <w:rFonts w:ascii="Times New Roman" w:hAnsi="Times New Roman" w:cs="Times New Roman"/>
          <w:sz w:val="24"/>
          <w:szCs w:val="24"/>
          <w:lang w:val="en-US"/>
        </w:rPr>
        <w:t xml:space="preserve">emerged </w:t>
      </w:r>
      <w:r w:rsidR="00492161" w:rsidRPr="001234AB">
        <w:rPr>
          <w:rFonts w:ascii="Times New Roman" w:hAnsi="Times New Roman" w:cs="Times New Roman"/>
          <w:sz w:val="24"/>
          <w:szCs w:val="24"/>
          <w:lang w:val="en-US"/>
        </w:rPr>
        <w:t xml:space="preserve">in favor of Eurobonds. </w:t>
      </w:r>
      <w:r w:rsidR="004119C6" w:rsidRPr="001234AB">
        <w:rPr>
          <w:rFonts w:ascii="Times New Roman" w:hAnsi="Times New Roman" w:cs="Times New Roman"/>
          <w:sz w:val="24"/>
          <w:szCs w:val="24"/>
          <w:lang w:val="en-US"/>
        </w:rPr>
        <w:br/>
      </w:r>
      <w:r w:rsidR="004119C6"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t>In the context analysis, European financial integration, the growth of debt-led accumulation, the hegemony of the financial capital fraction, and EU’s facilitating strategic selectivity w</w:t>
      </w:r>
      <w:r w:rsidR="004119C6" w:rsidRPr="001234AB">
        <w:rPr>
          <w:rFonts w:ascii="Times New Roman" w:hAnsi="Times New Roman" w:cs="Times New Roman"/>
          <w:sz w:val="24"/>
          <w:szCs w:val="24"/>
          <w:lang w:val="en-US"/>
        </w:rPr>
        <w:t>ere</w:t>
      </w:r>
      <w:r w:rsidR="00492161" w:rsidRPr="001234AB">
        <w:rPr>
          <w:rFonts w:ascii="Times New Roman" w:hAnsi="Times New Roman" w:cs="Times New Roman"/>
          <w:sz w:val="24"/>
          <w:szCs w:val="24"/>
          <w:lang w:val="en-US"/>
        </w:rPr>
        <w:t xml:space="preserve"> traced. It was inferred that debt-led accumulation is facilitated by the strategic selectivity employed by the EU.  This analysis provided the structure in which the issuance of Eurobonds in 2020 took place.</w:t>
      </w:r>
      <w:r w:rsidR="004119C6"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Afterwards, on the basis of various timelines by relevant </w:t>
      </w:r>
      <w:r w:rsidR="00185250" w:rsidRPr="001234AB">
        <w:rPr>
          <w:rFonts w:ascii="Times New Roman" w:hAnsi="Times New Roman" w:cs="Times New Roman"/>
          <w:sz w:val="24"/>
          <w:szCs w:val="24"/>
          <w:lang w:val="en-US"/>
        </w:rPr>
        <w:t>class fractions</w:t>
      </w:r>
      <w:r w:rsidR="00492161" w:rsidRPr="001234AB">
        <w:rPr>
          <w:rFonts w:ascii="Times New Roman" w:hAnsi="Times New Roman" w:cs="Times New Roman"/>
          <w:sz w:val="24"/>
          <w:szCs w:val="24"/>
          <w:lang w:val="en-US"/>
        </w:rPr>
        <w:t>, a</w:t>
      </w:r>
      <w:r w:rsidR="00185250" w:rsidRPr="001234AB">
        <w:rPr>
          <w:rFonts w:ascii="Times New Roman" w:hAnsi="Times New Roman" w:cs="Times New Roman"/>
          <w:sz w:val="24"/>
          <w:szCs w:val="24"/>
          <w:lang w:val="en-US"/>
        </w:rPr>
        <w:t xml:space="preserve"> temporal </w:t>
      </w:r>
      <w:r w:rsidR="00492161" w:rsidRPr="001234AB">
        <w:rPr>
          <w:rFonts w:ascii="Times New Roman" w:hAnsi="Times New Roman" w:cs="Times New Roman"/>
          <w:sz w:val="24"/>
          <w:szCs w:val="24"/>
          <w:lang w:val="en-US"/>
        </w:rPr>
        <w:t>alliance</w:t>
      </w:r>
      <w:r w:rsidR="00185250" w:rsidRPr="001234AB">
        <w:rPr>
          <w:rFonts w:ascii="Times New Roman" w:hAnsi="Times New Roman" w:cs="Times New Roman"/>
          <w:sz w:val="24"/>
          <w:szCs w:val="24"/>
          <w:lang w:val="en-US"/>
        </w:rPr>
        <w:t xml:space="preserve"> in favor of Eurobonds</w:t>
      </w:r>
      <w:r w:rsidR="00492161" w:rsidRPr="001234AB">
        <w:rPr>
          <w:rFonts w:ascii="Times New Roman" w:hAnsi="Times New Roman" w:cs="Times New Roman"/>
          <w:sz w:val="24"/>
          <w:szCs w:val="24"/>
          <w:lang w:val="en-US"/>
        </w:rPr>
        <w:t xml:space="preserve">, lacking collective organization, during the conjuncture of COVID-19 </w:t>
      </w:r>
      <w:r w:rsidR="004119C6" w:rsidRPr="001234AB">
        <w:rPr>
          <w:rFonts w:ascii="Times New Roman" w:hAnsi="Times New Roman" w:cs="Times New Roman"/>
          <w:sz w:val="24"/>
          <w:szCs w:val="24"/>
          <w:lang w:val="en-US"/>
        </w:rPr>
        <w:t>was</w:t>
      </w:r>
      <w:r w:rsidR="00492161" w:rsidRPr="001234AB">
        <w:rPr>
          <w:rFonts w:ascii="Times New Roman" w:hAnsi="Times New Roman" w:cs="Times New Roman"/>
          <w:sz w:val="24"/>
          <w:szCs w:val="24"/>
          <w:lang w:val="en-US"/>
        </w:rPr>
        <w:t xml:space="preserve"> outlined.</w:t>
      </w:r>
      <w:r w:rsidR="004119C6" w:rsidRPr="001234AB">
        <w:rPr>
          <w:rFonts w:ascii="Times New Roman" w:hAnsi="Times New Roman" w:cs="Times New Roman"/>
          <w:sz w:val="24"/>
          <w:szCs w:val="24"/>
          <w:lang w:val="en-US"/>
        </w:rPr>
        <w:t xml:space="preserve"> This temporal alliance reflects the temporary character of both NGEU and the institutionalization of Eurobonds. </w:t>
      </w:r>
      <w:r w:rsidR="00185250" w:rsidRPr="001234AB">
        <w:rPr>
          <w:rFonts w:ascii="Times New Roman" w:hAnsi="Times New Roman" w:cs="Times New Roman"/>
          <w:sz w:val="24"/>
          <w:szCs w:val="24"/>
          <w:lang w:val="en-US"/>
        </w:rPr>
        <w:t xml:space="preserve">The endorsement of Eurobonds was in the interests of a majority of the relevant social forces and class fractions, for varying reasons. </w:t>
      </w:r>
      <w:r w:rsidR="00492161" w:rsidRPr="001234AB">
        <w:rPr>
          <w:rFonts w:ascii="Times New Roman" w:hAnsi="Times New Roman" w:cs="Times New Roman"/>
          <w:sz w:val="24"/>
          <w:szCs w:val="24"/>
          <w:lang w:val="en-US"/>
        </w:rPr>
        <w:t xml:space="preserve">Being the only class fraction that radically changed its stance, the financial capital fraction was vital. </w:t>
      </w:r>
      <w:r w:rsidR="00185250" w:rsidRPr="001234AB">
        <w:rPr>
          <w:rFonts w:ascii="Times New Roman" w:hAnsi="Times New Roman" w:cs="Times New Roman"/>
          <w:sz w:val="24"/>
          <w:szCs w:val="24"/>
          <w:lang w:val="en-US"/>
        </w:rPr>
        <w:t>In the pursuit of asset generation</w:t>
      </w:r>
      <w:r w:rsidR="0036457C" w:rsidRPr="001234AB">
        <w:rPr>
          <w:rFonts w:ascii="Times New Roman" w:hAnsi="Times New Roman" w:cs="Times New Roman"/>
          <w:sz w:val="24"/>
          <w:szCs w:val="24"/>
          <w:lang w:val="en-US"/>
        </w:rPr>
        <w:t xml:space="preserve">, </w:t>
      </w:r>
      <w:r w:rsidR="00185250" w:rsidRPr="001234AB">
        <w:rPr>
          <w:rFonts w:ascii="Times New Roman" w:hAnsi="Times New Roman" w:cs="Times New Roman"/>
          <w:sz w:val="24"/>
          <w:szCs w:val="24"/>
          <w:lang w:val="en-US"/>
        </w:rPr>
        <w:t>propelled by various challenges that exacerbated Europe’s liquidity problems and imperiled European financial stability, Eurobonds offered the</w:t>
      </w:r>
      <w:r w:rsidR="0036457C" w:rsidRPr="001234AB">
        <w:rPr>
          <w:rFonts w:ascii="Times New Roman" w:hAnsi="Times New Roman" w:cs="Times New Roman"/>
          <w:sz w:val="24"/>
          <w:szCs w:val="24"/>
          <w:lang w:val="en-US"/>
        </w:rPr>
        <w:t xml:space="preserve"> financial </w:t>
      </w:r>
      <w:r w:rsidR="00185250" w:rsidRPr="001234AB">
        <w:rPr>
          <w:rFonts w:ascii="Times New Roman" w:hAnsi="Times New Roman" w:cs="Times New Roman"/>
          <w:sz w:val="24"/>
          <w:szCs w:val="24"/>
          <w:lang w:val="en-US"/>
        </w:rPr>
        <w:t>capital fraction</w:t>
      </w:r>
      <w:r w:rsidR="00EB512A" w:rsidRPr="001234AB">
        <w:rPr>
          <w:rFonts w:ascii="Times New Roman" w:hAnsi="Times New Roman" w:cs="Times New Roman"/>
          <w:sz w:val="24"/>
          <w:szCs w:val="24"/>
          <w:lang w:val="en-US"/>
        </w:rPr>
        <w:t xml:space="preserve"> a temporary solution. </w:t>
      </w:r>
      <w:r w:rsidR="00492161" w:rsidRPr="001234AB">
        <w:rPr>
          <w:rFonts w:ascii="Times New Roman" w:hAnsi="Times New Roman" w:cs="Times New Roman"/>
          <w:sz w:val="24"/>
          <w:szCs w:val="24"/>
          <w:lang w:val="en-US"/>
        </w:rPr>
        <w:t xml:space="preserve">With regards to the ideational </w:t>
      </w:r>
      <w:r w:rsidR="00EB512A" w:rsidRPr="001234AB">
        <w:rPr>
          <w:rFonts w:ascii="Times New Roman" w:hAnsi="Times New Roman" w:cs="Times New Roman"/>
          <w:sz w:val="24"/>
          <w:szCs w:val="24"/>
          <w:lang w:val="en-US"/>
        </w:rPr>
        <w:t xml:space="preserve">and agential </w:t>
      </w:r>
      <w:r w:rsidR="00492161" w:rsidRPr="001234AB">
        <w:rPr>
          <w:rFonts w:ascii="Times New Roman" w:hAnsi="Times New Roman" w:cs="Times New Roman"/>
          <w:sz w:val="24"/>
          <w:szCs w:val="24"/>
          <w:lang w:val="en-US"/>
        </w:rPr>
        <w:t>dimension, this thesis described</w:t>
      </w:r>
      <w:r w:rsidR="00EB512A"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how organic intellectuals put forward a political narrative</w:t>
      </w:r>
      <w:r w:rsidR="0036457C" w:rsidRPr="001234AB">
        <w:rPr>
          <w:rFonts w:ascii="Times New Roman" w:hAnsi="Times New Roman" w:cs="Times New Roman"/>
          <w:sz w:val="24"/>
          <w:szCs w:val="24"/>
          <w:lang w:val="en-US"/>
        </w:rPr>
        <w:t xml:space="preserve"> that incorporated the interests of (subordinate) social forces. Simultaneously, this political narrative managed to remove the taboo </w:t>
      </w:r>
      <w:r w:rsidR="00492161" w:rsidRPr="001234AB">
        <w:rPr>
          <w:rFonts w:ascii="Times New Roman" w:hAnsi="Times New Roman" w:cs="Times New Roman"/>
          <w:sz w:val="24"/>
          <w:szCs w:val="24"/>
          <w:lang w:val="en-US"/>
        </w:rPr>
        <w:t>about NGEU and Eurobonds</w:t>
      </w:r>
      <w:r w:rsidR="0036457C"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NGEU, as a continuation of debt-led accumulation, was presented as the common interest, while predominantly advancing the interests of the dominant financial capital fraction. </w:t>
      </w:r>
      <w:r w:rsidR="00EB512A" w:rsidRPr="001234AB">
        <w:rPr>
          <w:rFonts w:ascii="Times New Roman" w:hAnsi="Times New Roman" w:cs="Times New Roman"/>
          <w:sz w:val="24"/>
          <w:szCs w:val="24"/>
          <w:lang w:val="en-US"/>
        </w:rPr>
        <w:t xml:space="preserve">Finally, this thesis observed a general absence of counter-hegemonic forces </w:t>
      </w:r>
      <w:r w:rsidR="00492161" w:rsidRPr="001234AB">
        <w:rPr>
          <w:rFonts w:ascii="Times New Roman" w:hAnsi="Times New Roman" w:cs="Times New Roman"/>
          <w:sz w:val="24"/>
          <w:szCs w:val="24"/>
          <w:lang w:val="en-US"/>
        </w:rPr>
        <w:t>during the conjuncture of COVID-19</w:t>
      </w:r>
      <w:r w:rsidR="00EB512A" w:rsidRPr="001234AB">
        <w:rPr>
          <w:rFonts w:ascii="Times New Roman" w:hAnsi="Times New Roman" w:cs="Times New Roman"/>
          <w:sz w:val="24"/>
          <w:szCs w:val="24"/>
          <w:lang w:val="en-US"/>
        </w:rPr>
        <w:t xml:space="preserve"> </w:t>
      </w:r>
      <w:r w:rsidR="004119C6" w:rsidRPr="001234AB">
        <w:rPr>
          <w:rFonts w:ascii="Times New Roman" w:hAnsi="Times New Roman" w:cs="Times New Roman"/>
          <w:sz w:val="24"/>
          <w:szCs w:val="24"/>
          <w:lang w:val="en-US"/>
        </w:rPr>
        <w:t xml:space="preserve">on the basis of an </w:t>
      </w:r>
      <w:r w:rsidR="00EB512A" w:rsidRPr="001234AB">
        <w:rPr>
          <w:rFonts w:ascii="Times New Roman" w:hAnsi="Times New Roman" w:cs="Times New Roman"/>
          <w:sz w:val="24"/>
          <w:szCs w:val="24"/>
          <w:lang w:val="en-US"/>
        </w:rPr>
        <w:t xml:space="preserve">extensive examination of subordinate social forces. </w:t>
      </w:r>
      <w:r w:rsidR="00492161" w:rsidRPr="001234AB">
        <w:rPr>
          <w:rFonts w:ascii="Times New Roman" w:hAnsi="Times New Roman" w:cs="Times New Roman"/>
          <w:sz w:val="24"/>
          <w:szCs w:val="24"/>
          <w:lang w:val="en-US"/>
        </w:rPr>
        <w:t>While common critical social forces lacked a comprehensive analysis,</w:t>
      </w:r>
      <w:r w:rsidR="004119C6" w:rsidRPr="001234AB">
        <w:rPr>
          <w:rFonts w:ascii="Times New Roman" w:hAnsi="Times New Roman" w:cs="Times New Roman"/>
          <w:sz w:val="24"/>
          <w:szCs w:val="24"/>
          <w:lang w:val="en-US"/>
        </w:rPr>
        <w:t xml:space="preserve"> testimony to </w:t>
      </w:r>
      <w:r w:rsidR="004119C6" w:rsidRPr="001234AB">
        <w:rPr>
          <w:rFonts w:ascii="Times New Roman" w:hAnsi="Times New Roman" w:cs="Times New Roman"/>
          <w:sz w:val="24"/>
          <w:szCs w:val="24"/>
          <w:lang w:val="en-US"/>
        </w:rPr>
        <w:lastRenderedPageBreak/>
        <w:t xml:space="preserve">finance capital’s hegemony, </w:t>
      </w:r>
      <w:r w:rsidR="00492161" w:rsidRPr="001234AB">
        <w:rPr>
          <w:rFonts w:ascii="Times New Roman" w:hAnsi="Times New Roman" w:cs="Times New Roman"/>
          <w:sz w:val="24"/>
          <w:szCs w:val="24"/>
          <w:lang w:val="en-US"/>
        </w:rPr>
        <w:t xml:space="preserve">scarce opposing strategies were marginalized.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This analysis demonstrates the applicability of the combination of the AP with different critical perspectives to the study of decisions taken by the EU at a historical conjuncture. At the same time, the analysis proves both the explanatory power and the theoretical merit of the AP, since the assumption that the dominant financial class fraction is the directive force within the capitalist system is illustrated by its vital shift with regards to the endorsement of Eurobonds. Furthermore, this thesis accounted for the lack of engagement with forms of resistance and subordinate social forces by putting these at the center of the analysis, thereby stressing the social relations of production, rather than blindly focusing on capital. </w:t>
      </w:r>
      <w:r w:rsidR="00492161" w:rsidRPr="001234AB">
        <w:rPr>
          <w:rFonts w:ascii="Times New Roman" w:hAnsi="Times New Roman" w:cs="Times New Roman"/>
          <w:sz w:val="24"/>
          <w:szCs w:val="24"/>
          <w:lang w:val="en-US"/>
        </w:rPr>
        <w:br/>
        <w:t xml:space="preserve"> </w:t>
      </w:r>
      <w:r w:rsidR="00492161" w:rsidRPr="001234AB">
        <w:rPr>
          <w:rFonts w:ascii="Times New Roman" w:hAnsi="Times New Roman" w:cs="Times New Roman"/>
          <w:sz w:val="24"/>
          <w:szCs w:val="24"/>
          <w:lang w:val="en-US"/>
        </w:rPr>
        <w:br/>
        <w:t>Having said that, this thesis faces a number of limitations. The first concerns a methodological one. Throughout the thesis, it can be inferred that the conjuncture of COVID-19 is important for the comprehension of the explanandum at hand. To come to an even more comprehensive understanding of the politics that emanates from a particular crisis situation, this thesis would have benefitted from a conjunctural analysis (</w:t>
      </w:r>
      <w:proofErr w:type="spellStart"/>
      <w:r w:rsidR="007562DF" w:rsidRPr="001234AB">
        <w:rPr>
          <w:rFonts w:ascii="Times New Roman" w:eastAsia="Calibri" w:hAnsi="Times New Roman" w:cs="Times New Roman"/>
          <w:sz w:val="24"/>
          <w:szCs w:val="24"/>
          <w:lang w:val="en-US"/>
        </w:rPr>
        <w:t>Jäger</w:t>
      </w:r>
      <w:proofErr w:type="spellEnd"/>
      <w:r w:rsidR="007562DF" w:rsidRPr="001234AB">
        <w:rPr>
          <w:rFonts w:ascii="Times New Roman" w:hAnsi="Times New Roman" w:cs="Times New Roman"/>
          <w:sz w:val="24"/>
          <w:szCs w:val="24"/>
          <w:lang w:val="en-US"/>
        </w:rPr>
        <w:t xml:space="preserve"> et al., 201</w:t>
      </w:r>
      <w:r w:rsidR="004119C6" w:rsidRPr="001234AB">
        <w:rPr>
          <w:rFonts w:ascii="Times New Roman" w:hAnsi="Times New Roman" w:cs="Times New Roman"/>
          <w:sz w:val="24"/>
          <w:szCs w:val="24"/>
          <w:lang w:val="en-US"/>
        </w:rPr>
        <w:t>6</w:t>
      </w:r>
      <w:r w:rsidR="007562DF"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Wigger &amp; Horn, 2023, pp. 94-95</w:t>
      </w:r>
      <w:r w:rsidR="007562DF"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t xml:space="preserve"> This is especially the case for this thesis because critical perspectives </w:t>
      </w:r>
      <w:r w:rsidR="004119C6" w:rsidRPr="001234AB">
        <w:rPr>
          <w:rFonts w:ascii="Times New Roman" w:hAnsi="Times New Roman" w:cs="Times New Roman"/>
          <w:sz w:val="24"/>
          <w:szCs w:val="24"/>
          <w:lang w:val="en-US"/>
        </w:rPr>
        <w:t xml:space="preserve">posit </w:t>
      </w:r>
      <w:r w:rsidR="00492161" w:rsidRPr="001234AB">
        <w:rPr>
          <w:rFonts w:ascii="Times New Roman" w:hAnsi="Times New Roman" w:cs="Times New Roman"/>
          <w:sz w:val="24"/>
          <w:szCs w:val="24"/>
          <w:lang w:val="en-US"/>
        </w:rPr>
        <w:t xml:space="preserve">that historical phenomena require a conjunctural historical reading (Wigger &amp; Horn, 2023, p. 97). For example, an analysis that is more conjuncture-oriented would have allowed for a clearer overview of the timelines of different social forces and class fractions.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br/>
        <w:t xml:space="preserve">Second, this thesis underappreciates the role of the European Council and the Parliament. The theorization of the EU as an incomplete capitalist state apparatus, complemented with the historical materialist supposition that it does not make sense to separate this capitalist state from the social forces that give content to it, justifies my methods and approach (van Apeldoorn, 2004, pp. 150, 164). However, a closer examination of the involvement of the European Council and the European Parliament would have allowed for a more comprehensive account of the decision by the EU to issue Eurobonds to finance NGEU. This also taps into a different limitation of this thesis, namely the neglect of the European Council meetings </w:t>
      </w:r>
      <w:r w:rsidR="00EB512A" w:rsidRPr="001234AB">
        <w:rPr>
          <w:rFonts w:ascii="Times New Roman" w:hAnsi="Times New Roman" w:cs="Times New Roman"/>
          <w:sz w:val="24"/>
          <w:szCs w:val="24"/>
          <w:lang w:val="en-US"/>
        </w:rPr>
        <w:t xml:space="preserve">that led to the realization of </w:t>
      </w:r>
      <w:r w:rsidR="00492161" w:rsidRPr="001234AB">
        <w:rPr>
          <w:rFonts w:ascii="Times New Roman" w:hAnsi="Times New Roman" w:cs="Times New Roman"/>
          <w:sz w:val="24"/>
          <w:szCs w:val="24"/>
          <w:lang w:val="en-US"/>
        </w:rPr>
        <w:t>NGEU, which were deemed ‘historic’ by academics (</w:t>
      </w:r>
      <w:proofErr w:type="spellStart"/>
      <w:r w:rsidR="00492161" w:rsidRPr="001234AB">
        <w:rPr>
          <w:rFonts w:ascii="Times New Roman" w:hAnsi="Times New Roman" w:cs="Times New Roman"/>
          <w:sz w:val="24"/>
          <w:szCs w:val="24"/>
          <w:lang w:val="en-US"/>
        </w:rPr>
        <w:t>Tesche</w:t>
      </w:r>
      <w:proofErr w:type="spellEnd"/>
      <w:r w:rsidR="00492161" w:rsidRPr="001234AB">
        <w:rPr>
          <w:rFonts w:ascii="Times New Roman" w:hAnsi="Times New Roman" w:cs="Times New Roman"/>
          <w:sz w:val="24"/>
          <w:szCs w:val="24"/>
          <w:lang w:val="en-US"/>
        </w:rPr>
        <w:t>, 2022, pp. 481, 490). A brief scrutiny of these meetings as the culmination of the common debt issuance contention, would have given more insight into the politics behind this decision, as well as the historical conjuncture.</w:t>
      </w:r>
      <w:r w:rsidR="004119C6" w:rsidRPr="001234AB">
        <w:rPr>
          <w:rFonts w:ascii="Times New Roman" w:hAnsi="Times New Roman" w:cs="Times New Roman"/>
          <w:sz w:val="24"/>
          <w:szCs w:val="24"/>
          <w:lang w:val="en-US"/>
        </w:rPr>
        <w:t xml:space="preserve"> More concretely, it may have clarified the change </w:t>
      </w:r>
      <w:r w:rsidR="00B26F7D" w:rsidRPr="001234AB">
        <w:rPr>
          <w:rFonts w:ascii="Times New Roman" w:hAnsi="Times New Roman" w:cs="Times New Roman"/>
          <w:sz w:val="24"/>
          <w:szCs w:val="24"/>
          <w:lang w:val="en-US"/>
        </w:rPr>
        <w:t xml:space="preserve">of </w:t>
      </w:r>
      <w:r w:rsidR="004119C6" w:rsidRPr="001234AB">
        <w:rPr>
          <w:rFonts w:ascii="Times New Roman" w:hAnsi="Times New Roman" w:cs="Times New Roman"/>
          <w:sz w:val="24"/>
          <w:szCs w:val="24"/>
          <w:lang w:val="en-US"/>
        </w:rPr>
        <w:t xml:space="preserve">stance by the coalition of the fiscally conservative countries. </w:t>
      </w:r>
      <w:r w:rsidR="00492161"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lastRenderedPageBreak/>
        <w:br/>
        <w:t xml:space="preserve">As of 2024, Eurobonds as a way to finance public investment </w:t>
      </w:r>
      <w:r w:rsidR="00E80A39" w:rsidRPr="001234AB">
        <w:rPr>
          <w:rFonts w:ascii="Times New Roman" w:hAnsi="Times New Roman" w:cs="Times New Roman"/>
          <w:sz w:val="24"/>
          <w:szCs w:val="24"/>
          <w:lang w:val="en-US"/>
        </w:rPr>
        <w:t xml:space="preserve">are </w:t>
      </w:r>
      <w:r w:rsidR="00492161" w:rsidRPr="001234AB">
        <w:rPr>
          <w:rFonts w:ascii="Times New Roman" w:hAnsi="Times New Roman" w:cs="Times New Roman"/>
          <w:sz w:val="24"/>
          <w:szCs w:val="24"/>
          <w:lang w:val="en-US"/>
        </w:rPr>
        <w:t>used in more EU programs such as SURE</w:t>
      </w:r>
      <w:r w:rsidR="00364053"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MFA, and </w:t>
      </w:r>
      <w:proofErr w:type="spellStart"/>
      <w:r w:rsidR="00492161" w:rsidRPr="001234AB">
        <w:rPr>
          <w:rFonts w:ascii="Times New Roman" w:hAnsi="Times New Roman" w:cs="Times New Roman"/>
          <w:sz w:val="24"/>
          <w:szCs w:val="24"/>
          <w:lang w:val="en-US"/>
        </w:rPr>
        <w:t>REPowerEU</w:t>
      </w:r>
      <w:proofErr w:type="spellEnd"/>
      <w:r w:rsidR="007562DF" w:rsidRPr="001234AB">
        <w:rPr>
          <w:rFonts w:ascii="Times New Roman" w:hAnsi="Times New Roman" w:cs="Times New Roman"/>
          <w:sz w:val="24"/>
          <w:szCs w:val="24"/>
          <w:lang w:val="en-US"/>
        </w:rPr>
        <w:t xml:space="preserve"> (European Commission, 2022, 2023). </w:t>
      </w:r>
      <w:r w:rsidR="00492161" w:rsidRPr="001234AB">
        <w:rPr>
          <w:rFonts w:ascii="Times New Roman" w:hAnsi="Times New Roman" w:cs="Times New Roman"/>
          <w:sz w:val="24"/>
          <w:szCs w:val="24"/>
          <w:lang w:val="en-US"/>
        </w:rPr>
        <w:t>This contrasts the explicit temporary mandate for the Commission to issue EU-wide debt. At the same time, Eurobonds continue to divide Member States</w:t>
      </w:r>
      <w:r w:rsidR="0036457C" w:rsidRPr="001234AB">
        <w:rPr>
          <w:rFonts w:ascii="Times New Roman" w:hAnsi="Times New Roman" w:cs="Times New Roman"/>
          <w:sz w:val="24"/>
          <w:szCs w:val="24"/>
          <w:lang w:val="en-US"/>
        </w:rPr>
        <w:t xml:space="preserve"> </w:t>
      </w:r>
      <w:r w:rsidR="007562DF" w:rsidRPr="001234AB">
        <w:rPr>
          <w:rFonts w:ascii="Times New Roman" w:hAnsi="Times New Roman" w:cs="Times New Roman"/>
          <w:sz w:val="24"/>
          <w:szCs w:val="24"/>
          <w:lang w:val="en-US"/>
        </w:rPr>
        <w:t>(</w:t>
      </w:r>
      <w:proofErr w:type="spellStart"/>
      <w:r w:rsidR="007562DF" w:rsidRPr="001234AB">
        <w:rPr>
          <w:rFonts w:ascii="Times New Roman" w:hAnsi="Times New Roman" w:cs="Times New Roman"/>
          <w:sz w:val="24"/>
          <w:szCs w:val="24"/>
          <w:lang w:val="en-US"/>
        </w:rPr>
        <w:t>Packroff</w:t>
      </w:r>
      <w:proofErr w:type="spellEnd"/>
      <w:r w:rsidR="007562DF" w:rsidRPr="001234AB">
        <w:rPr>
          <w:rFonts w:ascii="Times New Roman" w:hAnsi="Times New Roman" w:cs="Times New Roman"/>
          <w:sz w:val="24"/>
          <w:szCs w:val="24"/>
          <w:lang w:val="en-US"/>
        </w:rPr>
        <w:t xml:space="preserve">, 2024). </w:t>
      </w:r>
      <w:r w:rsidR="00EB512A" w:rsidRPr="001234AB">
        <w:rPr>
          <w:rFonts w:ascii="Times New Roman" w:hAnsi="Times New Roman" w:cs="Times New Roman"/>
          <w:sz w:val="24"/>
          <w:szCs w:val="24"/>
          <w:lang w:val="en-US"/>
        </w:rPr>
        <w:t>While this thesis has pointed to structural contradictions within the European capitalist political economy that highlight the contested nature of EU’s policymaking, f</w:t>
      </w:r>
      <w:r w:rsidR="00492161" w:rsidRPr="001234AB">
        <w:rPr>
          <w:rFonts w:ascii="Times New Roman" w:hAnsi="Times New Roman" w:cs="Times New Roman"/>
          <w:sz w:val="24"/>
          <w:szCs w:val="24"/>
          <w:lang w:val="en-US"/>
        </w:rPr>
        <w:t xml:space="preserve">urther research is required to explain what this further promotion of the institutionalization of Eurobonds entails. </w:t>
      </w:r>
      <w:r w:rsidR="00EB512A" w:rsidRPr="001234AB">
        <w:rPr>
          <w:rFonts w:ascii="Times New Roman" w:hAnsi="Times New Roman" w:cs="Times New Roman"/>
          <w:sz w:val="24"/>
          <w:szCs w:val="24"/>
          <w:lang w:val="en-US"/>
        </w:rPr>
        <w:br/>
      </w:r>
      <w:r w:rsidR="00EB512A" w:rsidRPr="001234AB">
        <w:rPr>
          <w:rFonts w:ascii="Times New Roman" w:hAnsi="Times New Roman" w:cs="Times New Roman"/>
          <w:sz w:val="24"/>
          <w:szCs w:val="24"/>
          <w:lang w:val="en-US"/>
        </w:rPr>
        <w:br/>
      </w:r>
      <w:r w:rsidR="00492161" w:rsidRPr="001234AB">
        <w:rPr>
          <w:rFonts w:ascii="Times New Roman" w:hAnsi="Times New Roman" w:cs="Times New Roman"/>
          <w:sz w:val="24"/>
          <w:szCs w:val="24"/>
          <w:lang w:val="en-US"/>
        </w:rPr>
        <w:t xml:space="preserve">Indeed, in light of the first-ever ‘European </w:t>
      </w:r>
      <w:proofErr w:type="spellStart"/>
      <w:r w:rsidR="00492161" w:rsidRPr="001234AB">
        <w:rPr>
          <w:rFonts w:ascii="Times New Roman" w:hAnsi="Times New Roman" w:cs="Times New Roman"/>
          <w:sz w:val="24"/>
          <w:szCs w:val="24"/>
          <w:lang w:val="en-US"/>
        </w:rPr>
        <w:t>Defence</w:t>
      </w:r>
      <w:proofErr w:type="spellEnd"/>
      <w:r w:rsidR="00492161" w:rsidRPr="001234AB">
        <w:rPr>
          <w:rFonts w:ascii="Times New Roman" w:hAnsi="Times New Roman" w:cs="Times New Roman"/>
          <w:sz w:val="24"/>
          <w:szCs w:val="24"/>
          <w:lang w:val="en-US"/>
        </w:rPr>
        <w:t xml:space="preserve"> Industrial Strategy’ presented by the Commission, there have been calls by EU head of states, such as Macron, to issue joint Eurobonds to finance increased military expenditure</w:t>
      </w:r>
      <w:r w:rsidR="00D85E44" w:rsidRPr="001234AB">
        <w:rPr>
          <w:rFonts w:ascii="Times New Roman" w:hAnsi="Times New Roman" w:cs="Times New Roman"/>
          <w:sz w:val="24"/>
          <w:szCs w:val="24"/>
          <w:lang w:val="en-US"/>
        </w:rPr>
        <w:t xml:space="preserve"> (Kayali et al., 2024; Rosana, 2024). </w:t>
      </w:r>
      <w:r w:rsidR="00492161" w:rsidRPr="001234AB">
        <w:rPr>
          <w:rFonts w:ascii="Times New Roman" w:hAnsi="Times New Roman" w:cs="Times New Roman"/>
          <w:sz w:val="24"/>
          <w:szCs w:val="24"/>
          <w:lang w:val="en-US"/>
        </w:rPr>
        <w:t>Using Eurobonds to build up a</w:t>
      </w:r>
      <w:r w:rsidR="000F6429">
        <w:rPr>
          <w:rFonts w:ascii="Times New Roman" w:hAnsi="Times New Roman" w:cs="Times New Roman"/>
          <w:sz w:val="24"/>
          <w:szCs w:val="24"/>
          <w:lang w:val="en-US"/>
        </w:rPr>
        <w:t>n</w:t>
      </w:r>
      <w:r w:rsidR="00492161" w:rsidRPr="001234AB">
        <w:rPr>
          <w:rFonts w:ascii="Times New Roman" w:hAnsi="Times New Roman" w:cs="Times New Roman"/>
          <w:sz w:val="24"/>
          <w:szCs w:val="24"/>
          <w:lang w:val="en-US"/>
        </w:rPr>
        <w:t xml:space="preserve"> EU military-industrial complex and exacerbate militarization of European society is another avenue for future (critical) research.</w:t>
      </w:r>
      <w:r w:rsidR="00EB512A" w:rsidRPr="001234AB">
        <w:rPr>
          <w:rFonts w:ascii="Times New Roman" w:hAnsi="Times New Roman" w:cs="Times New Roman"/>
          <w:sz w:val="24"/>
          <w:szCs w:val="24"/>
          <w:lang w:val="en-US"/>
        </w:rPr>
        <w:t xml:space="preserve"> </w:t>
      </w:r>
      <w:r w:rsidR="00492161" w:rsidRPr="001234AB">
        <w:rPr>
          <w:rFonts w:ascii="Times New Roman" w:hAnsi="Times New Roman" w:cs="Times New Roman"/>
          <w:sz w:val="24"/>
          <w:szCs w:val="24"/>
          <w:lang w:val="en-US"/>
        </w:rPr>
        <w:t xml:space="preserve">Further research concerning this topic is especially urgent because the </w:t>
      </w:r>
      <w:r w:rsidR="00EB512A" w:rsidRPr="001234AB">
        <w:rPr>
          <w:rFonts w:ascii="Times New Roman" w:hAnsi="Times New Roman" w:cs="Times New Roman"/>
          <w:sz w:val="24"/>
          <w:szCs w:val="24"/>
          <w:lang w:val="en-US"/>
        </w:rPr>
        <w:t xml:space="preserve">(temporary) </w:t>
      </w:r>
      <w:r w:rsidR="00492161" w:rsidRPr="001234AB">
        <w:rPr>
          <w:rFonts w:ascii="Times New Roman" w:hAnsi="Times New Roman" w:cs="Times New Roman"/>
          <w:sz w:val="24"/>
          <w:szCs w:val="24"/>
          <w:lang w:val="en-US"/>
        </w:rPr>
        <w:t>institutionalization of common debt has almost fully escaped the public perception due to the complexity of the institutional design of NGEU, as well as the undemocratic power of the Commission (Heinemann, 2021, p. 520</w:t>
      </w:r>
      <w:r w:rsidR="00D85E44" w:rsidRPr="001234AB">
        <w:rPr>
          <w:rFonts w:ascii="Times New Roman" w:hAnsi="Times New Roman" w:cs="Times New Roman"/>
          <w:sz w:val="24"/>
          <w:szCs w:val="24"/>
          <w:lang w:val="en-US"/>
        </w:rPr>
        <w:t>).</w:t>
      </w:r>
      <w:r w:rsidR="00492161" w:rsidRPr="001234AB">
        <w:rPr>
          <w:rFonts w:ascii="Times New Roman" w:hAnsi="Times New Roman" w:cs="Times New Roman"/>
          <w:sz w:val="24"/>
          <w:szCs w:val="24"/>
          <w:lang w:val="en-US"/>
        </w:rPr>
        <w:br/>
      </w:r>
      <w:r w:rsidR="00D85E44" w:rsidRPr="001234AB">
        <w:rPr>
          <w:rFonts w:ascii="Times New Roman" w:eastAsia="Calibri" w:hAnsi="Times New Roman" w:cs="Times New Roman"/>
          <w:sz w:val="24"/>
          <w:szCs w:val="24"/>
          <w:lang w:val="en-US"/>
        </w:rPr>
        <w:br/>
      </w:r>
      <w:r w:rsidR="00EB512A" w:rsidRPr="001234AB">
        <w:rPr>
          <w:rFonts w:ascii="Times New Roman" w:eastAsia="Calibri" w:hAnsi="Times New Roman" w:cs="Times New Roman"/>
          <w:sz w:val="24"/>
          <w:szCs w:val="24"/>
          <w:lang w:val="en-US"/>
        </w:rPr>
        <w:t>Furthermore, i</w:t>
      </w:r>
      <w:r w:rsidR="00492161" w:rsidRPr="001234AB">
        <w:rPr>
          <w:rFonts w:ascii="Times New Roman" w:eastAsia="Calibri" w:hAnsi="Times New Roman" w:cs="Times New Roman"/>
          <w:sz w:val="24"/>
          <w:szCs w:val="24"/>
          <w:lang w:val="en-US"/>
        </w:rPr>
        <w:t xml:space="preserve">n February 2024, the European Parliament and Council agreed on the much-delayed reform of the EU’s fiscal rules </w:t>
      </w:r>
      <w:r w:rsidR="00603DE8" w:rsidRPr="001234AB">
        <w:rPr>
          <w:rFonts w:ascii="Times New Roman" w:eastAsia="Calibri" w:hAnsi="Times New Roman" w:cs="Times New Roman"/>
          <w:sz w:val="24"/>
          <w:szCs w:val="24"/>
          <w:lang w:val="en-US"/>
        </w:rPr>
        <w:t xml:space="preserve">(Moller-Nielsen, 2024b). </w:t>
      </w:r>
      <w:r w:rsidR="00492161" w:rsidRPr="001234AB">
        <w:rPr>
          <w:rFonts w:ascii="Times New Roman" w:eastAsia="Calibri" w:hAnsi="Times New Roman" w:cs="Times New Roman"/>
          <w:sz w:val="24"/>
          <w:szCs w:val="24"/>
          <w:lang w:val="en-US"/>
        </w:rPr>
        <w:t>The new set of rules focuses on reducing budget deficits and public debt, as EU’s total debt-to-annual GDP ratio is 83.5%</w:t>
      </w:r>
      <w:r w:rsidR="00603DE8" w:rsidRPr="001234AB">
        <w:rPr>
          <w:rFonts w:ascii="Times New Roman" w:eastAsia="Calibri" w:hAnsi="Times New Roman" w:cs="Times New Roman"/>
          <w:sz w:val="24"/>
          <w:szCs w:val="24"/>
          <w:lang w:val="en-US"/>
        </w:rPr>
        <w:t xml:space="preserve"> (Moller-Nielsen, 2024a). </w:t>
      </w:r>
      <w:r w:rsidR="00492161" w:rsidRPr="001234AB">
        <w:rPr>
          <w:rFonts w:ascii="Times New Roman" w:eastAsia="Calibri" w:hAnsi="Times New Roman" w:cs="Times New Roman"/>
          <w:sz w:val="24"/>
          <w:szCs w:val="24"/>
          <w:lang w:val="en-US"/>
        </w:rPr>
        <w:t xml:space="preserve">Since the EU treaty requires a debt ratio of 60% of GDP and a budget deficit of no more than 3%, EU’s stricter debt reduction rules </w:t>
      </w:r>
      <w:r w:rsidR="00EB512A" w:rsidRPr="001234AB">
        <w:rPr>
          <w:rFonts w:ascii="Times New Roman" w:eastAsia="Calibri" w:hAnsi="Times New Roman" w:cs="Times New Roman"/>
          <w:sz w:val="24"/>
          <w:szCs w:val="24"/>
          <w:lang w:val="en-US"/>
        </w:rPr>
        <w:t>are</w:t>
      </w:r>
      <w:r w:rsidR="00492161" w:rsidRPr="001234AB">
        <w:rPr>
          <w:rFonts w:ascii="Times New Roman" w:eastAsia="Calibri" w:hAnsi="Times New Roman" w:cs="Times New Roman"/>
          <w:sz w:val="24"/>
          <w:szCs w:val="24"/>
          <w:lang w:val="en-US"/>
        </w:rPr>
        <w:t xml:space="preserve"> likely to unleash a new round of austerity</w:t>
      </w:r>
      <w:r w:rsidR="00603DE8" w:rsidRPr="001234AB">
        <w:rPr>
          <w:rFonts w:ascii="Times New Roman" w:eastAsia="Calibri" w:hAnsi="Times New Roman" w:cs="Times New Roman"/>
          <w:sz w:val="24"/>
          <w:szCs w:val="24"/>
          <w:lang w:val="en-US"/>
        </w:rPr>
        <w:t>.</w:t>
      </w:r>
      <w:r w:rsidR="00553218" w:rsidRPr="001234AB">
        <w:rPr>
          <w:rFonts w:ascii="Times New Roman" w:eastAsia="Calibri" w:hAnsi="Times New Roman" w:cs="Times New Roman"/>
          <w:sz w:val="24"/>
          <w:szCs w:val="24"/>
          <w:lang w:val="en-US"/>
        </w:rPr>
        <w:t xml:space="preserve"> At the same time, there are increasing demands for speeding up the integration of capital markets to complete the CMU (Moller-Nielsen, 2024c). </w:t>
      </w:r>
      <w:r w:rsidR="00492161" w:rsidRPr="001234AB">
        <w:rPr>
          <w:rFonts w:ascii="Times New Roman" w:eastAsia="Calibri" w:hAnsi="Times New Roman" w:cs="Times New Roman"/>
          <w:sz w:val="24"/>
          <w:szCs w:val="24"/>
          <w:lang w:val="en-US"/>
        </w:rPr>
        <w:t>The</w:t>
      </w:r>
      <w:r w:rsidR="00553218" w:rsidRPr="001234AB">
        <w:rPr>
          <w:rFonts w:ascii="Times New Roman" w:eastAsia="Calibri" w:hAnsi="Times New Roman" w:cs="Times New Roman"/>
          <w:sz w:val="24"/>
          <w:szCs w:val="24"/>
          <w:lang w:val="en-US"/>
        </w:rPr>
        <w:t xml:space="preserve">se developments </w:t>
      </w:r>
      <w:r w:rsidR="00492161" w:rsidRPr="001234AB">
        <w:rPr>
          <w:rFonts w:ascii="Times New Roman" w:eastAsia="Calibri" w:hAnsi="Times New Roman" w:cs="Times New Roman"/>
          <w:sz w:val="24"/>
          <w:szCs w:val="24"/>
          <w:lang w:val="en-US"/>
        </w:rPr>
        <w:t>bring to the fore a major contradiction of the EU: the EU punishes Member States for having debt, while being fundamental in the facilitation of debt-led accumulation.</w:t>
      </w:r>
      <w:r w:rsidR="00553218" w:rsidRPr="001234AB">
        <w:rPr>
          <w:rFonts w:ascii="Times New Roman" w:eastAsia="Calibri" w:hAnsi="Times New Roman" w:cs="Times New Roman"/>
          <w:sz w:val="24"/>
          <w:szCs w:val="24"/>
          <w:lang w:val="en-US"/>
        </w:rPr>
        <w:t xml:space="preserve"> </w:t>
      </w:r>
      <w:r w:rsidR="00492161" w:rsidRPr="001234AB">
        <w:rPr>
          <w:rFonts w:ascii="Times New Roman" w:eastAsia="Calibri" w:hAnsi="Times New Roman" w:cs="Times New Roman"/>
          <w:sz w:val="24"/>
          <w:szCs w:val="24"/>
          <w:lang w:val="en-US"/>
        </w:rPr>
        <w:t xml:space="preserve">This contradiction </w:t>
      </w:r>
      <w:r w:rsidR="005F4245" w:rsidRPr="001234AB">
        <w:rPr>
          <w:rFonts w:ascii="Times New Roman" w:eastAsia="Calibri" w:hAnsi="Times New Roman" w:cs="Times New Roman"/>
          <w:sz w:val="24"/>
          <w:szCs w:val="24"/>
          <w:lang w:val="en-US"/>
        </w:rPr>
        <w:t xml:space="preserve">is indicative of </w:t>
      </w:r>
      <w:r w:rsidR="00492161" w:rsidRPr="001234AB">
        <w:rPr>
          <w:rFonts w:ascii="Times New Roman" w:eastAsia="Calibri" w:hAnsi="Times New Roman" w:cs="Times New Roman"/>
          <w:sz w:val="24"/>
          <w:szCs w:val="24"/>
          <w:lang w:val="en-US"/>
        </w:rPr>
        <w:t xml:space="preserve">an even bigger contradiction of the capitalist global economy. </w:t>
      </w:r>
      <w:r w:rsidR="002F7529" w:rsidRPr="001234AB">
        <w:rPr>
          <w:rFonts w:ascii="Times New Roman" w:eastAsia="Calibri" w:hAnsi="Times New Roman" w:cs="Times New Roman"/>
          <w:sz w:val="24"/>
          <w:szCs w:val="24"/>
          <w:lang w:val="en-US"/>
        </w:rPr>
        <w:t xml:space="preserve">Rising debt levels in combination with the required growth to </w:t>
      </w:r>
      <w:r w:rsidR="00492161" w:rsidRPr="001234AB">
        <w:rPr>
          <w:rFonts w:ascii="Times New Roman" w:eastAsia="Calibri" w:hAnsi="Times New Roman" w:cs="Times New Roman"/>
          <w:sz w:val="24"/>
          <w:szCs w:val="24"/>
          <w:lang w:val="en-US"/>
        </w:rPr>
        <w:t>keep the debt going, is intrinsically unstainable.</w:t>
      </w:r>
      <w:r w:rsidR="005F4245" w:rsidRPr="001234AB">
        <w:rPr>
          <w:rFonts w:ascii="Times New Roman" w:eastAsia="Calibri" w:hAnsi="Times New Roman" w:cs="Times New Roman"/>
          <w:sz w:val="24"/>
          <w:szCs w:val="24"/>
          <w:lang w:val="en-US"/>
        </w:rPr>
        <w:t xml:space="preserve"> </w:t>
      </w:r>
      <w:r w:rsidR="002F7529" w:rsidRPr="001234AB">
        <w:rPr>
          <w:rFonts w:ascii="Times New Roman" w:eastAsia="Calibri" w:hAnsi="Times New Roman" w:cs="Times New Roman"/>
          <w:sz w:val="24"/>
          <w:szCs w:val="24"/>
          <w:lang w:val="en-US"/>
        </w:rPr>
        <w:t>While the capitalist class as the creditor class sits on an ever</w:t>
      </w:r>
      <w:r w:rsidR="00B26F7D" w:rsidRPr="001234AB">
        <w:rPr>
          <w:rFonts w:ascii="Times New Roman" w:eastAsia="Calibri" w:hAnsi="Times New Roman" w:cs="Times New Roman"/>
          <w:sz w:val="24"/>
          <w:szCs w:val="24"/>
          <w:lang w:val="en-US"/>
        </w:rPr>
        <w:t>-</w:t>
      </w:r>
      <w:r w:rsidR="002F7529" w:rsidRPr="001234AB">
        <w:rPr>
          <w:rFonts w:ascii="Times New Roman" w:eastAsia="Calibri" w:hAnsi="Times New Roman" w:cs="Times New Roman"/>
          <w:sz w:val="24"/>
          <w:szCs w:val="24"/>
          <w:lang w:val="en-US"/>
        </w:rPr>
        <w:t xml:space="preserve">growing claim on surplus value, the working class </w:t>
      </w:r>
      <w:r w:rsidR="005F4245" w:rsidRPr="001234AB">
        <w:rPr>
          <w:rFonts w:ascii="Times New Roman" w:eastAsia="Calibri" w:hAnsi="Times New Roman" w:cs="Times New Roman"/>
          <w:sz w:val="24"/>
          <w:szCs w:val="24"/>
          <w:lang w:val="en-US"/>
        </w:rPr>
        <w:t>plunges itself even further into debt to service the debt. C</w:t>
      </w:r>
      <w:r w:rsidR="00492161" w:rsidRPr="001234AB">
        <w:rPr>
          <w:rFonts w:ascii="Times New Roman" w:eastAsia="Calibri" w:hAnsi="Times New Roman" w:cs="Times New Roman"/>
          <w:sz w:val="24"/>
          <w:szCs w:val="24"/>
          <w:lang w:val="en-US"/>
        </w:rPr>
        <w:t>ritical political economy and its theorization of capitalism as an inherently flawed system is vital</w:t>
      </w:r>
      <w:r w:rsidR="005F4245" w:rsidRPr="001234AB">
        <w:rPr>
          <w:rFonts w:ascii="Times New Roman" w:eastAsia="Calibri" w:hAnsi="Times New Roman" w:cs="Times New Roman"/>
          <w:sz w:val="24"/>
          <w:szCs w:val="24"/>
          <w:lang w:val="en-US"/>
        </w:rPr>
        <w:t xml:space="preserve"> for the comprehension of </w:t>
      </w:r>
      <w:r w:rsidR="00C3041A" w:rsidRPr="001234AB">
        <w:rPr>
          <w:rFonts w:ascii="Times New Roman" w:eastAsia="Calibri" w:hAnsi="Times New Roman" w:cs="Times New Roman"/>
          <w:sz w:val="24"/>
          <w:szCs w:val="24"/>
          <w:lang w:val="en-US"/>
        </w:rPr>
        <w:t xml:space="preserve">this contradiction. </w:t>
      </w:r>
      <w:r w:rsidR="00492161" w:rsidRPr="001234AB">
        <w:rPr>
          <w:rFonts w:ascii="Times New Roman" w:eastAsia="Calibri" w:hAnsi="Times New Roman" w:cs="Times New Roman"/>
          <w:sz w:val="24"/>
          <w:szCs w:val="24"/>
          <w:lang w:val="en-US"/>
        </w:rPr>
        <w:t xml:space="preserve">Most required is its </w:t>
      </w:r>
      <w:r w:rsidR="00B26F7D" w:rsidRPr="001234AB">
        <w:rPr>
          <w:rFonts w:ascii="Times New Roman" w:eastAsia="Calibri" w:hAnsi="Times New Roman" w:cs="Times New Roman"/>
          <w:sz w:val="24"/>
          <w:szCs w:val="24"/>
          <w:lang w:val="en-US"/>
        </w:rPr>
        <w:t xml:space="preserve">unique </w:t>
      </w:r>
      <w:r w:rsidR="00492161" w:rsidRPr="001234AB">
        <w:rPr>
          <w:rFonts w:ascii="Times New Roman" w:eastAsia="Calibri" w:hAnsi="Times New Roman" w:cs="Times New Roman"/>
          <w:sz w:val="24"/>
          <w:szCs w:val="24"/>
          <w:lang w:val="en-US"/>
        </w:rPr>
        <w:lastRenderedPageBreak/>
        <w:t>ability to contribute to the mobilization of people towards truly liberatory horizon</w:t>
      </w:r>
      <w:r w:rsidR="00B26F7D" w:rsidRPr="001234AB">
        <w:rPr>
          <w:rFonts w:ascii="Times New Roman" w:eastAsia="Calibri" w:hAnsi="Times New Roman" w:cs="Times New Roman"/>
          <w:sz w:val="24"/>
          <w:szCs w:val="24"/>
          <w:lang w:val="en-US"/>
        </w:rPr>
        <w:t xml:space="preserve">s. These horizons are fundamental for moving </w:t>
      </w:r>
      <w:r w:rsidR="002F7529" w:rsidRPr="001234AB">
        <w:rPr>
          <w:rFonts w:ascii="Times New Roman" w:eastAsia="Calibri" w:hAnsi="Times New Roman" w:cs="Times New Roman"/>
          <w:sz w:val="24"/>
          <w:szCs w:val="24"/>
          <w:lang w:val="en-US"/>
        </w:rPr>
        <w:t xml:space="preserve">away from a society that is troubled by the asymmetric burden of debt. </w:t>
      </w:r>
    </w:p>
    <w:p w14:paraId="04A1FCFA"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2F6EB4C3"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7AD41AEF"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285C375C"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35546962"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12E6AF3A"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54AD2E92"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47C194A0"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1C39CF80"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7ABF5CD7"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7BF5BCF6"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647D525F"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1549B5AB"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5796C416"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262EAB75"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78C15F19"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6035DF93"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554D8DBD"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034C14AB"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553DC1A0"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76F45653"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2CA6F24F"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7784F981" w14:textId="77777777" w:rsidR="009F480D" w:rsidRPr="001234AB" w:rsidRDefault="009F480D" w:rsidP="00F807BD">
      <w:pPr>
        <w:spacing w:line="360" w:lineRule="auto"/>
        <w:rPr>
          <w:rFonts w:ascii="Times New Roman" w:eastAsia="Calibri" w:hAnsi="Times New Roman" w:cs="Times New Roman"/>
          <w:sz w:val="24"/>
          <w:szCs w:val="24"/>
          <w:lang w:val="en-US"/>
        </w:rPr>
      </w:pPr>
    </w:p>
    <w:p w14:paraId="5E9A7459" w14:textId="62C2C02A" w:rsidR="009F480D" w:rsidRPr="001234AB" w:rsidRDefault="006C6776" w:rsidP="00F807BD">
      <w:pPr>
        <w:spacing w:line="360" w:lineRule="auto"/>
        <w:rPr>
          <w:rFonts w:ascii="Times New Roman" w:hAnsi="Times New Roman" w:cs="Times New Roman"/>
          <w:sz w:val="24"/>
          <w:szCs w:val="24"/>
          <w:lang w:val="en-US"/>
        </w:rPr>
      </w:pPr>
      <w:r>
        <w:rPr>
          <w:rFonts w:ascii="Times New Roman" w:eastAsia="Calibri" w:hAnsi="Times New Roman" w:cs="Times New Roman"/>
          <w:b/>
          <w:bCs/>
          <w:sz w:val="24"/>
          <w:szCs w:val="24"/>
          <w:lang w:val="en-US"/>
        </w:rPr>
        <w:t>References</w:t>
      </w:r>
      <w:r w:rsidR="009F480D" w:rsidRPr="001234AB">
        <w:rPr>
          <w:rFonts w:ascii="Times New Roman" w:eastAsia="Calibri" w:hAnsi="Times New Roman" w:cs="Times New Roman"/>
          <w:sz w:val="24"/>
          <w:szCs w:val="24"/>
          <w:lang w:val="en-US"/>
        </w:rPr>
        <w:br/>
      </w:r>
      <w:r w:rsidR="009F480D" w:rsidRPr="001234AB">
        <w:rPr>
          <w:rFonts w:ascii="Times New Roman" w:hAnsi="Times New Roman" w:cs="Times New Roman"/>
          <w:sz w:val="24"/>
          <w:szCs w:val="24"/>
          <w:lang w:val="en-US"/>
        </w:rPr>
        <w:t>Adrian, T., &amp; Shin, H. S. (2010). Liquidity and leverage</w:t>
      </w:r>
      <w:r w:rsidR="009F480D" w:rsidRPr="001234AB">
        <w:rPr>
          <w:rFonts w:ascii="Times New Roman" w:hAnsi="Times New Roman" w:cs="Times New Roman"/>
          <w:i/>
          <w:iCs/>
          <w:sz w:val="24"/>
          <w:szCs w:val="24"/>
          <w:lang w:val="en-US"/>
        </w:rPr>
        <w:t>. Journal of Financial Intermediation</w:t>
      </w:r>
      <w:r w:rsidR="009F480D" w:rsidRPr="001234AB">
        <w:rPr>
          <w:rFonts w:ascii="Times New Roman" w:hAnsi="Times New Roman" w:cs="Times New Roman"/>
          <w:sz w:val="24"/>
          <w:szCs w:val="24"/>
          <w:lang w:val="en-US"/>
        </w:rPr>
        <w:t xml:space="preserve">, 19(3), 418–437. </w:t>
      </w:r>
      <w:hyperlink r:id="rId13" w:history="1">
        <w:r w:rsidR="009F480D" w:rsidRPr="001234AB">
          <w:rPr>
            <w:rStyle w:val="Hyperlink"/>
            <w:rFonts w:ascii="Times New Roman" w:hAnsi="Times New Roman" w:cs="Times New Roman"/>
            <w:sz w:val="24"/>
            <w:szCs w:val="24"/>
            <w:lang w:val="en-US"/>
          </w:rPr>
          <w:t>https://doi.org/10.1016/j.jfi.2008.12.002</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AFME. (n.d.). </w:t>
      </w:r>
      <w:r w:rsidR="009F480D" w:rsidRPr="001234AB">
        <w:rPr>
          <w:rFonts w:ascii="Times New Roman" w:hAnsi="Times New Roman" w:cs="Times New Roman"/>
          <w:i/>
          <w:iCs/>
          <w:sz w:val="24"/>
          <w:szCs w:val="24"/>
          <w:lang w:val="en-US"/>
        </w:rPr>
        <w:t>Introducing AFME</w:t>
      </w:r>
      <w:r w:rsidR="009F480D" w:rsidRPr="001234AB">
        <w:rPr>
          <w:rFonts w:ascii="Times New Roman" w:hAnsi="Times New Roman" w:cs="Times New Roman"/>
          <w:sz w:val="24"/>
          <w:szCs w:val="24"/>
          <w:lang w:val="en-US"/>
        </w:rPr>
        <w:t xml:space="preserve">. Retrieved from </w:t>
      </w:r>
      <w:hyperlink r:id="rId14" w:history="1">
        <w:r w:rsidR="009F480D" w:rsidRPr="001234AB">
          <w:rPr>
            <w:rStyle w:val="Hyperlink"/>
            <w:rFonts w:ascii="Times New Roman" w:hAnsi="Times New Roman" w:cs="Times New Roman"/>
            <w:sz w:val="24"/>
            <w:szCs w:val="24"/>
            <w:lang w:val="en-US"/>
          </w:rPr>
          <w:t>https://www.afme.eu/about-us/introducing-afme</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AFME (2012). </w:t>
      </w:r>
      <w:r w:rsidR="009F480D" w:rsidRPr="001234AB">
        <w:rPr>
          <w:rFonts w:ascii="Times New Roman" w:hAnsi="Times New Roman" w:cs="Times New Roman"/>
          <w:i/>
          <w:iCs/>
          <w:sz w:val="24"/>
          <w:szCs w:val="24"/>
          <w:lang w:val="en-US"/>
        </w:rPr>
        <w:t xml:space="preserve">Financial Industry Launches ‘PCS’ </w:t>
      </w:r>
      <w:proofErr w:type="spellStart"/>
      <w:r w:rsidR="009F480D" w:rsidRPr="001234AB">
        <w:rPr>
          <w:rFonts w:ascii="Times New Roman" w:hAnsi="Times New Roman" w:cs="Times New Roman"/>
          <w:i/>
          <w:iCs/>
          <w:sz w:val="24"/>
          <w:szCs w:val="24"/>
          <w:lang w:val="en-US"/>
        </w:rPr>
        <w:t>Securitisation</w:t>
      </w:r>
      <w:proofErr w:type="spellEnd"/>
      <w:r w:rsidR="009F480D" w:rsidRPr="001234AB">
        <w:rPr>
          <w:rFonts w:ascii="Times New Roman" w:hAnsi="Times New Roman" w:cs="Times New Roman"/>
          <w:i/>
          <w:iCs/>
          <w:sz w:val="24"/>
          <w:szCs w:val="24"/>
          <w:lang w:val="en-US"/>
        </w:rPr>
        <w:t xml:space="preserve"> Label to </w:t>
      </w:r>
      <w:proofErr w:type="spellStart"/>
      <w:r w:rsidR="009F480D" w:rsidRPr="001234AB">
        <w:rPr>
          <w:rFonts w:ascii="Times New Roman" w:hAnsi="Times New Roman" w:cs="Times New Roman"/>
          <w:i/>
          <w:iCs/>
          <w:sz w:val="24"/>
          <w:szCs w:val="24"/>
          <w:lang w:val="en-US"/>
        </w:rPr>
        <w:t>Revitalise</w:t>
      </w:r>
      <w:proofErr w:type="spellEnd"/>
      <w:r w:rsidR="009F480D" w:rsidRPr="001234AB">
        <w:rPr>
          <w:rFonts w:ascii="Times New Roman" w:hAnsi="Times New Roman" w:cs="Times New Roman"/>
          <w:i/>
          <w:iCs/>
          <w:sz w:val="24"/>
          <w:szCs w:val="24"/>
          <w:lang w:val="en-US"/>
        </w:rPr>
        <w:t xml:space="preserve"> Market</w:t>
      </w:r>
      <w:r w:rsidR="009F480D" w:rsidRPr="001234AB">
        <w:rPr>
          <w:rFonts w:ascii="Times New Roman" w:hAnsi="Times New Roman" w:cs="Times New Roman"/>
          <w:sz w:val="24"/>
          <w:szCs w:val="24"/>
          <w:lang w:val="en-US"/>
        </w:rPr>
        <w:t xml:space="preserve">. Retrieved from </w:t>
      </w:r>
      <w:hyperlink r:id="rId15" w:history="1">
        <w:r w:rsidR="009F480D" w:rsidRPr="001234AB">
          <w:rPr>
            <w:rStyle w:val="Hyperlink"/>
            <w:rFonts w:ascii="Times New Roman" w:hAnsi="Times New Roman" w:cs="Times New Roman"/>
            <w:sz w:val="24"/>
            <w:szCs w:val="24"/>
            <w:lang w:val="en-US"/>
          </w:rPr>
          <w:t>https://www.afme.eu/Portals/0/globalassets/downloads/press-releases/2012/PCSrelease.pdf?ver=2019-09-11-143543-457</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AFME. (2013) </w:t>
      </w:r>
      <w:r w:rsidR="009F480D" w:rsidRPr="001234AB">
        <w:rPr>
          <w:rFonts w:ascii="Times New Roman" w:hAnsi="Times New Roman" w:cs="Times New Roman"/>
          <w:i/>
          <w:iCs/>
          <w:sz w:val="24"/>
          <w:szCs w:val="24"/>
          <w:lang w:val="en-US"/>
        </w:rPr>
        <w:t>Shaping the growth agenda</w:t>
      </w:r>
      <w:r w:rsidR="009F480D" w:rsidRPr="001234AB">
        <w:rPr>
          <w:rFonts w:ascii="Times New Roman" w:hAnsi="Times New Roman" w:cs="Times New Roman"/>
          <w:sz w:val="24"/>
          <w:szCs w:val="24"/>
          <w:lang w:val="en-US"/>
        </w:rPr>
        <w:t xml:space="preserve">. Retrieved from </w:t>
      </w:r>
      <w:hyperlink r:id="rId16" w:history="1">
        <w:r w:rsidR="009F480D" w:rsidRPr="001234AB">
          <w:rPr>
            <w:rStyle w:val="Hyperlink"/>
            <w:rFonts w:ascii="Times New Roman" w:hAnsi="Times New Roman" w:cs="Times New Roman"/>
            <w:sz w:val="24"/>
            <w:szCs w:val="24"/>
            <w:lang w:val="en-US"/>
          </w:rPr>
          <w:t>https://www.afme.eu/portals/0/globalassets/downloads/annual-review/afme-annual-review-2013.pdf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b/>
          <w:bCs/>
          <w:sz w:val="24"/>
          <w:szCs w:val="24"/>
          <w:lang w:val="en-US"/>
        </w:rPr>
        <w:br/>
      </w:r>
      <w:r w:rsidR="009F480D" w:rsidRPr="001234AB">
        <w:rPr>
          <w:rFonts w:ascii="Times New Roman" w:hAnsi="Times New Roman" w:cs="Times New Roman"/>
          <w:b/>
          <w:bCs/>
          <w:sz w:val="24"/>
          <w:szCs w:val="24"/>
          <w:lang w:val="en-US"/>
        </w:rPr>
        <w:br/>
      </w:r>
      <w:r w:rsidR="009F480D" w:rsidRPr="001234AB">
        <w:rPr>
          <w:rFonts w:ascii="Times New Roman" w:hAnsi="Times New Roman" w:cs="Times New Roman"/>
          <w:sz w:val="24"/>
          <w:szCs w:val="24"/>
          <w:lang w:val="en-US"/>
        </w:rPr>
        <w:t xml:space="preserve">AFME. (2017). </w:t>
      </w:r>
      <w:r w:rsidR="009F480D" w:rsidRPr="001234AB">
        <w:rPr>
          <w:rFonts w:ascii="Times New Roman" w:hAnsi="Times New Roman" w:cs="Times New Roman"/>
          <w:i/>
          <w:iCs/>
          <w:sz w:val="24"/>
          <w:szCs w:val="24"/>
          <w:lang w:val="en-US"/>
        </w:rPr>
        <w:t>Annual Review 2017</w:t>
      </w:r>
      <w:r w:rsidR="009F480D" w:rsidRPr="001234AB">
        <w:rPr>
          <w:rFonts w:ascii="Times New Roman" w:hAnsi="Times New Roman" w:cs="Times New Roman"/>
          <w:sz w:val="24"/>
          <w:szCs w:val="24"/>
          <w:lang w:val="en-US"/>
        </w:rPr>
        <w:t xml:space="preserve">. Retrieved from </w:t>
      </w:r>
      <w:hyperlink r:id="rId17" w:history="1">
        <w:r w:rsidR="009F480D" w:rsidRPr="001234AB">
          <w:rPr>
            <w:rStyle w:val="Hyperlink"/>
            <w:rFonts w:ascii="Times New Roman" w:hAnsi="Times New Roman" w:cs="Times New Roman"/>
            <w:sz w:val="24"/>
            <w:szCs w:val="24"/>
            <w:lang w:val="en-US"/>
          </w:rPr>
          <w:t>https://www.afme.eu/publications/reports/details/annual-review-2017</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AFME. (2018). </w:t>
      </w:r>
      <w:r w:rsidR="009F480D" w:rsidRPr="001234AB">
        <w:rPr>
          <w:rFonts w:ascii="Times New Roman" w:hAnsi="Times New Roman" w:cs="Times New Roman"/>
          <w:i/>
          <w:iCs/>
          <w:sz w:val="24"/>
          <w:szCs w:val="24"/>
          <w:lang w:val="en-US"/>
        </w:rPr>
        <w:t>Consultation response European Commission Inception Impact Assessment – Enabling regulatory framework for the development of sovereign bond-backed securities</w:t>
      </w:r>
      <w:r w:rsidR="009F480D" w:rsidRPr="001234AB">
        <w:rPr>
          <w:rFonts w:ascii="Times New Roman" w:hAnsi="Times New Roman" w:cs="Times New Roman"/>
          <w:sz w:val="24"/>
          <w:szCs w:val="24"/>
          <w:lang w:val="en-US"/>
        </w:rPr>
        <w:t xml:space="preserve">. Retrieved from </w:t>
      </w:r>
      <w:hyperlink r:id="rId18" w:history="1">
        <w:r w:rsidR="009F480D" w:rsidRPr="001234AB">
          <w:rPr>
            <w:rStyle w:val="Hyperlink"/>
            <w:rFonts w:ascii="Times New Roman" w:hAnsi="Times New Roman" w:cs="Times New Roman"/>
            <w:sz w:val="24"/>
            <w:szCs w:val="24"/>
            <w:lang w:val="en-US"/>
          </w:rPr>
          <w:t>https://www.afme.eu/portals/0/globalassets/downloads/consultation-responses/afme-ppa-response-to-framework-for-sbbs.pdf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AFME. (2019). </w:t>
      </w:r>
      <w:r w:rsidR="009F480D" w:rsidRPr="001234AB">
        <w:rPr>
          <w:rFonts w:ascii="Times New Roman" w:hAnsi="Times New Roman" w:cs="Times New Roman"/>
          <w:i/>
          <w:iCs/>
          <w:sz w:val="24"/>
          <w:szCs w:val="24"/>
          <w:lang w:val="en-US"/>
        </w:rPr>
        <w:t>Annual Review 2019 Europe’s Capital Markets: The next phase and new challenges</w:t>
      </w:r>
      <w:r w:rsidR="009F480D" w:rsidRPr="001234AB">
        <w:rPr>
          <w:rFonts w:ascii="Times New Roman" w:hAnsi="Times New Roman" w:cs="Times New Roman"/>
          <w:sz w:val="24"/>
          <w:szCs w:val="24"/>
          <w:lang w:val="en-US"/>
        </w:rPr>
        <w:t xml:space="preserve">. Retrieved from </w:t>
      </w:r>
      <w:hyperlink r:id="rId19" w:history="1">
        <w:r w:rsidR="009F480D" w:rsidRPr="001234AB">
          <w:rPr>
            <w:rStyle w:val="Hyperlink"/>
            <w:rFonts w:ascii="Times New Roman" w:hAnsi="Times New Roman" w:cs="Times New Roman"/>
            <w:sz w:val="24"/>
            <w:szCs w:val="24"/>
            <w:lang w:val="en-US"/>
          </w:rPr>
          <w:t>https://www.afme.eu/Portals/0/DispatchFeaturedImages/AFME_AnnualReview2019_10-1.pdf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Baccaro</w:t>
      </w:r>
      <w:proofErr w:type="spellEnd"/>
      <w:r w:rsidR="009F480D" w:rsidRPr="001234AB">
        <w:rPr>
          <w:rFonts w:ascii="Times New Roman" w:hAnsi="Times New Roman" w:cs="Times New Roman"/>
          <w:sz w:val="24"/>
          <w:szCs w:val="24"/>
          <w:lang w:val="en-US"/>
        </w:rPr>
        <w:t xml:space="preserve">, L., Bremer, B., &amp; </w:t>
      </w:r>
      <w:proofErr w:type="spellStart"/>
      <w:r w:rsidR="009F480D" w:rsidRPr="001234AB">
        <w:rPr>
          <w:rFonts w:ascii="Times New Roman" w:hAnsi="Times New Roman" w:cs="Times New Roman"/>
          <w:sz w:val="24"/>
          <w:szCs w:val="24"/>
          <w:lang w:val="en-US"/>
        </w:rPr>
        <w:t>Neimanns</w:t>
      </w:r>
      <w:proofErr w:type="spellEnd"/>
      <w:r w:rsidR="009F480D" w:rsidRPr="001234AB">
        <w:rPr>
          <w:rFonts w:ascii="Times New Roman" w:hAnsi="Times New Roman" w:cs="Times New Roman"/>
          <w:sz w:val="24"/>
          <w:szCs w:val="24"/>
          <w:lang w:val="en-US"/>
        </w:rPr>
        <w:t>, E. (2023). Strategic interdependence and preferences for debt mutualization in the eurozone.</w:t>
      </w:r>
      <w:r w:rsidR="009F480D" w:rsidRPr="001234AB">
        <w:rPr>
          <w:rFonts w:ascii="Times New Roman" w:hAnsi="Times New Roman" w:cs="Times New Roman"/>
          <w:i/>
          <w:iCs/>
          <w:sz w:val="24"/>
          <w:szCs w:val="24"/>
          <w:lang w:val="en-US"/>
        </w:rPr>
        <w:t> Review of International Political Economy</w:t>
      </w:r>
      <w:r w:rsidR="009F480D" w:rsidRPr="001234AB">
        <w:rPr>
          <w:rFonts w:ascii="Times New Roman" w:hAnsi="Times New Roman" w:cs="Times New Roman"/>
          <w:sz w:val="24"/>
          <w:szCs w:val="24"/>
          <w:lang w:val="en-US"/>
        </w:rPr>
        <w:t xml:space="preserve">, 30(4), 1459–1485. </w:t>
      </w:r>
      <w:hyperlink r:id="rId20" w:history="1">
        <w:r w:rsidR="009F480D" w:rsidRPr="001234AB">
          <w:rPr>
            <w:rStyle w:val="Hyperlink"/>
            <w:rFonts w:ascii="Times New Roman" w:hAnsi="Times New Roman" w:cs="Times New Roman"/>
            <w:color w:val="auto"/>
            <w:sz w:val="24"/>
            <w:szCs w:val="24"/>
            <w:lang w:val="en-US"/>
          </w:rPr>
          <w:t>https://doi.org/10.1080/09692290.2022.2107043</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lastRenderedPageBreak/>
        <w:t xml:space="preserve">Baglioni, A. S. &amp; Cherubini, U. (2012). A theory of </w:t>
      </w:r>
      <w:proofErr w:type="spellStart"/>
      <w:r w:rsidR="009F480D" w:rsidRPr="001234AB">
        <w:rPr>
          <w:rFonts w:ascii="Times New Roman" w:hAnsi="Times New Roman" w:cs="Times New Roman"/>
          <w:sz w:val="24"/>
          <w:szCs w:val="24"/>
          <w:lang w:val="en-US"/>
        </w:rPr>
        <w:t>eurobonds</w:t>
      </w:r>
      <w:proofErr w:type="spellEnd"/>
      <w:r w:rsidR="009F480D" w:rsidRPr="001234AB">
        <w:rPr>
          <w:rFonts w:ascii="Times New Roman" w:hAnsi="Times New Roman" w:cs="Times New Roman"/>
          <w:sz w:val="24"/>
          <w:szCs w:val="24"/>
          <w:lang w:val="en-US"/>
        </w:rPr>
        <w:t xml:space="preserve">. Available at SSRN: </w:t>
      </w:r>
      <w:hyperlink r:id="rId21" w:history="1">
        <w:r w:rsidR="009F480D" w:rsidRPr="001234AB">
          <w:rPr>
            <w:rStyle w:val="Hyperlink"/>
            <w:rFonts w:ascii="Times New Roman" w:hAnsi="Times New Roman" w:cs="Times New Roman"/>
            <w:sz w:val="24"/>
            <w:szCs w:val="24"/>
            <w:lang w:val="en-US"/>
          </w:rPr>
          <w:t>https://dx.doi.org/10.2139/ssrn.1928573</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Bauer, C., &amp; Adolph, M.-P. (2021). Limited joint liability in structured Eurobonds: Pricing the political costs. </w:t>
      </w:r>
      <w:r w:rsidR="009F480D" w:rsidRPr="001234AB">
        <w:rPr>
          <w:rFonts w:ascii="Times New Roman" w:hAnsi="Times New Roman" w:cs="Times New Roman"/>
          <w:i/>
          <w:iCs/>
          <w:sz w:val="24"/>
          <w:szCs w:val="24"/>
          <w:lang w:val="en-US"/>
        </w:rPr>
        <w:t>Journal of International Money and Finance</w:t>
      </w:r>
      <w:r w:rsidR="009F480D" w:rsidRPr="001234AB">
        <w:rPr>
          <w:rFonts w:ascii="Times New Roman" w:hAnsi="Times New Roman" w:cs="Times New Roman"/>
          <w:sz w:val="24"/>
          <w:szCs w:val="24"/>
          <w:lang w:val="en-US"/>
        </w:rPr>
        <w:t xml:space="preserve">, 113, 1-28. </w:t>
      </w:r>
      <w:hyperlink r:id="rId22" w:history="1">
        <w:r w:rsidR="009F480D" w:rsidRPr="001234AB">
          <w:rPr>
            <w:rStyle w:val="Hyperlink"/>
            <w:rFonts w:ascii="Times New Roman" w:hAnsi="Times New Roman" w:cs="Times New Roman"/>
            <w:sz w:val="24"/>
            <w:szCs w:val="24"/>
            <w:lang w:val="en-US"/>
          </w:rPr>
          <w:t>https://doi.org/10.1016/j.jimonfin.2020.102343</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de-DE"/>
        </w:rPr>
        <w:t xml:space="preserve">BDA. (2010). </w:t>
      </w:r>
      <w:r w:rsidR="009F480D" w:rsidRPr="001234AB">
        <w:rPr>
          <w:rFonts w:ascii="Times New Roman" w:hAnsi="Times New Roman" w:cs="Times New Roman"/>
          <w:i/>
          <w:iCs/>
          <w:sz w:val="24"/>
          <w:szCs w:val="24"/>
          <w:lang w:val="de-DE"/>
        </w:rPr>
        <w:t>Für eine neue europäische Stabilitätspolitik. Gemeinsame Erklärung von BDA und BDI. 29 June</w:t>
      </w:r>
      <w:r w:rsidR="009F480D" w:rsidRPr="001234AB">
        <w:rPr>
          <w:rFonts w:ascii="Times New Roman" w:hAnsi="Times New Roman" w:cs="Times New Roman"/>
          <w:b/>
          <w:bCs/>
          <w:sz w:val="24"/>
          <w:szCs w:val="24"/>
          <w:lang w:val="de-DE"/>
        </w:rPr>
        <w:t>.</w:t>
      </w:r>
      <w:r w:rsidR="009F480D" w:rsidRPr="001234AB">
        <w:rPr>
          <w:rFonts w:ascii="Times New Roman" w:hAnsi="Times New Roman" w:cs="Times New Roman"/>
          <w:sz w:val="24"/>
          <w:szCs w:val="24"/>
          <w:lang w:val="de-DE"/>
        </w:rPr>
        <w:t xml:space="preserve"> </w:t>
      </w:r>
      <w:r w:rsidR="009F480D" w:rsidRPr="001234AB">
        <w:rPr>
          <w:rFonts w:ascii="Times New Roman" w:hAnsi="Times New Roman" w:cs="Times New Roman"/>
          <w:sz w:val="24"/>
          <w:szCs w:val="24"/>
          <w:lang w:val="en-US"/>
        </w:rPr>
        <w:t xml:space="preserve">Retrieved from </w:t>
      </w:r>
      <w:hyperlink r:id="rId23" w:history="1">
        <w:r w:rsidR="009F480D" w:rsidRPr="001234AB">
          <w:rPr>
            <w:rStyle w:val="Hyperlink"/>
            <w:rFonts w:ascii="Times New Roman" w:hAnsi="Times New Roman" w:cs="Times New Roman"/>
            <w:sz w:val="24"/>
            <w:szCs w:val="24"/>
            <w:lang w:val="en-US"/>
          </w:rPr>
          <w:t>https://bdi.eu/download_content/20100702131614.pdf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b/>
          <w:bCs/>
          <w:sz w:val="24"/>
          <w:szCs w:val="24"/>
          <w:lang w:val="en-US"/>
        </w:rPr>
        <w:br/>
      </w:r>
      <w:r w:rsidR="009F480D" w:rsidRPr="001234AB">
        <w:rPr>
          <w:rFonts w:ascii="Times New Roman" w:hAnsi="Times New Roman" w:cs="Times New Roman"/>
          <w:sz w:val="24"/>
          <w:szCs w:val="24"/>
          <w:lang w:val="en-US"/>
        </w:rPr>
        <w:t xml:space="preserve">BDI. (2020). </w:t>
      </w:r>
      <w:r w:rsidR="009F480D" w:rsidRPr="001234AB">
        <w:rPr>
          <w:rFonts w:ascii="Times New Roman" w:hAnsi="Times New Roman" w:cs="Times New Roman"/>
          <w:i/>
          <w:iCs/>
          <w:sz w:val="24"/>
          <w:szCs w:val="24"/>
          <w:lang w:val="en-US"/>
        </w:rPr>
        <w:t>Our Priorities for the European recovery: Solidarity, sustainability and digitalization</w:t>
      </w:r>
      <w:r w:rsidR="009F480D" w:rsidRPr="001234AB">
        <w:rPr>
          <w:rFonts w:ascii="Times New Roman" w:hAnsi="Times New Roman" w:cs="Times New Roman"/>
          <w:sz w:val="24"/>
          <w:szCs w:val="24"/>
          <w:lang w:val="en-US"/>
        </w:rPr>
        <w:t xml:space="preserve">. Retrieved from </w:t>
      </w:r>
      <w:hyperlink r:id="rId24" w:history="1">
        <w:r w:rsidR="009F480D" w:rsidRPr="001234AB">
          <w:rPr>
            <w:rStyle w:val="Hyperlink"/>
            <w:rFonts w:ascii="Times New Roman" w:hAnsi="Times New Roman" w:cs="Times New Roman"/>
            <w:sz w:val="24"/>
            <w:szCs w:val="24"/>
            <w:lang w:val="en-US"/>
          </w:rPr>
          <w:t>https://www.businesseurope.eu/sites/buseur/files/media/other_docs/members/bdi_confindustria_medef_08052020_final.pdf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Becker, J., </w:t>
      </w:r>
      <w:proofErr w:type="spellStart"/>
      <w:r w:rsidR="009F480D" w:rsidRPr="001234AB">
        <w:rPr>
          <w:rFonts w:ascii="Times New Roman" w:hAnsi="Times New Roman" w:cs="Times New Roman"/>
          <w:sz w:val="24"/>
          <w:szCs w:val="24"/>
          <w:lang w:val="en-US"/>
        </w:rPr>
        <w:t>Jäger</w:t>
      </w:r>
      <w:proofErr w:type="spellEnd"/>
      <w:r w:rsidR="009F480D" w:rsidRPr="001234AB">
        <w:rPr>
          <w:rFonts w:ascii="Times New Roman" w:hAnsi="Times New Roman" w:cs="Times New Roman"/>
          <w:sz w:val="24"/>
          <w:szCs w:val="24"/>
          <w:lang w:val="en-US"/>
        </w:rPr>
        <w:t xml:space="preserve">, J., </w:t>
      </w:r>
      <w:proofErr w:type="spellStart"/>
      <w:r w:rsidR="009F480D" w:rsidRPr="001234AB">
        <w:rPr>
          <w:rFonts w:ascii="Times New Roman" w:hAnsi="Times New Roman" w:cs="Times New Roman"/>
          <w:sz w:val="24"/>
          <w:szCs w:val="24"/>
          <w:lang w:val="en-US"/>
        </w:rPr>
        <w:t>Leubolt</w:t>
      </w:r>
      <w:proofErr w:type="spellEnd"/>
      <w:r w:rsidR="009F480D" w:rsidRPr="001234AB">
        <w:rPr>
          <w:rFonts w:ascii="Times New Roman" w:hAnsi="Times New Roman" w:cs="Times New Roman"/>
          <w:sz w:val="24"/>
          <w:szCs w:val="24"/>
          <w:lang w:val="en-US"/>
        </w:rPr>
        <w:t xml:space="preserve">, B., &amp; </w:t>
      </w:r>
      <w:proofErr w:type="spellStart"/>
      <w:r w:rsidR="009F480D" w:rsidRPr="001234AB">
        <w:rPr>
          <w:rFonts w:ascii="Times New Roman" w:hAnsi="Times New Roman" w:cs="Times New Roman"/>
          <w:sz w:val="24"/>
          <w:szCs w:val="24"/>
          <w:lang w:val="en-US"/>
        </w:rPr>
        <w:t>Weissenbacher</w:t>
      </w:r>
      <w:proofErr w:type="spellEnd"/>
      <w:r w:rsidR="009F480D" w:rsidRPr="001234AB">
        <w:rPr>
          <w:rFonts w:ascii="Times New Roman" w:hAnsi="Times New Roman" w:cs="Times New Roman"/>
          <w:sz w:val="24"/>
          <w:szCs w:val="24"/>
          <w:lang w:val="en-US"/>
        </w:rPr>
        <w:t xml:space="preserve">, R. (2010). Peripheral Financialization and Vulnerability to Crisis: A </w:t>
      </w:r>
      <w:proofErr w:type="spellStart"/>
      <w:r w:rsidR="009F480D" w:rsidRPr="001234AB">
        <w:rPr>
          <w:rFonts w:ascii="Times New Roman" w:hAnsi="Times New Roman" w:cs="Times New Roman"/>
          <w:sz w:val="24"/>
          <w:szCs w:val="24"/>
          <w:lang w:val="en-US"/>
        </w:rPr>
        <w:t>Regulationist</w:t>
      </w:r>
      <w:proofErr w:type="spellEnd"/>
      <w:r w:rsidR="009F480D" w:rsidRPr="001234AB">
        <w:rPr>
          <w:rFonts w:ascii="Times New Roman" w:hAnsi="Times New Roman" w:cs="Times New Roman"/>
          <w:sz w:val="24"/>
          <w:szCs w:val="24"/>
          <w:lang w:val="en-US"/>
        </w:rPr>
        <w:t xml:space="preserve"> Perspective. </w:t>
      </w:r>
      <w:proofErr w:type="spellStart"/>
      <w:r w:rsidR="009F480D" w:rsidRPr="001234AB">
        <w:rPr>
          <w:rFonts w:ascii="Times New Roman" w:hAnsi="Times New Roman" w:cs="Times New Roman"/>
          <w:i/>
          <w:iCs/>
          <w:sz w:val="24"/>
          <w:szCs w:val="24"/>
          <w:lang w:val="fr-FR"/>
        </w:rPr>
        <w:t>Competition</w:t>
      </w:r>
      <w:proofErr w:type="spellEnd"/>
      <w:r w:rsidR="009F480D" w:rsidRPr="001234AB">
        <w:rPr>
          <w:rFonts w:ascii="Times New Roman" w:hAnsi="Times New Roman" w:cs="Times New Roman"/>
          <w:i/>
          <w:iCs/>
          <w:sz w:val="24"/>
          <w:szCs w:val="24"/>
          <w:lang w:val="fr-FR"/>
        </w:rPr>
        <w:t xml:space="preserve"> &amp; Change</w:t>
      </w:r>
      <w:r w:rsidR="009F480D" w:rsidRPr="001234AB">
        <w:rPr>
          <w:rFonts w:ascii="Times New Roman" w:hAnsi="Times New Roman" w:cs="Times New Roman"/>
          <w:sz w:val="24"/>
          <w:szCs w:val="24"/>
          <w:lang w:val="fr-FR"/>
        </w:rPr>
        <w:t xml:space="preserve">, 14(3-4), 225–247. </w:t>
      </w:r>
      <w:hyperlink r:id="rId25" w:history="1">
        <w:r w:rsidR="009F480D" w:rsidRPr="001234AB">
          <w:rPr>
            <w:rStyle w:val="Hyperlink"/>
            <w:rFonts w:ascii="Times New Roman" w:hAnsi="Times New Roman" w:cs="Times New Roman"/>
            <w:sz w:val="24"/>
            <w:szCs w:val="24"/>
            <w:lang w:val="fr-FR"/>
          </w:rPr>
          <w:t>https://doi.org/10.1179/102452910X12837703615337</w:t>
        </w:r>
      </w:hyperlink>
      <w:r w:rsidR="009F480D" w:rsidRPr="001234AB">
        <w:rPr>
          <w:rFonts w:ascii="Times New Roman" w:hAnsi="Times New Roman" w:cs="Times New Roman"/>
          <w:sz w:val="24"/>
          <w:szCs w:val="24"/>
          <w:lang w:val="fr-FR"/>
        </w:rPr>
        <w:t>.</w:t>
      </w:r>
      <w:r w:rsidR="009F480D" w:rsidRPr="001234AB">
        <w:rPr>
          <w:rFonts w:ascii="Times New Roman" w:hAnsi="Times New Roman" w:cs="Times New Roman"/>
          <w:sz w:val="24"/>
          <w:szCs w:val="24"/>
          <w:lang w:val="fr-FR"/>
        </w:rPr>
        <w:br/>
      </w:r>
      <w:r w:rsidR="009F480D" w:rsidRPr="001234AB">
        <w:rPr>
          <w:rFonts w:ascii="Times New Roman" w:hAnsi="Times New Roman" w:cs="Times New Roman"/>
          <w:sz w:val="24"/>
          <w:szCs w:val="24"/>
          <w:lang w:val="fr-FR"/>
        </w:rPr>
        <w:br/>
      </w:r>
      <w:proofErr w:type="spellStart"/>
      <w:r w:rsidR="009F480D" w:rsidRPr="001234AB">
        <w:rPr>
          <w:rFonts w:ascii="Times New Roman" w:hAnsi="Times New Roman" w:cs="Times New Roman"/>
          <w:sz w:val="24"/>
          <w:szCs w:val="24"/>
          <w:lang w:val="fr-FR"/>
        </w:rPr>
        <w:t>Beetsma</w:t>
      </w:r>
      <w:proofErr w:type="spellEnd"/>
      <w:r w:rsidR="009F480D" w:rsidRPr="001234AB">
        <w:rPr>
          <w:rFonts w:ascii="Times New Roman" w:hAnsi="Times New Roman" w:cs="Times New Roman"/>
          <w:sz w:val="24"/>
          <w:szCs w:val="24"/>
          <w:lang w:val="fr-FR"/>
        </w:rPr>
        <w:t xml:space="preserve">, R., &amp; </w:t>
      </w:r>
      <w:proofErr w:type="spellStart"/>
      <w:r w:rsidR="009F480D" w:rsidRPr="001234AB">
        <w:rPr>
          <w:rFonts w:ascii="Times New Roman" w:hAnsi="Times New Roman" w:cs="Times New Roman"/>
          <w:sz w:val="24"/>
          <w:szCs w:val="24"/>
          <w:lang w:val="fr-FR"/>
        </w:rPr>
        <w:t>Mavromatis</w:t>
      </w:r>
      <w:proofErr w:type="spellEnd"/>
      <w:r w:rsidR="009F480D" w:rsidRPr="001234AB">
        <w:rPr>
          <w:rFonts w:ascii="Times New Roman" w:hAnsi="Times New Roman" w:cs="Times New Roman"/>
          <w:sz w:val="24"/>
          <w:szCs w:val="24"/>
          <w:lang w:val="fr-FR"/>
        </w:rPr>
        <w:t xml:space="preserve">, K. (2014). </w:t>
      </w:r>
      <w:r w:rsidR="009F480D" w:rsidRPr="001234AB">
        <w:rPr>
          <w:rFonts w:ascii="Times New Roman" w:hAnsi="Times New Roman" w:cs="Times New Roman"/>
          <w:sz w:val="24"/>
          <w:szCs w:val="24"/>
          <w:lang w:val="en-US"/>
        </w:rPr>
        <w:t xml:space="preserve">An analysis of </w:t>
      </w:r>
      <w:proofErr w:type="spellStart"/>
      <w:r w:rsidR="009F480D" w:rsidRPr="001234AB">
        <w:rPr>
          <w:rFonts w:ascii="Times New Roman" w:hAnsi="Times New Roman" w:cs="Times New Roman"/>
          <w:sz w:val="24"/>
          <w:szCs w:val="24"/>
          <w:lang w:val="en-US"/>
        </w:rPr>
        <w:t>eurobonds</w:t>
      </w:r>
      <w:proofErr w:type="spellEnd"/>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i/>
          <w:iCs/>
          <w:sz w:val="24"/>
          <w:szCs w:val="24"/>
          <w:lang w:val="en-US"/>
        </w:rPr>
        <w:t>Journal of International Money and Finance</w:t>
      </w:r>
      <w:r w:rsidR="009F480D" w:rsidRPr="001234AB">
        <w:rPr>
          <w:rFonts w:ascii="Times New Roman" w:hAnsi="Times New Roman" w:cs="Times New Roman"/>
          <w:sz w:val="24"/>
          <w:szCs w:val="24"/>
          <w:lang w:val="en-US"/>
        </w:rPr>
        <w:t xml:space="preserve">, 45, 91–111. </w:t>
      </w:r>
      <w:hyperlink r:id="rId26" w:history="1">
        <w:r w:rsidR="009F480D" w:rsidRPr="001234AB">
          <w:rPr>
            <w:rStyle w:val="Hyperlink"/>
            <w:rFonts w:ascii="Times New Roman" w:hAnsi="Times New Roman" w:cs="Times New Roman"/>
            <w:sz w:val="24"/>
            <w:szCs w:val="24"/>
            <w:lang w:val="en-US"/>
          </w:rPr>
          <w:t>https://doi.org/10.1016/j.jimonfin.2014.03.002</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Bhaskar, R. (1975). </w:t>
      </w:r>
      <w:r w:rsidR="009F480D" w:rsidRPr="001234AB">
        <w:rPr>
          <w:rFonts w:ascii="Times New Roman" w:hAnsi="Times New Roman" w:cs="Times New Roman"/>
          <w:i/>
          <w:iCs/>
          <w:sz w:val="24"/>
          <w:szCs w:val="24"/>
          <w:lang w:val="en-US"/>
        </w:rPr>
        <w:t>A Realist Theory of Science</w:t>
      </w:r>
      <w:r w:rsidR="009F480D" w:rsidRPr="001234AB">
        <w:rPr>
          <w:rFonts w:ascii="Times New Roman" w:hAnsi="Times New Roman" w:cs="Times New Roman"/>
          <w:sz w:val="24"/>
          <w:szCs w:val="24"/>
          <w:lang w:val="en-US"/>
        </w:rPr>
        <w:t>. Leeds, United Kingdom: Leeds Books.</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Bieler, A., &amp; Morton, A. D. (2008). The Deficits of Discourse in IPE: Turning Base Metal into Gold? </w:t>
      </w:r>
      <w:r w:rsidR="009F480D" w:rsidRPr="001234AB">
        <w:rPr>
          <w:rFonts w:ascii="Times New Roman" w:hAnsi="Times New Roman" w:cs="Times New Roman"/>
          <w:i/>
          <w:iCs/>
          <w:sz w:val="24"/>
          <w:szCs w:val="24"/>
          <w:lang w:val="en-US"/>
        </w:rPr>
        <w:t>International Studies Quarterly</w:t>
      </w:r>
      <w:r w:rsidR="009F480D" w:rsidRPr="001234AB">
        <w:rPr>
          <w:rFonts w:ascii="Times New Roman" w:hAnsi="Times New Roman" w:cs="Times New Roman"/>
          <w:sz w:val="24"/>
          <w:szCs w:val="24"/>
          <w:lang w:val="en-US"/>
        </w:rPr>
        <w:t xml:space="preserve">, 52(1), 103–128. </w:t>
      </w:r>
      <w:hyperlink r:id="rId27" w:history="1">
        <w:r w:rsidR="009F480D" w:rsidRPr="001234AB">
          <w:rPr>
            <w:rStyle w:val="Hyperlink"/>
            <w:rFonts w:ascii="Times New Roman" w:hAnsi="Times New Roman" w:cs="Times New Roman"/>
            <w:sz w:val="24"/>
            <w:szCs w:val="24"/>
            <w:lang w:val="en-US"/>
          </w:rPr>
          <w:t>https://doi.org/10.1177/0309816813513088</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Bieling</w:t>
      </w:r>
      <w:proofErr w:type="spellEnd"/>
      <w:r w:rsidR="009F480D" w:rsidRPr="001234AB">
        <w:rPr>
          <w:rFonts w:ascii="Times New Roman" w:hAnsi="Times New Roman" w:cs="Times New Roman"/>
          <w:sz w:val="24"/>
          <w:szCs w:val="24"/>
          <w:lang w:val="en-US"/>
        </w:rPr>
        <w:t xml:space="preserve">, H.-J. &amp; </w:t>
      </w:r>
      <w:proofErr w:type="spellStart"/>
      <w:r w:rsidR="009F480D" w:rsidRPr="001234AB">
        <w:rPr>
          <w:rFonts w:ascii="Times New Roman" w:hAnsi="Times New Roman" w:cs="Times New Roman"/>
          <w:sz w:val="24"/>
          <w:szCs w:val="24"/>
          <w:lang w:val="en-US"/>
        </w:rPr>
        <w:t>Steinhilber</w:t>
      </w:r>
      <w:proofErr w:type="spellEnd"/>
      <w:r w:rsidR="009F480D" w:rsidRPr="001234AB">
        <w:rPr>
          <w:rFonts w:ascii="Times New Roman" w:hAnsi="Times New Roman" w:cs="Times New Roman"/>
          <w:sz w:val="24"/>
          <w:szCs w:val="24"/>
          <w:lang w:val="en-US"/>
        </w:rPr>
        <w:t xml:space="preserve">, J. (2000). Hegemonic Projects in the Process of European Integration. In H.-J. </w:t>
      </w:r>
      <w:proofErr w:type="spellStart"/>
      <w:r w:rsidR="009F480D" w:rsidRPr="001234AB">
        <w:rPr>
          <w:rFonts w:ascii="Times New Roman" w:hAnsi="Times New Roman" w:cs="Times New Roman"/>
          <w:sz w:val="24"/>
          <w:szCs w:val="24"/>
          <w:lang w:val="en-US"/>
        </w:rPr>
        <w:t>Bieling</w:t>
      </w:r>
      <w:proofErr w:type="spellEnd"/>
      <w:r w:rsidR="009F480D" w:rsidRPr="001234AB">
        <w:rPr>
          <w:rFonts w:ascii="Times New Roman" w:hAnsi="Times New Roman" w:cs="Times New Roman"/>
          <w:sz w:val="24"/>
          <w:szCs w:val="24"/>
          <w:lang w:val="en-US"/>
        </w:rPr>
        <w:t xml:space="preserve"> &amp;, J. </w:t>
      </w:r>
      <w:proofErr w:type="spellStart"/>
      <w:r w:rsidR="009F480D" w:rsidRPr="001234AB">
        <w:rPr>
          <w:rFonts w:ascii="Times New Roman" w:hAnsi="Times New Roman" w:cs="Times New Roman"/>
          <w:sz w:val="24"/>
          <w:szCs w:val="24"/>
          <w:lang w:val="en-US"/>
        </w:rPr>
        <w:t>Steinhilber</w:t>
      </w:r>
      <w:proofErr w:type="spellEnd"/>
      <w:r w:rsidR="009F480D" w:rsidRPr="001234AB">
        <w:rPr>
          <w:rFonts w:ascii="Times New Roman" w:hAnsi="Times New Roman" w:cs="Times New Roman"/>
          <w:sz w:val="24"/>
          <w:szCs w:val="24"/>
          <w:lang w:val="en-US"/>
        </w:rPr>
        <w:t xml:space="preserve"> (Eds.), </w:t>
      </w:r>
      <w:r w:rsidR="009F480D" w:rsidRPr="001234AB">
        <w:rPr>
          <w:rFonts w:ascii="Times New Roman" w:hAnsi="Times New Roman" w:cs="Times New Roman"/>
          <w:i/>
          <w:iCs/>
          <w:sz w:val="24"/>
          <w:szCs w:val="24"/>
          <w:lang w:val="en-US"/>
        </w:rPr>
        <w:t>Dimensions of a Critical Theory of European Integration</w:t>
      </w:r>
      <w:r w:rsidR="009F480D" w:rsidRPr="001234AB">
        <w:rPr>
          <w:rFonts w:ascii="Times New Roman" w:hAnsi="Times New Roman" w:cs="Times New Roman"/>
          <w:sz w:val="24"/>
          <w:szCs w:val="24"/>
          <w:lang w:val="en-US"/>
        </w:rPr>
        <w:t xml:space="preserve"> (pp. 33-58). Marburg, Germany: Philipps University.</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Bieling</w:t>
      </w:r>
      <w:proofErr w:type="spellEnd"/>
      <w:r w:rsidR="009F480D" w:rsidRPr="001234AB">
        <w:rPr>
          <w:rFonts w:ascii="Times New Roman" w:hAnsi="Times New Roman" w:cs="Times New Roman"/>
          <w:sz w:val="24"/>
          <w:szCs w:val="24"/>
          <w:lang w:val="en-US"/>
        </w:rPr>
        <w:t xml:space="preserve">, H.-J. (2013). European Financial Capitalism and the Politics of (De-)financialization. </w:t>
      </w:r>
      <w:proofErr w:type="spellStart"/>
      <w:r w:rsidR="009F480D" w:rsidRPr="001234AB">
        <w:rPr>
          <w:rFonts w:ascii="Times New Roman" w:hAnsi="Times New Roman" w:cs="Times New Roman"/>
          <w:i/>
          <w:iCs/>
          <w:sz w:val="24"/>
          <w:szCs w:val="24"/>
          <w:lang w:val="fr-FR"/>
        </w:rPr>
        <w:t>Competition</w:t>
      </w:r>
      <w:proofErr w:type="spellEnd"/>
      <w:r w:rsidR="009F480D" w:rsidRPr="001234AB">
        <w:rPr>
          <w:rFonts w:ascii="Times New Roman" w:hAnsi="Times New Roman" w:cs="Times New Roman"/>
          <w:i/>
          <w:iCs/>
          <w:sz w:val="24"/>
          <w:szCs w:val="24"/>
          <w:lang w:val="fr-FR"/>
        </w:rPr>
        <w:t xml:space="preserve"> &amp; Change</w:t>
      </w:r>
      <w:r w:rsidR="009F480D" w:rsidRPr="001234AB">
        <w:rPr>
          <w:rFonts w:ascii="Times New Roman" w:hAnsi="Times New Roman" w:cs="Times New Roman"/>
          <w:sz w:val="24"/>
          <w:szCs w:val="24"/>
          <w:lang w:val="fr-FR"/>
        </w:rPr>
        <w:t xml:space="preserve">, 17(3), 283–298. </w:t>
      </w:r>
      <w:hyperlink r:id="rId28" w:history="1">
        <w:r w:rsidR="009F480D" w:rsidRPr="001234AB">
          <w:rPr>
            <w:rStyle w:val="Hyperlink"/>
            <w:rFonts w:ascii="Times New Roman" w:hAnsi="Times New Roman" w:cs="Times New Roman"/>
            <w:sz w:val="24"/>
            <w:szCs w:val="24"/>
            <w:lang w:val="fr-FR"/>
          </w:rPr>
          <w:t>https://doi.org/10.1179/1024529413Z.00000000038</w:t>
        </w:r>
      </w:hyperlink>
      <w:r w:rsidR="009F480D" w:rsidRPr="001234AB">
        <w:rPr>
          <w:rFonts w:ascii="Times New Roman" w:hAnsi="Times New Roman" w:cs="Times New Roman"/>
          <w:sz w:val="24"/>
          <w:szCs w:val="24"/>
          <w:lang w:val="fr-FR"/>
        </w:rPr>
        <w:t>.</w:t>
      </w:r>
      <w:r w:rsidR="009F480D" w:rsidRPr="001234AB">
        <w:rPr>
          <w:rFonts w:ascii="Times New Roman" w:hAnsi="Times New Roman" w:cs="Times New Roman"/>
          <w:sz w:val="24"/>
          <w:szCs w:val="24"/>
          <w:lang w:val="fr-FR"/>
        </w:rPr>
        <w:br/>
      </w:r>
      <w:r w:rsidR="009F480D" w:rsidRPr="001234AB">
        <w:rPr>
          <w:rFonts w:ascii="Times New Roman" w:hAnsi="Times New Roman" w:cs="Times New Roman"/>
          <w:sz w:val="24"/>
          <w:szCs w:val="24"/>
          <w:lang w:val="fr-FR"/>
        </w:rPr>
        <w:lastRenderedPageBreak/>
        <w:br/>
      </w:r>
      <w:proofErr w:type="spellStart"/>
      <w:r w:rsidR="009F480D" w:rsidRPr="001234AB">
        <w:rPr>
          <w:rFonts w:ascii="Times New Roman" w:hAnsi="Times New Roman" w:cs="Times New Roman"/>
          <w:sz w:val="24"/>
          <w:szCs w:val="24"/>
          <w:lang w:val="fr-FR"/>
        </w:rPr>
        <w:t>Bieling</w:t>
      </w:r>
      <w:proofErr w:type="spellEnd"/>
      <w:r w:rsidR="009F480D" w:rsidRPr="001234AB">
        <w:rPr>
          <w:rFonts w:ascii="Times New Roman" w:hAnsi="Times New Roman" w:cs="Times New Roman"/>
          <w:sz w:val="24"/>
          <w:szCs w:val="24"/>
          <w:lang w:val="fr-FR"/>
        </w:rPr>
        <w:t xml:space="preserve">, H. J., </w:t>
      </w:r>
      <w:proofErr w:type="spellStart"/>
      <w:r w:rsidR="009F480D" w:rsidRPr="001234AB">
        <w:rPr>
          <w:rFonts w:ascii="Times New Roman" w:hAnsi="Times New Roman" w:cs="Times New Roman"/>
          <w:sz w:val="24"/>
          <w:szCs w:val="24"/>
          <w:lang w:val="fr-FR"/>
        </w:rPr>
        <w:t>Jäger</w:t>
      </w:r>
      <w:proofErr w:type="spellEnd"/>
      <w:r w:rsidR="009F480D" w:rsidRPr="001234AB">
        <w:rPr>
          <w:rFonts w:ascii="Times New Roman" w:hAnsi="Times New Roman" w:cs="Times New Roman"/>
          <w:sz w:val="24"/>
          <w:szCs w:val="24"/>
          <w:lang w:val="fr-FR"/>
        </w:rPr>
        <w:t xml:space="preserve">, J., &amp; </w:t>
      </w:r>
      <w:proofErr w:type="spellStart"/>
      <w:r w:rsidR="009F480D" w:rsidRPr="001234AB">
        <w:rPr>
          <w:rFonts w:ascii="Times New Roman" w:hAnsi="Times New Roman" w:cs="Times New Roman"/>
          <w:sz w:val="24"/>
          <w:szCs w:val="24"/>
          <w:lang w:val="fr-FR"/>
        </w:rPr>
        <w:t>Ryner</w:t>
      </w:r>
      <w:proofErr w:type="spellEnd"/>
      <w:r w:rsidR="009F480D" w:rsidRPr="001234AB">
        <w:rPr>
          <w:rFonts w:ascii="Times New Roman" w:hAnsi="Times New Roman" w:cs="Times New Roman"/>
          <w:sz w:val="24"/>
          <w:szCs w:val="24"/>
          <w:lang w:val="fr-FR"/>
        </w:rPr>
        <w:t xml:space="preserve">, M. (2016). </w:t>
      </w:r>
      <w:r w:rsidR="009F480D" w:rsidRPr="001234AB">
        <w:rPr>
          <w:rFonts w:ascii="Times New Roman" w:hAnsi="Times New Roman" w:cs="Times New Roman"/>
          <w:sz w:val="24"/>
          <w:szCs w:val="24"/>
          <w:lang w:val="en-US"/>
        </w:rPr>
        <w:t xml:space="preserve">Regulation Theory and the Political Economy of the European Union. </w:t>
      </w:r>
      <w:r w:rsidR="009F480D" w:rsidRPr="001234AB">
        <w:rPr>
          <w:rFonts w:ascii="Times New Roman" w:hAnsi="Times New Roman" w:cs="Times New Roman"/>
          <w:i/>
          <w:iCs/>
          <w:sz w:val="24"/>
          <w:szCs w:val="24"/>
          <w:lang w:val="en-US"/>
        </w:rPr>
        <w:t>Journal of Common Market Studies</w:t>
      </w:r>
      <w:r w:rsidR="009F480D" w:rsidRPr="001234AB">
        <w:rPr>
          <w:rFonts w:ascii="Times New Roman" w:hAnsi="Times New Roman" w:cs="Times New Roman"/>
          <w:sz w:val="24"/>
          <w:szCs w:val="24"/>
          <w:lang w:val="en-US"/>
        </w:rPr>
        <w:t xml:space="preserve">, 54(1), 53–69. </w:t>
      </w:r>
      <w:hyperlink r:id="rId29" w:history="1">
        <w:r w:rsidR="009F480D" w:rsidRPr="001234AB">
          <w:rPr>
            <w:rStyle w:val="Hyperlink"/>
            <w:rFonts w:ascii="Times New Roman" w:hAnsi="Times New Roman" w:cs="Times New Roman"/>
            <w:sz w:val="24"/>
            <w:szCs w:val="24"/>
            <w:lang w:val="en-US"/>
          </w:rPr>
          <w:t>https://doi.org/10.1111/jcms.12331</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Bilbao-</w:t>
      </w:r>
      <w:proofErr w:type="spellStart"/>
      <w:r w:rsidR="009F480D" w:rsidRPr="001234AB">
        <w:rPr>
          <w:rFonts w:ascii="Times New Roman" w:hAnsi="Times New Roman" w:cs="Times New Roman"/>
          <w:sz w:val="24"/>
          <w:szCs w:val="24"/>
          <w:lang w:val="en-US"/>
        </w:rPr>
        <w:t>Ubillos</w:t>
      </w:r>
      <w:proofErr w:type="spellEnd"/>
      <w:r w:rsidR="009F480D" w:rsidRPr="001234AB">
        <w:rPr>
          <w:rFonts w:ascii="Times New Roman" w:hAnsi="Times New Roman" w:cs="Times New Roman"/>
          <w:sz w:val="24"/>
          <w:szCs w:val="24"/>
          <w:lang w:val="en-US"/>
        </w:rPr>
        <w:t xml:space="preserve">, J. (2023). Lessons learned from poor governance: A comparison of the EU strategies for exiting the crises of 2008 and 2020. </w:t>
      </w:r>
      <w:r w:rsidR="009F480D" w:rsidRPr="001234AB">
        <w:rPr>
          <w:rFonts w:ascii="Times New Roman" w:hAnsi="Times New Roman" w:cs="Times New Roman"/>
          <w:i/>
          <w:iCs/>
          <w:sz w:val="24"/>
          <w:szCs w:val="24"/>
          <w:lang w:val="en-US"/>
        </w:rPr>
        <w:t>Structural Change and Economic Dynamics</w:t>
      </w:r>
      <w:r w:rsidR="009F480D" w:rsidRPr="001234AB">
        <w:rPr>
          <w:rFonts w:ascii="Times New Roman" w:hAnsi="Times New Roman" w:cs="Times New Roman"/>
          <w:sz w:val="24"/>
          <w:szCs w:val="24"/>
          <w:lang w:val="en-US"/>
        </w:rPr>
        <w:t xml:space="preserve">, 67, 372-379. </w:t>
      </w:r>
      <w:proofErr w:type="gramStart"/>
      <w:r w:rsidR="00217AF1">
        <w:rPr>
          <w:rFonts w:ascii="Times New Roman" w:hAnsi="Times New Roman" w:cs="Times New Roman"/>
          <w:sz w:val="24"/>
          <w:szCs w:val="24"/>
          <w:lang w:val="en-US"/>
        </w:rPr>
        <w:t>doi</w:t>
      </w:r>
      <w:r w:rsidR="009F480D" w:rsidRPr="001234AB">
        <w:rPr>
          <w:rFonts w:ascii="Times New Roman" w:hAnsi="Times New Roman" w:cs="Times New Roman"/>
          <w:sz w:val="24"/>
          <w:szCs w:val="24"/>
          <w:lang w:val="en-US"/>
        </w:rPr>
        <w:t>:10.1016/j.strueco</w:t>
      </w:r>
      <w:proofErr w:type="gramEnd"/>
      <w:r w:rsidR="009F480D" w:rsidRPr="001234AB">
        <w:rPr>
          <w:rFonts w:ascii="Times New Roman" w:hAnsi="Times New Roman" w:cs="Times New Roman"/>
          <w:sz w:val="24"/>
          <w:szCs w:val="24"/>
          <w:lang w:val="en-US"/>
        </w:rPr>
        <w:t>.2023.09.005.</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Bode, R. (2018). The Dutch bourgeoisie between the two world wars. In B. Jessop &amp; H. </w:t>
      </w:r>
      <w:proofErr w:type="spellStart"/>
      <w:r w:rsidR="009F480D" w:rsidRPr="001234AB">
        <w:rPr>
          <w:rFonts w:ascii="Times New Roman" w:hAnsi="Times New Roman" w:cs="Times New Roman"/>
          <w:sz w:val="24"/>
          <w:szCs w:val="24"/>
          <w:lang w:val="en-US"/>
        </w:rPr>
        <w:t>Overbeek</w:t>
      </w:r>
      <w:proofErr w:type="spellEnd"/>
      <w:r w:rsidR="009F480D" w:rsidRPr="001234AB">
        <w:rPr>
          <w:rFonts w:ascii="Times New Roman" w:hAnsi="Times New Roman" w:cs="Times New Roman"/>
          <w:sz w:val="24"/>
          <w:szCs w:val="24"/>
          <w:lang w:val="en-US"/>
        </w:rPr>
        <w:t xml:space="preserve"> (Eds.), </w:t>
      </w:r>
      <w:r w:rsidR="009F480D" w:rsidRPr="001234AB">
        <w:rPr>
          <w:rFonts w:ascii="Times New Roman" w:hAnsi="Times New Roman" w:cs="Times New Roman"/>
          <w:i/>
          <w:iCs/>
          <w:sz w:val="24"/>
          <w:szCs w:val="24"/>
          <w:lang w:val="en-US"/>
        </w:rPr>
        <w:t>Transnational Capital and Class Fractions: The Amsterdam School Perspective Reconsidered</w:t>
      </w:r>
      <w:r w:rsidR="009F480D" w:rsidRPr="001234AB">
        <w:rPr>
          <w:rFonts w:ascii="Times New Roman" w:hAnsi="Times New Roman" w:cs="Times New Roman"/>
          <w:sz w:val="24"/>
          <w:szCs w:val="24"/>
          <w:lang w:val="en-US"/>
        </w:rPr>
        <w:t xml:space="preserve"> (pp. 241-262). </w:t>
      </w:r>
      <w:r w:rsidR="009F480D" w:rsidRPr="001234AB">
        <w:rPr>
          <w:rFonts w:ascii="Times New Roman" w:hAnsi="Times New Roman" w:cs="Times New Roman"/>
          <w:sz w:val="24"/>
          <w:szCs w:val="24"/>
        </w:rPr>
        <w:t>Routledge. (</w:t>
      </w:r>
      <w:proofErr w:type="spellStart"/>
      <w:r w:rsidR="009F480D" w:rsidRPr="001234AB">
        <w:rPr>
          <w:rFonts w:ascii="Times New Roman" w:hAnsi="Times New Roman" w:cs="Times New Roman"/>
          <w:sz w:val="24"/>
          <w:szCs w:val="24"/>
        </w:rPr>
        <w:t>Reprinted</w:t>
      </w:r>
      <w:proofErr w:type="spellEnd"/>
      <w:r w:rsidR="009F480D" w:rsidRPr="001234AB">
        <w:rPr>
          <w:rFonts w:ascii="Times New Roman" w:hAnsi="Times New Roman" w:cs="Times New Roman"/>
          <w:sz w:val="24"/>
          <w:szCs w:val="24"/>
        </w:rPr>
        <w:t xml:space="preserve"> </w:t>
      </w:r>
      <w:proofErr w:type="spellStart"/>
      <w:r w:rsidR="009F480D" w:rsidRPr="001234AB">
        <w:rPr>
          <w:rFonts w:ascii="Times New Roman" w:hAnsi="Times New Roman" w:cs="Times New Roman"/>
          <w:sz w:val="24"/>
          <w:szCs w:val="24"/>
        </w:rPr>
        <w:t>from</w:t>
      </w:r>
      <w:proofErr w:type="spellEnd"/>
      <w:r w:rsidR="009F480D" w:rsidRPr="001234AB">
        <w:rPr>
          <w:rFonts w:ascii="Times New Roman" w:hAnsi="Times New Roman" w:cs="Times New Roman"/>
          <w:sz w:val="24"/>
          <w:szCs w:val="24"/>
        </w:rPr>
        <w:t xml:space="preserve"> Bode, R. (1979). De Nederlandse bourgeoisie tussen de twee wereldoorlogen, </w:t>
      </w:r>
      <w:r w:rsidR="009F480D" w:rsidRPr="001234AB">
        <w:rPr>
          <w:rFonts w:ascii="Times New Roman" w:hAnsi="Times New Roman" w:cs="Times New Roman"/>
          <w:i/>
          <w:iCs/>
          <w:sz w:val="24"/>
          <w:szCs w:val="24"/>
        </w:rPr>
        <w:t>Cahiers voor de politieke en sociale wetenschappen</w:t>
      </w:r>
      <w:r w:rsidR="009F480D" w:rsidRPr="001234AB">
        <w:rPr>
          <w:rFonts w:ascii="Times New Roman" w:hAnsi="Times New Roman" w:cs="Times New Roman"/>
          <w:sz w:val="24"/>
          <w:szCs w:val="24"/>
        </w:rPr>
        <w:t xml:space="preserve"> 2(4), 9-50.)</w:t>
      </w:r>
      <w:r w:rsidR="009F480D" w:rsidRPr="001234AB">
        <w:rPr>
          <w:rFonts w:ascii="Times New Roman" w:hAnsi="Times New Roman" w:cs="Times New Roman"/>
          <w:sz w:val="24"/>
          <w:szCs w:val="24"/>
        </w:rPr>
        <w:br/>
      </w:r>
      <w:r w:rsidR="009F480D" w:rsidRPr="001234AB">
        <w:rPr>
          <w:rFonts w:ascii="Times New Roman" w:hAnsi="Times New Roman" w:cs="Times New Roman"/>
          <w:sz w:val="24"/>
          <w:szCs w:val="24"/>
        </w:rPr>
        <w:br/>
      </w:r>
      <w:proofErr w:type="spellStart"/>
      <w:r w:rsidR="009F480D" w:rsidRPr="001234AB">
        <w:rPr>
          <w:rFonts w:ascii="Times New Roman" w:hAnsi="Times New Roman" w:cs="Times New Roman"/>
          <w:sz w:val="24"/>
          <w:szCs w:val="24"/>
          <w:lang w:val="en-US"/>
        </w:rPr>
        <w:t>Bohoslavsky</w:t>
      </w:r>
      <w:proofErr w:type="spellEnd"/>
      <w:r w:rsidR="009F480D" w:rsidRPr="001234AB">
        <w:rPr>
          <w:rFonts w:ascii="Times New Roman" w:hAnsi="Times New Roman" w:cs="Times New Roman"/>
          <w:sz w:val="24"/>
          <w:szCs w:val="24"/>
          <w:lang w:val="en-US"/>
        </w:rPr>
        <w:t xml:space="preserve">, J. P., &amp; </w:t>
      </w:r>
      <w:proofErr w:type="spellStart"/>
      <w:r w:rsidR="009F480D" w:rsidRPr="001234AB">
        <w:rPr>
          <w:rFonts w:ascii="Times New Roman" w:hAnsi="Times New Roman" w:cs="Times New Roman"/>
          <w:sz w:val="24"/>
          <w:szCs w:val="24"/>
          <w:lang w:val="en-US"/>
        </w:rPr>
        <w:t>Rulli</w:t>
      </w:r>
      <w:proofErr w:type="spellEnd"/>
      <w:r w:rsidR="009F480D" w:rsidRPr="001234AB">
        <w:rPr>
          <w:rFonts w:ascii="Times New Roman" w:hAnsi="Times New Roman" w:cs="Times New Roman"/>
          <w:sz w:val="24"/>
          <w:szCs w:val="24"/>
          <w:lang w:val="en-US"/>
        </w:rPr>
        <w:t xml:space="preserve">, M. (2024). Feminism in public </w:t>
      </w:r>
      <w:proofErr w:type="gramStart"/>
      <w:r w:rsidR="009F480D" w:rsidRPr="001234AB">
        <w:rPr>
          <w:rFonts w:ascii="Times New Roman" w:hAnsi="Times New Roman" w:cs="Times New Roman"/>
          <w:sz w:val="24"/>
          <w:szCs w:val="24"/>
          <w:lang w:val="en-US"/>
        </w:rPr>
        <w:t>debt :</w:t>
      </w:r>
      <w:proofErr w:type="gramEnd"/>
      <w:r w:rsidR="009F480D" w:rsidRPr="001234AB">
        <w:rPr>
          <w:rFonts w:ascii="Times New Roman" w:hAnsi="Times New Roman" w:cs="Times New Roman"/>
          <w:sz w:val="24"/>
          <w:szCs w:val="24"/>
          <w:lang w:val="en-US"/>
        </w:rPr>
        <w:t xml:space="preserve"> a human rights approach. Bristol, United Kingdom: Bristol University Press.</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Braun, B., Gabor, D., &amp; </w:t>
      </w:r>
      <w:proofErr w:type="spellStart"/>
      <w:r w:rsidR="009F480D" w:rsidRPr="001234AB">
        <w:rPr>
          <w:rFonts w:ascii="Times New Roman" w:hAnsi="Times New Roman" w:cs="Times New Roman"/>
          <w:sz w:val="24"/>
          <w:szCs w:val="24"/>
          <w:lang w:val="en-US"/>
        </w:rPr>
        <w:t>Hübner</w:t>
      </w:r>
      <w:proofErr w:type="spellEnd"/>
      <w:r w:rsidR="009F480D" w:rsidRPr="001234AB">
        <w:rPr>
          <w:rFonts w:ascii="Times New Roman" w:hAnsi="Times New Roman" w:cs="Times New Roman"/>
          <w:sz w:val="24"/>
          <w:szCs w:val="24"/>
          <w:lang w:val="en-US"/>
        </w:rPr>
        <w:t xml:space="preserve">, M. (2018). Governing through financial markets: Towards a critical political economy of Capital Markets Union. </w:t>
      </w:r>
      <w:r w:rsidR="009F480D" w:rsidRPr="001234AB">
        <w:rPr>
          <w:rFonts w:ascii="Times New Roman" w:hAnsi="Times New Roman" w:cs="Times New Roman"/>
          <w:i/>
          <w:iCs/>
          <w:sz w:val="24"/>
          <w:szCs w:val="24"/>
          <w:lang w:val="en-US"/>
        </w:rPr>
        <w:t>Competition &amp; Change</w:t>
      </w:r>
      <w:r w:rsidR="009F480D" w:rsidRPr="001234AB">
        <w:rPr>
          <w:rFonts w:ascii="Times New Roman" w:hAnsi="Times New Roman" w:cs="Times New Roman"/>
          <w:sz w:val="24"/>
          <w:szCs w:val="24"/>
          <w:lang w:val="en-US"/>
        </w:rPr>
        <w:t xml:space="preserve">, 22(2), 101–116. </w:t>
      </w:r>
      <w:hyperlink r:id="rId30" w:history="1">
        <w:r w:rsidR="009F480D" w:rsidRPr="001234AB">
          <w:rPr>
            <w:rStyle w:val="Hyperlink"/>
            <w:rFonts w:ascii="Times New Roman" w:hAnsi="Times New Roman" w:cs="Times New Roman"/>
            <w:sz w:val="24"/>
            <w:szCs w:val="24"/>
            <w:lang w:val="en-US"/>
          </w:rPr>
          <w:t>https://doi.org/10.1177/1024529418759476</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Brunnermeier</w:t>
      </w:r>
      <w:proofErr w:type="spellEnd"/>
      <w:r w:rsidR="009F480D" w:rsidRPr="001234AB">
        <w:rPr>
          <w:rFonts w:ascii="Times New Roman" w:hAnsi="Times New Roman" w:cs="Times New Roman"/>
          <w:sz w:val="24"/>
          <w:szCs w:val="24"/>
          <w:lang w:val="en-US"/>
        </w:rPr>
        <w:t xml:space="preserve">, M. K. (2009). Deciphering the Liquidity and Credit Crunch 2007-2008. </w:t>
      </w:r>
      <w:r w:rsidR="009F480D" w:rsidRPr="001234AB">
        <w:rPr>
          <w:rFonts w:ascii="Times New Roman" w:hAnsi="Times New Roman" w:cs="Times New Roman"/>
          <w:i/>
          <w:iCs/>
          <w:sz w:val="24"/>
          <w:szCs w:val="24"/>
          <w:lang w:val="en-US"/>
        </w:rPr>
        <w:t>Journal of Economic Perspectives</w:t>
      </w:r>
      <w:r w:rsidR="009F480D" w:rsidRPr="001234AB">
        <w:rPr>
          <w:rFonts w:ascii="Times New Roman" w:hAnsi="Times New Roman" w:cs="Times New Roman"/>
          <w:sz w:val="24"/>
          <w:szCs w:val="24"/>
          <w:lang w:val="en-US"/>
        </w:rPr>
        <w:t xml:space="preserve">, 23(1), 77–100. </w:t>
      </w:r>
      <w:hyperlink r:id="rId31" w:history="1">
        <w:r w:rsidR="009F480D" w:rsidRPr="001234AB">
          <w:rPr>
            <w:rStyle w:val="Hyperlink"/>
            <w:rFonts w:ascii="Times New Roman" w:hAnsi="Times New Roman" w:cs="Times New Roman"/>
            <w:sz w:val="24"/>
            <w:szCs w:val="24"/>
            <w:lang w:val="en-US"/>
          </w:rPr>
          <w:t>https://doi.org/10.1257/jep.23.1.77/</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Bremer, B., Kuhn, T., </w:t>
      </w:r>
      <w:proofErr w:type="spellStart"/>
      <w:r w:rsidR="009F480D" w:rsidRPr="001234AB">
        <w:rPr>
          <w:rFonts w:ascii="Times New Roman" w:hAnsi="Times New Roman" w:cs="Times New Roman"/>
          <w:sz w:val="24"/>
          <w:szCs w:val="24"/>
          <w:lang w:val="en-US"/>
        </w:rPr>
        <w:t>Meijers</w:t>
      </w:r>
      <w:proofErr w:type="spellEnd"/>
      <w:r w:rsidR="009F480D" w:rsidRPr="001234AB">
        <w:rPr>
          <w:rFonts w:ascii="Times New Roman" w:hAnsi="Times New Roman" w:cs="Times New Roman"/>
          <w:sz w:val="24"/>
          <w:szCs w:val="24"/>
          <w:lang w:val="en-US"/>
        </w:rPr>
        <w:t xml:space="preserve">, M. J., &amp; </w:t>
      </w:r>
      <w:proofErr w:type="spellStart"/>
      <w:r w:rsidR="009F480D" w:rsidRPr="001234AB">
        <w:rPr>
          <w:rFonts w:ascii="Times New Roman" w:hAnsi="Times New Roman" w:cs="Times New Roman"/>
          <w:sz w:val="24"/>
          <w:szCs w:val="24"/>
          <w:lang w:val="en-US"/>
        </w:rPr>
        <w:t>Nicoli</w:t>
      </w:r>
      <w:proofErr w:type="spellEnd"/>
      <w:r w:rsidR="009F480D" w:rsidRPr="001234AB">
        <w:rPr>
          <w:rFonts w:ascii="Times New Roman" w:hAnsi="Times New Roman" w:cs="Times New Roman"/>
          <w:sz w:val="24"/>
          <w:szCs w:val="24"/>
          <w:lang w:val="en-US"/>
        </w:rPr>
        <w:t xml:space="preserve">, F. (2024). In this together? Support for European fiscal integration in the COVID-19 crisis. </w:t>
      </w:r>
      <w:r w:rsidR="009F480D" w:rsidRPr="001234AB">
        <w:rPr>
          <w:rFonts w:ascii="Times New Roman" w:hAnsi="Times New Roman" w:cs="Times New Roman"/>
          <w:i/>
          <w:iCs/>
          <w:sz w:val="24"/>
          <w:szCs w:val="24"/>
          <w:lang w:val="en-US"/>
        </w:rPr>
        <w:t>Journal of European Public Policy</w:t>
      </w:r>
      <w:r w:rsidR="009F480D" w:rsidRPr="001234AB">
        <w:rPr>
          <w:rFonts w:ascii="Times New Roman" w:hAnsi="Times New Roman" w:cs="Times New Roman"/>
          <w:sz w:val="24"/>
          <w:szCs w:val="24"/>
          <w:lang w:val="en-US"/>
        </w:rPr>
        <w:t xml:space="preserve">, 31(9), 2582–2610. </w:t>
      </w:r>
      <w:hyperlink r:id="rId32" w:history="1">
        <w:r w:rsidR="009F480D" w:rsidRPr="001234AB">
          <w:rPr>
            <w:rStyle w:val="Hyperlink"/>
            <w:rFonts w:ascii="Times New Roman" w:hAnsi="Times New Roman" w:cs="Times New Roman"/>
            <w:sz w:val="24"/>
            <w:szCs w:val="24"/>
            <w:lang w:val="en-US"/>
          </w:rPr>
          <w:t>https://doi.org/10.1080/13501763.2023.2220357</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Buch-Hansen, H. (2008). Rethinking the history of European level merger control. A critical political economy perspective. </w:t>
      </w:r>
      <w:r w:rsidR="009F480D" w:rsidRPr="001234AB">
        <w:rPr>
          <w:rFonts w:ascii="Times New Roman" w:hAnsi="Times New Roman" w:cs="Times New Roman"/>
          <w:i/>
          <w:iCs/>
          <w:sz w:val="24"/>
          <w:szCs w:val="24"/>
          <w:lang w:val="en-US"/>
        </w:rPr>
        <w:t>PhD Series</w:t>
      </w:r>
      <w:r w:rsidR="009F480D" w:rsidRPr="001234AB">
        <w:rPr>
          <w:rFonts w:ascii="Times New Roman" w:hAnsi="Times New Roman" w:cs="Times New Roman"/>
          <w:sz w:val="24"/>
          <w:szCs w:val="24"/>
          <w:lang w:val="en-US"/>
        </w:rPr>
        <w:t>, Copenhagen Business School, 26.</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Buch-Hansen, H. &amp; </w:t>
      </w:r>
      <w:proofErr w:type="spellStart"/>
      <w:r w:rsidR="009F480D" w:rsidRPr="001234AB">
        <w:rPr>
          <w:rFonts w:ascii="Times New Roman" w:hAnsi="Times New Roman" w:cs="Times New Roman"/>
          <w:sz w:val="24"/>
          <w:szCs w:val="24"/>
          <w:lang w:val="en-US"/>
        </w:rPr>
        <w:t>Staricco</w:t>
      </w:r>
      <w:proofErr w:type="spellEnd"/>
      <w:r w:rsidR="009F480D" w:rsidRPr="001234AB">
        <w:rPr>
          <w:rFonts w:ascii="Times New Roman" w:hAnsi="Times New Roman" w:cs="Times New Roman"/>
          <w:sz w:val="24"/>
          <w:szCs w:val="24"/>
          <w:lang w:val="en-US"/>
        </w:rPr>
        <w:t xml:space="preserve">, J. I. (2018). The Amsterdam School, critical realism and the study of deep structures. In B. Jessop &amp; H. </w:t>
      </w:r>
      <w:proofErr w:type="spellStart"/>
      <w:r w:rsidR="009F480D" w:rsidRPr="001234AB">
        <w:rPr>
          <w:rFonts w:ascii="Times New Roman" w:hAnsi="Times New Roman" w:cs="Times New Roman"/>
          <w:sz w:val="24"/>
          <w:szCs w:val="24"/>
          <w:lang w:val="en-US"/>
        </w:rPr>
        <w:t>Overbeek</w:t>
      </w:r>
      <w:proofErr w:type="spellEnd"/>
      <w:r w:rsidR="009F480D" w:rsidRPr="001234AB">
        <w:rPr>
          <w:rFonts w:ascii="Times New Roman" w:hAnsi="Times New Roman" w:cs="Times New Roman"/>
          <w:sz w:val="24"/>
          <w:szCs w:val="24"/>
          <w:lang w:val="en-US"/>
        </w:rPr>
        <w:t xml:space="preserve"> (Eds.), </w:t>
      </w:r>
      <w:r w:rsidR="009F480D" w:rsidRPr="001234AB">
        <w:rPr>
          <w:rFonts w:ascii="Times New Roman" w:hAnsi="Times New Roman" w:cs="Times New Roman"/>
          <w:i/>
          <w:iCs/>
          <w:sz w:val="24"/>
          <w:szCs w:val="24"/>
          <w:lang w:val="en-US"/>
        </w:rPr>
        <w:t xml:space="preserve">Transnational Capital and Class </w:t>
      </w:r>
      <w:r w:rsidR="009F480D" w:rsidRPr="001234AB">
        <w:rPr>
          <w:rFonts w:ascii="Times New Roman" w:hAnsi="Times New Roman" w:cs="Times New Roman"/>
          <w:i/>
          <w:iCs/>
          <w:sz w:val="24"/>
          <w:szCs w:val="24"/>
          <w:lang w:val="en-US"/>
        </w:rPr>
        <w:lastRenderedPageBreak/>
        <w:t>Fractions: The Amsterdam School Perspective Reconsidered</w:t>
      </w:r>
      <w:r w:rsidR="009F480D" w:rsidRPr="001234AB">
        <w:rPr>
          <w:rFonts w:ascii="Times New Roman" w:hAnsi="Times New Roman" w:cs="Times New Roman"/>
          <w:sz w:val="24"/>
          <w:szCs w:val="24"/>
          <w:lang w:val="en-US"/>
        </w:rPr>
        <w:t xml:space="preserve"> (pp. 223-227). Routledge.</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Bulmer, S., &amp; Joseph, J. (2016). European integration in crisis? Of supranational integration, hegemonic projects and domestic politics. </w:t>
      </w:r>
      <w:r w:rsidR="009F480D" w:rsidRPr="001234AB">
        <w:rPr>
          <w:rFonts w:ascii="Times New Roman" w:hAnsi="Times New Roman" w:cs="Times New Roman"/>
          <w:i/>
          <w:iCs/>
          <w:sz w:val="24"/>
          <w:szCs w:val="24"/>
          <w:lang w:val="en-US"/>
        </w:rPr>
        <w:t>European Journal of International Relations</w:t>
      </w:r>
      <w:r w:rsidR="009F480D" w:rsidRPr="001234AB">
        <w:rPr>
          <w:rFonts w:ascii="Times New Roman" w:hAnsi="Times New Roman" w:cs="Times New Roman"/>
          <w:sz w:val="24"/>
          <w:szCs w:val="24"/>
          <w:lang w:val="en-US"/>
        </w:rPr>
        <w:t xml:space="preserve">, 22(4), 725–748. </w:t>
      </w:r>
      <w:hyperlink r:id="rId33" w:history="1">
        <w:r w:rsidR="009F480D" w:rsidRPr="001234AB">
          <w:rPr>
            <w:rStyle w:val="Hyperlink"/>
            <w:rFonts w:ascii="Times New Roman" w:hAnsi="Times New Roman" w:cs="Times New Roman"/>
            <w:sz w:val="24"/>
            <w:szCs w:val="24"/>
            <w:lang w:val="en-US"/>
          </w:rPr>
          <w:t>https://doi.org/10.1177/1354066115612558</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Burnham, P. (1991). Neo-Gramscian Hegemony and the International Order. </w:t>
      </w:r>
      <w:r w:rsidR="009F480D" w:rsidRPr="001234AB">
        <w:rPr>
          <w:rFonts w:ascii="Times New Roman" w:hAnsi="Times New Roman" w:cs="Times New Roman"/>
          <w:i/>
          <w:iCs/>
          <w:sz w:val="24"/>
          <w:szCs w:val="24"/>
          <w:lang w:val="en-US"/>
        </w:rPr>
        <w:t>Capital &amp; Class</w:t>
      </w:r>
      <w:r w:rsidR="009F480D" w:rsidRPr="001234AB">
        <w:rPr>
          <w:rFonts w:ascii="Times New Roman" w:hAnsi="Times New Roman" w:cs="Times New Roman"/>
          <w:sz w:val="24"/>
          <w:szCs w:val="24"/>
          <w:lang w:val="en-US"/>
        </w:rPr>
        <w:t xml:space="preserve">, 15(3), 73–92. </w:t>
      </w:r>
      <w:hyperlink r:id="rId34" w:history="1">
        <w:r w:rsidR="009F480D" w:rsidRPr="001234AB">
          <w:rPr>
            <w:rStyle w:val="Hyperlink"/>
            <w:rFonts w:ascii="Times New Roman" w:hAnsi="Times New Roman" w:cs="Times New Roman"/>
            <w:sz w:val="24"/>
            <w:szCs w:val="24"/>
            <w:lang w:val="en-US"/>
          </w:rPr>
          <w:t>https://doi.org/10.1177/030981689104500105</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b/>
          <w:bCs/>
          <w:sz w:val="24"/>
          <w:szCs w:val="24"/>
          <w:lang w:val="en-US"/>
        </w:rPr>
        <w:br/>
      </w:r>
      <w:proofErr w:type="spellStart"/>
      <w:r w:rsidR="009F480D" w:rsidRPr="001234AB">
        <w:rPr>
          <w:rFonts w:ascii="Times New Roman" w:hAnsi="Times New Roman" w:cs="Times New Roman"/>
          <w:sz w:val="24"/>
          <w:szCs w:val="24"/>
          <w:lang w:val="en-US"/>
        </w:rPr>
        <w:t>BusinessEurope</w:t>
      </w:r>
      <w:proofErr w:type="spellEnd"/>
      <w:r w:rsidR="009F480D" w:rsidRPr="001234AB">
        <w:rPr>
          <w:rFonts w:ascii="Times New Roman" w:hAnsi="Times New Roman" w:cs="Times New Roman"/>
          <w:sz w:val="24"/>
          <w:szCs w:val="24"/>
          <w:lang w:val="en-US"/>
        </w:rPr>
        <w:t xml:space="preserve"> (2010a). </w:t>
      </w:r>
      <w:r w:rsidR="009F480D" w:rsidRPr="001234AB">
        <w:rPr>
          <w:rFonts w:ascii="Times New Roman" w:hAnsi="Times New Roman" w:cs="Times New Roman"/>
          <w:i/>
          <w:iCs/>
          <w:sz w:val="24"/>
          <w:szCs w:val="24"/>
          <w:lang w:val="en-US"/>
        </w:rPr>
        <w:t>Combining fiscal sustainability and growth: a European action plan</w:t>
      </w:r>
      <w:r w:rsidR="009F480D" w:rsidRPr="001234AB">
        <w:rPr>
          <w:rFonts w:ascii="Times New Roman" w:hAnsi="Times New Roman" w:cs="Times New Roman"/>
          <w:sz w:val="24"/>
          <w:szCs w:val="24"/>
          <w:lang w:val="en-US"/>
        </w:rPr>
        <w:t xml:space="preserve">. Retrieved from </w:t>
      </w:r>
      <w:hyperlink r:id="rId35" w:history="1">
        <w:r w:rsidR="009F480D" w:rsidRPr="001234AB">
          <w:rPr>
            <w:rStyle w:val="Hyperlink"/>
            <w:rFonts w:ascii="Times New Roman" w:hAnsi="Times New Roman" w:cs="Times New Roman"/>
            <w:sz w:val="24"/>
            <w:szCs w:val="24"/>
            <w:lang w:val="en-US"/>
          </w:rPr>
          <w:t>https://www.businesseurope.eu/sites/buseur/files/media/imported/2010-00765-E.pdf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BusinessEurope</w:t>
      </w:r>
      <w:proofErr w:type="spellEnd"/>
      <w:r w:rsidR="009F480D" w:rsidRPr="001234AB">
        <w:rPr>
          <w:rFonts w:ascii="Times New Roman" w:hAnsi="Times New Roman" w:cs="Times New Roman"/>
          <w:sz w:val="24"/>
          <w:szCs w:val="24"/>
          <w:lang w:val="en-US"/>
        </w:rPr>
        <w:t xml:space="preserve"> (2010b). </w:t>
      </w:r>
      <w:r w:rsidR="009F480D" w:rsidRPr="001234AB">
        <w:rPr>
          <w:rFonts w:ascii="Times New Roman" w:hAnsi="Times New Roman" w:cs="Times New Roman"/>
          <w:i/>
          <w:iCs/>
          <w:sz w:val="24"/>
          <w:szCs w:val="24"/>
          <w:lang w:val="en-US"/>
        </w:rPr>
        <w:t>Improving Euro-Area Governance, Securing the Long-Term Success of the Euro</w:t>
      </w:r>
      <w:r w:rsidR="009F480D" w:rsidRPr="001234AB">
        <w:rPr>
          <w:rFonts w:ascii="Times New Roman" w:hAnsi="Times New Roman" w:cs="Times New Roman"/>
          <w:sz w:val="24"/>
          <w:szCs w:val="24"/>
          <w:lang w:val="en-US"/>
        </w:rPr>
        <w:t xml:space="preserve">. Retrieved from </w:t>
      </w:r>
      <w:hyperlink r:id="rId36" w:history="1">
        <w:r w:rsidR="009F480D" w:rsidRPr="001234AB">
          <w:rPr>
            <w:rStyle w:val="Hyperlink"/>
            <w:rFonts w:ascii="Times New Roman" w:hAnsi="Times New Roman" w:cs="Times New Roman"/>
            <w:sz w:val="24"/>
            <w:szCs w:val="24"/>
            <w:lang w:val="en-US"/>
          </w:rPr>
          <w:t>https://www.businesseurope.eu/sites/buseur/files/media/imported/2010-01412-E.pdf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BusinessEurope</w:t>
      </w:r>
      <w:proofErr w:type="spellEnd"/>
      <w:r w:rsidR="009F480D" w:rsidRPr="001234AB">
        <w:rPr>
          <w:rFonts w:ascii="Times New Roman" w:hAnsi="Times New Roman" w:cs="Times New Roman"/>
          <w:sz w:val="24"/>
          <w:szCs w:val="24"/>
          <w:lang w:val="en-US"/>
        </w:rPr>
        <w:t xml:space="preserve">. (2011a). </w:t>
      </w:r>
      <w:r w:rsidR="009F480D" w:rsidRPr="001234AB">
        <w:rPr>
          <w:rFonts w:ascii="Times New Roman" w:hAnsi="Times New Roman" w:cs="Times New Roman"/>
          <w:i/>
          <w:iCs/>
          <w:sz w:val="24"/>
          <w:szCs w:val="24"/>
          <w:lang w:val="en-US"/>
        </w:rPr>
        <w:t>Businesses’ Plan for Reinforcing the Euro</w:t>
      </w:r>
      <w:r w:rsidR="009F480D" w:rsidRPr="001234AB">
        <w:rPr>
          <w:rFonts w:ascii="Times New Roman" w:hAnsi="Times New Roman" w:cs="Times New Roman"/>
          <w:sz w:val="24"/>
          <w:szCs w:val="24"/>
          <w:lang w:val="en-US"/>
        </w:rPr>
        <w:t xml:space="preserve">. Retrieved from </w:t>
      </w:r>
      <w:hyperlink r:id="rId37" w:history="1">
        <w:r w:rsidR="009F480D" w:rsidRPr="001234AB">
          <w:rPr>
            <w:rStyle w:val="Hyperlink"/>
            <w:rFonts w:ascii="Times New Roman" w:hAnsi="Times New Roman" w:cs="Times New Roman"/>
            <w:sz w:val="24"/>
            <w:szCs w:val="24"/>
            <w:lang w:val="en-US"/>
          </w:rPr>
          <w:t>https://www.businesseurope.eu/sites/buseur/files/media/imported/2011-01758-E.pdf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BusinessEurope</w:t>
      </w:r>
      <w:proofErr w:type="spellEnd"/>
      <w:r w:rsidR="009F480D" w:rsidRPr="001234AB">
        <w:rPr>
          <w:rFonts w:ascii="Times New Roman" w:hAnsi="Times New Roman" w:cs="Times New Roman"/>
          <w:sz w:val="24"/>
          <w:szCs w:val="24"/>
          <w:lang w:val="en-US"/>
        </w:rPr>
        <w:t xml:space="preserve">. (2011b). </w:t>
      </w:r>
      <w:r w:rsidR="009F480D" w:rsidRPr="001234AB">
        <w:rPr>
          <w:rFonts w:ascii="Times New Roman" w:hAnsi="Times New Roman" w:cs="Times New Roman"/>
          <w:i/>
          <w:iCs/>
          <w:sz w:val="24"/>
          <w:szCs w:val="24"/>
          <w:lang w:val="en-US"/>
        </w:rPr>
        <w:t>European Companies Call for Budgetary Union to Reinforce the Euro</w:t>
      </w:r>
      <w:r w:rsidR="009F480D" w:rsidRPr="001234AB">
        <w:rPr>
          <w:rFonts w:ascii="Times New Roman" w:hAnsi="Times New Roman" w:cs="Times New Roman"/>
          <w:sz w:val="24"/>
          <w:szCs w:val="24"/>
          <w:lang w:val="en-US"/>
        </w:rPr>
        <w:t xml:space="preserve">. Retrieved from </w:t>
      </w:r>
      <w:hyperlink r:id="rId38" w:history="1">
        <w:r w:rsidR="009F480D" w:rsidRPr="001234AB">
          <w:rPr>
            <w:rStyle w:val="Hyperlink"/>
            <w:rFonts w:ascii="Times New Roman" w:hAnsi="Times New Roman" w:cs="Times New Roman"/>
            <w:sz w:val="24"/>
            <w:szCs w:val="24"/>
            <w:lang w:val="en-US"/>
          </w:rPr>
          <w:t>https://www.businesseurope.eu/sites/buseur/files/media/imported/2011-01761-E.pdf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BusinessEurope</w:t>
      </w:r>
      <w:proofErr w:type="spellEnd"/>
      <w:r w:rsidR="009F480D" w:rsidRPr="001234AB">
        <w:rPr>
          <w:rFonts w:ascii="Times New Roman" w:hAnsi="Times New Roman" w:cs="Times New Roman"/>
          <w:sz w:val="24"/>
          <w:szCs w:val="24"/>
          <w:lang w:val="en-US"/>
        </w:rPr>
        <w:t xml:space="preserve">. (2014). </w:t>
      </w:r>
      <w:r w:rsidR="009F480D" w:rsidRPr="001234AB">
        <w:rPr>
          <w:rFonts w:ascii="Times New Roman" w:hAnsi="Times New Roman" w:cs="Times New Roman"/>
          <w:i/>
          <w:iCs/>
          <w:sz w:val="24"/>
          <w:szCs w:val="24"/>
          <w:lang w:val="en-US"/>
        </w:rPr>
        <w:t>Competitiveness First</w:t>
      </w:r>
      <w:r w:rsidR="009F480D" w:rsidRPr="001234AB">
        <w:rPr>
          <w:rFonts w:ascii="Times New Roman" w:hAnsi="Times New Roman" w:cs="Times New Roman"/>
          <w:sz w:val="24"/>
          <w:szCs w:val="24"/>
          <w:lang w:val="en-US"/>
        </w:rPr>
        <w:t xml:space="preserve">. Retrieved from </w:t>
      </w:r>
      <w:hyperlink r:id="rId39" w:history="1">
        <w:r w:rsidR="009F480D" w:rsidRPr="001234AB">
          <w:rPr>
            <w:rStyle w:val="Hyperlink"/>
            <w:rFonts w:ascii="Times New Roman" w:hAnsi="Times New Roman" w:cs="Times New Roman"/>
            <w:sz w:val="24"/>
            <w:szCs w:val="24"/>
            <w:lang w:val="en-US"/>
          </w:rPr>
          <w:t>https://www.businesseurope.eu/sites/buseur/files/media/imported/2014-00841-E.pdf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BusinessEurope</w:t>
      </w:r>
      <w:proofErr w:type="spellEnd"/>
      <w:r w:rsidR="009F480D" w:rsidRPr="001234AB">
        <w:rPr>
          <w:rFonts w:ascii="Times New Roman" w:hAnsi="Times New Roman" w:cs="Times New Roman"/>
          <w:sz w:val="24"/>
          <w:szCs w:val="24"/>
          <w:lang w:val="en-US"/>
        </w:rPr>
        <w:t xml:space="preserve">. (2015). </w:t>
      </w:r>
      <w:r w:rsidR="009F480D" w:rsidRPr="001234AB">
        <w:rPr>
          <w:rFonts w:ascii="Times New Roman" w:hAnsi="Times New Roman" w:cs="Times New Roman"/>
          <w:i/>
          <w:iCs/>
          <w:sz w:val="24"/>
          <w:szCs w:val="24"/>
          <w:lang w:val="en-US"/>
        </w:rPr>
        <w:t>Message to the Euro Summit on 22 June and EU Council meeting on 25-26 June 2015</w:t>
      </w:r>
      <w:r w:rsidR="009F480D" w:rsidRPr="001234AB">
        <w:rPr>
          <w:rFonts w:ascii="Times New Roman" w:hAnsi="Times New Roman" w:cs="Times New Roman"/>
          <w:sz w:val="24"/>
          <w:szCs w:val="24"/>
          <w:lang w:val="en-US"/>
        </w:rPr>
        <w:t xml:space="preserve">. Retrieved from </w:t>
      </w:r>
      <w:hyperlink r:id="rId40" w:history="1">
        <w:r w:rsidR="009F480D" w:rsidRPr="001234AB">
          <w:rPr>
            <w:rStyle w:val="Hyperlink"/>
            <w:rFonts w:ascii="Times New Roman" w:hAnsi="Times New Roman" w:cs="Times New Roman"/>
            <w:sz w:val="24"/>
            <w:szCs w:val="24"/>
            <w:lang w:val="en-US"/>
          </w:rPr>
          <w:t>https://www.spcr.cz/images/EU/2015-06-19_Message_to_the_June_council_-_President_Tusk.pdf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BusinessEurope</w:t>
      </w:r>
      <w:proofErr w:type="spellEnd"/>
      <w:r w:rsidR="009F480D" w:rsidRPr="001234AB">
        <w:rPr>
          <w:rFonts w:ascii="Times New Roman" w:hAnsi="Times New Roman" w:cs="Times New Roman"/>
          <w:sz w:val="24"/>
          <w:szCs w:val="24"/>
          <w:lang w:val="en-US"/>
        </w:rPr>
        <w:t xml:space="preserve">. (2018). </w:t>
      </w:r>
      <w:r w:rsidR="009F480D" w:rsidRPr="001234AB">
        <w:rPr>
          <w:rFonts w:ascii="Times New Roman" w:hAnsi="Times New Roman" w:cs="Times New Roman"/>
          <w:i/>
          <w:iCs/>
          <w:sz w:val="24"/>
          <w:szCs w:val="24"/>
          <w:lang w:val="en-US"/>
        </w:rPr>
        <w:t xml:space="preserve">Commission Communication (6/12/2017): Further Steps Towards Completing </w:t>
      </w:r>
      <w:proofErr w:type="gramStart"/>
      <w:r w:rsidR="009F480D" w:rsidRPr="001234AB">
        <w:rPr>
          <w:rFonts w:ascii="Times New Roman" w:hAnsi="Times New Roman" w:cs="Times New Roman"/>
          <w:i/>
          <w:iCs/>
          <w:sz w:val="24"/>
          <w:szCs w:val="24"/>
          <w:lang w:val="en-US"/>
        </w:rPr>
        <w:t>EMU :</w:t>
      </w:r>
      <w:proofErr w:type="gramEnd"/>
      <w:r w:rsidR="009F480D" w:rsidRPr="001234AB">
        <w:rPr>
          <w:rFonts w:ascii="Times New Roman" w:hAnsi="Times New Roman" w:cs="Times New Roman"/>
          <w:i/>
          <w:iCs/>
          <w:sz w:val="24"/>
          <w:szCs w:val="24"/>
          <w:lang w:val="en-US"/>
        </w:rPr>
        <w:t xml:space="preserve"> A Roadmap – </w:t>
      </w:r>
      <w:proofErr w:type="spellStart"/>
      <w:r w:rsidR="009F480D" w:rsidRPr="001234AB">
        <w:rPr>
          <w:rFonts w:ascii="Times New Roman" w:hAnsi="Times New Roman" w:cs="Times New Roman"/>
          <w:i/>
          <w:iCs/>
          <w:sz w:val="24"/>
          <w:szCs w:val="24"/>
          <w:lang w:val="en-US"/>
        </w:rPr>
        <w:t>BusinessEurope</w:t>
      </w:r>
      <w:proofErr w:type="spellEnd"/>
      <w:r w:rsidR="009F480D" w:rsidRPr="001234AB">
        <w:rPr>
          <w:rFonts w:ascii="Times New Roman" w:hAnsi="Times New Roman" w:cs="Times New Roman"/>
          <w:i/>
          <w:iCs/>
          <w:sz w:val="24"/>
          <w:szCs w:val="24"/>
          <w:lang w:val="en-US"/>
        </w:rPr>
        <w:t xml:space="preserve"> Position</w:t>
      </w:r>
      <w:r w:rsidR="009F480D" w:rsidRPr="001234AB">
        <w:rPr>
          <w:rFonts w:ascii="Times New Roman" w:hAnsi="Times New Roman" w:cs="Times New Roman"/>
          <w:sz w:val="24"/>
          <w:szCs w:val="24"/>
          <w:lang w:val="en-US"/>
        </w:rPr>
        <w:t xml:space="preserve">. Retrieved from </w:t>
      </w:r>
      <w:hyperlink r:id="rId41" w:history="1">
        <w:r w:rsidR="009F480D" w:rsidRPr="001234AB">
          <w:rPr>
            <w:rStyle w:val="Hyperlink"/>
            <w:rFonts w:ascii="Times New Roman" w:hAnsi="Times New Roman" w:cs="Times New Roman"/>
            <w:sz w:val="24"/>
            <w:szCs w:val="24"/>
            <w:lang w:val="en-US"/>
          </w:rPr>
          <w:t>https://www.businesseurope.eu/sites/buseur/files/media/position_papers/ecofin/2018-03-</w:t>
        </w:r>
        <w:r w:rsidR="009F480D" w:rsidRPr="001234AB">
          <w:rPr>
            <w:rStyle w:val="Hyperlink"/>
            <w:rFonts w:ascii="Times New Roman" w:hAnsi="Times New Roman" w:cs="Times New Roman"/>
            <w:sz w:val="24"/>
            <w:szCs w:val="24"/>
            <w:lang w:val="en-US"/>
          </w:rPr>
          <w:lastRenderedPageBreak/>
          <w:t>20_emu_position_paper.pdf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BusinessEurope</w:t>
      </w:r>
      <w:proofErr w:type="spellEnd"/>
      <w:r w:rsidR="009F480D" w:rsidRPr="001234AB">
        <w:rPr>
          <w:rFonts w:ascii="Times New Roman" w:hAnsi="Times New Roman" w:cs="Times New Roman"/>
          <w:sz w:val="24"/>
          <w:szCs w:val="24"/>
          <w:lang w:val="en-US"/>
        </w:rPr>
        <w:t xml:space="preserve">. (2020). </w:t>
      </w:r>
      <w:proofErr w:type="spellStart"/>
      <w:r w:rsidR="009F480D" w:rsidRPr="001234AB">
        <w:rPr>
          <w:rFonts w:ascii="Times New Roman" w:hAnsi="Times New Roman" w:cs="Times New Roman"/>
          <w:i/>
          <w:iCs/>
          <w:sz w:val="24"/>
          <w:szCs w:val="24"/>
          <w:lang w:val="en-US"/>
        </w:rPr>
        <w:t>BusinessEurope</w:t>
      </w:r>
      <w:proofErr w:type="spellEnd"/>
      <w:r w:rsidR="009F480D" w:rsidRPr="001234AB">
        <w:rPr>
          <w:rFonts w:ascii="Times New Roman" w:hAnsi="Times New Roman" w:cs="Times New Roman"/>
          <w:i/>
          <w:iCs/>
          <w:sz w:val="24"/>
          <w:szCs w:val="24"/>
          <w:lang w:val="en-US"/>
        </w:rPr>
        <w:t xml:space="preserve"> Proposals for a European Economic Recovery Plan</w:t>
      </w:r>
      <w:r w:rsidR="009F480D" w:rsidRPr="001234AB">
        <w:rPr>
          <w:rFonts w:ascii="Times New Roman" w:hAnsi="Times New Roman" w:cs="Times New Roman"/>
          <w:sz w:val="24"/>
          <w:szCs w:val="24"/>
          <w:lang w:val="en-US"/>
        </w:rPr>
        <w:t xml:space="preserve">. Retrieved from </w:t>
      </w:r>
      <w:hyperlink r:id="rId42" w:history="1">
        <w:r w:rsidR="009F480D" w:rsidRPr="001234AB">
          <w:rPr>
            <w:rStyle w:val="Hyperlink"/>
            <w:rFonts w:ascii="Times New Roman" w:hAnsi="Times New Roman" w:cs="Times New Roman"/>
            <w:sz w:val="24"/>
            <w:szCs w:val="24"/>
            <w:lang w:val="en-US"/>
          </w:rPr>
          <w:t>https://www.businesseurope.eu/sites/buseur/files/media/position_papers/businesseurope_recovery_plan_final_30_04_2020_v2.pdf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Cafruny</w:t>
      </w:r>
      <w:proofErr w:type="spellEnd"/>
      <w:r w:rsidR="009F480D" w:rsidRPr="001234AB">
        <w:rPr>
          <w:rFonts w:ascii="Times New Roman" w:hAnsi="Times New Roman" w:cs="Times New Roman"/>
          <w:sz w:val="24"/>
          <w:szCs w:val="24"/>
          <w:lang w:val="en-US"/>
        </w:rPr>
        <w:t xml:space="preserve">, A., &amp; M </w:t>
      </w:r>
      <w:proofErr w:type="spellStart"/>
      <w:r w:rsidR="009F480D" w:rsidRPr="001234AB">
        <w:rPr>
          <w:rFonts w:ascii="Times New Roman" w:hAnsi="Times New Roman" w:cs="Times New Roman"/>
          <w:sz w:val="24"/>
          <w:szCs w:val="24"/>
          <w:lang w:val="en-US"/>
        </w:rPr>
        <w:t>Ryner</w:t>
      </w:r>
      <w:proofErr w:type="spellEnd"/>
      <w:r w:rsidR="009F480D" w:rsidRPr="001234AB">
        <w:rPr>
          <w:rFonts w:ascii="Times New Roman" w:hAnsi="Times New Roman" w:cs="Times New Roman"/>
          <w:sz w:val="24"/>
          <w:szCs w:val="24"/>
          <w:lang w:val="en-US"/>
        </w:rPr>
        <w:t>, J. (2009). Critical Political Economy. In A. Wiener, &amp; T. Diez (Eds.),</w:t>
      </w:r>
      <w:r w:rsidR="009F480D" w:rsidRPr="001234AB">
        <w:rPr>
          <w:rFonts w:ascii="Times New Roman" w:hAnsi="Times New Roman" w:cs="Times New Roman"/>
          <w:i/>
          <w:iCs/>
          <w:sz w:val="24"/>
          <w:szCs w:val="24"/>
          <w:lang w:val="en-US"/>
        </w:rPr>
        <w:t> European Integration Theory</w:t>
      </w:r>
      <w:r w:rsidR="009F480D" w:rsidRPr="001234AB">
        <w:rPr>
          <w:rFonts w:ascii="Times New Roman" w:hAnsi="Times New Roman" w:cs="Times New Roman"/>
          <w:sz w:val="24"/>
          <w:szCs w:val="24"/>
          <w:lang w:val="en-US"/>
        </w:rPr>
        <w:t> (2nd ed., pp. 221-240). Oxford, United Kingdom: Oxford University Press.</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CEE </w:t>
      </w:r>
      <w:proofErr w:type="spellStart"/>
      <w:r w:rsidR="009F480D" w:rsidRPr="001234AB">
        <w:rPr>
          <w:rFonts w:ascii="Times New Roman" w:hAnsi="Times New Roman" w:cs="Times New Roman"/>
          <w:sz w:val="24"/>
          <w:szCs w:val="24"/>
          <w:lang w:val="en-US"/>
        </w:rPr>
        <w:t>Bankwatch</w:t>
      </w:r>
      <w:proofErr w:type="spellEnd"/>
      <w:r w:rsidR="009F480D" w:rsidRPr="001234AB">
        <w:rPr>
          <w:rFonts w:ascii="Times New Roman" w:hAnsi="Times New Roman" w:cs="Times New Roman"/>
          <w:sz w:val="24"/>
          <w:szCs w:val="24"/>
          <w:lang w:val="en-US"/>
        </w:rPr>
        <w:t xml:space="preserve">. (n.d.). </w:t>
      </w:r>
      <w:r w:rsidR="009F480D" w:rsidRPr="001234AB">
        <w:rPr>
          <w:rFonts w:ascii="Times New Roman" w:hAnsi="Times New Roman" w:cs="Times New Roman"/>
          <w:i/>
          <w:iCs/>
          <w:sz w:val="24"/>
          <w:szCs w:val="24"/>
          <w:lang w:val="en-US"/>
        </w:rPr>
        <w:t>What we do</w:t>
      </w:r>
      <w:r w:rsidR="009F480D" w:rsidRPr="001234AB">
        <w:rPr>
          <w:rFonts w:ascii="Times New Roman" w:hAnsi="Times New Roman" w:cs="Times New Roman"/>
          <w:sz w:val="24"/>
          <w:szCs w:val="24"/>
          <w:lang w:val="en-US"/>
        </w:rPr>
        <w:t xml:space="preserve">. Retrieved from </w:t>
      </w:r>
      <w:hyperlink r:id="rId43" w:history="1">
        <w:r w:rsidR="009F480D" w:rsidRPr="001234AB">
          <w:rPr>
            <w:rStyle w:val="Hyperlink"/>
            <w:rFonts w:ascii="Times New Roman" w:hAnsi="Times New Roman" w:cs="Times New Roman"/>
            <w:sz w:val="24"/>
            <w:szCs w:val="24"/>
            <w:lang w:val="en-US"/>
          </w:rPr>
          <w:t>https://bankwatch.org/what-we-do</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CEE </w:t>
      </w:r>
      <w:proofErr w:type="spellStart"/>
      <w:r w:rsidR="009F480D" w:rsidRPr="001234AB">
        <w:rPr>
          <w:rFonts w:ascii="Times New Roman" w:hAnsi="Times New Roman" w:cs="Times New Roman"/>
          <w:sz w:val="24"/>
          <w:szCs w:val="24"/>
          <w:lang w:val="en-US"/>
        </w:rPr>
        <w:t>Bankwatch</w:t>
      </w:r>
      <w:proofErr w:type="spellEnd"/>
      <w:r w:rsidR="009F480D" w:rsidRPr="001234AB">
        <w:rPr>
          <w:rFonts w:ascii="Times New Roman" w:hAnsi="Times New Roman" w:cs="Times New Roman"/>
          <w:sz w:val="24"/>
          <w:szCs w:val="24"/>
          <w:lang w:val="en-US"/>
        </w:rPr>
        <w:t xml:space="preserve">. (2020a). </w:t>
      </w:r>
      <w:r w:rsidR="009F480D" w:rsidRPr="001234AB">
        <w:rPr>
          <w:rFonts w:ascii="Times New Roman" w:hAnsi="Times New Roman" w:cs="Times New Roman"/>
          <w:i/>
          <w:iCs/>
          <w:sz w:val="24"/>
          <w:szCs w:val="24"/>
          <w:lang w:val="en-US"/>
        </w:rPr>
        <w:t>NGO letter to EIB President on Covid-19 crisis response</w:t>
      </w:r>
      <w:r w:rsidR="009F480D" w:rsidRPr="001234AB">
        <w:rPr>
          <w:rFonts w:ascii="Times New Roman" w:hAnsi="Times New Roman" w:cs="Times New Roman"/>
          <w:sz w:val="24"/>
          <w:szCs w:val="24"/>
          <w:lang w:val="en-US"/>
        </w:rPr>
        <w:t xml:space="preserve">. Retrieved from </w:t>
      </w:r>
      <w:hyperlink r:id="rId44" w:history="1">
        <w:r w:rsidR="009F480D" w:rsidRPr="001234AB">
          <w:rPr>
            <w:rStyle w:val="Hyperlink"/>
            <w:rFonts w:ascii="Times New Roman" w:hAnsi="Times New Roman" w:cs="Times New Roman"/>
            <w:sz w:val="24"/>
            <w:szCs w:val="24"/>
            <w:lang w:val="en-US"/>
          </w:rPr>
          <w:t>https://bankwatch.org/wp-content/uploads/2020/04/Joint-NGO-letter-to-President-Hoyer-on-Covid19-response.pdf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CEE </w:t>
      </w:r>
      <w:proofErr w:type="spellStart"/>
      <w:r w:rsidR="009F480D" w:rsidRPr="001234AB">
        <w:rPr>
          <w:rFonts w:ascii="Times New Roman" w:hAnsi="Times New Roman" w:cs="Times New Roman"/>
          <w:sz w:val="24"/>
          <w:szCs w:val="24"/>
          <w:lang w:val="en-US"/>
        </w:rPr>
        <w:t>Bankwatch</w:t>
      </w:r>
      <w:proofErr w:type="spellEnd"/>
      <w:r w:rsidR="009F480D" w:rsidRPr="001234AB">
        <w:rPr>
          <w:rFonts w:ascii="Times New Roman" w:hAnsi="Times New Roman" w:cs="Times New Roman"/>
          <w:sz w:val="24"/>
          <w:szCs w:val="24"/>
          <w:lang w:val="en-US"/>
        </w:rPr>
        <w:t xml:space="preserve">. (2020b). </w:t>
      </w:r>
      <w:r w:rsidR="009F480D" w:rsidRPr="001234AB">
        <w:rPr>
          <w:rFonts w:ascii="Times New Roman" w:hAnsi="Times New Roman" w:cs="Times New Roman"/>
          <w:i/>
          <w:iCs/>
          <w:sz w:val="24"/>
          <w:szCs w:val="24"/>
          <w:lang w:val="en-US"/>
        </w:rPr>
        <w:t>Statement on the EIB Group’s response to economic consequences of COVID-19</w:t>
      </w:r>
      <w:r w:rsidR="009F480D" w:rsidRPr="001234AB">
        <w:rPr>
          <w:rFonts w:ascii="Times New Roman" w:hAnsi="Times New Roman" w:cs="Times New Roman"/>
          <w:sz w:val="24"/>
          <w:szCs w:val="24"/>
          <w:lang w:val="en-US"/>
        </w:rPr>
        <w:t xml:space="preserve">. Retrieved from </w:t>
      </w:r>
      <w:hyperlink r:id="rId45" w:history="1">
        <w:r w:rsidR="009F480D" w:rsidRPr="001234AB">
          <w:rPr>
            <w:rStyle w:val="Hyperlink"/>
            <w:rFonts w:ascii="Times New Roman" w:hAnsi="Times New Roman" w:cs="Times New Roman"/>
            <w:sz w:val="24"/>
            <w:szCs w:val="24"/>
            <w:lang w:val="en-US"/>
          </w:rPr>
          <w:t>https://bankwatch.org/wp-content/uploads/2020/05/Bankwatch-Statement-on-EIB-Covid-19-crisis-response.pdf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Christie, R., </w:t>
      </w:r>
      <w:proofErr w:type="spellStart"/>
      <w:r w:rsidR="009F480D" w:rsidRPr="001234AB">
        <w:rPr>
          <w:rFonts w:ascii="Times New Roman" w:hAnsi="Times New Roman" w:cs="Times New Roman"/>
          <w:sz w:val="24"/>
          <w:szCs w:val="24"/>
          <w:lang w:val="en-US"/>
        </w:rPr>
        <w:t>Claeys</w:t>
      </w:r>
      <w:proofErr w:type="spellEnd"/>
      <w:r w:rsidR="009F480D" w:rsidRPr="001234AB">
        <w:rPr>
          <w:rFonts w:ascii="Times New Roman" w:hAnsi="Times New Roman" w:cs="Times New Roman"/>
          <w:sz w:val="24"/>
          <w:szCs w:val="24"/>
          <w:lang w:val="en-US"/>
        </w:rPr>
        <w:t xml:space="preserve"> G., &amp; P. Weil (2021). ‘Next Generation EU borrowing: a first assessment’ </w:t>
      </w:r>
      <w:r w:rsidR="009F480D" w:rsidRPr="001234AB">
        <w:rPr>
          <w:rFonts w:ascii="Times New Roman" w:hAnsi="Times New Roman" w:cs="Times New Roman"/>
          <w:i/>
          <w:iCs/>
          <w:sz w:val="24"/>
          <w:szCs w:val="24"/>
          <w:lang w:val="en-US"/>
        </w:rPr>
        <w:t>Policy Contribution</w:t>
      </w:r>
      <w:r w:rsidR="009F480D" w:rsidRPr="001234AB">
        <w:rPr>
          <w:rFonts w:ascii="Times New Roman" w:hAnsi="Times New Roman" w:cs="Times New Roman"/>
          <w:sz w:val="24"/>
          <w:szCs w:val="24"/>
          <w:lang w:val="en-US"/>
        </w:rPr>
        <w:t xml:space="preserve">, 22/2021, Bruegel. Retrieved from </w:t>
      </w:r>
      <w:hyperlink r:id="rId46" w:history="1">
        <w:r w:rsidR="009F480D" w:rsidRPr="001234AB">
          <w:rPr>
            <w:rStyle w:val="Hyperlink"/>
            <w:rFonts w:ascii="Times New Roman" w:hAnsi="Times New Roman" w:cs="Times New Roman"/>
            <w:sz w:val="24"/>
            <w:szCs w:val="24"/>
            <w:lang w:val="en-US"/>
          </w:rPr>
          <w:t>https://www.bruegel.org/policy-brief/next-generation-eu-borrowing-first-assessment</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Clarke, S. (1978). Capital, Fractions of Capital and the State: ‘Neo-Marxist’ Analysis of the South African State. </w:t>
      </w:r>
      <w:r w:rsidR="009F480D" w:rsidRPr="001234AB">
        <w:rPr>
          <w:rFonts w:ascii="Times New Roman" w:hAnsi="Times New Roman" w:cs="Times New Roman"/>
          <w:i/>
          <w:iCs/>
          <w:sz w:val="24"/>
          <w:szCs w:val="24"/>
          <w:lang w:val="en-US"/>
        </w:rPr>
        <w:t>Capital &amp; Class</w:t>
      </w:r>
      <w:r w:rsidR="009F480D" w:rsidRPr="001234AB">
        <w:rPr>
          <w:rFonts w:ascii="Times New Roman" w:hAnsi="Times New Roman" w:cs="Times New Roman"/>
          <w:sz w:val="24"/>
          <w:szCs w:val="24"/>
          <w:lang w:val="en-US"/>
        </w:rPr>
        <w:t>, </w:t>
      </w:r>
      <w:r w:rsidR="009F480D" w:rsidRPr="001234AB">
        <w:rPr>
          <w:rFonts w:ascii="Times New Roman" w:hAnsi="Times New Roman" w:cs="Times New Roman"/>
          <w:i/>
          <w:iCs/>
          <w:sz w:val="24"/>
          <w:szCs w:val="24"/>
          <w:lang w:val="en-US"/>
        </w:rPr>
        <w:t>2</w:t>
      </w:r>
      <w:r w:rsidR="009F480D" w:rsidRPr="001234AB">
        <w:rPr>
          <w:rFonts w:ascii="Times New Roman" w:hAnsi="Times New Roman" w:cs="Times New Roman"/>
          <w:sz w:val="24"/>
          <w:szCs w:val="24"/>
          <w:lang w:val="en-US"/>
        </w:rPr>
        <w:t xml:space="preserve">(2), 32–77. </w:t>
      </w:r>
      <w:hyperlink r:id="rId47" w:history="1">
        <w:r w:rsidR="009F480D" w:rsidRPr="001234AB">
          <w:rPr>
            <w:rStyle w:val="Hyperlink"/>
            <w:rFonts w:ascii="Times New Roman" w:hAnsi="Times New Roman" w:cs="Times New Roman"/>
            <w:sz w:val="24"/>
            <w:szCs w:val="24"/>
            <w:lang w:val="en-US"/>
          </w:rPr>
          <w:t>https://doi.org/10.1177/030981687800500103</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b/>
          <w:bCs/>
          <w:sz w:val="24"/>
          <w:szCs w:val="24"/>
          <w:lang w:val="en-US"/>
        </w:rPr>
        <w:br/>
      </w:r>
      <w:r w:rsidR="009F480D" w:rsidRPr="001234AB">
        <w:rPr>
          <w:rFonts w:ascii="Times New Roman" w:hAnsi="Times New Roman" w:cs="Times New Roman"/>
          <w:sz w:val="24"/>
          <w:szCs w:val="24"/>
          <w:lang w:val="en-US"/>
        </w:rPr>
        <w:t xml:space="preserve">Corporate Europe Observatory. (2011). </w:t>
      </w:r>
      <w:r w:rsidR="009F480D" w:rsidRPr="001234AB">
        <w:rPr>
          <w:rFonts w:ascii="Times New Roman" w:hAnsi="Times New Roman" w:cs="Times New Roman"/>
          <w:i/>
          <w:iCs/>
          <w:sz w:val="24"/>
          <w:szCs w:val="24"/>
          <w:lang w:val="en-US"/>
        </w:rPr>
        <w:t xml:space="preserve">Business Against Europe: </w:t>
      </w:r>
      <w:proofErr w:type="spellStart"/>
      <w:r w:rsidR="009F480D" w:rsidRPr="001234AB">
        <w:rPr>
          <w:rFonts w:ascii="Times New Roman" w:hAnsi="Times New Roman" w:cs="Times New Roman"/>
          <w:i/>
          <w:iCs/>
          <w:sz w:val="24"/>
          <w:szCs w:val="24"/>
          <w:lang w:val="en-US"/>
        </w:rPr>
        <w:t>BusinessEurope</w:t>
      </w:r>
      <w:proofErr w:type="spellEnd"/>
      <w:r w:rsidR="009F480D" w:rsidRPr="001234AB">
        <w:rPr>
          <w:rFonts w:ascii="Times New Roman" w:hAnsi="Times New Roman" w:cs="Times New Roman"/>
          <w:i/>
          <w:iCs/>
          <w:sz w:val="24"/>
          <w:szCs w:val="24"/>
          <w:lang w:val="en-US"/>
        </w:rPr>
        <w:t xml:space="preserve"> Celebrates Social Onslaught in Europe.</w:t>
      </w:r>
      <w:r w:rsidR="009F480D" w:rsidRPr="001234AB">
        <w:rPr>
          <w:rFonts w:ascii="Times New Roman" w:hAnsi="Times New Roman" w:cs="Times New Roman"/>
          <w:sz w:val="24"/>
          <w:szCs w:val="24"/>
          <w:lang w:val="en-US"/>
        </w:rPr>
        <w:t xml:space="preserve"> Retrieved from </w:t>
      </w:r>
      <w:hyperlink r:id="rId48" w:history="1">
        <w:r w:rsidR="009F480D" w:rsidRPr="001234AB">
          <w:rPr>
            <w:rStyle w:val="Hyperlink"/>
            <w:rFonts w:ascii="Times New Roman" w:hAnsi="Times New Roman" w:cs="Times New Roman"/>
            <w:sz w:val="24"/>
            <w:szCs w:val="24"/>
            <w:lang w:val="en-US"/>
          </w:rPr>
          <w:t>https://www.ethicalmarkets.com/business-against-europe-businesseurope-celebrates-social-onslaught-in-europe/</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Costa Cabral, N. da. (2021). Borrowing in the European Union: from a pure national model to </w:t>
      </w:r>
      <w:r w:rsidR="009F480D" w:rsidRPr="001234AB">
        <w:rPr>
          <w:rFonts w:ascii="Times New Roman" w:hAnsi="Times New Roman" w:cs="Times New Roman"/>
          <w:sz w:val="24"/>
          <w:szCs w:val="24"/>
          <w:lang w:val="en-US"/>
        </w:rPr>
        <w:lastRenderedPageBreak/>
        <w:t>the antechamber of a European fiscal federal solution</w:t>
      </w:r>
      <w:r w:rsidR="009F480D" w:rsidRPr="001234AB">
        <w:rPr>
          <w:rFonts w:ascii="Times New Roman" w:hAnsi="Times New Roman" w:cs="Times New Roman"/>
          <w:i/>
          <w:iCs/>
          <w:sz w:val="24"/>
          <w:szCs w:val="24"/>
          <w:lang w:val="en-US"/>
        </w:rPr>
        <w:t>. Journal of European Integration</w:t>
      </w:r>
      <w:r w:rsidR="009F480D" w:rsidRPr="001234AB">
        <w:rPr>
          <w:rFonts w:ascii="Times New Roman" w:hAnsi="Times New Roman" w:cs="Times New Roman"/>
          <w:sz w:val="24"/>
          <w:szCs w:val="24"/>
          <w:lang w:val="en-US"/>
        </w:rPr>
        <w:t xml:space="preserve">, 43(8), 939–954. </w:t>
      </w:r>
      <w:hyperlink r:id="rId49" w:history="1">
        <w:r w:rsidR="009F480D" w:rsidRPr="001234AB">
          <w:rPr>
            <w:rStyle w:val="Hyperlink"/>
            <w:rFonts w:ascii="Times New Roman" w:hAnsi="Times New Roman" w:cs="Times New Roman"/>
            <w:sz w:val="24"/>
            <w:szCs w:val="24"/>
            <w:lang w:val="en-US"/>
          </w:rPr>
          <w:t>https://doi.org/10.1080/07036337.2021.1881499</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Cox, R. W. (1983). Gramsci, Hegemony and International </w:t>
      </w:r>
      <w:proofErr w:type="gramStart"/>
      <w:r w:rsidR="009F480D" w:rsidRPr="001234AB">
        <w:rPr>
          <w:rFonts w:ascii="Times New Roman" w:hAnsi="Times New Roman" w:cs="Times New Roman"/>
          <w:sz w:val="24"/>
          <w:szCs w:val="24"/>
          <w:lang w:val="en-US"/>
        </w:rPr>
        <w:t>Relations :</w:t>
      </w:r>
      <w:proofErr w:type="gramEnd"/>
      <w:r w:rsidR="009F480D" w:rsidRPr="001234AB">
        <w:rPr>
          <w:rFonts w:ascii="Times New Roman" w:hAnsi="Times New Roman" w:cs="Times New Roman"/>
          <w:sz w:val="24"/>
          <w:szCs w:val="24"/>
          <w:lang w:val="en-US"/>
        </w:rPr>
        <w:t xml:space="preserve"> An Essay in Method. </w:t>
      </w:r>
      <w:r w:rsidR="009F480D" w:rsidRPr="001234AB">
        <w:rPr>
          <w:rFonts w:ascii="Times New Roman" w:hAnsi="Times New Roman" w:cs="Times New Roman"/>
          <w:i/>
          <w:iCs/>
          <w:sz w:val="24"/>
          <w:szCs w:val="24"/>
          <w:lang w:val="en-US"/>
        </w:rPr>
        <w:t>Millennium</w:t>
      </w:r>
      <w:r w:rsidR="009F480D" w:rsidRPr="001234AB">
        <w:rPr>
          <w:rFonts w:ascii="Times New Roman" w:hAnsi="Times New Roman" w:cs="Times New Roman"/>
          <w:sz w:val="24"/>
          <w:szCs w:val="24"/>
          <w:lang w:val="en-US"/>
        </w:rPr>
        <w:t xml:space="preserve">, 12(2), 162–175. </w:t>
      </w:r>
      <w:hyperlink r:id="rId50" w:history="1">
        <w:r w:rsidR="009F480D" w:rsidRPr="001234AB">
          <w:rPr>
            <w:rStyle w:val="Hyperlink"/>
            <w:rFonts w:ascii="Times New Roman" w:hAnsi="Times New Roman" w:cs="Times New Roman"/>
            <w:sz w:val="24"/>
            <w:szCs w:val="24"/>
            <w:lang w:val="en-US"/>
          </w:rPr>
          <w:t>https://doi.org/10.1177/03058298830120020701</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De Grauwe, P. (2012). The Governance of a Fragile Eurozone. </w:t>
      </w:r>
      <w:r w:rsidR="009F480D" w:rsidRPr="001234AB">
        <w:rPr>
          <w:rFonts w:ascii="Times New Roman" w:hAnsi="Times New Roman" w:cs="Times New Roman"/>
          <w:i/>
          <w:iCs/>
          <w:sz w:val="24"/>
          <w:szCs w:val="24"/>
          <w:lang w:val="en-US"/>
        </w:rPr>
        <w:t>Australian Economic Review</w:t>
      </w:r>
      <w:r w:rsidR="009F480D" w:rsidRPr="001234AB">
        <w:rPr>
          <w:rFonts w:ascii="Times New Roman" w:hAnsi="Times New Roman" w:cs="Times New Roman"/>
          <w:sz w:val="24"/>
          <w:szCs w:val="24"/>
          <w:lang w:val="en-US"/>
        </w:rPr>
        <w:t xml:space="preserve">, 45(3), 255–268. </w:t>
      </w:r>
      <w:hyperlink r:id="rId51" w:history="1">
        <w:r w:rsidR="009F480D" w:rsidRPr="001234AB">
          <w:rPr>
            <w:rStyle w:val="Hyperlink"/>
            <w:rFonts w:ascii="Times New Roman" w:hAnsi="Times New Roman" w:cs="Times New Roman"/>
            <w:sz w:val="24"/>
            <w:szCs w:val="24"/>
            <w:lang w:val="en-US"/>
          </w:rPr>
          <w:t>https://doi.org/10.1111/j.1467-8462.2012.00691</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De La Porte, C., &amp; Jensen, M. D. (2021). The next generation EU: An analysis of the dimension of conflict behind the deal. </w:t>
      </w:r>
      <w:r w:rsidR="009F480D" w:rsidRPr="001234AB">
        <w:rPr>
          <w:rFonts w:ascii="Times New Roman" w:hAnsi="Times New Roman" w:cs="Times New Roman"/>
          <w:i/>
          <w:iCs/>
          <w:sz w:val="24"/>
          <w:szCs w:val="24"/>
          <w:lang w:val="en-US"/>
        </w:rPr>
        <w:t>Social Policy &amp; Administration</w:t>
      </w:r>
      <w:r w:rsidR="009F480D" w:rsidRPr="001234AB">
        <w:rPr>
          <w:rFonts w:ascii="Times New Roman" w:hAnsi="Times New Roman" w:cs="Times New Roman"/>
          <w:sz w:val="24"/>
          <w:szCs w:val="24"/>
          <w:lang w:val="en-US"/>
        </w:rPr>
        <w:t xml:space="preserve">, 55(2), 388-402. </w:t>
      </w:r>
      <w:hyperlink r:id="rId52" w:history="1">
        <w:r w:rsidR="009F480D" w:rsidRPr="001234AB">
          <w:rPr>
            <w:rStyle w:val="Hyperlink"/>
            <w:rFonts w:ascii="Times New Roman" w:hAnsi="Times New Roman" w:cs="Times New Roman"/>
            <w:sz w:val="24"/>
            <w:szCs w:val="24"/>
            <w:lang w:val="en-US"/>
          </w:rPr>
          <w:t>https://doi.org/10.1111/spol.12709</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Dellheim</w:t>
      </w:r>
      <w:proofErr w:type="spellEnd"/>
      <w:r w:rsidR="009F480D" w:rsidRPr="001234AB">
        <w:rPr>
          <w:rFonts w:ascii="Times New Roman" w:hAnsi="Times New Roman" w:cs="Times New Roman"/>
          <w:sz w:val="24"/>
          <w:szCs w:val="24"/>
          <w:lang w:val="en-US"/>
        </w:rPr>
        <w:t xml:space="preserve">, J., </w:t>
      </w:r>
      <w:proofErr w:type="spellStart"/>
      <w:r w:rsidR="009F480D" w:rsidRPr="001234AB">
        <w:rPr>
          <w:rFonts w:ascii="Times New Roman" w:hAnsi="Times New Roman" w:cs="Times New Roman"/>
          <w:sz w:val="24"/>
          <w:szCs w:val="24"/>
          <w:lang w:val="en-US"/>
        </w:rPr>
        <w:t>Frangakis</w:t>
      </w:r>
      <w:proofErr w:type="spellEnd"/>
      <w:r w:rsidR="009F480D" w:rsidRPr="001234AB">
        <w:rPr>
          <w:rFonts w:ascii="Times New Roman" w:hAnsi="Times New Roman" w:cs="Times New Roman"/>
          <w:sz w:val="24"/>
          <w:szCs w:val="24"/>
          <w:lang w:val="en-US"/>
        </w:rPr>
        <w:t xml:space="preserve">, M., </w:t>
      </w:r>
      <w:proofErr w:type="spellStart"/>
      <w:r w:rsidR="009F480D" w:rsidRPr="001234AB">
        <w:rPr>
          <w:rFonts w:ascii="Times New Roman" w:hAnsi="Times New Roman" w:cs="Times New Roman"/>
          <w:sz w:val="24"/>
          <w:szCs w:val="24"/>
          <w:lang w:val="en-US"/>
        </w:rPr>
        <w:t>Grahl</w:t>
      </w:r>
      <w:proofErr w:type="spellEnd"/>
      <w:r w:rsidR="009F480D" w:rsidRPr="001234AB">
        <w:rPr>
          <w:rFonts w:ascii="Times New Roman" w:hAnsi="Times New Roman" w:cs="Times New Roman"/>
          <w:sz w:val="24"/>
          <w:szCs w:val="24"/>
          <w:lang w:val="en-US"/>
        </w:rPr>
        <w:t xml:space="preserve">, J., Ioannou, S., </w:t>
      </w:r>
      <w:proofErr w:type="spellStart"/>
      <w:r w:rsidR="009F480D" w:rsidRPr="001234AB">
        <w:rPr>
          <w:rFonts w:ascii="Times New Roman" w:hAnsi="Times New Roman" w:cs="Times New Roman"/>
          <w:sz w:val="24"/>
          <w:szCs w:val="24"/>
          <w:lang w:val="en-US"/>
        </w:rPr>
        <w:t>Loizos</w:t>
      </w:r>
      <w:proofErr w:type="spellEnd"/>
      <w:r w:rsidR="009F480D" w:rsidRPr="001234AB">
        <w:rPr>
          <w:rFonts w:ascii="Times New Roman" w:hAnsi="Times New Roman" w:cs="Times New Roman"/>
          <w:sz w:val="24"/>
          <w:szCs w:val="24"/>
          <w:lang w:val="en-US"/>
        </w:rPr>
        <w:t xml:space="preserve">, K., </w:t>
      </w:r>
      <w:proofErr w:type="spellStart"/>
      <w:r w:rsidR="009F480D" w:rsidRPr="001234AB">
        <w:rPr>
          <w:rFonts w:ascii="Times New Roman" w:hAnsi="Times New Roman" w:cs="Times New Roman"/>
          <w:sz w:val="24"/>
          <w:szCs w:val="24"/>
          <w:lang w:val="en-US"/>
        </w:rPr>
        <w:t>Toporowski</w:t>
      </w:r>
      <w:proofErr w:type="spellEnd"/>
      <w:r w:rsidR="009F480D" w:rsidRPr="001234AB">
        <w:rPr>
          <w:rFonts w:ascii="Times New Roman" w:hAnsi="Times New Roman" w:cs="Times New Roman"/>
          <w:sz w:val="24"/>
          <w:szCs w:val="24"/>
          <w:lang w:val="en-US"/>
        </w:rPr>
        <w:t xml:space="preserve">, J., &amp; Missos, V. (2019). </w:t>
      </w:r>
      <w:r w:rsidR="009F480D" w:rsidRPr="001234AB">
        <w:rPr>
          <w:rFonts w:ascii="Times New Roman" w:hAnsi="Times New Roman" w:cs="Times New Roman"/>
          <w:i/>
          <w:iCs/>
          <w:sz w:val="24"/>
          <w:szCs w:val="24"/>
          <w:lang w:val="en-US"/>
        </w:rPr>
        <w:t xml:space="preserve">Ten Years into the Global Financial Crisis </w:t>
      </w:r>
      <w:proofErr w:type="gramStart"/>
      <w:r w:rsidR="009F480D" w:rsidRPr="001234AB">
        <w:rPr>
          <w:rFonts w:ascii="Times New Roman" w:hAnsi="Times New Roman" w:cs="Times New Roman"/>
          <w:i/>
          <w:iCs/>
          <w:sz w:val="24"/>
          <w:szCs w:val="24"/>
          <w:lang w:val="en-US"/>
        </w:rPr>
        <w:t>The</w:t>
      </w:r>
      <w:proofErr w:type="gramEnd"/>
      <w:r w:rsidR="009F480D" w:rsidRPr="001234AB">
        <w:rPr>
          <w:rFonts w:ascii="Times New Roman" w:hAnsi="Times New Roman" w:cs="Times New Roman"/>
          <w:i/>
          <w:iCs/>
          <w:sz w:val="24"/>
          <w:szCs w:val="24"/>
          <w:lang w:val="en-US"/>
        </w:rPr>
        <w:t xml:space="preserve"> Current State of Finance in the EU: Prospects and Alternatives</w:t>
      </w:r>
      <w:r w:rsidR="009F480D" w:rsidRPr="001234AB">
        <w:rPr>
          <w:rFonts w:ascii="Times New Roman" w:hAnsi="Times New Roman" w:cs="Times New Roman"/>
          <w:sz w:val="24"/>
          <w:szCs w:val="24"/>
          <w:lang w:val="en-US"/>
        </w:rPr>
        <w:t xml:space="preserve">. Athens, Greece: </w:t>
      </w:r>
      <w:proofErr w:type="spellStart"/>
      <w:r w:rsidR="009F480D" w:rsidRPr="001234AB">
        <w:rPr>
          <w:rFonts w:ascii="Times New Roman" w:hAnsi="Times New Roman" w:cs="Times New Roman"/>
          <w:sz w:val="24"/>
          <w:szCs w:val="24"/>
          <w:lang w:val="en-US"/>
        </w:rPr>
        <w:t>Nicos</w:t>
      </w:r>
      <w:proofErr w:type="spellEnd"/>
      <w:r w:rsidR="009F480D" w:rsidRPr="001234AB">
        <w:rPr>
          <w:rFonts w:ascii="Times New Roman" w:hAnsi="Times New Roman" w:cs="Times New Roman"/>
          <w:sz w:val="24"/>
          <w:szCs w:val="24"/>
          <w:lang w:val="en-US"/>
        </w:rPr>
        <w:t xml:space="preserve"> </w:t>
      </w:r>
      <w:proofErr w:type="spellStart"/>
      <w:r w:rsidR="009F480D" w:rsidRPr="001234AB">
        <w:rPr>
          <w:rFonts w:ascii="Times New Roman" w:hAnsi="Times New Roman" w:cs="Times New Roman"/>
          <w:sz w:val="24"/>
          <w:szCs w:val="24"/>
          <w:lang w:val="en-US"/>
        </w:rPr>
        <w:t>Poulantzas</w:t>
      </w:r>
      <w:proofErr w:type="spellEnd"/>
      <w:r w:rsidR="009F480D" w:rsidRPr="001234AB">
        <w:rPr>
          <w:rFonts w:ascii="Times New Roman" w:hAnsi="Times New Roman" w:cs="Times New Roman"/>
          <w:sz w:val="24"/>
          <w:szCs w:val="24"/>
          <w:lang w:val="en-US"/>
        </w:rPr>
        <w:t xml:space="preserve"> Institute.</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Drainville</w:t>
      </w:r>
      <w:proofErr w:type="spellEnd"/>
      <w:r w:rsidR="009F480D" w:rsidRPr="001234AB">
        <w:rPr>
          <w:rFonts w:ascii="Times New Roman" w:hAnsi="Times New Roman" w:cs="Times New Roman"/>
          <w:sz w:val="24"/>
          <w:szCs w:val="24"/>
          <w:lang w:val="en-US"/>
        </w:rPr>
        <w:t xml:space="preserve">, A. C. (1994). International Political Economy in the Age of Open Marxism. </w:t>
      </w:r>
      <w:r w:rsidR="009F480D" w:rsidRPr="001234AB">
        <w:rPr>
          <w:rFonts w:ascii="Times New Roman" w:hAnsi="Times New Roman" w:cs="Times New Roman"/>
          <w:i/>
          <w:iCs/>
          <w:sz w:val="24"/>
          <w:szCs w:val="24"/>
          <w:lang w:val="en-US"/>
        </w:rPr>
        <w:t>Review of International Political Economy</w:t>
      </w:r>
      <w:r w:rsidR="009F480D" w:rsidRPr="001234AB">
        <w:rPr>
          <w:rFonts w:ascii="Times New Roman" w:hAnsi="Times New Roman" w:cs="Times New Roman"/>
          <w:sz w:val="24"/>
          <w:szCs w:val="24"/>
          <w:lang w:val="en-US"/>
        </w:rPr>
        <w:t xml:space="preserve">, 1(1), 105–132. </w:t>
      </w:r>
      <w:hyperlink r:id="rId53" w:history="1">
        <w:r w:rsidR="009F480D" w:rsidRPr="001234AB">
          <w:rPr>
            <w:rStyle w:val="Hyperlink"/>
            <w:rFonts w:ascii="Times New Roman" w:hAnsi="Times New Roman" w:cs="Times New Roman"/>
            <w:sz w:val="24"/>
            <w:szCs w:val="24"/>
            <w:lang w:val="en-US"/>
          </w:rPr>
          <w:t>https://doi.org/10.1080/09692299408434270</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Dray, W. H. (1985). Narrative versus Analysis in History. </w:t>
      </w:r>
      <w:r w:rsidR="009F480D" w:rsidRPr="001234AB">
        <w:rPr>
          <w:rFonts w:ascii="Times New Roman" w:hAnsi="Times New Roman" w:cs="Times New Roman"/>
          <w:i/>
          <w:iCs/>
          <w:sz w:val="24"/>
          <w:szCs w:val="24"/>
          <w:lang w:val="en-US"/>
        </w:rPr>
        <w:t>Philosophy of the Social Sciences</w:t>
      </w:r>
      <w:r w:rsidR="009F480D" w:rsidRPr="001234AB">
        <w:rPr>
          <w:rFonts w:ascii="Times New Roman" w:hAnsi="Times New Roman" w:cs="Times New Roman"/>
          <w:sz w:val="24"/>
          <w:szCs w:val="24"/>
          <w:lang w:val="en-US"/>
        </w:rPr>
        <w:t>, </w:t>
      </w:r>
      <w:r w:rsidR="009F480D" w:rsidRPr="001234AB">
        <w:rPr>
          <w:rFonts w:ascii="Times New Roman" w:hAnsi="Times New Roman" w:cs="Times New Roman"/>
          <w:i/>
          <w:iCs/>
          <w:sz w:val="24"/>
          <w:szCs w:val="24"/>
          <w:lang w:val="en-US"/>
        </w:rPr>
        <w:t>15</w:t>
      </w:r>
      <w:r w:rsidR="009F480D" w:rsidRPr="001234AB">
        <w:rPr>
          <w:rFonts w:ascii="Times New Roman" w:hAnsi="Times New Roman" w:cs="Times New Roman"/>
          <w:sz w:val="24"/>
          <w:szCs w:val="24"/>
          <w:lang w:val="en-US"/>
        </w:rPr>
        <w:t xml:space="preserve">(2), 125–145. </w:t>
      </w:r>
      <w:hyperlink r:id="rId54" w:history="1">
        <w:r w:rsidR="009F480D" w:rsidRPr="001234AB">
          <w:rPr>
            <w:rStyle w:val="Hyperlink"/>
            <w:rFonts w:ascii="Times New Roman" w:hAnsi="Times New Roman" w:cs="Times New Roman"/>
            <w:sz w:val="24"/>
            <w:szCs w:val="24"/>
            <w:lang w:val="en-US"/>
          </w:rPr>
          <w:t>https://doi.org/10.1177/004839318501500201</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EFR. (n.d.). </w:t>
      </w:r>
      <w:r w:rsidR="009F480D" w:rsidRPr="001234AB">
        <w:rPr>
          <w:rFonts w:ascii="Times New Roman" w:hAnsi="Times New Roman" w:cs="Times New Roman"/>
          <w:i/>
          <w:iCs/>
          <w:sz w:val="24"/>
          <w:szCs w:val="24"/>
          <w:lang w:val="en-US"/>
        </w:rPr>
        <w:t>About Us</w:t>
      </w:r>
      <w:r w:rsidR="009F480D" w:rsidRPr="001234AB">
        <w:rPr>
          <w:rFonts w:ascii="Times New Roman" w:hAnsi="Times New Roman" w:cs="Times New Roman"/>
          <w:sz w:val="24"/>
          <w:szCs w:val="24"/>
          <w:lang w:val="en-US"/>
        </w:rPr>
        <w:t xml:space="preserve">. Retrieved from </w:t>
      </w:r>
      <w:hyperlink r:id="rId55" w:history="1">
        <w:r w:rsidR="009F480D" w:rsidRPr="001234AB">
          <w:rPr>
            <w:rStyle w:val="Hyperlink"/>
            <w:rFonts w:ascii="Times New Roman" w:hAnsi="Times New Roman" w:cs="Times New Roman"/>
            <w:sz w:val="24"/>
            <w:szCs w:val="24"/>
            <w:lang w:val="en-US"/>
          </w:rPr>
          <w:t>https://www.efr.be/about-us/</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EFR. (2015). </w:t>
      </w:r>
      <w:r w:rsidR="009F480D" w:rsidRPr="001234AB">
        <w:rPr>
          <w:rFonts w:ascii="Times New Roman" w:hAnsi="Times New Roman" w:cs="Times New Roman"/>
          <w:i/>
          <w:iCs/>
          <w:sz w:val="24"/>
          <w:szCs w:val="24"/>
          <w:lang w:val="en-US"/>
        </w:rPr>
        <w:t>EFR Response to the Green Paper on Building a Capital Markets Union</w:t>
      </w:r>
      <w:r w:rsidR="009F480D" w:rsidRPr="001234AB">
        <w:rPr>
          <w:rFonts w:ascii="Times New Roman" w:hAnsi="Times New Roman" w:cs="Times New Roman"/>
          <w:sz w:val="24"/>
          <w:szCs w:val="24"/>
          <w:lang w:val="en-US"/>
        </w:rPr>
        <w:t xml:space="preserve">. Retrieved from </w:t>
      </w:r>
      <w:hyperlink r:id="rId56" w:history="1">
        <w:r w:rsidR="009F480D" w:rsidRPr="001234AB">
          <w:rPr>
            <w:rStyle w:val="Hyperlink"/>
            <w:rFonts w:ascii="Times New Roman" w:hAnsi="Times New Roman" w:cs="Times New Roman"/>
            <w:sz w:val="24"/>
            <w:szCs w:val="24"/>
            <w:lang w:val="en-US"/>
          </w:rPr>
          <w:t>https://www.efr.be/media/p1ijlpwa/efr-response-to-capital-markets-union.pdf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EFR. (2016a). </w:t>
      </w:r>
      <w:r w:rsidR="009F480D" w:rsidRPr="001234AB">
        <w:rPr>
          <w:rFonts w:ascii="Times New Roman" w:hAnsi="Times New Roman" w:cs="Times New Roman"/>
          <w:i/>
          <w:iCs/>
          <w:sz w:val="24"/>
          <w:szCs w:val="24"/>
          <w:lang w:val="en-US"/>
        </w:rPr>
        <w:t>The European Financial Services Landscape in 2016: Common Challenges and Priorities for Europe: Jobs, Growth &amp; investment, Digital Single Market and Climate Change</w:t>
      </w:r>
      <w:r w:rsidR="009F480D" w:rsidRPr="001234AB">
        <w:rPr>
          <w:rFonts w:ascii="Times New Roman" w:hAnsi="Times New Roman" w:cs="Times New Roman"/>
          <w:sz w:val="24"/>
          <w:szCs w:val="24"/>
          <w:lang w:val="en-US"/>
        </w:rPr>
        <w:t xml:space="preserve">. Retrieved from </w:t>
      </w:r>
      <w:hyperlink r:id="rId57" w:history="1">
        <w:r w:rsidR="009F480D" w:rsidRPr="001234AB">
          <w:rPr>
            <w:rStyle w:val="Hyperlink"/>
            <w:rFonts w:ascii="Times New Roman" w:hAnsi="Times New Roman" w:cs="Times New Roman"/>
            <w:sz w:val="24"/>
            <w:szCs w:val="24"/>
            <w:lang w:val="en-US"/>
          </w:rPr>
          <w:t>https://www.efr.be/media/yubcmbgc/final-approved-efr-report-2016.pdf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lastRenderedPageBreak/>
        <w:t xml:space="preserve">EFR. (2016b). </w:t>
      </w:r>
      <w:r w:rsidR="009F480D" w:rsidRPr="001234AB">
        <w:rPr>
          <w:rFonts w:ascii="Times New Roman" w:hAnsi="Times New Roman" w:cs="Times New Roman"/>
          <w:i/>
          <w:iCs/>
          <w:sz w:val="24"/>
          <w:szCs w:val="24"/>
          <w:lang w:val="en-US"/>
        </w:rPr>
        <w:t>EFR call for a Strong, Ambitious Implementation of the Paris Agreement</w:t>
      </w:r>
      <w:r w:rsidR="009F480D" w:rsidRPr="001234AB">
        <w:rPr>
          <w:rFonts w:ascii="Times New Roman" w:hAnsi="Times New Roman" w:cs="Times New Roman"/>
          <w:sz w:val="24"/>
          <w:szCs w:val="24"/>
          <w:lang w:val="en-US"/>
        </w:rPr>
        <w:t xml:space="preserve">. Retrieved from </w:t>
      </w:r>
      <w:hyperlink r:id="rId58" w:history="1">
        <w:r w:rsidR="009F480D" w:rsidRPr="001234AB">
          <w:rPr>
            <w:rStyle w:val="Hyperlink"/>
            <w:rFonts w:ascii="Times New Roman" w:hAnsi="Times New Roman" w:cs="Times New Roman"/>
            <w:sz w:val="24"/>
            <w:szCs w:val="24"/>
            <w:lang w:val="en-US"/>
          </w:rPr>
          <w:t>https://www.efr.be/media/dmgn3jgi/101-1-efr-statement-ahead-of-cop22-24-10-2016.pdf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EFR. (2017). </w:t>
      </w:r>
      <w:r w:rsidR="009F480D" w:rsidRPr="001234AB">
        <w:rPr>
          <w:rFonts w:ascii="Times New Roman" w:hAnsi="Times New Roman" w:cs="Times New Roman"/>
          <w:i/>
          <w:iCs/>
          <w:sz w:val="24"/>
          <w:szCs w:val="24"/>
          <w:lang w:val="en-US"/>
        </w:rPr>
        <w:t>The European Financial Services Landscape in 2017: Delivering innovation and stability for Europe in challenging times: “Growth &amp; Investment, Digital innovation &amp; Cyber Security and Sustainable finance”</w:t>
      </w:r>
      <w:r w:rsidR="009F480D" w:rsidRPr="001234AB">
        <w:rPr>
          <w:rFonts w:ascii="Times New Roman" w:hAnsi="Times New Roman" w:cs="Times New Roman"/>
          <w:sz w:val="24"/>
          <w:szCs w:val="24"/>
          <w:lang w:val="en-US"/>
        </w:rPr>
        <w:t xml:space="preserve">. Retrieved from </w:t>
      </w:r>
      <w:hyperlink r:id="rId59" w:history="1">
        <w:r w:rsidR="009F480D" w:rsidRPr="001234AB">
          <w:rPr>
            <w:rStyle w:val="Hyperlink"/>
            <w:rFonts w:ascii="Times New Roman" w:hAnsi="Times New Roman" w:cs="Times New Roman"/>
            <w:sz w:val="24"/>
            <w:szCs w:val="24"/>
            <w:lang w:val="en-US"/>
          </w:rPr>
          <w:t>https://www.efr.be/media/1prgsynf/107-1-efr-report-23-03-2017.pdf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EFR. (2018). </w:t>
      </w:r>
      <w:r w:rsidR="009F480D" w:rsidRPr="001234AB">
        <w:rPr>
          <w:rFonts w:ascii="Times New Roman" w:hAnsi="Times New Roman" w:cs="Times New Roman"/>
          <w:i/>
          <w:iCs/>
          <w:sz w:val="24"/>
          <w:szCs w:val="24"/>
          <w:lang w:val="en-US"/>
        </w:rPr>
        <w:t>The European Financial Services Landscape in 2018: “Securing a safe and sustainable financial sector”</w:t>
      </w:r>
      <w:r w:rsidR="009F480D" w:rsidRPr="001234AB">
        <w:rPr>
          <w:rFonts w:ascii="Times New Roman" w:hAnsi="Times New Roman" w:cs="Times New Roman"/>
          <w:sz w:val="24"/>
          <w:szCs w:val="24"/>
          <w:lang w:val="en-US"/>
        </w:rPr>
        <w:t>. Retrieved from</w:t>
      </w:r>
      <w:hyperlink r:id="rId60" w:history="1">
        <w:r w:rsidR="009F480D" w:rsidRPr="001234AB">
          <w:rPr>
            <w:rStyle w:val="Hyperlink"/>
            <w:rFonts w:ascii="Times New Roman" w:hAnsi="Times New Roman" w:cs="Times New Roman"/>
            <w:sz w:val="24"/>
            <w:szCs w:val="24"/>
            <w:lang w:val="en-US"/>
          </w:rPr>
          <w:t>https://www.efr.be/media/jdmm3ajo/approved-annual-efr-report-17-4-2018.pdf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EFR. (2020a). </w:t>
      </w:r>
      <w:r w:rsidR="009F480D" w:rsidRPr="001234AB">
        <w:rPr>
          <w:rFonts w:ascii="Times New Roman" w:hAnsi="Times New Roman" w:cs="Times New Roman"/>
          <w:i/>
          <w:iCs/>
          <w:sz w:val="24"/>
          <w:szCs w:val="24"/>
          <w:lang w:val="en-US"/>
        </w:rPr>
        <w:t>Addressing the economic fall-out of the Coronavirus Crisis</w:t>
      </w:r>
      <w:r w:rsidR="009F480D" w:rsidRPr="001234AB">
        <w:rPr>
          <w:rFonts w:ascii="Times New Roman" w:hAnsi="Times New Roman" w:cs="Times New Roman"/>
          <w:sz w:val="24"/>
          <w:szCs w:val="24"/>
          <w:lang w:val="en-US"/>
        </w:rPr>
        <w:t xml:space="preserve">. Retrieved from </w:t>
      </w:r>
      <w:hyperlink r:id="rId61" w:history="1">
        <w:r w:rsidR="009F480D" w:rsidRPr="001234AB">
          <w:rPr>
            <w:rStyle w:val="Hyperlink"/>
            <w:rFonts w:ascii="Times New Roman" w:hAnsi="Times New Roman" w:cs="Times New Roman"/>
            <w:sz w:val="24"/>
            <w:szCs w:val="24"/>
            <w:lang w:val="en-US"/>
          </w:rPr>
          <w:t>https://www.efr.be/media/c2nf5gho/125-1-final-efr-letter-on-measures-following-corona-crisis-vf-19-03-2020.pdf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EFR. (2020b). </w:t>
      </w:r>
      <w:r w:rsidR="009F480D" w:rsidRPr="001234AB">
        <w:rPr>
          <w:rFonts w:ascii="Times New Roman" w:hAnsi="Times New Roman" w:cs="Times New Roman"/>
          <w:i/>
          <w:iCs/>
          <w:sz w:val="24"/>
          <w:szCs w:val="24"/>
          <w:lang w:val="en-US"/>
        </w:rPr>
        <w:t>The European Financial Services Landscape in 2020: “The role of the European financial sector for a sound digital, sustainable, cyber resilient and competitive economy”</w:t>
      </w:r>
      <w:r w:rsidR="009F480D" w:rsidRPr="001234AB">
        <w:rPr>
          <w:rFonts w:ascii="Times New Roman" w:hAnsi="Times New Roman" w:cs="Times New Roman"/>
          <w:sz w:val="24"/>
          <w:szCs w:val="24"/>
          <w:lang w:val="en-US"/>
        </w:rPr>
        <w:t xml:space="preserve">. Retrieved from </w:t>
      </w:r>
      <w:hyperlink r:id="rId62" w:history="1">
        <w:r w:rsidR="009F480D" w:rsidRPr="001234AB">
          <w:rPr>
            <w:rStyle w:val="Hyperlink"/>
            <w:rFonts w:ascii="Times New Roman" w:hAnsi="Times New Roman" w:cs="Times New Roman"/>
            <w:sz w:val="24"/>
            <w:szCs w:val="24"/>
            <w:lang w:val="en-US"/>
          </w:rPr>
          <w:t>https://www.efr.be/media/25pfe1js/126-1-approved-efr-report-2020-16-03-2020.pdf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Elson, D. (2024). Foreword. In J. </w:t>
      </w:r>
      <w:proofErr w:type="spellStart"/>
      <w:r w:rsidR="009F480D" w:rsidRPr="001234AB">
        <w:rPr>
          <w:rFonts w:ascii="Times New Roman" w:hAnsi="Times New Roman" w:cs="Times New Roman"/>
          <w:sz w:val="24"/>
          <w:szCs w:val="24"/>
          <w:lang w:val="en-US"/>
        </w:rPr>
        <w:t>Bohoslavsky</w:t>
      </w:r>
      <w:proofErr w:type="spellEnd"/>
      <w:r w:rsidR="009F480D" w:rsidRPr="001234AB">
        <w:rPr>
          <w:rFonts w:ascii="Times New Roman" w:hAnsi="Times New Roman" w:cs="Times New Roman"/>
          <w:sz w:val="24"/>
          <w:szCs w:val="24"/>
          <w:lang w:val="en-US"/>
        </w:rPr>
        <w:t xml:space="preserve"> &amp; M. </w:t>
      </w:r>
      <w:proofErr w:type="spellStart"/>
      <w:r w:rsidR="009F480D" w:rsidRPr="001234AB">
        <w:rPr>
          <w:rFonts w:ascii="Times New Roman" w:hAnsi="Times New Roman" w:cs="Times New Roman"/>
          <w:sz w:val="24"/>
          <w:szCs w:val="24"/>
          <w:lang w:val="en-US"/>
        </w:rPr>
        <w:t>Rulli</w:t>
      </w:r>
      <w:proofErr w:type="spellEnd"/>
      <w:r w:rsidR="009F480D" w:rsidRPr="001234AB">
        <w:rPr>
          <w:rFonts w:ascii="Times New Roman" w:hAnsi="Times New Roman" w:cs="Times New Roman"/>
          <w:sz w:val="24"/>
          <w:szCs w:val="24"/>
          <w:lang w:val="en-US"/>
        </w:rPr>
        <w:t xml:space="preserve"> (Eds.), </w:t>
      </w:r>
      <w:r w:rsidR="009F480D" w:rsidRPr="001234AB">
        <w:rPr>
          <w:rFonts w:ascii="Times New Roman" w:hAnsi="Times New Roman" w:cs="Times New Roman"/>
          <w:i/>
          <w:iCs/>
          <w:sz w:val="24"/>
          <w:szCs w:val="24"/>
          <w:lang w:val="en-US"/>
        </w:rPr>
        <w:t>Feminism in public debt: a human rights approach</w:t>
      </w:r>
      <w:r w:rsidR="009F480D" w:rsidRPr="001234AB">
        <w:rPr>
          <w:rFonts w:ascii="Times New Roman" w:hAnsi="Times New Roman" w:cs="Times New Roman"/>
          <w:sz w:val="24"/>
          <w:szCs w:val="24"/>
          <w:lang w:val="en-US"/>
        </w:rPr>
        <w:t xml:space="preserve"> (pp. xxii-xxvi). Bristol, United Kingdom: Bristol University Press.</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Epstein, G. (2006). </w:t>
      </w:r>
      <w:r w:rsidR="009F480D" w:rsidRPr="001234AB">
        <w:rPr>
          <w:rFonts w:ascii="Times New Roman" w:hAnsi="Times New Roman" w:cs="Times New Roman"/>
          <w:i/>
          <w:iCs/>
          <w:sz w:val="24"/>
          <w:szCs w:val="24"/>
          <w:lang w:val="en-US"/>
        </w:rPr>
        <w:t>Financialization and the world economy</w:t>
      </w:r>
      <w:r w:rsidR="009F480D" w:rsidRPr="001234AB">
        <w:rPr>
          <w:rFonts w:ascii="Times New Roman" w:hAnsi="Times New Roman" w:cs="Times New Roman"/>
          <w:sz w:val="24"/>
          <w:szCs w:val="24"/>
          <w:lang w:val="en-US"/>
        </w:rPr>
        <w:t xml:space="preserve">. Cheltenham, United Kingdom: </w:t>
      </w:r>
      <w:proofErr w:type="spellStart"/>
      <w:r w:rsidR="009F480D" w:rsidRPr="001234AB">
        <w:rPr>
          <w:rFonts w:ascii="Times New Roman" w:hAnsi="Times New Roman" w:cs="Times New Roman"/>
          <w:sz w:val="24"/>
          <w:szCs w:val="24"/>
          <w:lang w:val="en-US"/>
        </w:rPr>
        <w:t>Eward</w:t>
      </w:r>
      <w:proofErr w:type="spellEnd"/>
      <w:r w:rsidR="009F480D" w:rsidRPr="001234AB">
        <w:rPr>
          <w:rFonts w:ascii="Times New Roman" w:hAnsi="Times New Roman" w:cs="Times New Roman"/>
          <w:sz w:val="24"/>
          <w:szCs w:val="24"/>
          <w:lang w:val="en-US"/>
        </w:rPr>
        <w:t xml:space="preserve"> Elgar.</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Erne, R., Stan, S., Golden, D., Szabó, I., &amp; </w:t>
      </w:r>
      <w:proofErr w:type="spellStart"/>
      <w:r w:rsidR="009F480D" w:rsidRPr="001234AB">
        <w:rPr>
          <w:rFonts w:ascii="Times New Roman" w:hAnsi="Times New Roman" w:cs="Times New Roman"/>
          <w:sz w:val="24"/>
          <w:szCs w:val="24"/>
          <w:lang w:val="en-US"/>
        </w:rPr>
        <w:t>Maccarrone</w:t>
      </w:r>
      <w:proofErr w:type="spellEnd"/>
      <w:r w:rsidR="009F480D" w:rsidRPr="001234AB">
        <w:rPr>
          <w:rFonts w:ascii="Times New Roman" w:hAnsi="Times New Roman" w:cs="Times New Roman"/>
          <w:sz w:val="24"/>
          <w:szCs w:val="24"/>
          <w:lang w:val="en-US"/>
        </w:rPr>
        <w:t xml:space="preserve">, V. (2024). </w:t>
      </w:r>
      <w:proofErr w:type="spellStart"/>
      <w:r w:rsidR="009F480D" w:rsidRPr="001234AB">
        <w:rPr>
          <w:rFonts w:ascii="Times New Roman" w:hAnsi="Times New Roman" w:cs="Times New Roman"/>
          <w:i/>
          <w:iCs/>
          <w:sz w:val="24"/>
          <w:szCs w:val="24"/>
          <w:lang w:val="en-US"/>
        </w:rPr>
        <w:t>Politicising</w:t>
      </w:r>
      <w:proofErr w:type="spellEnd"/>
      <w:r w:rsidR="009F480D" w:rsidRPr="001234AB">
        <w:rPr>
          <w:rFonts w:ascii="Times New Roman" w:hAnsi="Times New Roman" w:cs="Times New Roman"/>
          <w:i/>
          <w:iCs/>
          <w:sz w:val="24"/>
          <w:szCs w:val="24"/>
          <w:lang w:val="en-US"/>
        </w:rPr>
        <w:t xml:space="preserve"> Commodification: European Governance and </w:t>
      </w:r>
      <w:proofErr w:type="spellStart"/>
      <w:r w:rsidR="009F480D" w:rsidRPr="001234AB">
        <w:rPr>
          <w:rFonts w:ascii="Times New Roman" w:hAnsi="Times New Roman" w:cs="Times New Roman"/>
          <w:i/>
          <w:iCs/>
          <w:sz w:val="24"/>
          <w:szCs w:val="24"/>
          <w:lang w:val="en-US"/>
        </w:rPr>
        <w:t>Labour</w:t>
      </w:r>
      <w:proofErr w:type="spellEnd"/>
      <w:r w:rsidR="009F480D" w:rsidRPr="001234AB">
        <w:rPr>
          <w:rFonts w:ascii="Times New Roman" w:hAnsi="Times New Roman" w:cs="Times New Roman"/>
          <w:i/>
          <w:iCs/>
          <w:sz w:val="24"/>
          <w:szCs w:val="24"/>
          <w:lang w:val="en-US"/>
        </w:rPr>
        <w:t xml:space="preserve"> Politics from the Financial Crisis to the Covid Emergency</w:t>
      </w:r>
      <w:r w:rsidR="009F480D" w:rsidRPr="001234AB">
        <w:rPr>
          <w:rFonts w:ascii="Times New Roman" w:hAnsi="Times New Roman" w:cs="Times New Roman"/>
          <w:sz w:val="24"/>
          <w:szCs w:val="24"/>
          <w:lang w:val="en-US"/>
        </w:rPr>
        <w:t>. Cambridge, United Kingdom: Cambridge University Press.</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ERT. (2019</w:t>
      </w:r>
      <w:r w:rsidR="00A01909" w:rsidRPr="001234AB">
        <w:rPr>
          <w:rFonts w:ascii="Times New Roman" w:hAnsi="Times New Roman" w:cs="Times New Roman"/>
          <w:sz w:val="24"/>
          <w:szCs w:val="24"/>
          <w:lang w:val="en-US"/>
        </w:rPr>
        <w:t>a</w:t>
      </w:r>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i/>
          <w:iCs/>
          <w:sz w:val="24"/>
          <w:szCs w:val="24"/>
          <w:lang w:val="en-US"/>
        </w:rPr>
        <w:t>European Competitiveness and Industry Benchmarking Report 2019</w:t>
      </w:r>
      <w:r w:rsidR="009F480D" w:rsidRPr="001234AB">
        <w:rPr>
          <w:rFonts w:ascii="Times New Roman" w:hAnsi="Times New Roman" w:cs="Times New Roman"/>
          <w:sz w:val="24"/>
          <w:szCs w:val="24"/>
          <w:lang w:val="en-US"/>
        </w:rPr>
        <w:t xml:space="preserve">. Retrieved from </w:t>
      </w:r>
      <w:hyperlink r:id="rId63" w:history="1">
        <w:r w:rsidR="009F480D" w:rsidRPr="001234AB">
          <w:rPr>
            <w:rStyle w:val="Hyperlink"/>
            <w:rFonts w:ascii="Times New Roman" w:hAnsi="Times New Roman" w:cs="Times New Roman"/>
            <w:sz w:val="24"/>
            <w:szCs w:val="24"/>
            <w:lang w:val="en-US"/>
          </w:rPr>
          <w:t>https://ert.eu/wp-content/uploads/2019/12/ERT-Competitiveness-and-Industry-</w:t>
        </w:r>
        <w:r w:rsidR="009F480D" w:rsidRPr="001234AB">
          <w:rPr>
            <w:rStyle w:val="Hyperlink"/>
            <w:rFonts w:ascii="Times New Roman" w:hAnsi="Times New Roman" w:cs="Times New Roman"/>
            <w:sz w:val="24"/>
            <w:szCs w:val="24"/>
            <w:lang w:val="en-US"/>
          </w:rPr>
          <w:lastRenderedPageBreak/>
          <w:t>Benchmarking-Report-2019_II.pdf</w:t>
        </w:r>
      </w:hyperlink>
      <w:r w:rsidR="009F480D" w:rsidRPr="001234AB">
        <w:rPr>
          <w:rFonts w:ascii="Times New Roman" w:hAnsi="Times New Roman" w:cs="Times New Roman"/>
          <w:sz w:val="24"/>
          <w:szCs w:val="24"/>
          <w:lang w:val="en-US"/>
        </w:rPr>
        <w:t xml:space="preserve">. </w:t>
      </w:r>
      <w:r w:rsidR="00A01909" w:rsidRPr="001234AB">
        <w:rPr>
          <w:rFonts w:ascii="Times New Roman" w:hAnsi="Times New Roman" w:cs="Times New Roman"/>
          <w:sz w:val="24"/>
          <w:szCs w:val="24"/>
          <w:lang w:val="en-US"/>
        </w:rPr>
        <w:br/>
      </w:r>
      <w:r w:rsidR="00A01909" w:rsidRPr="001234AB">
        <w:rPr>
          <w:rFonts w:ascii="Times New Roman" w:hAnsi="Times New Roman" w:cs="Times New Roman"/>
          <w:sz w:val="24"/>
          <w:szCs w:val="24"/>
          <w:lang w:val="en-US"/>
        </w:rPr>
        <w:br/>
        <w:t xml:space="preserve">ERT. (2019b). </w:t>
      </w:r>
      <w:r w:rsidR="00A01909" w:rsidRPr="001234AB">
        <w:rPr>
          <w:rFonts w:ascii="Times New Roman" w:hAnsi="Times New Roman" w:cs="Times New Roman"/>
          <w:i/>
          <w:iCs/>
          <w:sz w:val="24"/>
          <w:szCs w:val="24"/>
          <w:lang w:val="en-US"/>
        </w:rPr>
        <w:t>Press Release Europe’s Industrial Leaders call for urgent action as new report shows Europe falling behind globally</w:t>
      </w:r>
      <w:r w:rsidR="00A01909" w:rsidRPr="001234AB">
        <w:rPr>
          <w:rFonts w:ascii="Times New Roman" w:hAnsi="Times New Roman" w:cs="Times New Roman"/>
          <w:sz w:val="24"/>
          <w:szCs w:val="24"/>
          <w:lang w:val="en-US"/>
        </w:rPr>
        <w:t xml:space="preserve">. Retrieved from </w:t>
      </w:r>
      <w:hyperlink r:id="rId64" w:history="1">
        <w:r w:rsidR="00A01909" w:rsidRPr="001234AB">
          <w:rPr>
            <w:rStyle w:val="Hyperlink"/>
            <w:rFonts w:ascii="Times New Roman" w:hAnsi="Times New Roman" w:cs="Times New Roman"/>
            <w:sz w:val="24"/>
            <w:szCs w:val="24"/>
            <w:lang w:val="en-US"/>
          </w:rPr>
          <w:t>https://ert.eu/wp-content/uploads/2019/12/2019-12-09-Europes-industrial-leaders-call-for-urgent-action-as-new-report-shows-Europe-falling-behind-globally-Press-Release.pdf</w:t>
        </w:r>
      </w:hyperlink>
      <w:r w:rsidR="00A01909"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ERT. (2020a). </w:t>
      </w:r>
      <w:r w:rsidR="009F480D" w:rsidRPr="001234AB">
        <w:rPr>
          <w:rFonts w:ascii="Times New Roman" w:hAnsi="Times New Roman" w:cs="Times New Roman"/>
          <w:i/>
          <w:iCs/>
          <w:sz w:val="24"/>
          <w:szCs w:val="24"/>
          <w:lang w:val="en-US"/>
        </w:rPr>
        <w:t>CEOs in Europe: Business Conditions, the COVID-19 Crisis, and Beyond</w:t>
      </w:r>
      <w:r w:rsidR="009F480D" w:rsidRPr="001234AB">
        <w:rPr>
          <w:rFonts w:ascii="Times New Roman" w:hAnsi="Times New Roman" w:cs="Times New Roman"/>
          <w:sz w:val="24"/>
          <w:szCs w:val="24"/>
          <w:lang w:val="en-US"/>
        </w:rPr>
        <w:t xml:space="preserve">. Retrieved from </w:t>
      </w:r>
      <w:hyperlink r:id="rId65" w:history="1">
        <w:r w:rsidR="009F480D" w:rsidRPr="001234AB">
          <w:rPr>
            <w:rStyle w:val="Hyperlink"/>
            <w:rFonts w:ascii="Times New Roman" w:hAnsi="Times New Roman" w:cs="Times New Roman"/>
            <w:sz w:val="24"/>
            <w:szCs w:val="24"/>
            <w:lang w:val="en-US"/>
          </w:rPr>
          <w:t>https://ert.eu/wp-content/uploads/2020/05/TCB-CEO-Confidence-ERT_H12020.pdf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ERT. (2020b). </w:t>
      </w:r>
      <w:r w:rsidR="009F480D" w:rsidRPr="001234AB">
        <w:rPr>
          <w:rFonts w:ascii="Times New Roman" w:hAnsi="Times New Roman" w:cs="Times New Roman"/>
          <w:i/>
          <w:iCs/>
          <w:sz w:val="24"/>
          <w:szCs w:val="24"/>
          <w:lang w:val="en-US"/>
        </w:rPr>
        <w:t>Press Release European industrial leaders support the Next Generation EU recovery plan</w:t>
      </w:r>
      <w:r w:rsidR="009F480D" w:rsidRPr="001234AB">
        <w:rPr>
          <w:rFonts w:ascii="Times New Roman" w:hAnsi="Times New Roman" w:cs="Times New Roman"/>
          <w:sz w:val="24"/>
          <w:szCs w:val="24"/>
          <w:lang w:val="en-US"/>
        </w:rPr>
        <w:t xml:space="preserve">. Retrieved from </w:t>
      </w:r>
      <w:hyperlink r:id="rId66" w:history="1">
        <w:r w:rsidR="009F480D" w:rsidRPr="001234AB">
          <w:rPr>
            <w:rStyle w:val="Hyperlink"/>
            <w:rFonts w:ascii="Times New Roman" w:hAnsi="Times New Roman" w:cs="Times New Roman"/>
            <w:sz w:val="24"/>
            <w:szCs w:val="24"/>
            <w:lang w:val="en-US"/>
          </w:rPr>
          <w:t>https://ert.eu/wp-content/uploads/2020/06/2020-06-10-European-industrial-leaders-support-the-Next-Generation-EU-recovery-plan-PRESS-RELEASE.pdf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ETUC. (2010). </w:t>
      </w:r>
      <w:r w:rsidR="009F480D" w:rsidRPr="001234AB">
        <w:rPr>
          <w:rFonts w:ascii="Times New Roman" w:hAnsi="Times New Roman" w:cs="Times New Roman"/>
          <w:i/>
          <w:iCs/>
          <w:sz w:val="24"/>
          <w:szCs w:val="24"/>
          <w:lang w:val="en-US"/>
        </w:rPr>
        <w:t>ETUC Resolutions 2010</w:t>
      </w:r>
      <w:r w:rsidR="009F480D" w:rsidRPr="001234AB">
        <w:rPr>
          <w:rFonts w:ascii="Times New Roman" w:hAnsi="Times New Roman" w:cs="Times New Roman"/>
          <w:sz w:val="24"/>
          <w:szCs w:val="24"/>
          <w:lang w:val="en-US"/>
        </w:rPr>
        <w:t xml:space="preserve">. Retrieved from </w:t>
      </w:r>
      <w:hyperlink r:id="rId67" w:history="1">
        <w:r w:rsidR="009F480D" w:rsidRPr="001234AB">
          <w:rPr>
            <w:rStyle w:val="Hyperlink"/>
            <w:rFonts w:ascii="Times New Roman" w:hAnsi="Times New Roman" w:cs="Times New Roman"/>
            <w:sz w:val="24"/>
            <w:szCs w:val="24"/>
            <w:lang w:val="en-US"/>
          </w:rPr>
          <w:t>https://www.etuc.org/sites/default/files/CES_resol_EN6_Am_2010_2.pdf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ETUC. (2011). </w:t>
      </w:r>
      <w:r w:rsidR="009F480D" w:rsidRPr="001234AB">
        <w:rPr>
          <w:rFonts w:ascii="Times New Roman" w:hAnsi="Times New Roman" w:cs="Times New Roman"/>
          <w:i/>
          <w:iCs/>
          <w:sz w:val="24"/>
          <w:szCs w:val="24"/>
          <w:lang w:val="en-US"/>
        </w:rPr>
        <w:t>ETUC Strategy and Action Plan 2011-2015</w:t>
      </w:r>
      <w:r w:rsidR="009F480D" w:rsidRPr="001234AB">
        <w:rPr>
          <w:rFonts w:ascii="Times New Roman" w:hAnsi="Times New Roman" w:cs="Times New Roman"/>
          <w:sz w:val="24"/>
          <w:szCs w:val="24"/>
          <w:lang w:val="en-US"/>
        </w:rPr>
        <w:t xml:space="preserve">. Retrieved from </w:t>
      </w:r>
      <w:hyperlink r:id="rId68" w:history="1">
        <w:r w:rsidR="009F480D" w:rsidRPr="001234AB">
          <w:rPr>
            <w:rStyle w:val="Hyperlink"/>
            <w:rFonts w:ascii="Times New Roman" w:hAnsi="Times New Roman" w:cs="Times New Roman"/>
            <w:sz w:val="24"/>
            <w:szCs w:val="24"/>
            <w:lang w:val="en-US"/>
          </w:rPr>
          <w:t>https://www.etuc.org/sites/default/files/other/files/rapport_congres_2011_en_def_1.pdf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ETUC. (2015a). </w:t>
      </w:r>
      <w:r w:rsidR="009F480D" w:rsidRPr="001234AB">
        <w:rPr>
          <w:rFonts w:ascii="Times New Roman" w:hAnsi="Times New Roman" w:cs="Times New Roman"/>
          <w:i/>
          <w:iCs/>
          <w:sz w:val="24"/>
          <w:szCs w:val="24"/>
          <w:lang w:val="en-US"/>
        </w:rPr>
        <w:t>THE ETUC Resolutions 2011-2015</w:t>
      </w:r>
      <w:r w:rsidR="009F480D" w:rsidRPr="001234AB">
        <w:rPr>
          <w:rFonts w:ascii="Times New Roman" w:hAnsi="Times New Roman" w:cs="Times New Roman"/>
          <w:sz w:val="24"/>
          <w:szCs w:val="24"/>
          <w:lang w:val="en-US"/>
        </w:rPr>
        <w:t xml:space="preserve">. Retrieved from </w:t>
      </w:r>
      <w:hyperlink r:id="rId69" w:history="1">
        <w:r w:rsidR="009F480D" w:rsidRPr="001234AB">
          <w:rPr>
            <w:rStyle w:val="Hyperlink"/>
            <w:rFonts w:ascii="Times New Roman" w:hAnsi="Times New Roman" w:cs="Times New Roman"/>
            <w:sz w:val="24"/>
            <w:szCs w:val="24"/>
            <w:lang w:val="en-US"/>
          </w:rPr>
          <w:t>https://www.etuc.org/sites/default/files/publication/files/ces-brochure_resolutions-uk.pdf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ETUC. (2015b). </w:t>
      </w:r>
      <w:r w:rsidR="009F480D" w:rsidRPr="001234AB">
        <w:rPr>
          <w:rFonts w:ascii="Times New Roman" w:hAnsi="Times New Roman" w:cs="Times New Roman"/>
          <w:i/>
          <w:iCs/>
          <w:sz w:val="24"/>
          <w:szCs w:val="24"/>
          <w:lang w:val="en-US"/>
        </w:rPr>
        <w:t xml:space="preserve">ETUC Action </w:t>
      </w:r>
      <w:proofErr w:type="spellStart"/>
      <w:r w:rsidR="009F480D" w:rsidRPr="001234AB">
        <w:rPr>
          <w:rFonts w:ascii="Times New Roman" w:hAnsi="Times New Roman" w:cs="Times New Roman"/>
          <w:i/>
          <w:iCs/>
          <w:sz w:val="24"/>
          <w:szCs w:val="24"/>
          <w:lang w:val="en-US"/>
        </w:rPr>
        <w:t>Programme</w:t>
      </w:r>
      <w:proofErr w:type="spellEnd"/>
      <w:r w:rsidR="009F480D" w:rsidRPr="001234AB">
        <w:rPr>
          <w:rFonts w:ascii="Times New Roman" w:hAnsi="Times New Roman" w:cs="Times New Roman"/>
          <w:i/>
          <w:iCs/>
          <w:sz w:val="24"/>
          <w:szCs w:val="24"/>
          <w:lang w:val="en-US"/>
        </w:rPr>
        <w:t xml:space="preserve"> 2015-2019</w:t>
      </w:r>
      <w:r w:rsidR="009F480D" w:rsidRPr="001234AB">
        <w:rPr>
          <w:rFonts w:ascii="Times New Roman" w:hAnsi="Times New Roman" w:cs="Times New Roman"/>
          <w:sz w:val="24"/>
          <w:szCs w:val="24"/>
          <w:lang w:val="en-US"/>
        </w:rPr>
        <w:t xml:space="preserve">. Retrieved from </w:t>
      </w:r>
      <w:hyperlink r:id="rId70" w:history="1">
        <w:r w:rsidR="009F480D" w:rsidRPr="001234AB">
          <w:rPr>
            <w:rStyle w:val="Hyperlink"/>
            <w:rFonts w:ascii="Times New Roman" w:hAnsi="Times New Roman" w:cs="Times New Roman"/>
            <w:sz w:val="24"/>
            <w:szCs w:val="24"/>
            <w:lang w:val="en-US"/>
          </w:rPr>
          <w:t>https://www.etuc.org/sites/default/files/publication/files/ces-congrecs_2015-rapport-uk-ld_def_0.pdf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ETUC. (2019). </w:t>
      </w:r>
      <w:r w:rsidR="009F480D" w:rsidRPr="001234AB">
        <w:rPr>
          <w:rFonts w:ascii="Times New Roman" w:hAnsi="Times New Roman" w:cs="Times New Roman"/>
          <w:i/>
          <w:iCs/>
          <w:sz w:val="24"/>
          <w:szCs w:val="24"/>
          <w:lang w:val="en-US"/>
        </w:rPr>
        <w:t>Activity Report 2015-2019</w:t>
      </w:r>
      <w:r w:rsidR="009F480D" w:rsidRPr="001234AB">
        <w:rPr>
          <w:rFonts w:ascii="Times New Roman" w:hAnsi="Times New Roman" w:cs="Times New Roman"/>
          <w:sz w:val="24"/>
          <w:szCs w:val="24"/>
          <w:lang w:val="en-US"/>
        </w:rPr>
        <w:t xml:space="preserve">. Retrieved from </w:t>
      </w:r>
      <w:hyperlink r:id="rId71" w:history="1">
        <w:r w:rsidR="009F480D" w:rsidRPr="001234AB">
          <w:rPr>
            <w:rStyle w:val="Hyperlink"/>
            <w:rFonts w:ascii="Times New Roman" w:hAnsi="Times New Roman" w:cs="Times New Roman"/>
            <w:sz w:val="24"/>
            <w:szCs w:val="24"/>
            <w:lang w:val="en-US"/>
          </w:rPr>
          <w:t>https://www.etuc.org/sites/default/files/page/file/2019-05/ETUC%2014th%20Congress%20Activity%20Report%20EN.pdf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ETUC. (2020a). </w:t>
      </w:r>
      <w:r w:rsidR="009F480D" w:rsidRPr="001234AB">
        <w:rPr>
          <w:rFonts w:ascii="Times New Roman" w:hAnsi="Times New Roman" w:cs="Times New Roman"/>
          <w:i/>
          <w:iCs/>
          <w:sz w:val="24"/>
          <w:szCs w:val="24"/>
          <w:lang w:val="en-US"/>
        </w:rPr>
        <w:t xml:space="preserve">ETUC position: An EU Economic and Social Governance for a prompt, </w:t>
      </w:r>
      <w:r w:rsidR="009F480D" w:rsidRPr="001234AB">
        <w:rPr>
          <w:rFonts w:ascii="Times New Roman" w:hAnsi="Times New Roman" w:cs="Times New Roman"/>
          <w:i/>
          <w:iCs/>
          <w:sz w:val="24"/>
          <w:szCs w:val="24"/>
          <w:lang w:val="en-US"/>
        </w:rPr>
        <w:lastRenderedPageBreak/>
        <w:t>strong and sustained recovery</w:t>
      </w:r>
      <w:r w:rsidR="009F480D" w:rsidRPr="001234AB">
        <w:rPr>
          <w:rFonts w:ascii="Times New Roman" w:hAnsi="Times New Roman" w:cs="Times New Roman"/>
          <w:sz w:val="24"/>
          <w:szCs w:val="24"/>
          <w:lang w:val="en-US"/>
        </w:rPr>
        <w:t xml:space="preserve">. Retrieved from </w:t>
      </w:r>
      <w:hyperlink r:id="rId72" w:history="1">
        <w:r w:rsidR="009F480D" w:rsidRPr="001234AB">
          <w:rPr>
            <w:rStyle w:val="Hyperlink"/>
            <w:rFonts w:ascii="Times New Roman" w:hAnsi="Times New Roman" w:cs="Times New Roman"/>
            <w:sz w:val="24"/>
            <w:szCs w:val="24"/>
            <w:lang w:val="en-US"/>
          </w:rPr>
          <w:t>https://www.etuc.org/sites/default/files/document/file/2020-06/ETUC%20position%20-%20An%20EU%20Economic%20and%20Social%20Governance%20for%20a%20prompt%2C%20strong%20and%20sustained%20recovery%20%28Adopted%29.pdf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ETUC. (2020b). </w:t>
      </w:r>
      <w:r w:rsidR="009F480D" w:rsidRPr="001234AB">
        <w:rPr>
          <w:rFonts w:ascii="Times New Roman" w:hAnsi="Times New Roman" w:cs="Times New Roman"/>
          <w:i/>
          <w:iCs/>
          <w:sz w:val="24"/>
          <w:szCs w:val="24"/>
          <w:lang w:val="en-US"/>
        </w:rPr>
        <w:t>ETUC Resolution on the EU recovery strategy after the COVID-19 outbreak</w:t>
      </w:r>
      <w:r w:rsidR="009F480D" w:rsidRPr="001234AB">
        <w:rPr>
          <w:rFonts w:ascii="Times New Roman" w:hAnsi="Times New Roman" w:cs="Times New Roman"/>
          <w:sz w:val="24"/>
          <w:szCs w:val="24"/>
          <w:lang w:val="en-US"/>
        </w:rPr>
        <w:t xml:space="preserve">. Retrieved from </w:t>
      </w:r>
      <w:hyperlink r:id="rId73" w:history="1">
        <w:r w:rsidR="009F480D" w:rsidRPr="001234AB">
          <w:rPr>
            <w:rStyle w:val="Hyperlink"/>
            <w:rFonts w:ascii="Times New Roman" w:hAnsi="Times New Roman" w:cs="Times New Roman"/>
            <w:sz w:val="24"/>
            <w:szCs w:val="24"/>
            <w:lang w:val="en-US"/>
          </w:rPr>
          <w:t>https://www.etuc.org/system/files/document/file2020-06/ETUC%20Resolution%20on%20the%20recovery%20strategy%20after%20COVID-19%20-%20FINAL%20AFTER%20EXCO.pdf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ETUC. (2021). </w:t>
      </w:r>
      <w:r w:rsidR="009F480D" w:rsidRPr="001234AB">
        <w:rPr>
          <w:rFonts w:ascii="Times New Roman" w:hAnsi="Times New Roman" w:cs="Times New Roman"/>
          <w:i/>
          <w:iCs/>
          <w:sz w:val="24"/>
          <w:szCs w:val="24"/>
          <w:lang w:val="en-US"/>
        </w:rPr>
        <w:t>ETUC resolution on the European Union public debt issue and the fiscal rules</w:t>
      </w:r>
      <w:r w:rsidR="009F480D" w:rsidRPr="001234AB">
        <w:rPr>
          <w:rFonts w:ascii="Times New Roman" w:hAnsi="Times New Roman" w:cs="Times New Roman"/>
          <w:sz w:val="24"/>
          <w:szCs w:val="24"/>
          <w:lang w:val="en-US"/>
        </w:rPr>
        <w:t xml:space="preserve">. Retrieved from </w:t>
      </w:r>
      <w:hyperlink r:id="rId74" w:history="1">
        <w:r w:rsidR="009F480D" w:rsidRPr="001234AB">
          <w:rPr>
            <w:rStyle w:val="Hyperlink"/>
            <w:rFonts w:ascii="Times New Roman" w:hAnsi="Times New Roman" w:cs="Times New Roman"/>
            <w:sz w:val="24"/>
            <w:szCs w:val="24"/>
            <w:lang w:val="en-US"/>
          </w:rPr>
          <w:t>https://www.etuc.org/sites/default/files/document/file/2021-10/ETUC%20resolution%20on%20the%20European%20Union%20public%20debt%20issue%20and%20the%20fiscal%20rules.pdf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ETUC. (2023). </w:t>
      </w:r>
      <w:r w:rsidR="009F480D" w:rsidRPr="001234AB">
        <w:rPr>
          <w:rFonts w:ascii="Times New Roman" w:hAnsi="Times New Roman" w:cs="Times New Roman"/>
          <w:i/>
          <w:iCs/>
          <w:sz w:val="24"/>
          <w:szCs w:val="24"/>
          <w:lang w:val="en-US"/>
        </w:rPr>
        <w:t>ETUC Activity Report 2019-2023</w:t>
      </w:r>
      <w:r w:rsidR="009F480D" w:rsidRPr="001234AB">
        <w:rPr>
          <w:rFonts w:ascii="Times New Roman" w:hAnsi="Times New Roman" w:cs="Times New Roman"/>
          <w:sz w:val="24"/>
          <w:szCs w:val="24"/>
          <w:lang w:val="en-US"/>
        </w:rPr>
        <w:t xml:space="preserve">. Retrieved from </w:t>
      </w:r>
      <w:hyperlink r:id="rId75" w:history="1">
        <w:r w:rsidR="009F480D" w:rsidRPr="001234AB">
          <w:rPr>
            <w:rStyle w:val="Hyperlink"/>
            <w:rFonts w:ascii="Times New Roman" w:hAnsi="Times New Roman" w:cs="Times New Roman"/>
            <w:sz w:val="24"/>
            <w:szCs w:val="24"/>
            <w:lang w:val="en-US"/>
          </w:rPr>
          <w:t>https://www.etuc.org/sites/default/files/2023-06/ETUC%20Activity%20Report%202019_2023.pdf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Eurochambres. (2020). </w:t>
      </w:r>
      <w:r w:rsidR="009F480D" w:rsidRPr="001234AB">
        <w:rPr>
          <w:rFonts w:ascii="Times New Roman" w:hAnsi="Times New Roman" w:cs="Times New Roman"/>
          <w:i/>
          <w:iCs/>
          <w:sz w:val="24"/>
          <w:szCs w:val="24"/>
          <w:lang w:val="en-US"/>
        </w:rPr>
        <w:t>EUROCHAMBRES input for the EU Recovery Roadmap/ Action Plan</w:t>
      </w:r>
      <w:r w:rsidR="009F480D" w:rsidRPr="001234AB">
        <w:rPr>
          <w:rFonts w:ascii="Times New Roman" w:hAnsi="Times New Roman" w:cs="Times New Roman"/>
          <w:sz w:val="24"/>
          <w:szCs w:val="24"/>
          <w:lang w:val="en-US"/>
        </w:rPr>
        <w:t xml:space="preserve">. Retrieved from </w:t>
      </w:r>
      <w:hyperlink r:id="rId76" w:history="1">
        <w:r w:rsidR="009F480D" w:rsidRPr="001234AB">
          <w:rPr>
            <w:rStyle w:val="Hyperlink"/>
            <w:rFonts w:ascii="Times New Roman" w:hAnsi="Times New Roman" w:cs="Times New Roman"/>
            <w:sz w:val="24"/>
            <w:szCs w:val="24"/>
            <w:lang w:val="en-US"/>
          </w:rPr>
          <w:t>https://eurochambres.eu/wp-content/uploads/2020/06/ECH_23_April_EU_Council_input_final-2020-00039-01.pdf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b/>
          <w:bCs/>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EuroMemo</w:t>
      </w:r>
      <w:proofErr w:type="spellEnd"/>
      <w:r w:rsidR="009F480D" w:rsidRPr="001234AB">
        <w:rPr>
          <w:rFonts w:ascii="Times New Roman" w:hAnsi="Times New Roman" w:cs="Times New Roman"/>
          <w:sz w:val="24"/>
          <w:szCs w:val="24"/>
          <w:lang w:val="en-US"/>
        </w:rPr>
        <w:t xml:space="preserve"> Group. (n.d.). </w:t>
      </w:r>
      <w:proofErr w:type="spellStart"/>
      <w:r w:rsidR="009F480D" w:rsidRPr="001234AB">
        <w:rPr>
          <w:rFonts w:ascii="Times New Roman" w:hAnsi="Times New Roman" w:cs="Times New Roman"/>
          <w:i/>
          <w:iCs/>
          <w:sz w:val="24"/>
          <w:szCs w:val="24"/>
          <w:lang w:val="en-US"/>
        </w:rPr>
        <w:t>EuroMemo</w:t>
      </w:r>
      <w:proofErr w:type="spellEnd"/>
      <w:r w:rsidR="009F480D" w:rsidRPr="001234AB">
        <w:rPr>
          <w:rFonts w:ascii="Times New Roman" w:hAnsi="Times New Roman" w:cs="Times New Roman"/>
          <w:i/>
          <w:iCs/>
          <w:sz w:val="24"/>
          <w:szCs w:val="24"/>
          <w:lang w:val="en-US"/>
        </w:rPr>
        <w:t xml:space="preserve"> Group</w:t>
      </w:r>
      <w:r w:rsidR="009F480D" w:rsidRPr="001234AB">
        <w:rPr>
          <w:rFonts w:ascii="Times New Roman" w:hAnsi="Times New Roman" w:cs="Times New Roman"/>
          <w:sz w:val="24"/>
          <w:szCs w:val="24"/>
          <w:lang w:val="en-US"/>
        </w:rPr>
        <w:t xml:space="preserve">. Retrieved from </w:t>
      </w:r>
      <w:hyperlink r:id="rId77" w:history="1">
        <w:r w:rsidR="009F480D" w:rsidRPr="001234AB">
          <w:rPr>
            <w:rStyle w:val="Hyperlink"/>
            <w:rFonts w:ascii="Times New Roman" w:hAnsi="Times New Roman" w:cs="Times New Roman"/>
            <w:sz w:val="24"/>
            <w:szCs w:val="24"/>
            <w:lang w:val="en-US"/>
          </w:rPr>
          <w:t>https://euromemo.eu/euromemo/</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EuroMemo</w:t>
      </w:r>
      <w:proofErr w:type="spellEnd"/>
      <w:r w:rsidR="009F480D" w:rsidRPr="001234AB">
        <w:rPr>
          <w:rFonts w:ascii="Times New Roman" w:hAnsi="Times New Roman" w:cs="Times New Roman"/>
          <w:sz w:val="24"/>
          <w:szCs w:val="24"/>
          <w:lang w:val="en-US"/>
        </w:rPr>
        <w:t xml:space="preserve"> Group. (2011). </w:t>
      </w:r>
      <w:r w:rsidR="009F480D" w:rsidRPr="001234AB">
        <w:rPr>
          <w:rFonts w:ascii="Times New Roman" w:hAnsi="Times New Roman" w:cs="Times New Roman"/>
          <w:i/>
          <w:iCs/>
          <w:sz w:val="24"/>
          <w:szCs w:val="24"/>
          <w:lang w:val="en-US"/>
        </w:rPr>
        <w:t>Confronting the Crisis: Austerity or Solidarity</w:t>
      </w:r>
      <w:r w:rsidR="009F480D" w:rsidRPr="001234AB">
        <w:rPr>
          <w:rFonts w:ascii="Times New Roman" w:hAnsi="Times New Roman" w:cs="Times New Roman"/>
          <w:sz w:val="24"/>
          <w:szCs w:val="24"/>
          <w:lang w:val="en-US"/>
        </w:rPr>
        <w:t xml:space="preserve">. Retrieved from </w:t>
      </w:r>
      <w:hyperlink r:id="rId78" w:history="1">
        <w:r w:rsidR="009F480D" w:rsidRPr="001234AB">
          <w:rPr>
            <w:rStyle w:val="Hyperlink"/>
            <w:rFonts w:ascii="Times New Roman" w:hAnsi="Times New Roman" w:cs="Times New Roman"/>
            <w:sz w:val="24"/>
            <w:szCs w:val="24"/>
            <w:lang w:val="en-US"/>
          </w:rPr>
          <w:t>https://euromemo.eu/wp-content/uploads/pdfs/uploads/euromemorandum_2010_2011.pdf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EuroMemo</w:t>
      </w:r>
      <w:proofErr w:type="spellEnd"/>
      <w:r w:rsidR="009F480D" w:rsidRPr="001234AB">
        <w:rPr>
          <w:rFonts w:ascii="Times New Roman" w:hAnsi="Times New Roman" w:cs="Times New Roman"/>
          <w:sz w:val="24"/>
          <w:szCs w:val="24"/>
          <w:lang w:val="en-US"/>
        </w:rPr>
        <w:t xml:space="preserve"> Group. (2018). </w:t>
      </w:r>
      <w:r w:rsidR="009F480D" w:rsidRPr="001234AB">
        <w:rPr>
          <w:rFonts w:ascii="Times New Roman" w:hAnsi="Times New Roman" w:cs="Times New Roman"/>
          <w:i/>
          <w:iCs/>
          <w:sz w:val="24"/>
          <w:szCs w:val="24"/>
          <w:lang w:val="en-US"/>
        </w:rPr>
        <w:t>Can the EU still be saved? The implications of a multi-speed Europe</w:t>
      </w:r>
      <w:r w:rsidR="009F480D" w:rsidRPr="001234AB">
        <w:rPr>
          <w:rFonts w:ascii="Times New Roman" w:hAnsi="Times New Roman" w:cs="Times New Roman"/>
          <w:sz w:val="24"/>
          <w:szCs w:val="24"/>
          <w:lang w:val="en-US"/>
        </w:rPr>
        <w:t xml:space="preserve">. Retrieved from </w:t>
      </w:r>
      <w:hyperlink r:id="rId79" w:history="1">
        <w:r w:rsidR="009F480D" w:rsidRPr="001234AB">
          <w:rPr>
            <w:rStyle w:val="Hyperlink"/>
            <w:rFonts w:ascii="Times New Roman" w:hAnsi="Times New Roman" w:cs="Times New Roman"/>
            <w:sz w:val="24"/>
            <w:szCs w:val="24"/>
            <w:lang w:val="en-US"/>
          </w:rPr>
          <w:t>https://euromemo.eu/wp-content/uploads/pdfs/uploads/euromemorandum_2018.pdf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EuroMemo</w:t>
      </w:r>
      <w:proofErr w:type="spellEnd"/>
      <w:r w:rsidR="009F480D" w:rsidRPr="001234AB">
        <w:rPr>
          <w:rFonts w:ascii="Times New Roman" w:hAnsi="Times New Roman" w:cs="Times New Roman"/>
          <w:sz w:val="24"/>
          <w:szCs w:val="24"/>
          <w:lang w:val="en-US"/>
        </w:rPr>
        <w:t xml:space="preserve"> Group. (2021). </w:t>
      </w:r>
      <w:r w:rsidR="009F480D" w:rsidRPr="001234AB">
        <w:rPr>
          <w:rFonts w:ascii="Times New Roman" w:hAnsi="Times New Roman" w:cs="Times New Roman"/>
          <w:i/>
          <w:iCs/>
          <w:sz w:val="24"/>
          <w:szCs w:val="24"/>
          <w:lang w:val="en-US"/>
        </w:rPr>
        <w:t xml:space="preserve">A post-Covid 19 global-local agenda for a socio-ecological </w:t>
      </w:r>
      <w:r w:rsidR="009F480D" w:rsidRPr="001234AB">
        <w:rPr>
          <w:rFonts w:ascii="Times New Roman" w:hAnsi="Times New Roman" w:cs="Times New Roman"/>
          <w:i/>
          <w:iCs/>
          <w:sz w:val="24"/>
          <w:szCs w:val="24"/>
          <w:lang w:val="en-US"/>
        </w:rPr>
        <w:lastRenderedPageBreak/>
        <w:t>transformation in Europe</w:t>
      </w:r>
      <w:r w:rsidR="009F480D" w:rsidRPr="001234AB">
        <w:rPr>
          <w:rFonts w:ascii="Times New Roman" w:hAnsi="Times New Roman" w:cs="Times New Roman"/>
          <w:sz w:val="24"/>
          <w:szCs w:val="24"/>
          <w:lang w:val="en-US"/>
        </w:rPr>
        <w:t xml:space="preserve">. Retrieved from </w:t>
      </w:r>
      <w:hyperlink r:id="rId80" w:history="1">
        <w:r w:rsidR="009F480D" w:rsidRPr="001234AB">
          <w:rPr>
            <w:rStyle w:val="Hyperlink"/>
            <w:rFonts w:ascii="Times New Roman" w:hAnsi="Times New Roman" w:cs="Times New Roman"/>
            <w:sz w:val="24"/>
            <w:szCs w:val="24"/>
            <w:lang w:val="en-US"/>
          </w:rPr>
          <w:t>https://euromemo.eu/wp-content/uploads/pdfs/uploads/euromemorandum_2021_updated.pdf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r>
      <w:proofErr w:type="spellStart"/>
      <w:r w:rsidR="009F480D" w:rsidRPr="001234AB">
        <w:rPr>
          <w:rFonts w:ascii="Times New Roman" w:hAnsi="Times New Roman" w:cs="Times New Roman"/>
          <w:sz w:val="24"/>
          <w:szCs w:val="24"/>
          <w:lang w:val="en-US"/>
        </w:rPr>
        <w:t>EuroMemo</w:t>
      </w:r>
      <w:proofErr w:type="spellEnd"/>
      <w:r w:rsidR="009F480D" w:rsidRPr="001234AB">
        <w:rPr>
          <w:rFonts w:ascii="Times New Roman" w:hAnsi="Times New Roman" w:cs="Times New Roman"/>
          <w:sz w:val="24"/>
          <w:szCs w:val="24"/>
          <w:lang w:val="en-US"/>
        </w:rPr>
        <w:t xml:space="preserve"> Group. (2022). </w:t>
      </w:r>
      <w:r w:rsidR="009F480D" w:rsidRPr="001234AB">
        <w:rPr>
          <w:rFonts w:ascii="Times New Roman" w:hAnsi="Times New Roman" w:cs="Times New Roman"/>
          <w:i/>
          <w:iCs/>
          <w:sz w:val="24"/>
          <w:szCs w:val="24"/>
          <w:lang w:val="en-US"/>
        </w:rPr>
        <w:t>Caught between the Covid-19 crisis and the war in Ukraine: the EU in 2022</w:t>
      </w:r>
      <w:r w:rsidR="009F480D" w:rsidRPr="001234AB">
        <w:rPr>
          <w:rFonts w:ascii="Times New Roman" w:hAnsi="Times New Roman" w:cs="Times New Roman"/>
          <w:sz w:val="24"/>
          <w:szCs w:val="24"/>
          <w:lang w:val="en-US"/>
        </w:rPr>
        <w:t xml:space="preserve">. Retrieved from </w:t>
      </w:r>
      <w:hyperlink r:id="rId81" w:history="1">
        <w:r w:rsidR="009F480D" w:rsidRPr="001234AB">
          <w:rPr>
            <w:rStyle w:val="Hyperlink"/>
            <w:rFonts w:ascii="Times New Roman" w:hAnsi="Times New Roman" w:cs="Times New Roman"/>
            <w:sz w:val="24"/>
            <w:szCs w:val="24"/>
            <w:lang w:val="en-US"/>
          </w:rPr>
          <w:t>https://euromemo.eu/wp-content/uploads/pdfs/uploads/euromemorandum2022_final_draft_28march_2022.pdf</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b/>
          <w:bCs/>
          <w:sz w:val="24"/>
          <w:szCs w:val="24"/>
          <w:lang w:val="en-US"/>
        </w:rPr>
        <w:br/>
      </w:r>
      <w:r w:rsidR="009F480D" w:rsidRPr="001234AB">
        <w:rPr>
          <w:rFonts w:ascii="Times New Roman" w:hAnsi="Times New Roman" w:cs="Times New Roman"/>
          <w:sz w:val="24"/>
          <w:szCs w:val="24"/>
          <w:lang w:val="en-US"/>
        </w:rPr>
        <w:t xml:space="preserve">European Commission. (1990). </w:t>
      </w:r>
      <w:r w:rsidR="009F480D" w:rsidRPr="001234AB">
        <w:rPr>
          <w:rFonts w:ascii="Times New Roman" w:hAnsi="Times New Roman" w:cs="Times New Roman"/>
          <w:i/>
          <w:iCs/>
          <w:sz w:val="24"/>
          <w:szCs w:val="24"/>
          <w:lang w:val="en-US"/>
        </w:rPr>
        <w:t xml:space="preserve">One market, one money </w:t>
      </w:r>
      <w:proofErr w:type="gramStart"/>
      <w:r w:rsidR="009F480D" w:rsidRPr="001234AB">
        <w:rPr>
          <w:rFonts w:ascii="Times New Roman" w:hAnsi="Times New Roman" w:cs="Times New Roman"/>
          <w:i/>
          <w:iCs/>
          <w:sz w:val="24"/>
          <w:szCs w:val="24"/>
          <w:lang w:val="en-US"/>
        </w:rPr>
        <w:t>An</w:t>
      </w:r>
      <w:proofErr w:type="gramEnd"/>
      <w:r w:rsidR="009F480D" w:rsidRPr="001234AB">
        <w:rPr>
          <w:rFonts w:ascii="Times New Roman" w:hAnsi="Times New Roman" w:cs="Times New Roman"/>
          <w:i/>
          <w:iCs/>
          <w:sz w:val="24"/>
          <w:szCs w:val="24"/>
          <w:lang w:val="en-US"/>
        </w:rPr>
        <w:t xml:space="preserve"> evaluation of the potential benefits and costs of forming and economic and monetary union</w:t>
      </w:r>
      <w:r w:rsidR="009F480D" w:rsidRPr="001234AB">
        <w:rPr>
          <w:rFonts w:ascii="Times New Roman" w:hAnsi="Times New Roman" w:cs="Times New Roman"/>
          <w:sz w:val="24"/>
          <w:szCs w:val="24"/>
          <w:lang w:val="en-US"/>
        </w:rPr>
        <w:t xml:space="preserve">. Retrieved from </w:t>
      </w:r>
      <w:hyperlink r:id="rId82" w:history="1">
        <w:r w:rsidR="009F480D" w:rsidRPr="001234AB">
          <w:rPr>
            <w:rStyle w:val="Hyperlink"/>
            <w:rFonts w:ascii="Times New Roman" w:hAnsi="Times New Roman" w:cs="Times New Roman"/>
            <w:sz w:val="24"/>
            <w:szCs w:val="24"/>
            <w:lang w:val="en-US"/>
          </w:rPr>
          <w:t>https://ec.europa.eu/economy_finance/publications/pages/publication7454_en.pdf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European Commission. (1999, May 11). </w:t>
      </w:r>
      <w:r w:rsidR="009F480D" w:rsidRPr="001234AB">
        <w:rPr>
          <w:rFonts w:ascii="Times New Roman" w:hAnsi="Times New Roman" w:cs="Times New Roman"/>
          <w:i/>
          <w:iCs/>
          <w:sz w:val="24"/>
          <w:szCs w:val="24"/>
          <w:lang w:val="en-US"/>
        </w:rPr>
        <w:t>Financial Services Action Plan (FSAP)</w:t>
      </w:r>
      <w:r w:rsidR="009F480D" w:rsidRPr="001234AB">
        <w:rPr>
          <w:rFonts w:ascii="Times New Roman" w:hAnsi="Times New Roman" w:cs="Times New Roman"/>
          <w:sz w:val="24"/>
          <w:szCs w:val="24"/>
          <w:lang w:val="en-US"/>
        </w:rPr>
        <w:t xml:space="preserve">. Retrieved from </w:t>
      </w:r>
      <w:hyperlink r:id="rId83" w:history="1">
        <w:r w:rsidR="009F480D" w:rsidRPr="001234AB">
          <w:rPr>
            <w:rStyle w:val="Hyperlink"/>
            <w:rFonts w:ascii="Times New Roman" w:hAnsi="Times New Roman" w:cs="Times New Roman"/>
            <w:sz w:val="24"/>
            <w:szCs w:val="24"/>
            <w:lang w:val="en-US"/>
          </w:rPr>
          <w:t>https://eur-lex.europa.eu/EN/legal-content/summary/financial-services-action-plan-fsap.html</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b/>
          <w:bCs/>
          <w:sz w:val="24"/>
          <w:szCs w:val="24"/>
          <w:lang w:val="en-US"/>
        </w:rPr>
        <w:br/>
      </w:r>
      <w:r w:rsidR="009F480D" w:rsidRPr="001234AB">
        <w:rPr>
          <w:rFonts w:ascii="Times New Roman" w:hAnsi="Times New Roman" w:cs="Times New Roman"/>
          <w:b/>
          <w:bCs/>
          <w:sz w:val="24"/>
          <w:szCs w:val="24"/>
          <w:lang w:val="en-US"/>
        </w:rPr>
        <w:br/>
      </w:r>
      <w:r w:rsidR="009F480D" w:rsidRPr="001234AB">
        <w:rPr>
          <w:rFonts w:ascii="Times New Roman" w:hAnsi="Times New Roman" w:cs="Times New Roman"/>
          <w:sz w:val="24"/>
          <w:szCs w:val="24"/>
          <w:lang w:val="en-US"/>
        </w:rPr>
        <w:t xml:space="preserve">European Commission. (2011). </w:t>
      </w:r>
      <w:r w:rsidR="009F480D" w:rsidRPr="001234AB">
        <w:rPr>
          <w:rFonts w:ascii="Times New Roman" w:hAnsi="Times New Roman" w:cs="Times New Roman"/>
          <w:i/>
          <w:iCs/>
          <w:sz w:val="24"/>
          <w:szCs w:val="24"/>
          <w:lang w:val="en-US"/>
        </w:rPr>
        <w:t>Green Paper on the feasibility of introducing Stability Bonds</w:t>
      </w:r>
      <w:r w:rsidR="009F480D" w:rsidRPr="001234AB">
        <w:rPr>
          <w:rFonts w:ascii="Times New Roman" w:hAnsi="Times New Roman" w:cs="Times New Roman"/>
          <w:sz w:val="24"/>
          <w:szCs w:val="24"/>
          <w:lang w:val="en-US"/>
        </w:rPr>
        <w:t xml:space="preserve"> (Memo/11/820). Retrieved from </w:t>
      </w:r>
      <w:hyperlink r:id="rId84" w:history="1">
        <w:r w:rsidR="009F480D" w:rsidRPr="001234AB">
          <w:rPr>
            <w:rStyle w:val="Hyperlink"/>
            <w:rFonts w:ascii="Times New Roman" w:hAnsi="Times New Roman" w:cs="Times New Roman"/>
            <w:sz w:val="24"/>
            <w:szCs w:val="24"/>
            <w:lang w:val="en-US"/>
          </w:rPr>
          <w:t>http://europa.eu/rapid/press-release_MEMO-11-820_en.pdf</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European Commission. (2015a). </w:t>
      </w:r>
      <w:r w:rsidR="009F480D" w:rsidRPr="001234AB">
        <w:rPr>
          <w:rFonts w:ascii="Times New Roman" w:hAnsi="Times New Roman" w:cs="Times New Roman"/>
          <w:i/>
          <w:iCs/>
          <w:sz w:val="24"/>
          <w:szCs w:val="24"/>
          <w:lang w:val="en-US"/>
        </w:rPr>
        <w:t>GREEN PAPER Building a Capital Markets Union</w:t>
      </w:r>
      <w:r w:rsidR="009F480D" w:rsidRPr="001234AB">
        <w:rPr>
          <w:rFonts w:ascii="Times New Roman" w:hAnsi="Times New Roman" w:cs="Times New Roman"/>
          <w:sz w:val="24"/>
          <w:szCs w:val="24"/>
          <w:lang w:val="en-US"/>
        </w:rPr>
        <w:t xml:space="preserve"> (COM/2015/063). Retrieved from </w:t>
      </w:r>
      <w:hyperlink r:id="rId85" w:history="1">
        <w:r w:rsidR="009F480D" w:rsidRPr="001234AB">
          <w:rPr>
            <w:rStyle w:val="Hyperlink"/>
            <w:rFonts w:ascii="Times New Roman" w:hAnsi="Times New Roman" w:cs="Times New Roman"/>
            <w:sz w:val="24"/>
            <w:szCs w:val="24"/>
            <w:lang w:val="en-US"/>
          </w:rPr>
          <w:t>https://eur-lex.europa.eu/legal-content/EN/TXT/?uri=celex%3A52015DC0063</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European Commission. (2015b). </w:t>
      </w:r>
      <w:r w:rsidR="009F480D" w:rsidRPr="001234AB">
        <w:rPr>
          <w:rFonts w:ascii="Times New Roman" w:hAnsi="Times New Roman" w:cs="Times New Roman"/>
          <w:i/>
          <w:iCs/>
          <w:sz w:val="24"/>
          <w:szCs w:val="24"/>
          <w:lang w:val="en-US"/>
        </w:rPr>
        <w:t>COMMUNICATION FROM THE COMMISSION TO THE EUROPEAN PARLIAMENT, THE COUNCIL, THE EUROPEAN ECONOMIC AND SOCIAL COMMITTEE AND THE COMMITTEE OF THE REGIONS Action Plan on Building a Capital Markets Union</w:t>
      </w:r>
      <w:r w:rsidR="009F480D" w:rsidRPr="001234AB">
        <w:rPr>
          <w:rFonts w:ascii="Times New Roman" w:hAnsi="Times New Roman" w:cs="Times New Roman"/>
          <w:sz w:val="24"/>
          <w:szCs w:val="24"/>
          <w:lang w:val="en-US"/>
        </w:rPr>
        <w:t xml:space="preserve"> (COM/2015/0468). Retrieved from </w:t>
      </w:r>
      <w:hyperlink r:id="rId86" w:history="1">
        <w:r w:rsidR="009F480D" w:rsidRPr="001234AB">
          <w:rPr>
            <w:rStyle w:val="Hyperlink"/>
            <w:rFonts w:ascii="Times New Roman" w:hAnsi="Times New Roman" w:cs="Times New Roman"/>
            <w:sz w:val="24"/>
            <w:szCs w:val="24"/>
            <w:lang w:val="en-US"/>
          </w:rPr>
          <w:t>https://eur-lex.europa.eu/legal-content/EN/TXT/?uri=CELEX%3A52015DC0468</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European Commission. (2015c). </w:t>
      </w:r>
      <w:r w:rsidR="009F480D" w:rsidRPr="001234AB">
        <w:rPr>
          <w:rFonts w:ascii="Times New Roman" w:hAnsi="Times New Roman" w:cs="Times New Roman"/>
          <w:i/>
          <w:iCs/>
          <w:sz w:val="24"/>
          <w:szCs w:val="24"/>
          <w:lang w:val="en-US"/>
        </w:rPr>
        <w:t>Proposal for a REGULATION OF THE EUROPEAN PARLIAMENT AND OF THE COUNCIL amending Regulation (EU) 806/2014 in order to establish a European Deposit Insurance Scheme</w:t>
      </w:r>
      <w:r w:rsidR="009F480D" w:rsidRPr="001234AB">
        <w:rPr>
          <w:rFonts w:ascii="Times New Roman" w:hAnsi="Times New Roman" w:cs="Times New Roman"/>
          <w:sz w:val="24"/>
          <w:szCs w:val="24"/>
          <w:lang w:val="en-US"/>
        </w:rPr>
        <w:t xml:space="preserve"> (COM/2015/0586). Retrieved from </w:t>
      </w:r>
      <w:hyperlink r:id="rId87" w:history="1">
        <w:r w:rsidR="009F480D" w:rsidRPr="001234AB">
          <w:rPr>
            <w:rStyle w:val="Hyperlink"/>
            <w:rFonts w:ascii="Times New Roman" w:hAnsi="Times New Roman" w:cs="Times New Roman"/>
            <w:sz w:val="24"/>
            <w:szCs w:val="24"/>
            <w:lang w:val="en-US"/>
          </w:rPr>
          <w:t>https://eur-lex.europa.eu/legal-content/EN/TXT/?uri=CELEX:52015PC0586</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European Commission (2017). </w:t>
      </w:r>
      <w:r w:rsidR="009F480D" w:rsidRPr="001234AB">
        <w:rPr>
          <w:rFonts w:ascii="Times New Roman" w:hAnsi="Times New Roman" w:cs="Times New Roman"/>
          <w:i/>
          <w:iCs/>
          <w:sz w:val="24"/>
          <w:szCs w:val="24"/>
          <w:lang w:val="en-US"/>
        </w:rPr>
        <w:t xml:space="preserve">Reflection paper on the deepening of the economic and </w:t>
      </w:r>
      <w:r w:rsidR="009F480D" w:rsidRPr="001234AB">
        <w:rPr>
          <w:rFonts w:ascii="Times New Roman" w:hAnsi="Times New Roman" w:cs="Times New Roman"/>
          <w:i/>
          <w:iCs/>
          <w:sz w:val="24"/>
          <w:szCs w:val="24"/>
          <w:lang w:val="en-US"/>
        </w:rPr>
        <w:lastRenderedPageBreak/>
        <w:t>monetary union</w:t>
      </w:r>
      <w:r w:rsidR="009F480D" w:rsidRPr="001234AB">
        <w:rPr>
          <w:rFonts w:ascii="Times New Roman" w:hAnsi="Times New Roman" w:cs="Times New Roman"/>
          <w:sz w:val="24"/>
          <w:szCs w:val="24"/>
          <w:lang w:val="en-US"/>
        </w:rPr>
        <w:t xml:space="preserve"> (COM/2017/291). Retrieved from </w:t>
      </w:r>
      <w:hyperlink r:id="rId88" w:history="1">
        <w:r w:rsidR="009F480D" w:rsidRPr="001234AB">
          <w:rPr>
            <w:rStyle w:val="Hyperlink"/>
            <w:rFonts w:ascii="Times New Roman" w:hAnsi="Times New Roman" w:cs="Times New Roman"/>
            <w:sz w:val="24"/>
            <w:szCs w:val="24"/>
            <w:lang w:val="en-US"/>
          </w:rPr>
          <w:t>https://commission.europa.eu/publications/reflection-paper-deepening-economic-and-monetary-union_en</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European Commission (2018). </w:t>
      </w:r>
      <w:r w:rsidR="009F480D" w:rsidRPr="001234AB">
        <w:rPr>
          <w:rFonts w:ascii="Times New Roman" w:hAnsi="Times New Roman" w:cs="Times New Roman"/>
          <w:i/>
          <w:iCs/>
          <w:sz w:val="24"/>
          <w:szCs w:val="24"/>
          <w:lang w:val="en-US"/>
        </w:rPr>
        <w:t>COMMISSION STAFF WORKING DOCUMENT IMPACT ASSESSMENT An enabling regulatory framework for the development of sovereign bond-backed securities (SBBS)</w:t>
      </w:r>
      <w:r w:rsidR="009F480D" w:rsidRPr="001234AB">
        <w:rPr>
          <w:rFonts w:ascii="Times New Roman" w:hAnsi="Times New Roman" w:cs="Times New Roman"/>
          <w:sz w:val="24"/>
          <w:szCs w:val="24"/>
          <w:lang w:val="en-US"/>
        </w:rPr>
        <w:t xml:space="preserve"> (SWD/2018/252). Retrieved from </w:t>
      </w:r>
      <w:hyperlink r:id="rId89" w:history="1">
        <w:r w:rsidR="009F480D" w:rsidRPr="001234AB">
          <w:rPr>
            <w:rStyle w:val="Hyperlink"/>
            <w:rFonts w:ascii="Times New Roman" w:hAnsi="Times New Roman" w:cs="Times New Roman"/>
            <w:sz w:val="24"/>
            <w:szCs w:val="24"/>
            <w:lang w:val="en-US"/>
          </w:rPr>
          <w:t>https://eur-lex.europa.eu/legal-content/EN/TXT/?uri=CELEX:52018SC0252</w:t>
        </w:r>
      </w:hyperlink>
      <w:r w:rsidR="009F480D" w:rsidRPr="001234AB">
        <w:rPr>
          <w:rFonts w:ascii="Times New Roman" w:hAnsi="Times New Roman" w:cs="Times New Roman"/>
          <w:sz w:val="24"/>
          <w:szCs w:val="24"/>
          <w:lang w:val="en-US"/>
        </w:rPr>
        <w:t>.</w:t>
      </w:r>
      <w:r w:rsidR="009F480D" w:rsidRPr="001234AB">
        <w:rPr>
          <w:rFonts w:ascii="Times New Roman" w:hAnsi="Times New Roman" w:cs="Times New Roman"/>
          <w:b/>
          <w:bCs/>
          <w:sz w:val="24"/>
          <w:szCs w:val="24"/>
          <w:lang w:val="en-US"/>
        </w:rPr>
        <w:br/>
      </w:r>
      <w:r w:rsidR="009F480D" w:rsidRPr="001234AB">
        <w:rPr>
          <w:rFonts w:ascii="Times New Roman" w:hAnsi="Times New Roman" w:cs="Times New Roman"/>
          <w:sz w:val="24"/>
          <w:szCs w:val="24"/>
          <w:lang w:val="en-US"/>
        </w:rPr>
        <w:br/>
        <w:t xml:space="preserve">European Commission. (2020a). </w:t>
      </w:r>
      <w:r w:rsidR="009F480D" w:rsidRPr="001234AB">
        <w:rPr>
          <w:rFonts w:ascii="Times New Roman" w:hAnsi="Times New Roman" w:cs="Times New Roman"/>
          <w:i/>
          <w:iCs/>
          <w:sz w:val="24"/>
          <w:szCs w:val="24"/>
          <w:lang w:val="en-US"/>
        </w:rPr>
        <w:t>Regulations</w:t>
      </w:r>
      <w:r w:rsidR="009F480D" w:rsidRPr="001234AB">
        <w:rPr>
          <w:rFonts w:ascii="Times New Roman" w:hAnsi="Times New Roman" w:cs="Times New Roman"/>
          <w:sz w:val="24"/>
          <w:szCs w:val="24"/>
          <w:lang w:val="en-US"/>
        </w:rPr>
        <w:t xml:space="preserve">. Retrieved from </w:t>
      </w:r>
      <w:hyperlink r:id="rId90" w:history="1">
        <w:r w:rsidR="009F480D" w:rsidRPr="001234AB">
          <w:rPr>
            <w:rStyle w:val="Hyperlink"/>
            <w:rFonts w:ascii="Times New Roman" w:hAnsi="Times New Roman" w:cs="Times New Roman"/>
            <w:sz w:val="24"/>
            <w:szCs w:val="24"/>
            <w:lang w:val="en-US"/>
          </w:rPr>
          <w:t>https://eur-lex.europa.eu/legal-content/EN/TXT/PDF/?uri=CELEX:32020R0672</w:t>
        </w:r>
      </w:hyperlink>
      <w:r w:rsidR="009F480D" w:rsidRPr="001234AB">
        <w:rPr>
          <w:rFonts w:ascii="Times New Roman" w:hAnsi="Times New Roman" w:cs="Times New Roman"/>
          <w:sz w:val="24"/>
          <w:szCs w:val="24"/>
          <w:lang w:val="en-US"/>
        </w:rPr>
        <w:t xml:space="preserve">. </w:t>
      </w:r>
      <w:r w:rsidR="009F480D" w:rsidRPr="001234AB">
        <w:rPr>
          <w:rFonts w:ascii="Times New Roman" w:hAnsi="Times New Roman" w:cs="Times New Roman"/>
          <w:sz w:val="24"/>
          <w:szCs w:val="24"/>
          <w:lang w:val="en-US"/>
        </w:rPr>
        <w:br/>
      </w:r>
      <w:r w:rsidR="009F480D" w:rsidRPr="001234AB">
        <w:rPr>
          <w:rFonts w:ascii="Times New Roman" w:hAnsi="Times New Roman" w:cs="Times New Roman"/>
          <w:sz w:val="24"/>
          <w:szCs w:val="24"/>
          <w:lang w:val="en-US"/>
        </w:rPr>
        <w:br/>
        <w:t xml:space="preserve">European Commission. (2020b). </w:t>
      </w:r>
      <w:r w:rsidR="009F480D" w:rsidRPr="001234AB">
        <w:rPr>
          <w:rFonts w:ascii="Times New Roman" w:hAnsi="Times New Roman" w:cs="Times New Roman"/>
          <w:i/>
          <w:iCs/>
          <w:sz w:val="24"/>
          <w:szCs w:val="24"/>
          <w:lang w:val="en-US"/>
        </w:rPr>
        <w:t>Recovery Plan for Europe</w:t>
      </w:r>
      <w:r w:rsidR="009F480D" w:rsidRPr="001234AB">
        <w:rPr>
          <w:rFonts w:ascii="Times New Roman" w:hAnsi="Times New Roman" w:cs="Times New Roman"/>
          <w:sz w:val="24"/>
          <w:szCs w:val="24"/>
          <w:lang w:val="en-US"/>
        </w:rPr>
        <w:t xml:space="preserve">. Retrieved from https://commission.europa.eu/strategy-and-policy/recovery-plan-europe_en.  </w:t>
      </w:r>
    </w:p>
    <w:p w14:paraId="00A1FD4A" w14:textId="4116F545" w:rsidR="00492161" w:rsidRPr="001234AB" w:rsidRDefault="009F480D" w:rsidP="00F807BD">
      <w:pPr>
        <w:spacing w:line="360" w:lineRule="auto"/>
        <w:rPr>
          <w:rFonts w:ascii="Times New Roman" w:hAnsi="Times New Roman" w:cs="Times New Roman"/>
          <w:sz w:val="24"/>
          <w:szCs w:val="24"/>
          <w:lang w:val="en-US"/>
        </w:rPr>
      </w:pPr>
      <w:r w:rsidRPr="001234AB">
        <w:rPr>
          <w:rFonts w:ascii="Times New Roman" w:hAnsi="Times New Roman" w:cs="Times New Roman"/>
          <w:sz w:val="24"/>
          <w:szCs w:val="24"/>
          <w:lang w:val="en-US"/>
        </w:rPr>
        <w:t xml:space="preserve">European Commission. (2020c). </w:t>
      </w:r>
      <w:r w:rsidRPr="001234AB">
        <w:rPr>
          <w:rFonts w:ascii="Times New Roman" w:hAnsi="Times New Roman" w:cs="Times New Roman"/>
          <w:i/>
          <w:iCs/>
          <w:sz w:val="24"/>
          <w:szCs w:val="24"/>
          <w:lang w:val="en-US"/>
        </w:rPr>
        <w:t>The Recovery and Resilience Facility</w:t>
      </w:r>
      <w:r w:rsidRPr="001234AB">
        <w:rPr>
          <w:rFonts w:ascii="Times New Roman" w:hAnsi="Times New Roman" w:cs="Times New Roman"/>
          <w:sz w:val="24"/>
          <w:szCs w:val="24"/>
          <w:lang w:val="en-US"/>
        </w:rPr>
        <w:t xml:space="preserve">. Retrieved from </w:t>
      </w:r>
      <w:hyperlink r:id="rId91" w:history="1">
        <w:r w:rsidRPr="001234AB">
          <w:rPr>
            <w:rStyle w:val="Hyperlink"/>
            <w:rFonts w:ascii="Times New Roman" w:hAnsi="Times New Roman" w:cs="Times New Roman"/>
            <w:sz w:val="24"/>
            <w:szCs w:val="24"/>
            <w:lang w:val="en-US"/>
          </w:rPr>
          <w:t>https://commission.europa.eu/business-economy-euro/economic-recovery/recovery-and-resilience-facility_en</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European Commission. (2020d). </w:t>
      </w:r>
      <w:proofErr w:type="spellStart"/>
      <w:r w:rsidRPr="001234AB">
        <w:rPr>
          <w:rFonts w:ascii="Times New Roman" w:hAnsi="Times New Roman" w:cs="Times New Roman"/>
          <w:i/>
          <w:iCs/>
          <w:sz w:val="24"/>
          <w:szCs w:val="24"/>
          <w:lang w:val="en-US"/>
        </w:rPr>
        <w:t>NextGenerationEU</w:t>
      </w:r>
      <w:proofErr w:type="spellEnd"/>
      <w:r w:rsidRPr="001234AB">
        <w:rPr>
          <w:rFonts w:ascii="Times New Roman" w:hAnsi="Times New Roman" w:cs="Times New Roman"/>
          <w:i/>
          <w:iCs/>
          <w:sz w:val="24"/>
          <w:szCs w:val="24"/>
          <w:lang w:val="en-US"/>
        </w:rPr>
        <w:t>.</w:t>
      </w:r>
      <w:r w:rsidRPr="001234AB">
        <w:rPr>
          <w:rFonts w:ascii="Times New Roman" w:hAnsi="Times New Roman" w:cs="Times New Roman"/>
          <w:sz w:val="24"/>
          <w:szCs w:val="24"/>
          <w:lang w:val="en-US"/>
        </w:rPr>
        <w:t xml:space="preserve"> Retrieved from </w:t>
      </w:r>
      <w:hyperlink r:id="rId92" w:anchor="nextgenerationeu-green-bonds" w:history="1">
        <w:r w:rsidRPr="001234AB">
          <w:rPr>
            <w:rStyle w:val="Hyperlink"/>
            <w:rFonts w:ascii="Times New Roman" w:hAnsi="Times New Roman" w:cs="Times New Roman"/>
            <w:sz w:val="24"/>
            <w:szCs w:val="24"/>
            <w:lang w:val="en-US"/>
          </w:rPr>
          <w:t>https://commission.europa.eu/strategy-and-policy/eu-budget/eu-borrower-investor-relations/nextgenerationeu_en#nextgenerationeu-green-bonds</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European Commission. (2020e). </w:t>
      </w:r>
      <w:r w:rsidRPr="001234AB">
        <w:rPr>
          <w:rFonts w:ascii="Times New Roman" w:hAnsi="Times New Roman" w:cs="Times New Roman"/>
          <w:i/>
          <w:iCs/>
          <w:sz w:val="24"/>
          <w:szCs w:val="24"/>
          <w:lang w:val="en-US"/>
        </w:rPr>
        <w:t>COMMUNICATION FROM THE COMMISSION TO THE EUROPEAN PARLIAMENT, THE COUNCIL, THE EUROPEAN ECONOMIC AND SOCIAL COMMITTEE AND THE COMMITTEE OF THE REGIONS A Capital Markets Union for people and businesses-new action plan</w:t>
      </w:r>
      <w:r w:rsidRPr="001234AB">
        <w:rPr>
          <w:rFonts w:ascii="Times New Roman" w:hAnsi="Times New Roman" w:cs="Times New Roman"/>
          <w:sz w:val="24"/>
          <w:szCs w:val="24"/>
          <w:lang w:val="en-US"/>
        </w:rPr>
        <w:t xml:space="preserve"> (COM/2020/590). Retrieved from </w:t>
      </w:r>
      <w:hyperlink r:id="rId93" w:history="1">
        <w:r w:rsidRPr="001234AB">
          <w:rPr>
            <w:rStyle w:val="Hyperlink"/>
            <w:rFonts w:ascii="Times New Roman" w:hAnsi="Times New Roman" w:cs="Times New Roman"/>
            <w:sz w:val="24"/>
            <w:szCs w:val="24"/>
            <w:lang w:val="en-US"/>
          </w:rPr>
          <w:t>https://eur-lex.europa.eu/resource.html?uri=cellar:61042990-fe46-11ea-b44f-01aa75ed71a1.0001.02/DOC_1&amp;format=PDF</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European Commission. (2022). </w:t>
      </w:r>
      <w:r w:rsidRPr="001234AB">
        <w:rPr>
          <w:rFonts w:ascii="Times New Roman" w:hAnsi="Times New Roman" w:cs="Times New Roman"/>
          <w:i/>
          <w:iCs/>
          <w:sz w:val="24"/>
          <w:szCs w:val="24"/>
          <w:lang w:val="en-US"/>
        </w:rPr>
        <w:t>SURE</w:t>
      </w:r>
      <w:r w:rsidRPr="001234AB">
        <w:rPr>
          <w:rFonts w:ascii="Times New Roman" w:hAnsi="Times New Roman" w:cs="Times New Roman"/>
          <w:sz w:val="24"/>
          <w:szCs w:val="24"/>
          <w:lang w:val="en-US"/>
        </w:rPr>
        <w:t xml:space="preserve">. Retrieved from </w:t>
      </w:r>
      <w:hyperlink r:id="rId94" w:history="1">
        <w:r w:rsidRPr="001234AB">
          <w:rPr>
            <w:rStyle w:val="Hyperlink"/>
            <w:rFonts w:ascii="Times New Roman" w:hAnsi="Times New Roman" w:cs="Times New Roman"/>
            <w:sz w:val="24"/>
            <w:szCs w:val="24"/>
            <w:lang w:val="en-US"/>
          </w:rPr>
          <w:t>https://commission.europa.eu/strategy-and-policy/eu-budget/eu-borrower-investor-relations/sure_en</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European Commission. (2023). </w:t>
      </w:r>
      <w:r w:rsidRPr="001234AB">
        <w:rPr>
          <w:rFonts w:ascii="Times New Roman" w:hAnsi="Times New Roman" w:cs="Times New Roman"/>
          <w:i/>
          <w:iCs/>
          <w:sz w:val="24"/>
          <w:szCs w:val="24"/>
          <w:lang w:val="en-US"/>
        </w:rPr>
        <w:t xml:space="preserve">MFA </w:t>
      </w:r>
      <w:proofErr w:type="spellStart"/>
      <w:r w:rsidRPr="001234AB">
        <w:rPr>
          <w:rFonts w:ascii="Times New Roman" w:hAnsi="Times New Roman" w:cs="Times New Roman"/>
          <w:i/>
          <w:iCs/>
          <w:sz w:val="24"/>
          <w:szCs w:val="24"/>
          <w:lang w:val="en-US"/>
        </w:rPr>
        <w:t>programmes</w:t>
      </w:r>
      <w:proofErr w:type="spellEnd"/>
      <w:r w:rsidRPr="001234AB">
        <w:rPr>
          <w:rFonts w:ascii="Times New Roman" w:hAnsi="Times New Roman" w:cs="Times New Roman"/>
          <w:i/>
          <w:iCs/>
          <w:sz w:val="24"/>
          <w:szCs w:val="24"/>
          <w:lang w:val="en-US"/>
        </w:rPr>
        <w:t xml:space="preserve"> (including Ukraine)</w:t>
      </w:r>
      <w:r w:rsidRPr="001234AB">
        <w:rPr>
          <w:rFonts w:ascii="Times New Roman" w:hAnsi="Times New Roman" w:cs="Times New Roman"/>
          <w:sz w:val="24"/>
          <w:szCs w:val="24"/>
          <w:lang w:val="en-US"/>
        </w:rPr>
        <w:t xml:space="preserve">. Retrieved from </w:t>
      </w:r>
      <w:hyperlink r:id="rId95" w:history="1">
        <w:r w:rsidRPr="001234AB">
          <w:rPr>
            <w:rStyle w:val="Hyperlink"/>
            <w:rFonts w:ascii="Times New Roman" w:hAnsi="Times New Roman" w:cs="Times New Roman"/>
            <w:sz w:val="24"/>
            <w:szCs w:val="24"/>
            <w:lang w:val="en-US"/>
          </w:rPr>
          <w:t>https://commission.europa.eu/strategy-and-policy/eu-budget/eu-borrower-investor-relations/mfa-programmes-including-ukraine_en</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European Commission. (2024). </w:t>
      </w:r>
      <w:r w:rsidRPr="001234AB">
        <w:rPr>
          <w:rFonts w:ascii="Times New Roman" w:hAnsi="Times New Roman" w:cs="Times New Roman"/>
          <w:i/>
          <w:iCs/>
          <w:sz w:val="24"/>
          <w:szCs w:val="24"/>
          <w:lang w:val="en-US"/>
        </w:rPr>
        <w:t xml:space="preserve">REPORT FROM THE COMMISSION TO THE EUROPEAN PARLIAMENT AND THE COUNCIL Half-yearly report on the implementation of borrowing, debt management and related lending operations pursuant to Article 12 of Commission Implementing Decision </w:t>
      </w:r>
      <w:proofErr w:type="gramStart"/>
      <w:r w:rsidRPr="001234AB">
        <w:rPr>
          <w:rFonts w:ascii="Times New Roman" w:hAnsi="Times New Roman" w:cs="Times New Roman"/>
          <w:i/>
          <w:iCs/>
          <w:sz w:val="24"/>
          <w:szCs w:val="24"/>
          <w:lang w:val="en-US"/>
        </w:rPr>
        <w:t>C(</w:t>
      </w:r>
      <w:proofErr w:type="gramEnd"/>
      <w:r w:rsidRPr="001234AB">
        <w:rPr>
          <w:rFonts w:ascii="Times New Roman" w:hAnsi="Times New Roman" w:cs="Times New Roman"/>
          <w:i/>
          <w:iCs/>
          <w:sz w:val="24"/>
          <w:szCs w:val="24"/>
          <w:lang w:val="en-US"/>
        </w:rPr>
        <w:t>2022)9700</w:t>
      </w:r>
      <w:r w:rsidRPr="001234AB">
        <w:rPr>
          <w:rFonts w:ascii="Times New Roman" w:hAnsi="Times New Roman" w:cs="Times New Roman"/>
          <w:sz w:val="24"/>
          <w:szCs w:val="24"/>
          <w:lang w:val="en-US"/>
        </w:rPr>
        <w:t xml:space="preserve"> (COM/2024/93). Retrieved from </w:t>
      </w:r>
      <w:hyperlink r:id="rId96" w:history="1">
        <w:r w:rsidRPr="001234AB">
          <w:rPr>
            <w:rStyle w:val="Hyperlink"/>
            <w:rFonts w:ascii="Times New Roman" w:hAnsi="Times New Roman" w:cs="Times New Roman"/>
            <w:sz w:val="24"/>
            <w:szCs w:val="24"/>
            <w:lang w:val="en-US"/>
          </w:rPr>
          <w:t>https://commission.europa.eu/document/download/fb6687a7-4249-434c-bb07-5e9f34f4fd43_en?filename=H2%202023%20Half-yearly%20report%20on%20the%20implementation%20of%20borrowing%2C%20debt%20management%20and%20related%20lending%20operations.pdf</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European Council. (2020a). </w:t>
      </w:r>
      <w:r w:rsidRPr="001234AB">
        <w:rPr>
          <w:rFonts w:ascii="Times New Roman" w:hAnsi="Times New Roman" w:cs="Times New Roman"/>
          <w:i/>
          <w:iCs/>
          <w:sz w:val="24"/>
          <w:szCs w:val="24"/>
          <w:lang w:val="en-US"/>
        </w:rPr>
        <w:t>European Council conclusions, 17-21 July 2020.</w:t>
      </w:r>
      <w:r w:rsidRPr="001234AB">
        <w:rPr>
          <w:rFonts w:ascii="Times New Roman" w:hAnsi="Times New Roman" w:cs="Times New Roman"/>
          <w:sz w:val="24"/>
          <w:szCs w:val="24"/>
          <w:lang w:val="en-US"/>
        </w:rPr>
        <w:t xml:space="preserve"> Retrieved from </w:t>
      </w:r>
      <w:hyperlink r:id="rId97" w:history="1">
        <w:r w:rsidRPr="001234AB">
          <w:rPr>
            <w:rStyle w:val="Hyperlink"/>
            <w:rFonts w:ascii="Times New Roman" w:hAnsi="Times New Roman" w:cs="Times New Roman"/>
            <w:sz w:val="24"/>
            <w:szCs w:val="24"/>
            <w:lang w:val="en-US"/>
          </w:rPr>
          <w:t>https://www.consilium.europa.eu/media/45109/210720-euco-final-conclusions-en.pdf</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European Council. (2020b). </w:t>
      </w:r>
      <w:r w:rsidRPr="001234AB">
        <w:rPr>
          <w:rFonts w:ascii="Times New Roman" w:hAnsi="Times New Roman" w:cs="Times New Roman"/>
          <w:i/>
          <w:iCs/>
          <w:sz w:val="24"/>
          <w:szCs w:val="24"/>
          <w:lang w:val="en-US"/>
        </w:rPr>
        <w:t>Special European Council, 17-21 July 2020</w:t>
      </w:r>
      <w:r w:rsidRPr="001234AB">
        <w:rPr>
          <w:rFonts w:ascii="Times New Roman" w:hAnsi="Times New Roman" w:cs="Times New Roman"/>
          <w:sz w:val="24"/>
          <w:szCs w:val="24"/>
          <w:lang w:val="en-US"/>
        </w:rPr>
        <w:t xml:space="preserve">. Retrieved from </w:t>
      </w:r>
      <w:hyperlink r:id="rId98" w:history="1">
        <w:r w:rsidRPr="001234AB">
          <w:rPr>
            <w:rStyle w:val="Hyperlink"/>
            <w:rFonts w:ascii="Times New Roman" w:hAnsi="Times New Roman" w:cs="Times New Roman"/>
            <w:sz w:val="24"/>
            <w:szCs w:val="24"/>
            <w:lang w:val="en-US"/>
          </w:rPr>
          <w:t>https://www.consilium.europa.eu/en/meetings/european-council/2020/07/17-21/</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EWL. (2020a). </w:t>
      </w:r>
      <w:r w:rsidRPr="001234AB">
        <w:rPr>
          <w:rFonts w:ascii="Times New Roman" w:hAnsi="Times New Roman" w:cs="Times New Roman"/>
          <w:i/>
          <w:iCs/>
          <w:sz w:val="24"/>
          <w:szCs w:val="24"/>
          <w:lang w:val="en-US"/>
        </w:rPr>
        <w:t>Women must not pay the price for COVID-19! Putting equality between women and men at the heart of the response to COVID-10 across Europe</w:t>
      </w:r>
      <w:r w:rsidRPr="001234AB">
        <w:rPr>
          <w:rFonts w:ascii="Times New Roman" w:hAnsi="Times New Roman" w:cs="Times New Roman"/>
          <w:sz w:val="24"/>
          <w:szCs w:val="24"/>
          <w:lang w:val="en-US"/>
        </w:rPr>
        <w:t xml:space="preserve">. Retrieved from </w:t>
      </w:r>
      <w:hyperlink r:id="rId99" w:history="1">
        <w:r w:rsidRPr="001234AB">
          <w:rPr>
            <w:rStyle w:val="Hyperlink"/>
            <w:rFonts w:ascii="Times New Roman" w:hAnsi="Times New Roman" w:cs="Times New Roman"/>
            <w:sz w:val="24"/>
            <w:szCs w:val="24"/>
            <w:lang w:val="en-US"/>
          </w:rPr>
          <w:t>https://www.womenlobby.org/IMG/pdf/ewl_policy_brief_on_covid-19_impact_on_women_and_girls-2.pdf</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EWL. (2020b). </w:t>
      </w:r>
      <w:r w:rsidRPr="001234AB">
        <w:rPr>
          <w:rFonts w:ascii="Times New Roman" w:hAnsi="Times New Roman" w:cs="Times New Roman"/>
          <w:i/>
          <w:iCs/>
          <w:sz w:val="24"/>
          <w:szCs w:val="24"/>
          <w:lang w:val="en-US"/>
        </w:rPr>
        <w:t>Walk-the-talk: EU funds must mirror women’s equality An EU budget that fully finances equality between women and men as a political priority</w:t>
      </w:r>
      <w:r w:rsidRPr="001234AB">
        <w:rPr>
          <w:rFonts w:ascii="Times New Roman" w:hAnsi="Times New Roman" w:cs="Times New Roman"/>
          <w:sz w:val="24"/>
          <w:szCs w:val="24"/>
          <w:lang w:val="en-US"/>
        </w:rPr>
        <w:t xml:space="preserve">. Retrieved from </w:t>
      </w:r>
      <w:hyperlink r:id="rId100" w:history="1">
        <w:r w:rsidRPr="001234AB">
          <w:rPr>
            <w:rStyle w:val="Hyperlink"/>
            <w:rFonts w:ascii="Times New Roman" w:hAnsi="Times New Roman" w:cs="Times New Roman"/>
            <w:sz w:val="24"/>
            <w:szCs w:val="24"/>
            <w:lang w:val="en-US"/>
          </w:rPr>
          <w:t>https://www.womenlobby.org/IMG/pdf/ewl_walk-the-talk_eu_funds_must_mirror_women_s_equality_june_2020.pdf</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EWL. (2020c). </w:t>
      </w:r>
      <w:r w:rsidRPr="001234AB">
        <w:rPr>
          <w:rFonts w:ascii="Times New Roman" w:hAnsi="Times New Roman" w:cs="Times New Roman"/>
          <w:i/>
          <w:iCs/>
          <w:sz w:val="24"/>
          <w:szCs w:val="24"/>
          <w:lang w:val="en-US"/>
        </w:rPr>
        <w:t>Need for increased funds for equality between women and men and for the EU’s legal obligation to implement gender mainstreaming</w:t>
      </w:r>
      <w:r w:rsidRPr="001234AB">
        <w:rPr>
          <w:rFonts w:ascii="Times New Roman" w:hAnsi="Times New Roman" w:cs="Times New Roman"/>
          <w:sz w:val="24"/>
          <w:szCs w:val="24"/>
          <w:lang w:val="en-US"/>
        </w:rPr>
        <w:t xml:space="preserve">. Retrieved from </w:t>
      </w:r>
      <w:hyperlink r:id="rId101" w:history="1">
        <w:r w:rsidRPr="001234AB">
          <w:rPr>
            <w:rStyle w:val="Hyperlink"/>
            <w:rFonts w:ascii="Times New Roman" w:hAnsi="Times New Roman" w:cs="Times New Roman"/>
            <w:sz w:val="24"/>
            <w:szCs w:val="24"/>
            <w:lang w:val="en-US"/>
          </w:rPr>
          <w:t>https://www.womenlobby.org/IMG/pdf/2020.07.02_-_ewl_letter_to_president_von_der_leyen.pdf</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EWL. (2022). </w:t>
      </w:r>
      <w:r w:rsidRPr="001234AB">
        <w:rPr>
          <w:rFonts w:ascii="Times New Roman" w:hAnsi="Times New Roman" w:cs="Times New Roman"/>
          <w:i/>
          <w:iCs/>
          <w:sz w:val="24"/>
          <w:szCs w:val="24"/>
          <w:lang w:val="en-US"/>
        </w:rPr>
        <w:t>Mission, vision &amp; values</w:t>
      </w:r>
      <w:r w:rsidRPr="001234AB">
        <w:rPr>
          <w:rFonts w:ascii="Times New Roman" w:hAnsi="Times New Roman" w:cs="Times New Roman"/>
          <w:sz w:val="24"/>
          <w:szCs w:val="24"/>
          <w:lang w:val="en-US"/>
        </w:rPr>
        <w:t xml:space="preserve">. Retrieved from </w:t>
      </w:r>
      <w:hyperlink r:id="rId102" w:history="1">
        <w:r w:rsidRPr="001234AB">
          <w:rPr>
            <w:rStyle w:val="Hyperlink"/>
            <w:rFonts w:ascii="Times New Roman" w:hAnsi="Times New Roman" w:cs="Times New Roman"/>
            <w:sz w:val="24"/>
            <w:szCs w:val="24"/>
            <w:lang w:val="en-US"/>
          </w:rPr>
          <w:t>https://womenlobby.org/Mission-</w:t>
        </w:r>
        <w:r w:rsidRPr="001234AB">
          <w:rPr>
            <w:rStyle w:val="Hyperlink"/>
            <w:rFonts w:ascii="Times New Roman" w:hAnsi="Times New Roman" w:cs="Times New Roman"/>
            <w:sz w:val="24"/>
            <w:szCs w:val="24"/>
            <w:lang w:val="en-US"/>
          </w:rPr>
          <w:lastRenderedPageBreak/>
          <w:t>vision-values?lang=en</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Fernandez, R., &amp; Wigger, A. (2016). Lehman Brothers in the Dutch offshore financial </w:t>
      </w:r>
      <w:proofErr w:type="spellStart"/>
      <w:r w:rsidRPr="001234AB">
        <w:rPr>
          <w:rFonts w:ascii="Times New Roman" w:hAnsi="Times New Roman" w:cs="Times New Roman"/>
          <w:sz w:val="24"/>
          <w:szCs w:val="24"/>
          <w:lang w:val="en-US"/>
        </w:rPr>
        <w:t>centre</w:t>
      </w:r>
      <w:proofErr w:type="spellEnd"/>
      <w:r w:rsidRPr="001234AB">
        <w:rPr>
          <w:rFonts w:ascii="Times New Roman" w:hAnsi="Times New Roman" w:cs="Times New Roman"/>
          <w:sz w:val="24"/>
          <w:szCs w:val="24"/>
          <w:lang w:val="en-US"/>
        </w:rPr>
        <w:t xml:space="preserve">: The role of shadow banking in increasing leverage and facilitating debt. </w:t>
      </w:r>
      <w:r w:rsidRPr="001234AB">
        <w:rPr>
          <w:rFonts w:ascii="Times New Roman" w:hAnsi="Times New Roman" w:cs="Times New Roman"/>
          <w:i/>
          <w:iCs/>
          <w:sz w:val="24"/>
          <w:szCs w:val="24"/>
          <w:lang w:val="en-US"/>
        </w:rPr>
        <w:t>Economy and Society</w:t>
      </w:r>
      <w:r w:rsidRPr="001234AB">
        <w:rPr>
          <w:rFonts w:ascii="Times New Roman" w:hAnsi="Times New Roman" w:cs="Times New Roman"/>
          <w:sz w:val="24"/>
          <w:szCs w:val="24"/>
          <w:lang w:val="en-US"/>
        </w:rPr>
        <w:t xml:space="preserve">, 45(3-4), 407-430. </w:t>
      </w:r>
      <w:hyperlink r:id="rId103" w:history="1">
        <w:r w:rsidRPr="001234AB">
          <w:rPr>
            <w:rStyle w:val="Hyperlink"/>
            <w:rFonts w:ascii="Times New Roman" w:hAnsi="Times New Roman" w:cs="Times New Roman"/>
            <w:sz w:val="24"/>
            <w:szCs w:val="24"/>
            <w:lang w:val="en-US"/>
          </w:rPr>
          <w:t>https://doi.org/10.1080/03085147.2016.1264167</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Finance Watch. (2012). </w:t>
      </w:r>
      <w:r w:rsidRPr="001234AB">
        <w:rPr>
          <w:rFonts w:ascii="Times New Roman" w:hAnsi="Times New Roman" w:cs="Times New Roman"/>
          <w:i/>
          <w:iCs/>
          <w:sz w:val="24"/>
          <w:szCs w:val="24"/>
          <w:lang w:val="en-US"/>
        </w:rPr>
        <w:t>Speech to ECB on “Financial integration and stability”</w:t>
      </w:r>
      <w:r w:rsidRPr="001234AB">
        <w:rPr>
          <w:rFonts w:ascii="Times New Roman" w:hAnsi="Times New Roman" w:cs="Times New Roman"/>
          <w:sz w:val="24"/>
          <w:szCs w:val="24"/>
          <w:lang w:val="en-US"/>
        </w:rPr>
        <w:t xml:space="preserve">. Retrieved from </w:t>
      </w:r>
      <w:hyperlink r:id="rId104" w:history="1">
        <w:r w:rsidRPr="001234AB">
          <w:rPr>
            <w:rStyle w:val="Hyperlink"/>
            <w:rFonts w:ascii="Times New Roman" w:hAnsi="Times New Roman" w:cs="Times New Roman"/>
            <w:sz w:val="24"/>
            <w:szCs w:val="24"/>
            <w:lang w:val="en-US"/>
          </w:rPr>
          <w:t>https://www.finance-watch.org/policy-portal/public-finance/speech-to-ecb-on-financial-integration-and-stability</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Finance Watch. (2014). </w:t>
      </w:r>
      <w:r w:rsidRPr="001234AB">
        <w:rPr>
          <w:rFonts w:ascii="Times New Roman" w:hAnsi="Times New Roman" w:cs="Times New Roman"/>
          <w:i/>
          <w:iCs/>
          <w:sz w:val="24"/>
          <w:szCs w:val="24"/>
          <w:lang w:val="en-US"/>
        </w:rPr>
        <w:t>Executive summary from “A missed opportunity to revive “boring” finance?”</w:t>
      </w:r>
      <w:r w:rsidRPr="001234AB">
        <w:rPr>
          <w:rFonts w:ascii="Times New Roman" w:hAnsi="Times New Roman" w:cs="Times New Roman"/>
          <w:sz w:val="24"/>
          <w:szCs w:val="24"/>
          <w:lang w:val="en-US"/>
        </w:rPr>
        <w:t xml:space="preserve">. Retrieved from </w:t>
      </w:r>
      <w:hyperlink r:id="rId105" w:history="1">
        <w:r w:rsidRPr="001234AB">
          <w:rPr>
            <w:rStyle w:val="Hyperlink"/>
            <w:rFonts w:ascii="Times New Roman" w:hAnsi="Times New Roman" w:cs="Times New Roman"/>
            <w:sz w:val="24"/>
            <w:szCs w:val="24"/>
            <w:lang w:val="en-US"/>
          </w:rPr>
          <w:t>https://www.finance-watch.org/wp-content/uploads/2014/12/Finance-Watch-LTF-paper-2014-EN-summary.pdf</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Finance Watch. (2015). </w:t>
      </w:r>
      <w:r w:rsidRPr="001234AB">
        <w:rPr>
          <w:rFonts w:ascii="Times New Roman" w:hAnsi="Times New Roman" w:cs="Times New Roman"/>
          <w:i/>
          <w:iCs/>
          <w:sz w:val="24"/>
          <w:szCs w:val="24"/>
          <w:lang w:val="en-US"/>
        </w:rPr>
        <w:t>Response to Commission Green Paper on Capital Markets Union</w:t>
      </w:r>
      <w:r w:rsidRPr="001234AB">
        <w:rPr>
          <w:rFonts w:ascii="Times New Roman" w:hAnsi="Times New Roman" w:cs="Times New Roman"/>
          <w:sz w:val="24"/>
          <w:szCs w:val="24"/>
          <w:lang w:val="en-US"/>
        </w:rPr>
        <w:t xml:space="preserve">. Retrieved from </w:t>
      </w:r>
      <w:hyperlink r:id="rId106" w:history="1">
        <w:r w:rsidRPr="001234AB">
          <w:rPr>
            <w:rStyle w:val="Hyperlink"/>
            <w:rFonts w:ascii="Times New Roman" w:hAnsi="Times New Roman" w:cs="Times New Roman"/>
            <w:sz w:val="24"/>
            <w:szCs w:val="24"/>
            <w:lang w:val="en-US"/>
          </w:rPr>
          <w:t>https://www.finance-watch.org/policy-portal/stability-supervision/response-to-commission-green-paper-on-capital-markets-union</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Finance Watch. (2016). </w:t>
      </w:r>
      <w:r w:rsidRPr="001234AB">
        <w:rPr>
          <w:rFonts w:ascii="Times New Roman" w:hAnsi="Times New Roman" w:cs="Times New Roman"/>
          <w:i/>
          <w:iCs/>
          <w:sz w:val="24"/>
          <w:szCs w:val="24"/>
          <w:lang w:val="en-US"/>
        </w:rPr>
        <w:t>The insufficient role of EDIS in restoring trust in banks</w:t>
      </w:r>
      <w:r w:rsidRPr="001234AB">
        <w:rPr>
          <w:rFonts w:ascii="Times New Roman" w:hAnsi="Times New Roman" w:cs="Times New Roman"/>
          <w:sz w:val="24"/>
          <w:szCs w:val="24"/>
          <w:lang w:val="en-US"/>
        </w:rPr>
        <w:t xml:space="preserve">. Retrieved from </w:t>
      </w:r>
      <w:hyperlink r:id="rId107" w:history="1">
        <w:r w:rsidRPr="001234AB">
          <w:rPr>
            <w:rStyle w:val="Hyperlink"/>
            <w:rFonts w:ascii="Times New Roman" w:hAnsi="Times New Roman" w:cs="Times New Roman"/>
            <w:sz w:val="24"/>
            <w:szCs w:val="24"/>
            <w:lang w:val="en-US"/>
          </w:rPr>
          <w:t>https://www.finance-watch.org/blog/the-insufficient-role-of-edis-in-restoring-trust-in-banks</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Finance Watch. (2020). </w:t>
      </w:r>
      <w:r w:rsidRPr="001234AB">
        <w:rPr>
          <w:rFonts w:ascii="Times New Roman" w:hAnsi="Times New Roman" w:cs="Times New Roman"/>
          <w:i/>
          <w:iCs/>
          <w:sz w:val="24"/>
          <w:szCs w:val="24"/>
          <w:lang w:val="en-US"/>
        </w:rPr>
        <w:t>Debt sustainability and a sustainable COVID recovery</w:t>
      </w:r>
      <w:r w:rsidRPr="001234AB">
        <w:rPr>
          <w:rFonts w:ascii="Times New Roman" w:hAnsi="Times New Roman" w:cs="Times New Roman"/>
          <w:sz w:val="24"/>
          <w:szCs w:val="24"/>
          <w:lang w:val="en-US"/>
        </w:rPr>
        <w:t xml:space="preserve">. Retrieved from </w:t>
      </w:r>
      <w:hyperlink r:id="rId108" w:history="1">
        <w:r w:rsidRPr="001234AB">
          <w:rPr>
            <w:rStyle w:val="Hyperlink"/>
            <w:rFonts w:ascii="Times New Roman" w:hAnsi="Times New Roman" w:cs="Times New Roman"/>
            <w:sz w:val="24"/>
            <w:szCs w:val="24"/>
            <w:lang w:val="en-US"/>
          </w:rPr>
          <w:t>https://www.finance-watch.org/wp-content/uploads/2020/07/Debt-sustainability-sustainable-COVID-recovery.pdf</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Gabor, D., &amp; Ban, C. (2016). Banking on Bonds: The New Links Between States and Markets. </w:t>
      </w:r>
      <w:r w:rsidRPr="001234AB">
        <w:rPr>
          <w:rFonts w:ascii="Times New Roman" w:hAnsi="Times New Roman" w:cs="Times New Roman"/>
          <w:i/>
          <w:iCs/>
          <w:sz w:val="24"/>
          <w:szCs w:val="24"/>
          <w:lang w:val="en-US"/>
        </w:rPr>
        <w:t>Journal of Common Market Studies</w:t>
      </w:r>
      <w:r w:rsidRPr="001234AB">
        <w:rPr>
          <w:rFonts w:ascii="Times New Roman" w:hAnsi="Times New Roman" w:cs="Times New Roman"/>
          <w:sz w:val="24"/>
          <w:szCs w:val="24"/>
          <w:lang w:val="en-US"/>
        </w:rPr>
        <w:t xml:space="preserve">, 54(3), 617–635. </w:t>
      </w:r>
      <w:hyperlink r:id="rId109" w:history="1">
        <w:r w:rsidRPr="001234AB">
          <w:rPr>
            <w:rStyle w:val="Hyperlink"/>
            <w:rFonts w:ascii="Times New Roman" w:hAnsi="Times New Roman" w:cs="Times New Roman"/>
            <w:sz w:val="24"/>
            <w:szCs w:val="24"/>
            <w:lang w:val="en-US"/>
          </w:rPr>
          <w:t>https://doi.org/10.1111/jcms.12309</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Gorton, G., &amp; </w:t>
      </w:r>
      <w:proofErr w:type="spellStart"/>
      <w:r w:rsidRPr="001234AB">
        <w:rPr>
          <w:rFonts w:ascii="Times New Roman" w:hAnsi="Times New Roman" w:cs="Times New Roman"/>
          <w:sz w:val="24"/>
          <w:szCs w:val="24"/>
          <w:lang w:val="en-US"/>
        </w:rPr>
        <w:t>Metrick</w:t>
      </w:r>
      <w:proofErr w:type="spellEnd"/>
      <w:r w:rsidRPr="001234AB">
        <w:rPr>
          <w:rFonts w:ascii="Times New Roman" w:hAnsi="Times New Roman" w:cs="Times New Roman"/>
          <w:sz w:val="24"/>
          <w:szCs w:val="24"/>
          <w:lang w:val="en-US"/>
        </w:rPr>
        <w:t xml:space="preserve">, A. (2012). Securitized banking and the </w:t>
      </w:r>
      <w:proofErr w:type="gramStart"/>
      <w:r w:rsidRPr="001234AB">
        <w:rPr>
          <w:rFonts w:ascii="Times New Roman" w:hAnsi="Times New Roman" w:cs="Times New Roman"/>
          <w:sz w:val="24"/>
          <w:szCs w:val="24"/>
          <w:lang w:val="en-US"/>
        </w:rPr>
        <w:t>run on</w:t>
      </w:r>
      <w:proofErr w:type="gramEnd"/>
      <w:r w:rsidRPr="001234AB">
        <w:rPr>
          <w:rFonts w:ascii="Times New Roman" w:hAnsi="Times New Roman" w:cs="Times New Roman"/>
          <w:sz w:val="24"/>
          <w:szCs w:val="24"/>
          <w:lang w:val="en-US"/>
        </w:rPr>
        <w:t xml:space="preserve"> repo. </w:t>
      </w:r>
      <w:r w:rsidRPr="001234AB">
        <w:rPr>
          <w:rFonts w:ascii="Times New Roman" w:hAnsi="Times New Roman" w:cs="Times New Roman"/>
          <w:i/>
          <w:iCs/>
          <w:sz w:val="24"/>
          <w:szCs w:val="24"/>
          <w:lang w:val="en-US"/>
        </w:rPr>
        <w:t>Journal of Financial Economics</w:t>
      </w:r>
      <w:r w:rsidRPr="001234AB">
        <w:rPr>
          <w:rFonts w:ascii="Times New Roman" w:hAnsi="Times New Roman" w:cs="Times New Roman"/>
          <w:sz w:val="24"/>
          <w:szCs w:val="24"/>
          <w:lang w:val="en-US"/>
        </w:rPr>
        <w:t xml:space="preserve">, 104(3), 425–451. </w:t>
      </w:r>
      <w:hyperlink r:id="rId110" w:history="1">
        <w:r w:rsidRPr="001234AB">
          <w:rPr>
            <w:rStyle w:val="Hyperlink"/>
            <w:rFonts w:ascii="Times New Roman" w:hAnsi="Times New Roman" w:cs="Times New Roman"/>
            <w:sz w:val="24"/>
            <w:szCs w:val="24"/>
            <w:lang w:val="en-US"/>
          </w:rPr>
          <w:t>https://doi.org/10.1016/j.jfineco.2011.03.016</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Gorton, G., &amp; </w:t>
      </w:r>
      <w:proofErr w:type="spellStart"/>
      <w:r w:rsidRPr="001234AB">
        <w:rPr>
          <w:rFonts w:ascii="Times New Roman" w:hAnsi="Times New Roman" w:cs="Times New Roman"/>
          <w:sz w:val="24"/>
          <w:szCs w:val="24"/>
          <w:lang w:val="en-US"/>
        </w:rPr>
        <w:t>Metrick</w:t>
      </w:r>
      <w:proofErr w:type="spellEnd"/>
      <w:r w:rsidRPr="001234AB">
        <w:rPr>
          <w:rFonts w:ascii="Times New Roman" w:hAnsi="Times New Roman" w:cs="Times New Roman"/>
          <w:sz w:val="24"/>
          <w:szCs w:val="24"/>
          <w:lang w:val="en-US"/>
        </w:rPr>
        <w:t xml:space="preserve">, A. (2013). Securitization. In George M. </w:t>
      </w:r>
      <w:proofErr w:type="spellStart"/>
      <w:r w:rsidRPr="001234AB">
        <w:rPr>
          <w:rFonts w:ascii="Times New Roman" w:hAnsi="Times New Roman" w:cs="Times New Roman"/>
          <w:sz w:val="24"/>
          <w:szCs w:val="24"/>
          <w:lang w:val="en-US"/>
        </w:rPr>
        <w:t>Constantinides</w:t>
      </w:r>
      <w:proofErr w:type="spellEnd"/>
      <w:r w:rsidRPr="001234AB">
        <w:rPr>
          <w:rFonts w:ascii="Times New Roman" w:hAnsi="Times New Roman" w:cs="Times New Roman"/>
          <w:sz w:val="24"/>
          <w:szCs w:val="24"/>
          <w:lang w:val="en-US"/>
        </w:rPr>
        <w:t xml:space="preserve">, M. Harris &amp; </w:t>
      </w:r>
      <w:r w:rsidRPr="001234AB">
        <w:rPr>
          <w:rFonts w:ascii="Times New Roman" w:hAnsi="Times New Roman" w:cs="Times New Roman"/>
          <w:sz w:val="24"/>
          <w:szCs w:val="24"/>
          <w:lang w:val="en-US"/>
        </w:rPr>
        <w:lastRenderedPageBreak/>
        <w:t xml:space="preserve">R. M. </w:t>
      </w:r>
      <w:proofErr w:type="spellStart"/>
      <w:r w:rsidRPr="001234AB">
        <w:rPr>
          <w:rFonts w:ascii="Times New Roman" w:hAnsi="Times New Roman" w:cs="Times New Roman"/>
          <w:sz w:val="24"/>
          <w:szCs w:val="24"/>
          <w:lang w:val="en-US"/>
        </w:rPr>
        <w:t>Stulz</w:t>
      </w:r>
      <w:proofErr w:type="spellEnd"/>
      <w:r w:rsidRPr="001234AB">
        <w:rPr>
          <w:rFonts w:ascii="Times New Roman" w:hAnsi="Times New Roman" w:cs="Times New Roman"/>
          <w:sz w:val="24"/>
          <w:szCs w:val="24"/>
          <w:lang w:val="en-US"/>
        </w:rPr>
        <w:t xml:space="preserve"> (Eds.), </w:t>
      </w:r>
      <w:r w:rsidRPr="001234AB">
        <w:rPr>
          <w:rFonts w:ascii="Times New Roman" w:hAnsi="Times New Roman" w:cs="Times New Roman"/>
          <w:i/>
          <w:iCs/>
          <w:sz w:val="24"/>
          <w:szCs w:val="24"/>
          <w:lang w:val="en-US"/>
        </w:rPr>
        <w:t>Handbook of the Economics of Finance</w:t>
      </w:r>
      <w:r w:rsidRPr="001234AB">
        <w:rPr>
          <w:rFonts w:ascii="Times New Roman" w:hAnsi="Times New Roman" w:cs="Times New Roman"/>
          <w:sz w:val="24"/>
          <w:szCs w:val="24"/>
          <w:lang w:val="en-US"/>
        </w:rPr>
        <w:t xml:space="preserve"> (pp. 1-70). Amsterdam, The Netherlands: Elsevier.</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Gramsci, A. (1978). </w:t>
      </w:r>
      <w:r w:rsidRPr="001234AB">
        <w:rPr>
          <w:rFonts w:ascii="Times New Roman" w:hAnsi="Times New Roman" w:cs="Times New Roman"/>
          <w:i/>
          <w:iCs/>
          <w:sz w:val="24"/>
          <w:szCs w:val="24"/>
          <w:lang w:val="en-US"/>
        </w:rPr>
        <w:t>Selections from the Prison Notebooks</w:t>
      </w:r>
      <w:r w:rsidRPr="001234AB">
        <w:rPr>
          <w:rFonts w:ascii="Times New Roman" w:hAnsi="Times New Roman" w:cs="Times New Roman"/>
          <w:sz w:val="24"/>
          <w:szCs w:val="24"/>
          <w:lang w:val="en-US"/>
        </w:rPr>
        <w:t>. New York, United States: International Publishers.</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Haas, E. B. (1958). </w:t>
      </w:r>
      <w:r w:rsidRPr="001234AB">
        <w:rPr>
          <w:rFonts w:ascii="Times New Roman" w:hAnsi="Times New Roman" w:cs="Times New Roman"/>
          <w:i/>
          <w:iCs/>
          <w:sz w:val="24"/>
          <w:szCs w:val="24"/>
          <w:lang w:val="en-US"/>
        </w:rPr>
        <w:t>The uniting of Europe: Political, economic and social forces, 1950–1957</w:t>
      </w:r>
      <w:r w:rsidRPr="001234AB">
        <w:rPr>
          <w:rFonts w:ascii="Times New Roman" w:hAnsi="Times New Roman" w:cs="Times New Roman"/>
          <w:sz w:val="24"/>
          <w:szCs w:val="24"/>
          <w:lang w:val="en-US"/>
        </w:rPr>
        <w:t>. London: Stevens &amp; Sons.</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Hacker, B. (2022). National Recovery and Resilience Plan: Germany. </w:t>
      </w:r>
      <w:r w:rsidRPr="001234AB">
        <w:rPr>
          <w:rFonts w:ascii="Times New Roman" w:hAnsi="Times New Roman" w:cs="Times New Roman"/>
          <w:i/>
          <w:iCs/>
          <w:sz w:val="24"/>
          <w:szCs w:val="24"/>
          <w:lang w:val="en-US"/>
        </w:rPr>
        <w:t xml:space="preserve">Italian </w:t>
      </w:r>
      <w:proofErr w:type="spellStart"/>
      <w:r w:rsidRPr="001234AB">
        <w:rPr>
          <w:rFonts w:ascii="Times New Roman" w:hAnsi="Times New Roman" w:cs="Times New Roman"/>
          <w:i/>
          <w:iCs/>
          <w:sz w:val="24"/>
          <w:szCs w:val="24"/>
          <w:lang w:val="en-US"/>
        </w:rPr>
        <w:t>Labour</w:t>
      </w:r>
      <w:proofErr w:type="spellEnd"/>
      <w:r w:rsidRPr="001234AB">
        <w:rPr>
          <w:rFonts w:ascii="Times New Roman" w:hAnsi="Times New Roman" w:cs="Times New Roman"/>
          <w:i/>
          <w:iCs/>
          <w:sz w:val="24"/>
          <w:szCs w:val="24"/>
          <w:lang w:val="en-US"/>
        </w:rPr>
        <w:t xml:space="preserve"> Law</w:t>
      </w:r>
      <w:r w:rsidRPr="001234AB">
        <w:rPr>
          <w:rFonts w:ascii="Times New Roman" w:hAnsi="Times New Roman" w:cs="Times New Roman"/>
          <w:sz w:val="24"/>
          <w:szCs w:val="24"/>
          <w:lang w:val="en-US"/>
        </w:rPr>
        <w:t xml:space="preserve">, 15(1S), 1-17. </w:t>
      </w:r>
      <w:hyperlink r:id="rId111" w:history="1">
        <w:r w:rsidRPr="001234AB">
          <w:rPr>
            <w:rStyle w:val="Hyperlink"/>
            <w:rFonts w:ascii="Times New Roman" w:hAnsi="Times New Roman" w:cs="Times New Roman"/>
            <w:sz w:val="24"/>
            <w:szCs w:val="24"/>
            <w:lang w:val="en-US"/>
          </w:rPr>
          <w:t>https://doi.org/10.6092/issn.1561-8048/15651</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Hall, S., &amp; Massey, D. (2010). Interpreting the crisis. </w:t>
      </w:r>
      <w:r w:rsidRPr="001234AB">
        <w:rPr>
          <w:rFonts w:ascii="Times New Roman" w:hAnsi="Times New Roman" w:cs="Times New Roman"/>
          <w:i/>
          <w:iCs/>
          <w:sz w:val="24"/>
          <w:szCs w:val="24"/>
          <w:lang w:val="en-US"/>
        </w:rPr>
        <w:t>Soundings</w:t>
      </w:r>
      <w:r w:rsidRPr="001234AB">
        <w:rPr>
          <w:rFonts w:ascii="Times New Roman" w:hAnsi="Times New Roman" w:cs="Times New Roman"/>
          <w:sz w:val="24"/>
          <w:szCs w:val="24"/>
          <w:lang w:val="en-US"/>
        </w:rPr>
        <w:t xml:space="preserve">, 44(44), 57-71. </w:t>
      </w:r>
      <w:hyperlink r:id="rId112" w:history="1">
        <w:r w:rsidRPr="001234AB">
          <w:rPr>
            <w:rStyle w:val="Hyperlink"/>
            <w:rFonts w:ascii="Times New Roman" w:hAnsi="Times New Roman" w:cs="Times New Roman"/>
            <w:sz w:val="24"/>
            <w:szCs w:val="24"/>
            <w:lang w:val="en-US"/>
          </w:rPr>
          <w:t>https://doi.org/10.3898/136266210791036791</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Heemskerk, E. M. (2018). Network analysis and the Amsterdam School: an </w:t>
      </w:r>
      <w:proofErr w:type="spellStart"/>
      <w:r w:rsidRPr="001234AB">
        <w:rPr>
          <w:rFonts w:ascii="Times New Roman" w:hAnsi="Times New Roman" w:cs="Times New Roman"/>
          <w:sz w:val="24"/>
          <w:szCs w:val="24"/>
          <w:lang w:val="en-US"/>
        </w:rPr>
        <w:t>unfilfulled</w:t>
      </w:r>
      <w:proofErr w:type="spellEnd"/>
      <w:r w:rsidRPr="001234AB">
        <w:rPr>
          <w:rFonts w:ascii="Times New Roman" w:hAnsi="Times New Roman" w:cs="Times New Roman"/>
          <w:sz w:val="24"/>
          <w:szCs w:val="24"/>
          <w:lang w:val="en-US"/>
        </w:rPr>
        <w:t xml:space="preserve"> promise? In B. Jessop &amp; H.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(Eds.), </w:t>
      </w:r>
      <w:r w:rsidRPr="001234AB">
        <w:rPr>
          <w:rFonts w:ascii="Times New Roman" w:hAnsi="Times New Roman" w:cs="Times New Roman"/>
          <w:i/>
          <w:iCs/>
          <w:sz w:val="24"/>
          <w:szCs w:val="24"/>
          <w:lang w:val="en-US"/>
        </w:rPr>
        <w:t>Transnational Capital and Class Fractions: The Amsterdam School Perspective Reconsidered</w:t>
      </w:r>
      <w:r w:rsidRPr="001234AB">
        <w:rPr>
          <w:rFonts w:ascii="Times New Roman" w:hAnsi="Times New Roman" w:cs="Times New Roman"/>
          <w:sz w:val="24"/>
          <w:szCs w:val="24"/>
          <w:lang w:val="en-US"/>
        </w:rPr>
        <w:t xml:space="preserve"> (pp. 233-238). Routledge.</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Hein, E., &amp; </w:t>
      </w:r>
      <w:proofErr w:type="spellStart"/>
      <w:r w:rsidRPr="001234AB">
        <w:rPr>
          <w:rFonts w:ascii="Times New Roman" w:hAnsi="Times New Roman" w:cs="Times New Roman"/>
          <w:sz w:val="24"/>
          <w:szCs w:val="24"/>
          <w:lang w:val="en-US"/>
        </w:rPr>
        <w:t>Dodig</w:t>
      </w:r>
      <w:proofErr w:type="spellEnd"/>
      <w:r w:rsidRPr="001234AB">
        <w:rPr>
          <w:rFonts w:ascii="Times New Roman" w:hAnsi="Times New Roman" w:cs="Times New Roman"/>
          <w:sz w:val="24"/>
          <w:szCs w:val="24"/>
          <w:lang w:val="en-US"/>
        </w:rPr>
        <w:t xml:space="preserve">, N. (2014). </w:t>
      </w:r>
      <w:proofErr w:type="spellStart"/>
      <w:r w:rsidRPr="001234AB">
        <w:rPr>
          <w:rFonts w:ascii="Times New Roman" w:hAnsi="Times New Roman" w:cs="Times New Roman"/>
          <w:sz w:val="24"/>
          <w:szCs w:val="24"/>
          <w:lang w:val="en-US"/>
        </w:rPr>
        <w:t>Financialisation</w:t>
      </w:r>
      <w:proofErr w:type="spellEnd"/>
      <w:r w:rsidRPr="001234AB">
        <w:rPr>
          <w:rFonts w:ascii="Times New Roman" w:hAnsi="Times New Roman" w:cs="Times New Roman"/>
          <w:sz w:val="24"/>
          <w:szCs w:val="24"/>
          <w:lang w:val="en-US"/>
        </w:rPr>
        <w:t xml:space="preserve">, distribution, growth and crises: Long-run tendencies </w:t>
      </w:r>
      <w:r w:rsidRPr="001234AB">
        <w:rPr>
          <w:rFonts w:ascii="Times New Roman" w:hAnsi="Times New Roman" w:cs="Times New Roman"/>
          <w:i/>
          <w:iCs/>
          <w:sz w:val="24"/>
          <w:szCs w:val="24"/>
          <w:lang w:val="en-US"/>
        </w:rPr>
        <w:t>Working Paper</w:t>
      </w:r>
      <w:r w:rsidRPr="001234AB">
        <w:rPr>
          <w:rFonts w:ascii="Times New Roman" w:hAnsi="Times New Roman" w:cs="Times New Roman"/>
          <w:sz w:val="24"/>
          <w:szCs w:val="24"/>
          <w:lang w:val="en-US"/>
        </w:rPr>
        <w:t xml:space="preserve">, No. 35/2014, Hochschule für </w:t>
      </w:r>
      <w:proofErr w:type="spellStart"/>
      <w:r w:rsidRPr="001234AB">
        <w:rPr>
          <w:rFonts w:ascii="Times New Roman" w:hAnsi="Times New Roman" w:cs="Times New Roman"/>
          <w:sz w:val="24"/>
          <w:szCs w:val="24"/>
          <w:lang w:val="en-US"/>
        </w:rPr>
        <w:t>Wirtschaft</w:t>
      </w:r>
      <w:proofErr w:type="spellEnd"/>
      <w:r w:rsidRPr="001234AB">
        <w:rPr>
          <w:rFonts w:ascii="Times New Roman" w:hAnsi="Times New Roman" w:cs="Times New Roman"/>
          <w:sz w:val="24"/>
          <w:szCs w:val="24"/>
          <w:lang w:val="en-US"/>
        </w:rPr>
        <w:t xml:space="preserve"> und </w:t>
      </w:r>
      <w:proofErr w:type="spellStart"/>
      <w:r w:rsidRPr="001234AB">
        <w:rPr>
          <w:rFonts w:ascii="Times New Roman" w:hAnsi="Times New Roman" w:cs="Times New Roman"/>
          <w:sz w:val="24"/>
          <w:szCs w:val="24"/>
          <w:lang w:val="en-US"/>
        </w:rPr>
        <w:t>Recht</w:t>
      </w:r>
      <w:proofErr w:type="spellEnd"/>
      <w:r w:rsidRPr="001234AB">
        <w:rPr>
          <w:rFonts w:ascii="Times New Roman" w:hAnsi="Times New Roman" w:cs="Times New Roman"/>
          <w:sz w:val="24"/>
          <w:szCs w:val="24"/>
          <w:lang w:val="en-US"/>
        </w:rPr>
        <w:t xml:space="preserve"> Berlin, Institute for International Political Economy (IPE), Berlin.</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Heinemann, F. (2021). The political economy of euro area sovereign debt restructuring.</w:t>
      </w:r>
      <w:r w:rsidRPr="001234AB">
        <w:rPr>
          <w:rFonts w:ascii="Times New Roman" w:hAnsi="Times New Roman" w:cs="Times New Roman"/>
          <w:i/>
          <w:iCs/>
          <w:sz w:val="24"/>
          <w:szCs w:val="24"/>
          <w:lang w:val="en-US"/>
        </w:rPr>
        <w:t> Constitutional Political Economy</w:t>
      </w:r>
      <w:r w:rsidRPr="001234AB">
        <w:rPr>
          <w:rFonts w:ascii="Times New Roman" w:hAnsi="Times New Roman" w:cs="Times New Roman"/>
          <w:sz w:val="24"/>
          <w:szCs w:val="24"/>
          <w:lang w:val="en-US"/>
        </w:rPr>
        <w:t xml:space="preserve">, 32(4), 502–522. </w:t>
      </w:r>
      <w:hyperlink r:id="rId113" w:history="1">
        <w:r w:rsidRPr="001234AB">
          <w:rPr>
            <w:rStyle w:val="Hyperlink"/>
            <w:rFonts w:ascii="Times New Roman" w:hAnsi="Times New Roman" w:cs="Times New Roman"/>
            <w:sz w:val="24"/>
            <w:szCs w:val="24"/>
            <w:lang w:val="en-US"/>
          </w:rPr>
          <w:t>https://doi.org/10.1007/s10602-021-09327-9</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Herszenhorn</w:t>
      </w:r>
      <w:proofErr w:type="spellEnd"/>
      <w:r w:rsidRPr="001234AB">
        <w:rPr>
          <w:rFonts w:ascii="Times New Roman" w:hAnsi="Times New Roman" w:cs="Times New Roman"/>
          <w:sz w:val="24"/>
          <w:szCs w:val="24"/>
          <w:lang w:val="en-US"/>
        </w:rPr>
        <w:t xml:space="preserve">, D. M., </w:t>
      </w:r>
      <w:proofErr w:type="spellStart"/>
      <w:r w:rsidRPr="001234AB">
        <w:rPr>
          <w:rFonts w:ascii="Times New Roman" w:hAnsi="Times New Roman" w:cs="Times New Roman"/>
          <w:sz w:val="24"/>
          <w:szCs w:val="24"/>
          <w:lang w:val="en-US"/>
        </w:rPr>
        <w:t>Barigazzi</w:t>
      </w:r>
      <w:proofErr w:type="spellEnd"/>
      <w:r w:rsidRPr="001234AB">
        <w:rPr>
          <w:rFonts w:ascii="Times New Roman" w:hAnsi="Times New Roman" w:cs="Times New Roman"/>
          <w:sz w:val="24"/>
          <w:szCs w:val="24"/>
          <w:lang w:val="en-US"/>
        </w:rPr>
        <w:t xml:space="preserve">, J., &amp; Momtaz, R. (2020a, March 26). Virtual summit, real acrimony: EU leaders clash over ‘corona </w:t>
      </w:r>
      <w:proofErr w:type="gramStart"/>
      <w:r w:rsidRPr="001234AB">
        <w:rPr>
          <w:rFonts w:ascii="Times New Roman" w:hAnsi="Times New Roman" w:cs="Times New Roman"/>
          <w:sz w:val="24"/>
          <w:szCs w:val="24"/>
          <w:lang w:val="en-US"/>
        </w:rPr>
        <w:t>bonds’</w:t>
      </w:r>
      <w:proofErr w:type="gramEnd"/>
      <w:r w:rsidRPr="001234AB">
        <w:rPr>
          <w:rFonts w:ascii="Times New Roman" w:hAnsi="Times New Roman" w:cs="Times New Roman"/>
          <w:sz w:val="24"/>
          <w:szCs w:val="24"/>
          <w:lang w:val="en-US"/>
        </w:rPr>
        <w:t xml:space="preserve">. </w:t>
      </w:r>
      <w:proofErr w:type="spellStart"/>
      <w:r w:rsidRPr="001234AB">
        <w:rPr>
          <w:rFonts w:ascii="Times New Roman" w:hAnsi="Times New Roman" w:cs="Times New Roman"/>
          <w:i/>
          <w:iCs/>
          <w:sz w:val="24"/>
          <w:szCs w:val="24"/>
          <w:lang w:val="es-ES"/>
        </w:rPr>
        <w:t>Politico</w:t>
      </w:r>
      <w:proofErr w:type="spellEnd"/>
      <w:r w:rsidRPr="001234AB">
        <w:rPr>
          <w:rFonts w:ascii="Times New Roman" w:hAnsi="Times New Roman" w:cs="Times New Roman"/>
          <w:sz w:val="24"/>
          <w:szCs w:val="24"/>
          <w:lang w:val="es-ES"/>
        </w:rPr>
        <w:t xml:space="preserve">. </w:t>
      </w:r>
      <w:hyperlink r:id="rId114" w:history="1">
        <w:r w:rsidRPr="001234AB">
          <w:rPr>
            <w:rStyle w:val="Hyperlink"/>
            <w:rFonts w:ascii="Times New Roman" w:hAnsi="Times New Roman" w:cs="Times New Roman"/>
            <w:sz w:val="24"/>
            <w:szCs w:val="24"/>
            <w:lang w:val="es-ES"/>
          </w:rPr>
          <w:t>https://www.politico.com/news/2020/03/26/virtual-summit-real-acrimony-eu-leaders-clash-over-corona-bonds-151291</w:t>
        </w:r>
      </w:hyperlink>
      <w:r w:rsidRPr="001234AB">
        <w:rPr>
          <w:rFonts w:ascii="Times New Roman" w:hAnsi="Times New Roman" w:cs="Times New Roman"/>
          <w:sz w:val="24"/>
          <w:szCs w:val="24"/>
          <w:lang w:val="es-ES"/>
        </w:rPr>
        <w:t xml:space="preserve">. </w:t>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s-ES"/>
        </w:rPr>
        <w:br/>
      </w:r>
      <w:proofErr w:type="spellStart"/>
      <w:r w:rsidRPr="001234AB">
        <w:rPr>
          <w:rFonts w:ascii="Times New Roman" w:hAnsi="Times New Roman" w:cs="Times New Roman"/>
          <w:sz w:val="24"/>
          <w:szCs w:val="24"/>
          <w:lang w:val="de-DE"/>
        </w:rPr>
        <w:t>Herszenhorn</w:t>
      </w:r>
      <w:proofErr w:type="spellEnd"/>
      <w:r w:rsidRPr="001234AB">
        <w:rPr>
          <w:rFonts w:ascii="Times New Roman" w:hAnsi="Times New Roman" w:cs="Times New Roman"/>
          <w:sz w:val="24"/>
          <w:szCs w:val="24"/>
          <w:lang w:val="de-DE"/>
        </w:rPr>
        <w:t xml:space="preserve">, D. M., de la Baume, M., &amp; von der Burchard, H. (2020b, </w:t>
      </w:r>
      <w:proofErr w:type="spellStart"/>
      <w:r w:rsidRPr="001234AB">
        <w:rPr>
          <w:rFonts w:ascii="Times New Roman" w:hAnsi="Times New Roman" w:cs="Times New Roman"/>
          <w:sz w:val="24"/>
          <w:szCs w:val="24"/>
          <w:lang w:val="de-DE"/>
        </w:rPr>
        <w:t>July</w:t>
      </w:r>
      <w:proofErr w:type="spellEnd"/>
      <w:r w:rsidRPr="001234AB">
        <w:rPr>
          <w:rFonts w:ascii="Times New Roman" w:hAnsi="Times New Roman" w:cs="Times New Roman"/>
          <w:sz w:val="24"/>
          <w:szCs w:val="24"/>
          <w:lang w:val="de-DE"/>
        </w:rPr>
        <w:t xml:space="preserve"> 8).  </w:t>
      </w:r>
      <w:r w:rsidRPr="001234AB">
        <w:rPr>
          <w:rFonts w:ascii="Times New Roman" w:hAnsi="Times New Roman" w:cs="Times New Roman"/>
          <w:sz w:val="24"/>
          <w:szCs w:val="24"/>
          <w:lang w:val="en-US"/>
        </w:rPr>
        <w:t xml:space="preserve">Merkel calls for swift deal on EU budget and recovery package. </w:t>
      </w:r>
      <w:proofErr w:type="spellStart"/>
      <w:r w:rsidRPr="001234AB">
        <w:rPr>
          <w:rFonts w:ascii="Times New Roman" w:hAnsi="Times New Roman" w:cs="Times New Roman"/>
          <w:i/>
          <w:iCs/>
          <w:sz w:val="24"/>
          <w:szCs w:val="24"/>
          <w:lang w:val="es-ES"/>
        </w:rPr>
        <w:t>Politico</w:t>
      </w:r>
      <w:proofErr w:type="spellEnd"/>
      <w:r w:rsidRPr="001234AB">
        <w:rPr>
          <w:rFonts w:ascii="Times New Roman" w:hAnsi="Times New Roman" w:cs="Times New Roman"/>
          <w:sz w:val="24"/>
          <w:szCs w:val="24"/>
          <w:lang w:val="es-ES"/>
        </w:rPr>
        <w:t xml:space="preserve">. </w:t>
      </w:r>
      <w:hyperlink r:id="rId115" w:history="1">
        <w:r w:rsidRPr="001234AB">
          <w:rPr>
            <w:rStyle w:val="Hyperlink"/>
            <w:rFonts w:ascii="Times New Roman" w:hAnsi="Times New Roman" w:cs="Times New Roman"/>
            <w:sz w:val="24"/>
            <w:szCs w:val="24"/>
            <w:lang w:val="es-ES"/>
          </w:rPr>
          <w:t>https://www.politico.eu/article/calls-for-swift-deal-on-budget-and-recovery-package-angela-merkel-recovery-fund/</w:t>
        </w:r>
      </w:hyperlink>
      <w:r w:rsidRPr="001234AB">
        <w:rPr>
          <w:rFonts w:ascii="Times New Roman" w:hAnsi="Times New Roman" w:cs="Times New Roman"/>
          <w:sz w:val="24"/>
          <w:szCs w:val="24"/>
          <w:lang w:val="es-ES"/>
        </w:rPr>
        <w:t>.</w:t>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n-US"/>
        </w:rPr>
        <w:t xml:space="preserve">Horn, L. &amp; Wigger, A. (2018). Out of Amsterdam! Beyond the boundaries of (transnational) capitalist class formation. In B. Jessop &amp; H.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(Eds.), </w:t>
      </w:r>
      <w:r w:rsidRPr="001234AB">
        <w:rPr>
          <w:rFonts w:ascii="Times New Roman" w:hAnsi="Times New Roman" w:cs="Times New Roman"/>
          <w:i/>
          <w:iCs/>
          <w:sz w:val="24"/>
          <w:szCs w:val="24"/>
          <w:lang w:val="en-US"/>
        </w:rPr>
        <w:t>Transnational Capital and Class Fractions: The Amsterdam School Perspective Reconsidered</w:t>
      </w:r>
      <w:r w:rsidRPr="001234AB">
        <w:rPr>
          <w:rFonts w:ascii="Times New Roman" w:hAnsi="Times New Roman" w:cs="Times New Roman"/>
          <w:sz w:val="24"/>
          <w:szCs w:val="24"/>
          <w:lang w:val="en-US"/>
        </w:rPr>
        <w:t xml:space="preserve"> (pp. 212-216). Routledge.</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Italy backs euro bond solution. (2011, August 15). </w:t>
      </w:r>
      <w:r w:rsidRPr="001234AB">
        <w:rPr>
          <w:rFonts w:ascii="Times New Roman" w:hAnsi="Times New Roman" w:cs="Times New Roman"/>
          <w:i/>
          <w:iCs/>
          <w:sz w:val="24"/>
          <w:szCs w:val="24"/>
          <w:lang w:val="en-US"/>
        </w:rPr>
        <w:t>Global Times</w:t>
      </w:r>
      <w:r w:rsidRPr="001234AB">
        <w:rPr>
          <w:rFonts w:ascii="Times New Roman" w:hAnsi="Times New Roman" w:cs="Times New Roman"/>
          <w:sz w:val="24"/>
          <w:szCs w:val="24"/>
          <w:lang w:val="en-US"/>
        </w:rPr>
        <w:t xml:space="preserve">. Retrieved from </w:t>
      </w:r>
      <w:hyperlink r:id="rId116" w:history="1">
        <w:r w:rsidRPr="001234AB">
          <w:rPr>
            <w:rStyle w:val="Hyperlink"/>
            <w:rFonts w:ascii="Times New Roman" w:hAnsi="Times New Roman" w:cs="Times New Roman"/>
            <w:sz w:val="24"/>
            <w:szCs w:val="24"/>
            <w:lang w:val="en-US"/>
          </w:rPr>
          <w:t>https://www.globaltimes.cn/content/670875.shtml</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Jäger</w:t>
      </w:r>
      <w:proofErr w:type="spellEnd"/>
      <w:r w:rsidRPr="001234AB">
        <w:rPr>
          <w:rFonts w:ascii="Times New Roman" w:hAnsi="Times New Roman" w:cs="Times New Roman"/>
          <w:sz w:val="24"/>
          <w:szCs w:val="24"/>
          <w:lang w:val="en-US"/>
        </w:rPr>
        <w:t xml:space="preserve">, J., &amp; </w:t>
      </w:r>
      <w:proofErr w:type="spellStart"/>
      <w:r w:rsidRPr="001234AB">
        <w:rPr>
          <w:rFonts w:ascii="Times New Roman" w:hAnsi="Times New Roman" w:cs="Times New Roman"/>
          <w:sz w:val="24"/>
          <w:szCs w:val="24"/>
          <w:lang w:val="en-US"/>
        </w:rPr>
        <w:t>Springler</w:t>
      </w:r>
      <w:proofErr w:type="spellEnd"/>
      <w:r w:rsidRPr="001234AB">
        <w:rPr>
          <w:rFonts w:ascii="Times New Roman" w:hAnsi="Times New Roman" w:cs="Times New Roman"/>
          <w:sz w:val="24"/>
          <w:szCs w:val="24"/>
          <w:lang w:val="en-US"/>
        </w:rPr>
        <w:t xml:space="preserve">, E. (2015). </w:t>
      </w:r>
      <w:r w:rsidRPr="001234AB">
        <w:rPr>
          <w:rFonts w:ascii="Times New Roman" w:hAnsi="Times New Roman" w:cs="Times New Roman"/>
          <w:i/>
          <w:iCs/>
          <w:sz w:val="24"/>
          <w:szCs w:val="24"/>
          <w:lang w:val="en-US"/>
        </w:rPr>
        <w:t>Asymmetric crisis in Europe and possible futures</w:t>
      </w:r>
      <w:r w:rsidRPr="001234AB">
        <w:rPr>
          <w:rFonts w:ascii="Times New Roman" w:hAnsi="Times New Roman" w:cs="Times New Roman"/>
          <w:sz w:val="24"/>
          <w:szCs w:val="24"/>
          <w:lang w:val="en-US"/>
        </w:rPr>
        <w:t>. London, United Kingdom: Routledge.</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Jessop, B. (1999). The strategic selectivity of the state: Reflections on a theme of </w:t>
      </w:r>
      <w:proofErr w:type="spellStart"/>
      <w:r w:rsidRPr="001234AB">
        <w:rPr>
          <w:rFonts w:ascii="Times New Roman" w:hAnsi="Times New Roman" w:cs="Times New Roman"/>
          <w:sz w:val="24"/>
          <w:szCs w:val="24"/>
          <w:lang w:val="en-US"/>
        </w:rPr>
        <w:t>Poulantzas</w:t>
      </w:r>
      <w:proofErr w:type="spellEnd"/>
      <w:r w:rsidRPr="001234AB">
        <w:rPr>
          <w:rFonts w:ascii="Times New Roman" w:hAnsi="Times New Roman" w:cs="Times New Roman"/>
          <w:sz w:val="24"/>
          <w:szCs w:val="24"/>
          <w:lang w:val="en-US"/>
        </w:rPr>
        <w:t xml:space="preserve">. </w:t>
      </w:r>
      <w:r w:rsidRPr="001234AB">
        <w:rPr>
          <w:rFonts w:ascii="Times New Roman" w:hAnsi="Times New Roman" w:cs="Times New Roman"/>
          <w:i/>
          <w:iCs/>
          <w:sz w:val="24"/>
          <w:szCs w:val="24"/>
          <w:lang w:val="en-US"/>
        </w:rPr>
        <w:t xml:space="preserve">Journal of the </w:t>
      </w:r>
      <w:proofErr w:type="spellStart"/>
      <w:r w:rsidRPr="001234AB">
        <w:rPr>
          <w:rFonts w:ascii="Times New Roman" w:hAnsi="Times New Roman" w:cs="Times New Roman"/>
          <w:i/>
          <w:iCs/>
          <w:sz w:val="24"/>
          <w:szCs w:val="24"/>
          <w:lang w:val="en-US"/>
        </w:rPr>
        <w:t>hellenic</w:t>
      </w:r>
      <w:proofErr w:type="spellEnd"/>
      <w:r w:rsidRPr="001234AB">
        <w:rPr>
          <w:rFonts w:ascii="Times New Roman" w:hAnsi="Times New Roman" w:cs="Times New Roman"/>
          <w:i/>
          <w:iCs/>
          <w:sz w:val="24"/>
          <w:szCs w:val="24"/>
          <w:lang w:val="en-US"/>
        </w:rPr>
        <w:t xml:space="preserve"> diaspora</w:t>
      </w:r>
      <w:r w:rsidRPr="001234AB">
        <w:rPr>
          <w:rFonts w:ascii="Times New Roman" w:hAnsi="Times New Roman" w:cs="Times New Roman"/>
          <w:sz w:val="24"/>
          <w:szCs w:val="24"/>
          <w:lang w:val="en-US"/>
        </w:rPr>
        <w:t>, 25(1-2), 1-37.</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Jessop, B. (2005). Critical realism and the strategic-relational approach. </w:t>
      </w:r>
      <w:r w:rsidRPr="001234AB">
        <w:rPr>
          <w:rFonts w:ascii="Times New Roman" w:hAnsi="Times New Roman" w:cs="Times New Roman"/>
          <w:i/>
          <w:iCs/>
          <w:sz w:val="24"/>
          <w:szCs w:val="24"/>
          <w:lang w:val="en-US"/>
        </w:rPr>
        <w:t>New formations</w:t>
      </w:r>
      <w:r w:rsidRPr="001234AB">
        <w:rPr>
          <w:rFonts w:ascii="Times New Roman" w:hAnsi="Times New Roman" w:cs="Times New Roman"/>
          <w:sz w:val="24"/>
          <w:szCs w:val="24"/>
          <w:lang w:val="en-US"/>
        </w:rPr>
        <w:t>, </w:t>
      </w:r>
      <w:r w:rsidRPr="001234AB">
        <w:rPr>
          <w:rFonts w:ascii="Times New Roman" w:hAnsi="Times New Roman" w:cs="Times New Roman"/>
          <w:i/>
          <w:iCs/>
          <w:sz w:val="24"/>
          <w:szCs w:val="24"/>
          <w:lang w:val="en-US"/>
        </w:rPr>
        <w:t>56</w:t>
      </w:r>
      <w:r w:rsidRPr="001234AB">
        <w:rPr>
          <w:rFonts w:ascii="Times New Roman" w:hAnsi="Times New Roman" w:cs="Times New Roman"/>
          <w:sz w:val="24"/>
          <w:szCs w:val="24"/>
          <w:lang w:val="en-US"/>
        </w:rPr>
        <w:t>(56), 40-53.</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Jessop, B. (2008). </w:t>
      </w:r>
      <w:r w:rsidRPr="001234AB">
        <w:rPr>
          <w:rFonts w:ascii="Times New Roman" w:hAnsi="Times New Roman" w:cs="Times New Roman"/>
          <w:i/>
          <w:iCs/>
          <w:sz w:val="24"/>
          <w:szCs w:val="24"/>
          <w:lang w:val="en-US"/>
        </w:rPr>
        <w:t>State Power</w:t>
      </w:r>
      <w:r w:rsidRPr="001234AB">
        <w:rPr>
          <w:rFonts w:ascii="Times New Roman" w:hAnsi="Times New Roman" w:cs="Times New Roman"/>
          <w:sz w:val="24"/>
          <w:szCs w:val="24"/>
          <w:lang w:val="en-US"/>
        </w:rPr>
        <w:t>. Cambridge, United Kingdom: Polity Press.</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Jessop B. (2018). Putting the Amsterdam School in its place. In B. Jessop, &amp; H.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(Eds.), </w:t>
      </w:r>
      <w:r w:rsidRPr="001234AB">
        <w:rPr>
          <w:rFonts w:ascii="Times New Roman" w:hAnsi="Times New Roman" w:cs="Times New Roman"/>
          <w:i/>
          <w:iCs/>
          <w:sz w:val="24"/>
          <w:szCs w:val="24"/>
          <w:lang w:val="en-US"/>
        </w:rPr>
        <w:t>Transnational Capital and Class Fractions: The Amsterdam School Perspective Reconsidered</w:t>
      </w:r>
      <w:r w:rsidRPr="001234AB">
        <w:rPr>
          <w:rFonts w:ascii="Times New Roman" w:hAnsi="Times New Roman" w:cs="Times New Roman"/>
          <w:sz w:val="24"/>
          <w:szCs w:val="24"/>
          <w:lang w:val="en-US"/>
        </w:rPr>
        <w:t xml:space="preserve"> (pp. 261-292). Routledge.</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Kannankulam</w:t>
      </w:r>
      <w:proofErr w:type="spellEnd"/>
      <w:r w:rsidRPr="001234AB">
        <w:rPr>
          <w:rFonts w:ascii="Times New Roman" w:hAnsi="Times New Roman" w:cs="Times New Roman"/>
          <w:sz w:val="24"/>
          <w:szCs w:val="24"/>
          <w:lang w:val="en-US"/>
        </w:rPr>
        <w:t xml:space="preserve">, J., &amp; Georgi, F. (2014). Varieties of capitalism or varieties of relationships of forces? Outlines of a historical materialist policy analysis. </w:t>
      </w:r>
      <w:r w:rsidRPr="001234AB">
        <w:rPr>
          <w:rFonts w:ascii="Times New Roman" w:hAnsi="Times New Roman" w:cs="Times New Roman"/>
          <w:i/>
          <w:iCs/>
          <w:sz w:val="24"/>
          <w:szCs w:val="24"/>
          <w:lang w:val="en-US"/>
        </w:rPr>
        <w:t>Capital &amp; Class</w:t>
      </w:r>
      <w:r w:rsidRPr="001234AB">
        <w:rPr>
          <w:rFonts w:ascii="Times New Roman" w:hAnsi="Times New Roman" w:cs="Times New Roman"/>
          <w:sz w:val="24"/>
          <w:szCs w:val="24"/>
          <w:lang w:val="en-US"/>
        </w:rPr>
        <w:t xml:space="preserve">, 38(1), 59–71. </w:t>
      </w:r>
      <w:hyperlink r:id="rId117" w:history="1">
        <w:r w:rsidRPr="001234AB">
          <w:rPr>
            <w:rStyle w:val="Hyperlink"/>
            <w:rFonts w:ascii="Times New Roman" w:hAnsi="Times New Roman" w:cs="Times New Roman"/>
            <w:sz w:val="24"/>
            <w:szCs w:val="24"/>
            <w:lang w:val="en-US"/>
          </w:rPr>
          <w:t>https://doi.org/10.1177/0309816813513088</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Kayali, L., </w:t>
      </w:r>
      <w:proofErr w:type="spellStart"/>
      <w:r w:rsidRPr="001234AB">
        <w:rPr>
          <w:rFonts w:ascii="Times New Roman" w:hAnsi="Times New Roman" w:cs="Times New Roman"/>
          <w:sz w:val="24"/>
          <w:szCs w:val="24"/>
          <w:lang w:val="en-US"/>
        </w:rPr>
        <w:t>Posaner</w:t>
      </w:r>
      <w:proofErr w:type="spellEnd"/>
      <w:r w:rsidRPr="001234AB">
        <w:rPr>
          <w:rFonts w:ascii="Times New Roman" w:hAnsi="Times New Roman" w:cs="Times New Roman"/>
          <w:sz w:val="24"/>
          <w:szCs w:val="24"/>
          <w:lang w:val="en-US"/>
        </w:rPr>
        <w:t xml:space="preserve">, J., &amp; </w:t>
      </w:r>
      <w:proofErr w:type="spellStart"/>
      <w:r w:rsidRPr="001234AB">
        <w:rPr>
          <w:rFonts w:ascii="Times New Roman" w:hAnsi="Times New Roman" w:cs="Times New Roman"/>
          <w:sz w:val="24"/>
          <w:szCs w:val="24"/>
          <w:lang w:val="en-US"/>
        </w:rPr>
        <w:t>Barigazzi</w:t>
      </w:r>
      <w:proofErr w:type="spellEnd"/>
      <w:r w:rsidRPr="001234AB">
        <w:rPr>
          <w:rFonts w:ascii="Times New Roman" w:hAnsi="Times New Roman" w:cs="Times New Roman"/>
          <w:sz w:val="24"/>
          <w:szCs w:val="24"/>
          <w:lang w:val="en-US"/>
        </w:rPr>
        <w:t xml:space="preserve">, J. (2024, March 4). Europe starts war machine to wean itself off US weapons. </w:t>
      </w:r>
      <w:proofErr w:type="spellStart"/>
      <w:r w:rsidRPr="001234AB">
        <w:rPr>
          <w:rFonts w:ascii="Times New Roman" w:hAnsi="Times New Roman" w:cs="Times New Roman"/>
          <w:i/>
          <w:iCs/>
          <w:sz w:val="24"/>
          <w:szCs w:val="24"/>
          <w:lang w:val="es-ES"/>
        </w:rPr>
        <w:t>Politico</w:t>
      </w:r>
      <w:proofErr w:type="spellEnd"/>
      <w:r w:rsidRPr="001234AB">
        <w:rPr>
          <w:rFonts w:ascii="Times New Roman" w:hAnsi="Times New Roman" w:cs="Times New Roman"/>
          <w:sz w:val="24"/>
          <w:szCs w:val="24"/>
          <w:lang w:val="es-ES"/>
        </w:rPr>
        <w:t xml:space="preserve">. </w:t>
      </w:r>
      <w:hyperlink r:id="rId118" w:history="1">
        <w:r w:rsidRPr="001234AB">
          <w:rPr>
            <w:rStyle w:val="Hyperlink"/>
            <w:rFonts w:ascii="Times New Roman" w:hAnsi="Times New Roman" w:cs="Times New Roman"/>
            <w:sz w:val="24"/>
            <w:szCs w:val="24"/>
            <w:lang w:val="es-ES"/>
          </w:rPr>
          <w:t>https://www.politico.eu/article/peace-dividend-dead-brussels-plan-war-ukraine-eurobonds-thierry-breton/</w:t>
        </w:r>
      </w:hyperlink>
      <w:r w:rsidRPr="001234AB">
        <w:rPr>
          <w:rFonts w:ascii="Times New Roman" w:hAnsi="Times New Roman" w:cs="Times New Roman"/>
          <w:sz w:val="24"/>
          <w:szCs w:val="24"/>
          <w:lang w:val="es-ES"/>
        </w:rPr>
        <w:t xml:space="preserve">. </w:t>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s-ES"/>
        </w:rPr>
        <w:br/>
      </w:r>
      <w:r w:rsidRPr="001234AB">
        <w:rPr>
          <w:rFonts w:ascii="Times New Roman" w:hAnsi="Times New Roman" w:cs="Times New Roman"/>
          <w:i/>
          <w:iCs/>
          <w:sz w:val="24"/>
          <w:szCs w:val="24"/>
          <w:lang w:val="de-DE"/>
        </w:rPr>
        <w:t>Keine Eurobonds solange ich lebe</w:t>
      </w:r>
      <w:r w:rsidRPr="001234AB">
        <w:rPr>
          <w:rFonts w:ascii="Times New Roman" w:hAnsi="Times New Roman" w:cs="Times New Roman"/>
          <w:sz w:val="24"/>
          <w:szCs w:val="24"/>
          <w:lang w:val="de-DE"/>
        </w:rPr>
        <w:t xml:space="preserve">. (2012, June 27). BILD. </w:t>
      </w:r>
      <w:hyperlink r:id="rId119" w:history="1">
        <w:r w:rsidRPr="001234AB">
          <w:rPr>
            <w:rStyle w:val="Hyperlink"/>
            <w:rFonts w:ascii="Times New Roman" w:hAnsi="Times New Roman" w:cs="Times New Roman"/>
            <w:sz w:val="24"/>
            <w:szCs w:val="24"/>
            <w:lang w:val="de-DE"/>
          </w:rPr>
          <w:t>https://www.bild.de/politik/inland/angela-merkel/keine-eurobonds-solange-ich-lebe-24873790.bild.html</w:t>
        </w:r>
      </w:hyperlink>
      <w:r w:rsidRPr="001234AB">
        <w:rPr>
          <w:rFonts w:ascii="Times New Roman" w:hAnsi="Times New Roman" w:cs="Times New Roman"/>
          <w:sz w:val="24"/>
          <w:szCs w:val="24"/>
          <w:lang w:val="de-DE"/>
        </w:rPr>
        <w:t>.</w:t>
      </w:r>
      <w:r w:rsidRPr="001234AB">
        <w:rPr>
          <w:rFonts w:ascii="Times New Roman" w:hAnsi="Times New Roman" w:cs="Times New Roman"/>
          <w:sz w:val="24"/>
          <w:szCs w:val="24"/>
          <w:lang w:val="de-DE"/>
        </w:rPr>
        <w:br/>
      </w:r>
      <w:r w:rsidRPr="001234AB">
        <w:rPr>
          <w:rFonts w:ascii="Times New Roman" w:hAnsi="Times New Roman" w:cs="Times New Roman"/>
          <w:sz w:val="24"/>
          <w:szCs w:val="24"/>
          <w:lang w:val="de-DE"/>
        </w:rPr>
        <w:br/>
      </w:r>
      <w:r w:rsidRPr="001234AB">
        <w:rPr>
          <w:rFonts w:ascii="Times New Roman" w:hAnsi="Times New Roman" w:cs="Times New Roman"/>
          <w:sz w:val="24"/>
          <w:szCs w:val="24"/>
          <w:lang w:val="en-US"/>
        </w:rPr>
        <w:t xml:space="preserve">Lagarde, C. (2020, July 8). Interview with Financial Times. Video interview with Christine Lagarde, President of the ECB. Retrieved from </w:t>
      </w:r>
      <w:hyperlink r:id="rId120" w:history="1">
        <w:r w:rsidRPr="001234AB">
          <w:rPr>
            <w:rStyle w:val="Hyperlink"/>
            <w:rFonts w:ascii="Times New Roman" w:hAnsi="Times New Roman" w:cs="Times New Roman"/>
            <w:sz w:val="24"/>
            <w:szCs w:val="24"/>
            <w:lang w:val="en-US"/>
          </w:rPr>
          <w:t>https://www.ecb.europa.eu/press/inter/date/2020/html/ecb.in200708~8418847210.en.html</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Lautenschläger</w:t>
      </w:r>
      <w:proofErr w:type="spellEnd"/>
      <w:r w:rsidRPr="001234AB">
        <w:rPr>
          <w:rFonts w:ascii="Times New Roman" w:hAnsi="Times New Roman" w:cs="Times New Roman"/>
          <w:sz w:val="24"/>
          <w:szCs w:val="24"/>
          <w:lang w:val="en-US"/>
        </w:rPr>
        <w:t xml:space="preserve">, S. (2017, November 8-9). </w:t>
      </w:r>
      <w:r w:rsidRPr="001234AB">
        <w:rPr>
          <w:rFonts w:ascii="Times New Roman" w:hAnsi="Times New Roman" w:cs="Times New Roman"/>
          <w:i/>
          <w:iCs/>
          <w:sz w:val="24"/>
          <w:szCs w:val="24"/>
          <w:lang w:val="en-US"/>
        </w:rPr>
        <w:t>Pro-cyclicality and interconnectedness in the financial sector. The European perspective</w:t>
      </w:r>
      <w:r w:rsidRPr="001234AB">
        <w:rPr>
          <w:rFonts w:ascii="Times New Roman" w:hAnsi="Times New Roman" w:cs="Times New Roman"/>
          <w:sz w:val="24"/>
          <w:szCs w:val="24"/>
          <w:lang w:val="en-US"/>
        </w:rPr>
        <w:t xml:space="preserve"> [Conference presentation]. BoE-HKMA-IMF Conference, Frankfurt, Germany.</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Letter of the nine. (2020). Retrieved from https://www.governo.it/sites/new.governo.it/files/letter_michel_20200325_eng.pdf.</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Mallet, V., &amp; Khalaf, R. (2020, April 16). FT Interview: Emmanuel Macron says it is time to think the unthinkable. </w:t>
      </w:r>
      <w:r w:rsidRPr="001234AB">
        <w:rPr>
          <w:rFonts w:ascii="Times New Roman" w:hAnsi="Times New Roman" w:cs="Times New Roman"/>
          <w:i/>
          <w:iCs/>
          <w:sz w:val="24"/>
          <w:szCs w:val="24"/>
          <w:lang w:val="en-US"/>
        </w:rPr>
        <w:t>Financial Times</w:t>
      </w:r>
      <w:r w:rsidRPr="001234AB">
        <w:rPr>
          <w:rFonts w:ascii="Times New Roman" w:hAnsi="Times New Roman" w:cs="Times New Roman"/>
          <w:sz w:val="24"/>
          <w:szCs w:val="24"/>
          <w:lang w:val="en-US"/>
        </w:rPr>
        <w:t xml:space="preserve">. </w:t>
      </w:r>
      <w:hyperlink r:id="rId121" w:history="1">
        <w:r w:rsidRPr="001234AB">
          <w:rPr>
            <w:rStyle w:val="Hyperlink"/>
            <w:rFonts w:ascii="Times New Roman" w:hAnsi="Times New Roman" w:cs="Times New Roman"/>
            <w:sz w:val="24"/>
            <w:szCs w:val="24"/>
            <w:lang w:val="en-US"/>
          </w:rPr>
          <w:t>https://www.ft.com/content/3ea8d790-7fd1-11ea-8fdb-7ec06edeef84</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Marchand, M. H. (2018). The Amsterdam School: gender as a blind spot. In B. Jessop &amp; H.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(Eds.), </w:t>
      </w:r>
      <w:r w:rsidRPr="001234AB">
        <w:rPr>
          <w:rFonts w:ascii="Times New Roman" w:hAnsi="Times New Roman" w:cs="Times New Roman"/>
          <w:i/>
          <w:iCs/>
          <w:sz w:val="24"/>
          <w:szCs w:val="24"/>
          <w:lang w:val="en-US"/>
        </w:rPr>
        <w:t>Transnational Capital and Class Fractions: The Amsterdam School Perspective Reconsidered</w:t>
      </w:r>
      <w:r w:rsidRPr="001234AB">
        <w:rPr>
          <w:rFonts w:ascii="Times New Roman" w:hAnsi="Times New Roman" w:cs="Times New Roman"/>
          <w:sz w:val="24"/>
          <w:szCs w:val="24"/>
          <w:lang w:val="en-US"/>
        </w:rPr>
        <w:t xml:space="preserve"> (pp. 217-222). Routledge.</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Matthijs, M., &amp; Blyth, M. (Eds.). (2015). </w:t>
      </w:r>
      <w:r w:rsidRPr="001234AB">
        <w:rPr>
          <w:rFonts w:ascii="Times New Roman" w:hAnsi="Times New Roman" w:cs="Times New Roman"/>
          <w:i/>
          <w:iCs/>
          <w:sz w:val="24"/>
          <w:szCs w:val="24"/>
          <w:lang w:val="en-US"/>
        </w:rPr>
        <w:t>The future of the Euro</w:t>
      </w:r>
      <w:r w:rsidRPr="001234AB">
        <w:rPr>
          <w:rFonts w:ascii="Times New Roman" w:hAnsi="Times New Roman" w:cs="Times New Roman"/>
          <w:sz w:val="24"/>
          <w:szCs w:val="24"/>
          <w:lang w:val="en-US"/>
        </w:rPr>
        <w:t>. Oxford University Press.</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Matthijs, M., &amp; McNamara, K. (2015). The euro crisis’ theory effect: northern saints, southern sinners, and the demise of the </w:t>
      </w:r>
      <w:proofErr w:type="spellStart"/>
      <w:r w:rsidRPr="001234AB">
        <w:rPr>
          <w:rFonts w:ascii="Times New Roman" w:hAnsi="Times New Roman" w:cs="Times New Roman"/>
          <w:sz w:val="24"/>
          <w:szCs w:val="24"/>
          <w:lang w:val="en-US"/>
        </w:rPr>
        <w:t>eurobond</w:t>
      </w:r>
      <w:proofErr w:type="spellEnd"/>
      <w:r w:rsidRPr="001234AB">
        <w:rPr>
          <w:rFonts w:ascii="Times New Roman" w:hAnsi="Times New Roman" w:cs="Times New Roman"/>
          <w:sz w:val="24"/>
          <w:szCs w:val="24"/>
          <w:lang w:val="en-US"/>
        </w:rPr>
        <w:t xml:space="preserve">. </w:t>
      </w:r>
      <w:r w:rsidRPr="001234AB">
        <w:rPr>
          <w:rFonts w:ascii="Times New Roman" w:hAnsi="Times New Roman" w:cs="Times New Roman"/>
          <w:i/>
          <w:iCs/>
          <w:sz w:val="24"/>
          <w:szCs w:val="24"/>
          <w:lang w:val="en-US"/>
        </w:rPr>
        <w:t>Journal of European Integration</w:t>
      </w:r>
      <w:r w:rsidRPr="001234AB">
        <w:rPr>
          <w:rFonts w:ascii="Times New Roman" w:hAnsi="Times New Roman" w:cs="Times New Roman"/>
          <w:sz w:val="24"/>
          <w:szCs w:val="24"/>
          <w:lang w:val="en-US"/>
        </w:rPr>
        <w:t xml:space="preserve">, 37(2), 229–245. </w:t>
      </w:r>
      <w:hyperlink r:id="rId122" w:history="1">
        <w:r w:rsidRPr="001234AB">
          <w:rPr>
            <w:rStyle w:val="Hyperlink"/>
            <w:rFonts w:ascii="Times New Roman" w:hAnsi="Times New Roman" w:cs="Times New Roman"/>
            <w:sz w:val="24"/>
            <w:szCs w:val="24"/>
            <w:lang w:val="en-US"/>
          </w:rPr>
          <w:t>https://doi.org/10.1080/07036337.2014.990137</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Mazzucato, M. (2020, March 18). The Covid-19 crisis is a chance to do capitalism differently. </w:t>
      </w:r>
      <w:r w:rsidRPr="001234AB">
        <w:rPr>
          <w:rFonts w:ascii="Times New Roman" w:hAnsi="Times New Roman" w:cs="Times New Roman"/>
          <w:i/>
          <w:iCs/>
          <w:sz w:val="24"/>
          <w:szCs w:val="24"/>
          <w:lang w:val="en-US"/>
        </w:rPr>
        <w:t>The Guardian</w:t>
      </w:r>
      <w:r w:rsidRPr="001234AB">
        <w:rPr>
          <w:rFonts w:ascii="Times New Roman" w:hAnsi="Times New Roman" w:cs="Times New Roman"/>
          <w:sz w:val="24"/>
          <w:szCs w:val="24"/>
          <w:lang w:val="en-US"/>
        </w:rPr>
        <w:t xml:space="preserve">. </w:t>
      </w:r>
      <w:hyperlink r:id="rId123" w:history="1">
        <w:r w:rsidRPr="001234AB">
          <w:rPr>
            <w:rStyle w:val="Hyperlink"/>
            <w:rFonts w:ascii="Times New Roman" w:hAnsi="Times New Roman" w:cs="Times New Roman"/>
            <w:sz w:val="24"/>
            <w:szCs w:val="24"/>
            <w:lang w:val="en-US"/>
          </w:rPr>
          <w:t>https://www.theguardian.com/commentisfree/2020/mar/18/the-covid-19-crisis-is-a-chance-to-do-capitalism-differently</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McKinsey Global Institute. (2021). </w:t>
      </w:r>
      <w:r w:rsidRPr="001234AB">
        <w:rPr>
          <w:rFonts w:ascii="Times New Roman" w:hAnsi="Times New Roman" w:cs="Times New Roman"/>
          <w:i/>
          <w:iCs/>
          <w:sz w:val="24"/>
          <w:szCs w:val="24"/>
          <w:lang w:val="en-US"/>
        </w:rPr>
        <w:t>The rise and rise of the global balance sheet how productively are we using our wealth?</w:t>
      </w:r>
      <w:r w:rsidRPr="001234AB">
        <w:rPr>
          <w:rFonts w:ascii="Times New Roman" w:hAnsi="Times New Roman" w:cs="Times New Roman"/>
          <w:sz w:val="24"/>
          <w:szCs w:val="24"/>
          <w:lang w:val="en-US"/>
        </w:rPr>
        <w:t xml:space="preserve"> Retrieved from </w:t>
      </w:r>
      <w:hyperlink r:id="rId124" w:history="1">
        <w:r w:rsidRPr="001234AB">
          <w:rPr>
            <w:rStyle w:val="Hyperlink"/>
            <w:rFonts w:ascii="Times New Roman" w:hAnsi="Times New Roman" w:cs="Times New Roman"/>
            <w:sz w:val="24"/>
            <w:szCs w:val="24"/>
            <w:lang w:val="en-US"/>
          </w:rPr>
          <w:t>https://www.mckinsey.com/~/media/mckinsey/industries/financial%20services/our%20insights/the%20rise%20and%20rise%20of%20the%20global%20balance%20sheet%20how%20productively%20are%20we%20using%20our%20wealth/mgi-the-rise-and-rise-of-the-global-balance-sheet-full-report-vf.pdf</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Merkel, A. (2020, July 8). Federal Chancellor Angela Merkel on the German Presidency of the Council of the EU 2020. Speech by Federal Chancellor Angela Merkel, European Parliament in Brussels. Retrieved from </w:t>
      </w:r>
      <w:hyperlink r:id="rId125" w:history="1">
        <w:r w:rsidRPr="001234AB">
          <w:rPr>
            <w:rStyle w:val="Hyperlink"/>
            <w:rFonts w:ascii="Times New Roman" w:hAnsi="Times New Roman" w:cs="Times New Roman"/>
            <w:sz w:val="24"/>
            <w:szCs w:val="24"/>
            <w:lang w:val="en-US"/>
          </w:rPr>
          <w:t>https://www.bundesregierung.de/breg-en/service/archive/speech-by-federal-chancellor-angela-merkel-on-the-german-presidency-of-the-council-of-the-eu-2020-to-the-european-parliament-in-brussels-on-8-july-2020-1768008</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Modell, S. (2009). In </w:t>
      </w:r>
      <w:proofErr w:type="spellStart"/>
      <w:r w:rsidRPr="001234AB">
        <w:rPr>
          <w:rFonts w:ascii="Times New Roman" w:hAnsi="Times New Roman" w:cs="Times New Roman"/>
          <w:sz w:val="24"/>
          <w:szCs w:val="24"/>
          <w:lang w:val="en-US"/>
        </w:rPr>
        <w:t>defence</w:t>
      </w:r>
      <w:proofErr w:type="spellEnd"/>
      <w:r w:rsidRPr="001234AB">
        <w:rPr>
          <w:rFonts w:ascii="Times New Roman" w:hAnsi="Times New Roman" w:cs="Times New Roman"/>
          <w:sz w:val="24"/>
          <w:szCs w:val="24"/>
          <w:lang w:val="en-US"/>
        </w:rPr>
        <w:t xml:space="preserve"> of triangulation: A critical realist approach to mixed methods research in management accounting. </w:t>
      </w:r>
      <w:r w:rsidRPr="001234AB">
        <w:rPr>
          <w:rFonts w:ascii="Times New Roman" w:hAnsi="Times New Roman" w:cs="Times New Roman"/>
          <w:i/>
          <w:iCs/>
          <w:sz w:val="24"/>
          <w:szCs w:val="24"/>
          <w:lang w:val="en-US"/>
        </w:rPr>
        <w:t>Management Accounting Research</w:t>
      </w:r>
      <w:r w:rsidRPr="001234AB">
        <w:rPr>
          <w:rFonts w:ascii="Times New Roman" w:hAnsi="Times New Roman" w:cs="Times New Roman"/>
          <w:sz w:val="24"/>
          <w:szCs w:val="24"/>
          <w:lang w:val="en-US"/>
        </w:rPr>
        <w:t xml:space="preserve">, 20(3), 208–221. </w:t>
      </w:r>
      <w:hyperlink r:id="rId126" w:history="1">
        <w:r w:rsidRPr="001234AB">
          <w:rPr>
            <w:rStyle w:val="Hyperlink"/>
            <w:rFonts w:ascii="Times New Roman" w:hAnsi="Times New Roman" w:cs="Times New Roman"/>
            <w:sz w:val="24"/>
            <w:szCs w:val="24"/>
            <w:lang w:val="en-US"/>
          </w:rPr>
          <w:t>https://doi.org/10.1016/j.mar.2009.04.001</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Mody</w:t>
      </w:r>
      <w:proofErr w:type="spellEnd"/>
      <w:r w:rsidRPr="001234AB">
        <w:rPr>
          <w:rFonts w:ascii="Times New Roman" w:hAnsi="Times New Roman" w:cs="Times New Roman"/>
          <w:sz w:val="24"/>
          <w:szCs w:val="24"/>
          <w:lang w:val="en-US"/>
        </w:rPr>
        <w:t xml:space="preserve">, A., </w:t>
      </w:r>
      <w:proofErr w:type="spellStart"/>
      <w:r w:rsidRPr="001234AB">
        <w:rPr>
          <w:rFonts w:ascii="Times New Roman" w:hAnsi="Times New Roman" w:cs="Times New Roman"/>
          <w:sz w:val="24"/>
          <w:szCs w:val="24"/>
          <w:lang w:val="en-US"/>
        </w:rPr>
        <w:t>Claessens</w:t>
      </w:r>
      <w:proofErr w:type="spellEnd"/>
      <w:r w:rsidRPr="001234AB">
        <w:rPr>
          <w:rFonts w:ascii="Times New Roman" w:hAnsi="Times New Roman" w:cs="Times New Roman"/>
          <w:sz w:val="24"/>
          <w:szCs w:val="24"/>
          <w:lang w:val="en-US"/>
        </w:rPr>
        <w:t xml:space="preserve">, S., &amp; </w:t>
      </w:r>
      <w:proofErr w:type="spellStart"/>
      <w:r w:rsidRPr="001234AB">
        <w:rPr>
          <w:rFonts w:ascii="Times New Roman" w:hAnsi="Times New Roman" w:cs="Times New Roman"/>
          <w:sz w:val="24"/>
          <w:szCs w:val="24"/>
          <w:lang w:val="en-US"/>
        </w:rPr>
        <w:t>Vallée</w:t>
      </w:r>
      <w:proofErr w:type="spellEnd"/>
      <w:r w:rsidRPr="001234AB">
        <w:rPr>
          <w:rFonts w:ascii="Times New Roman" w:hAnsi="Times New Roman" w:cs="Times New Roman"/>
          <w:sz w:val="24"/>
          <w:szCs w:val="24"/>
          <w:lang w:val="en-US"/>
        </w:rPr>
        <w:t xml:space="preserve">, S. (2012). Paths to Eurobonds. </w:t>
      </w:r>
      <w:r w:rsidRPr="001234AB">
        <w:rPr>
          <w:rFonts w:ascii="Times New Roman" w:hAnsi="Times New Roman" w:cs="Times New Roman"/>
          <w:i/>
          <w:iCs/>
          <w:sz w:val="24"/>
          <w:szCs w:val="24"/>
          <w:lang w:val="en-US"/>
        </w:rPr>
        <w:t>IMF Working Papers</w:t>
      </w:r>
      <w:r w:rsidRPr="001234AB">
        <w:rPr>
          <w:rFonts w:ascii="Times New Roman" w:hAnsi="Times New Roman" w:cs="Times New Roman"/>
          <w:sz w:val="24"/>
          <w:szCs w:val="24"/>
          <w:lang w:val="en-US"/>
        </w:rPr>
        <w:t xml:space="preserve">, 12(172), 1-39. </w:t>
      </w:r>
      <w:hyperlink r:id="rId127" w:history="1">
        <w:r w:rsidRPr="001234AB">
          <w:rPr>
            <w:rStyle w:val="Hyperlink"/>
            <w:rFonts w:ascii="Times New Roman" w:hAnsi="Times New Roman" w:cs="Times New Roman"/>
            <w:sz w:val="24"/>
            <w:szCs w:val="24"/>
            <w:lang w:val="en-US"/>
          </w:rPr>
          <w:t>https://doi.org/10.5089/9781475505207.001</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Moller-Nielsen, T. (2024a, January 31). EU’s new fiscal rules impede fight against climate change: report. </w:t>
      </w:r>
      <w:proofErr w:type="spellStart"/>
      <w:r w:rsidRPr="001234AB">
        <w:rPr>
          <w:rFonts w:ascii="Times New Roman" w:hAnsi="Times New Roman" w:cs="Times New Roman"/>
          <w:i/>
          <w:iCs/>
          <w:sz w:val="24"/>
          <w:szCs w:val="24"/>
          <w:lang w:val="es-ES"/>
        </w:rPr>
        <w:t>Euractiv</w:t>
      </w:r>
      <w:proofErr w:type="spellEnd"/>
      <w:r w:rsidRPr="001234AB">
        <w:rPr>
          <w:rFonts w:ascii="Times New Roman" w:hAnsi="Times New Roman" w:cs="Times New Roman"/>
          <w:sz w:val="24"/>
          <w:szCs w:val="24"/>
          <w:lang w:val="es-ES"/>
        </w:rPr>
        <w:t xml:space="preserve">. </w:t>
      </w:r>
      <w:hyperlink r:id="rId128" w:history="1">
        <w:r w:rsidRPr="001234AB">
          <w:rPr>
            <w:rStyle w:val="Hyperlink"/>
            <w:rFonts w:ascii="Times New Roman" w:hAnsi="Times New Roman" w:cs="Times New Roman"/>
            <w:sz w:val="24"/>
            <w:szCs w:val="24"/>
            <w:lang w:val="es-ES"/>
          </w:rPr>
          <w:t>https://www.euractiv.com/section/economy-jobs/news/eus-new-fiscal-rules-impede-fight-against-climate-change-report/</w:t>
        </w:r>
      </w:hyperlink>
      <w:r w:rsidRPr="001234AB">
        <w:rPr>
          <w:rFonts w:ascii="Times New Roman" w:hAnsi="Times New Roman" w:cs="Times New Roman"/>
          <w:sz w:val="24"/>
          <w:szCs w:val="24"/>
          <w:lang w:val="es-ES"/>
        </w:rPr>
        <w:t xml:space="preserve">. </w:t>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de-DE"/>
        </w:rPr>
        <w:t xml:space="preserve">Moller-Nielsen, T. (2024b, </w:t>
      </w:r>
      <w:proofErr w:type="spellStart"/>
      <w:r w:rsidRPr="001234AB">
        <w:rPr>
          <w:rFonts w:ascii="Times New Roman" w:hAnsi="Times New Roman" w:cs="Times New Roman"/>
          <w:sz w:val="24"/>
          <w:szCs w:val="24"/>
          <w:lang w:val="de-DE"/>
        </w:rPr>
        <w:t>February</w:t>
      </w:r>
      <w:proofErr w:type="spellEnd"/>
      <w:r w:rsidRPr="001234AB">
        <w:rPr>
          <w:rFonts w:ascii="Times New Roman" w:hAnsi="Times New Roman" w:cs="Times New Roman"/>
          <w:sz w:val="24"/>
          <w:szCs w:val="24"/>
          <w:lang w:val="de-DE"/>
        </w:rPr>
        <w:t xml:space="preserve"> 13). </w:t>
      </w:r>
      <w:r w:rsidRPr="001234AB">
        <w:rPr>
          <w:rFonts w:ascii="Times New Roman" w:hAnsi="Times New Roman" w:cs="Times New Roman"/>
          <w:sz w:val="24"/>
          <w:szCs w:val="24"/>
          <w:lang w:val="en-US"/>
        </w:rPr>
        <w:t xml:space="preserve">New EU fiscal reforms will impede critical investments, experts warn. </w:t>
      </w:r>
      <w:proofErr w:type="spellStart"/>
      <w:r w:rsidRPr="001234AB">
        <w:rPr>
          <w:rFonts w:ascii="Times New Roman" w:hAnsi="Times New Roman" w:cs="Times New Roman"/>
          <w:i/>
          <w:iCs/>
          <w:sz w:val="24"/>
          <w:szCs w:val="24"/>
          <w:lang w:val="es-ES"/>
        </w:rPr>
        <w:t>Euractiv</w:t>
      </w:r>
      <w:proofErr w:type="spellEnd"/>
      <w:r w:rsidRPr="001234AB">
        <w:rPr>
          <w:rFonts w:ascii="Times New Roman" w:hAnsi="Times New Roman" w:cs="Times New Roman"/>
          <w:sz w:val="24"/>
          <w:szCs w:val="24"/>
          <w:lang w:val="es-ES"/>
        </w:rPr>
        <w:t xml:space="preserve">. </w:t>
      </w:r>
      <w:hyperlink r:id="rId129" w:history="1">
        <w:r w:rsidRPr="001234AB">
          <w:rPr>
            <w:rStyle w:val="Hyperlink"/>
            <w:rFonts w:ascii="Times New Roman" w:hAnsi="Times New Roman" w:cs="Times New Roman"/>
            <w:sz w:val="24"/>
            <w:szCs w:val="24"/>
            <w:lang w:val="es-ES"/>
          </w:rPr>
          <w:t>https://www.euractiv.com/section/economy-jobs/news/new-eu-fiscal-reforms-will-impede-critical-investments-experts-warn/</w:t>
        </w:r>
      </w:hyperlink>
      <w:r w:rsidRPr="001234AB">
        <w:rPr>
          <w:rFonts w:ascii="Times New Roman" w:hAnsi="Times New Roman" w:cs="Times New Roman"/>
          <w:sz w:val="24"/>
          <w:szCs w:val="24"/>
          <w:lang w:val="es-ES"/>
        </w:rPr>
        <w:t xml:space="preserve">. </w:t>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n-US"/>
        </w:rPr>
        <w:t xml:space="preserve">Moller-Nielsen, T. (2024c, May 14). </w:t>
      </w:r>
      <w:proofErr w:type="spellStart"/>
      <w:r w:rsidRPr="001234AB">
        <w:rPr>
          <w:rFonts w:ascii="Times New Roman" w:hAnsi="Times New Roman" w:cs="Times New Roman"/>
          <w:sz w:val="24"/>
          <w:szCs w:val="24"/>
          <w:lang w:val="en-US"/>
        </w:rPr>
        <w:t>Gentiloni</w:t>
      </w:r>
      <w:proofErr w:type="spellEnd"/>
      <w:r w:rsidRPr="001234AB">
        <w:rPr>
          <w:rFonts w:ascii="Times New Roman" w:hAnsi="Times New Roman" w:cs="Times New Roman"/>
          <w:sz w:val="24"/>
          <w:szCs w:val="24"/>
          <w:lang w:val="en-US"/>
        </w:rPr>
        <w:t xml:space="preserve">: If no EU consensus, member states </w:t>
      </w:r>
      <w:r w:rsidR="00355791">
        <w:rPr>
          <w:rFonts w:ascii="Times New Roman" w:hAnsi="Times New Roman" w:cs="Times New Roman"/>
          <w:sz w:val="24"/>
          <w:szCs w:val="24"/>
          <w:lang w:val="en-US"/>
        </w:rPr>
        <w:t>w</w:t>
      </w:r>
      <w:r w:rsidRPr="001234AB">
        <w:rPr>
          <w:rFonts w:ascii="Times New Roman" w:hAnsi="Times New Roman" w:cs="Times New Roman"/>
          <w:sz w:val="24"/>
          <w:szCs w:val="24"/>
          <w:lang w:val="en-US"/>
        </w:rPr>
        <w:t>ill set u</w:t>
      </w:r>
      <w:r w:rsidR="00355791">
        <w:rPr>
          <w:rFonts w:ascii="Times New Roman" w:hAnsi="Times New Roman" w:cs="Times New Roman"/>
          <w:sz w:val="24"/>
          <w:szCs w:val="24"/>
          <w:lang w:val="en-US"/>
        </w:rPr>
        <w:t>p</w:t>
      </w:r>
      <w:r w:rsidRPr="001234AB">
        <w:rPr>
          <w:rFonts w:ascii="Times New Roman" w:hAnsi="Times New Roman" w:cs="Times New Roman"/>
          <w:sz w:val="24"/>
          <w:szCs w:val="24"/>
          <w:lang w:val="en-US"/>
        </w:rPr>
        <w:t xml:space="preserve"> smaller-scale Capital Markets Union. </w:t>
      </w:r>
      <w:proofErr w:type="spellStart"/>
      <w:r w:rsidRPr="001234AB">
        <w:rPr>
          <w:rFonts w:ascii="Times New Roman" w:hAnsi="Times New Roman" w:cs="Times New Roman"/>
          <w:i/>
          <w:iCs/>
          <w:sz w:val="24"/>
          <w:szCs w:val="24"/>
          <w:lang w:val="es-ES"/>
        </w:rPr>
        <w:t>Euractiv</w:t>
      </w:r>
      <w:proofErr w:type="spellEnd"/>
      <w:r w:rsidRPr="001234AB">
        <w:rPr>
          <w:rFonts w:ascii="Times New Roman" w:hAnsi="Times New Roman" w:cs="Times New Roman"/>
          <w:sz w:val="24"/>
          <w:szCs w:val="24"/>
          <w:lang w:val="es-ES"/>
        </w:rPr>
        <w:t xml:space="preserve">. </w:t>
      </w:r>
      <w:hyperlink r:id="rId130" w:history="1">
        <w:r w:rsidRPr="001234AB">
          <w:rPr>
            <w:rStyle w:val="Hyperlink"/>
            <w:rFonts w:ascii="Times New Roman" w:hAnsi="Times New Roman" w:cs="Times New Roman"/>
            <w:sz w:val="24"/>
            <w:szCs w:val="24"/>
            <w:lang w:val="es-ES"/>
          </w:rPr>
          <w:t>https://www.euractiv.com/section/economy-jobs/news/gentiloni-member-states-will-set-up-smaller-scale-capital-markets-union-in-case-of-no-eu-consensus/</w:t>
        </w:r>
      </w:hyperlink>
      <w:r w:rsidRPr="001234AB">
        <w:rPr>
          <w:rFonts w:ascii="Times New Roman" w:hAnsi="Times New Roman" w:cs="Times New Roman"/>
          <w:sz w:val="24"/>
          <w:szCs w:val="24"/>
          <w:lang w:val="es-ES"/>
        </w:rPr>
        <w:t xml:space="preserve">. </w:t>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s-ES"/>
        </w:rPr>
        <w:br/>
      </w:r>
      <w:proofErr w:type="spellStart"/>
      <w:r w:rsidRPr="001234AB">
        <w:rPr>
          <w:rFonts w:ascii="Times New Roman" w:hAnsi="Times New Roman" w:cs="Times New Roman"/>
          <w:sz w:val="24"/>
          <w:szCs w:val="24"/>
          <w:lang w:val="en-US"/>
        </w:rPr>
        <w:t>Moravcsik</w:t>
      </w:r>
      <w:proofErr w:type="spellEnd"/>
      <w:r w:rsidRPr="001234AB">
        <w:rPr>
          <w:rFonts w:ascii="Times New Roman" w:hAnsi="Times New Roman" w:cs="Times New Roman"/>
          <w:sz w:val="24"/>
          <w:szCs w:val="24"/>
          <w:lang w:val="en-US"/>
        </w:rPr>
        <w:t xml:space="preserve">, A., &amp; </w:t>
      </w:r>
      <w:proofErr w:type="spellStart"/>
      <w:r w:rsidRPr="001234AB">
        <w:rPr>
          <w:rFonts w:ascii="Times New Roman" w:hAnsi="Times New Roman" w:cs="Times New Roman"/>
          <w:sz w:val="24"/>
          <w:szCs w:val="24"/>
          <w:lang w:val="en-US"/>
        </w:rPr>
        <w:t>Schimmelfennig</w:t>
      </w:r>
      <w:proofErr w:type="spellEnd"/>
      <w:r w:rsidRPr="001234AB">
        <w:rPr>
          <w:rFonts w:ascii="Times New Roman" w:hAnsi="Times New Roman" w:cs="Times New Roman"/>
          <w:sz w:val="24"/>
          <w:szCs w:val="24"/>
          <w:lang w:val="en-US"/>
        </w:rPr>
        <w:t xml:space="preserve">, F. (2018). Liberal Intergovernmentalism. In A. Wiener, &amp; T. Diez (Eds.), </w:t>
      </w:r>
      <w:r w:rsidRPr="001234AB">
        <w:rPr>
          <w:rFonts w:ascii="Times New Roman" w:hAnsi="Times New Roman" w:cs="Times New Roman"/>
          <w:i/>
          <w:iCs/>
          <w:sz w:val="24"/>
          <w:szCs w:val="24"/>
          <w:lang w:val="en-US"/>
        </w:rPr>
        <w:t>European Integration Theory</w:t>
      </w:r>
      <w:r w:rsidRPr="001234AB">
        <w:rPr>
          <w:rFonts w:ascii="Times New Roman" w:hAnsi="Times New Roman" w:cs="Times New Roman"/>
          <w:sz w:val="24"/>
          <w:szCs w:val="24"/>
          <w:lang w:val="en-US"/>
        </w:rPr>
        <w:t xml:space="preserve"> (3rd ed., p. 65-83). Oxford, United Kingdom: Oxford University Press.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lastRenderedPageBreak/>
        <w:br/>
        <w:t>Morton, A. D. (2007). Waiting for Gramsci: State formation, passive revolution and the international. </w:t>
      </w:r>
      <w:r w:rsidRPr="001234AB">
        <w:rPr>
          <w:rFonts w:ascii="Times New Roman" w:hAnsi="Times New Roman" w:cs="Times New Roman"/>
          <w:i/>
          <w:iCs/>
          <w:sz w:val="24"/>
          <w:szCs w:val="24"/>
          <w:lang w:val="en-US"/>
        </w:rPr>
        <w:t>Millennium</w:t>
      </w:r>
      <w:r w:rsidRPr="001234AB">
        <w:rPr>
          <w:rFonts w:ascii="Times New Roman" w:hAnsi="Times New Roman" w:cs="Times New Roman"/>
          <w:sz w:val="24"/>
          <w:szCs w:val="24"/>
          <w:lang w:val="en-US"/>
        </w:rPr>
        <w:t>, </w:t>
      </w:r>
      <w:r w:rsidRPr="001234AB">
        <w:rPr>
          <w:rFonts w:ascii="Times New Roman" w:hAnsi="Times New Roman" w:cs="Times New Roman"/>
          <w:i/>
          <w:iCs/>
          <w:sz w:val="24"/>
          <w:szCs w:val="24"/>
          <w:lang w:val="en-US"/>
        </w:rPr>
        <w:t>35</w:t>
      </w:r>
      <w:r w:rsidRPr="001234AB">
        <w:rPr>
          <w:rFonts w:ascii="Times New Roman" w:hAnsi="Times New Roman" w:cs="Times New Roman"/>
          <w:sz w:val="24"/>
          <w:szCs w:val="24"/>
          <w:lang w:val="en-US"/>
        </w:rPr>
        <w:t xml:space="preserve">(3), 597-621. </w:t>
      </w:r>
      <w:hyperlink r:id="rId131" w:history="1">
        <w:r w:rsidRPr="001234AB">
          <w:rPr>
            <w:rStyle w:val="Hyperlink"/>
            <w:rFonts w:ascii="Times New Roman" w:hAnsi="Times New Roman" w:cs="Times New Roman"/>
            <w:sz w:val="24"/>
            <w:szCs w:val="24"/>
            <w:lang w:val="en-US"/>
          </w:rPr>
          <w:t>https://doi.org/10.1177/03058298070350031301</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Muellbauer</w:t>
      </w:r>
      <w:proofErr w:type="spellEnd"/>
      <w:r w:rsidRPr="001234AB">
        <w:rPr>
          <w:rFonts w:ascii="Times New Roman" w:hAnsi="Times New Roman" w:cs="Times New Roman"/>
          <w:sz w:val="24"/>
          <w:szCs w:val="24"/>
          <w:lang w:val="en-US"/>
        </w:rPr>
        <w:t xml:space="preserve">, J. (2013). Conditional </w:t>
      </w:r>
      <w:proofErr w:type="spellStart"/>
      <w:r w:rsidRPr="001234AB">
        <w:rPr>
          <w:rFonts w:ascii="Times New Roman" w:hAnsi="Times New Roman" w:cs="Times New Roman"/>
          <w:sz w:val="24"/>
          <w:szCs w:val="24"/>
          <w:lang w:val="en-US"/>
        </w:rPr>
        <w:t>eurobonds</w:t>
      </w:r>
      <w:proofErr w:type="spellEnd"/>
      <w:r w:rsidRPr="001234AB">
        <w:rPr>
          <w:rFonts w:ascii="Times New Roman" w:hAnsi="Times New Roman" w:cs="Times New Roman"/>
          <w:sz w:val="24"/>
          <w:szCs w:val="24"/>
          <w:lang w:val="en-US"/>
        </w:rPr>
        <w:t xml:space="preserve"> and the eurozone sovereign debt crisis. </w:t>
      </w:r>
      <w:r w:rsidRPr="001234AB">
        <w:rPr>
          <w:rFonts w:ascii="Times New Roman" w:hAnsi="Times New Roman" w:cs="Times New Roman"/>
          <w:i/>
          <w:iCs/>
          <w:sz w:val="24"/>
          <w:szCs w:val="24"/>
          <w:lang w:val="en-US"/>
        </w:rPr>
        <w:t>Oxford Review of Economic Policy</w:t>
      </w:r>
      <w:r w:rsidRPr="001234AB">
        <w:rPr>
          <w:rFonts w:ascii="Times New Roman" w:hAnsi="Times New Roman" w:cs="Times New Roman"/>
          <w:sz w:val="24"/>
          <w:szCs w:val="24"/>
          <w:lang w:val="en-US"/>
        </w:rPr>
        <w:t xml:space="preserve">, 29(3), 610–645. </w:t>
      </w:r>
      <w:hyperlink r:id="rId132" w:history="1">
        <w:r w:rsidRPr="001234AB">
          <w:rPr>
            <w:rStyle w:val="Hyperlink"/>
            <w:rFonts w:ascii="Times New Roman" w:hAnsi="Times New Roman" w:cs="Times New Roman"/>
            <w:sz w:val="24"/>
            <w:szCs w:val="24"/>
            <w:lang w:val="en-US"/>
          </w:rPr>
          <w:t>https://doi.org/10.1093/oxrep/grt032</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O’Dwyer</w:t>
      </w:r>
      <w:proofErr w:type="spellEnd"/>
      <w:r w:rsidRPr="001234AB">
        <w:rPr>
          <w:rFonts w:ascii="Times New Roman" w:hAnsi="Times New Roman" w:cs="Times New Roman"/>
          <w:sz w:val="24"/>
          <w:szCs w:val="24"/>
          <w:lang w:val="en-US"/>
        </w:rPr>
        <w:t xml:space="preserve">, M. (2022). The gendered history of economic and monetary union. </w:t>
      </w:r>
      <w:r w:rsidRPr="001234AB">
        <w:rPr>
          <w:rFonts w:ascii="Times New Roman" w:hAnsi="Times New Roman" w:cs="Times New Roman"/>
          <w:i/>
          <w:iCs/>
          <w:sz w:val="24"/>
          <w:szCs w:val="24"/>
          <w:lang w:val="en-US"/>
        </w:rPr>
        <w:t>Comparative European Politics</w:t>
      </w:r>
      <w:r w:rsidRPr="001234AB">
        <w:rPr>
          <w:rFonts w:ascii="Times New Roman" w:hAnsi="Times New Roman" w:cs="Times New Roman"/>
          <w:sz w:val="24"/>
          <w:szCs w:val="24"/>
          <w:lang w:val="en-US"/>
        </w:rPr>
        <w:t xml:space="preserve">, 20(6), 654-670. </w:t>
      </w:r>
      <w:hyperlink r:id="rId133" w:history="1">
        <w:r w:rsidRPr="001234AB">
          <w:rPr>
            <w:rStyle w:val="Hyperlink"/>
            <w:rFonts w:ascii="Times New Roman" w:hAnsi="Times New Roman" w:cs="Times New Roman"/>
            <w:sz w:val="24"/>
            <w:szCs w:val="24"/>
            <w:lang w:val="en-US"/>
          </w:rPr>
          <w:t>https://doi.org/10.1057/s41295-022-00311-7</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H. (1990). </w:t>
      </w:r>
      <w:r w:rsidRPr="001234AB">
        <w:rPr>
          <w:rFonts w:ascii="Times New Roman" w:hAnsi="Times New Roman" w:cs="Times New Roman"/>
          <w:i/>
          <w:iCs/>
          <w:sz w:val="24"/>
          <w:szCs w:val="24"/>
          <w:lang w:val="en-US"/>
        </w:rPr>
        <w:t>Global Capitalism and National Decline. The Thatcher Decade in Perspective</w:t>
      </w:r>
      <w:r w:rsidRPr="001234AB">
        <w:rPr>
          <w:rFonts w:ascii="Times New Roman" w:hAnsi="Times New Roman" w:cs="Times New Roman"/>
          <w:sz w:val="24"/>
          <w:szCs w:val="24"/>
          <w:lang w:val="en-US"/>
        </w:rPr>
        <w:t xml:space="preserve">. London, United Kingdom: Unwin Hyman.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H. (2000). Towards a Neo-Gramscian Theory of European Integration: The Example of the Tax </w:t>
      </w:r>
      <w:proofErr w:type="spellStart"/>
      <w:r w:rsidRPr="001234AB">
        <w:rPr>
          <w:rFonts w:ascii="Times New Roman" w:hAnsi="Times New Roman" w:cs="Times New Roman"/>
          <w:sz w:val="24"/>
          <w:szCs w:val="24"/>
          <w:lang w:val="en-US"/>
        </w:rPr>
        <w:t>Harmonisation</w:t>
      </w:r>
      <w:proofErr w:type="spellEnd"/>
      <w:r w:rsidRPr="001234AB">
        <w:rPr>
          <w:rFonts w:ascii="Times New Roman" w:hAnsi="Times New Roman" w:cs="Times New Roman"/>
          <w:sz w:val="24"/>
          <w:szCs w:val="24"/>
          <w:lang w:val="en-US"/>
        </w:rPr>
        <w:t xml:space="preserve"> Question. In H.-J. </w:t>
      </w:r>
      <w:proofErr w:type="spellStart"/>
      <w:r w:rsidRPr="001234AB">
        <w:rPr>
          <w:rFonts w:ascii="Times New Roman" w:hAnsi="Times New Roman" w:cs="Times New Roman"/>
          <w:sz w:val="24"/>
          <w:szCs w:val="24"/>
          <w:lang w:val="en-US"/>
        </w:rPr>
        <w:t>Bieling</w:t>
      </w:r>
      <w:proofErr w:type="spellEnd"/>
      <w:r w:rsidRPr="001234AB">
        <w:rPr>
          <w:rFonts w:ascii="Times New Roman" w:hAnsi="Times New Roman" w:cs="Times New Roman"/>
          <w:sz w:val="24"/>
          <w:szCs w:val="24"/>
          <w:lang w:val="en-US"/>
        </w:rPr>
        <w:t xml:space="preserve">, &amp; J. </w:t>
      </w:r>
      <w:proofErr w:type="spellStart"/>
      <w:r w:rsidRPr="001234AB">
        <w:rPr>
          <w:rFonts w:ascii="Times New Roman" w:hAnsi="Times New Roman" w:cs="Times New Roman"/>
          <w:sz w:val="24"/>
          <w:szCs w:val="24"/>
          <w:lang w:val="en-US"/>
        </w:rPr>
        <w:t>Steinhilber</w:t>
      </w:r>
      <w:proofErr w:type="spellEnd"/>
      <w:r w:rsidRPr="001234AB">
        <w:rPr>
          <w:rFonts w:ascii="Times New Roman" w:hAnsi="Times New Roman" w:cs="Times New Roman"/>
          <w:sz w:val="24"/>
          <w:szCs w:val="24"/>
          <w:lang w:val="en-US"/>
        </w:rPr>
        <w:t xml:space="preserve"> (Eds.), </w:t>
      </w:r>
      <w:r w:rsidRPr="001234AB">
        <w:rPr>
          <w:rFonts w:ascii="Times New Roman" w:hAnsi="Times New Roman" w:cs="Times New Roman"/>
          <w:i/>
          <w:iCs/>
          <w:sz w:val="24"/>
          <w:szCs w:val="24"/>
          <w:lang w:val="en-US"/>
        </w:rPr>
        <w:t>Dimensions of a Critical Theory of European Integration</w:t>
      </w:r>
      <w:r w:rsidRPr="001234AB">
        <w:rPr>
          <w:rFonts w:ascii="Times New Roman" w:hAnsi="Times New Roman" w:cs="Times New Roman"/>
          <w:sz w:val="24"/>
          <w:szCs w:val="24"/>
          <w:lang w:val="en-US"/>
        </w:rPr>
        <w:t xml:space="preserve"> (pp. 59-82). Marburg, Germany: Philipps University.</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H. (2004). Transnational class formation and concepts of control: towards a genealogy of the Amsterdam Project in international political economy. </w:t>
      </w:r>
      <w:r w:rsidRPr="001234AB">
        <w:rPr>
          <w:rFonts w:ascii="Times New Roman" w:hAnsi="Times New Roman" w:cs="Times New Roman"/>
          <w:i/>
          <w:iCs/>
          <w:sz w:val="24"/>
          <w:szCs w:val="24"/>
          <w:lang w:val="en-US"/>
        </w:rPr>
        <w:t>Journal of International Relations and Development</w:t>
      </w:r>
      <w:r w:rsidRPr="001234AB">
        <w:rPr>
          <w:rFonts w:ascii="Times New Roman" w:hAnsi="Times New Roman" w:cs="Times New Roman"/>
          <w:sz w:val="24"/>
          <w:szCs w:val="24"/>
          <w:lang w:val="en-US"/>
        </w:rPr>
        <w:t xml:space="preserve">, 7(2), 113–141. </w:t>
      </w:r>
      <w:hyperlink r:id="rId134" w:history="1">
        <w:r w:rsidRPr="001234AB">
          <w:rPr>
            <w:rStyle w:val="Hyperlink"/>
            <w:rFonts w:ascii="Times New Roman" w:hAnsi="Times New Roman" w:cs="Times New Roman"/>
            <w:sz w:val="24"/>
            <w:szCs w:val="24"/>
            <w:lang w:val="en-US"/>
          </w:rPr>
          <w:t>https://doi.org/10.1057/palgrave.jird.1800011</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H. (2018). Introduction – political economy, capital fractions, transnational class formation: revisiting the Amsterdam School. In B. Jessop, &amp; H.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(Eds.), </w:t>
      </w:r>
      <w:r w:rsidRPr="001234AB">
        <w:rPr>
          <w:rFonts w:ascii="Times New Roman" w:hAnsi="Times New Roman" w:cs="Times New Roman"/>
          <w:i/>
          <w:iCs/>
          <w:sz w:val="24"/>
          <w:szCs w:val="24"/>
          <w:lang w:val="en-US"/>
        </w:rPr>
        <w:t>Transnational Capital and Class Fractions: The Amsterdam School Perspective Reconsidered</w:t>
      </w:r>
      <w:r w:rsidRPr="001234AB">
        <w:rPr>
          <w:rFonts w:ascii="Times New Roman" w:hAnsi="Times New Roman" w:cs="Times New Roman"/>
          <w:sz w:val="24"/>
          <w:szCs w:val="24"/>
          <w:lang w:val="en-US"/>
        </w:rPr>
        <w:t xml:space="preserve"> (pp. 1-18). Routledge.</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Packroff</w:t>
      </w:r>
      <w:proofErr w:type="spellEnd"/>
      <w:r w:rsidRPr="001234AB">
        <w:rPr>
          <w:rFonts w:ascii="Times New Roman" w:hAnsi="Times New Roman" w:cs="Times New Roman"/>
          <w:sz w:val="24"/>
          <w:szCs w:val="24"/>
          <w:lang w:val="en-US"/>
        </w:rPr>
        <w:t xml:space="preserve">, J. (2024, April 9). Recovery fund should be ‘blueprint’ for permanent joint borrowing, EU Commission economy chief says. </w:t>
      </w:r>
      <w:proofErr w:type="spellStart"/>
      <w:r w:rsidRPr="001234AB">
        <w:rPr>
          <w:rFonts w:ascii="Times New Roman" w:hAnsi="Times New Roman" w:cs="Times New Roman"/>
          <w:i/>
          <w:iCs/>
          <w:sz w:val="24"/>
          <w:szCs w:val="24"/>
          <w:lang w:val="es-ES"/>
        </w:rPr>
        <w:t>Euractiv</w:t>
      </w:r>
      <w:proofErr w:type="spellEnd"/>
      <w:r w:rsidRPr="001234AB">
        <w:rPr>
          <w:rFonts w:ascii="Times New Roman" w:hAnsi="Times New Roman" w:cs="Times New Roman"/>
          <w:sz w:val="24"/>
          <w:szCs w:val="24"/>
          <w:lang w:val="es-ES"/>
        </w:rPr>
        <w:t xml:space="preserve">. </w:t>
      </w:r>
      <w:hyperlink r:id="rId135" w:history="1">
        <w:r w:rsidRPr="001234AB">
          <w:rPr>
            <w:rStyle w:val="Hyperlink"/>
            <w:rFonts w:ascii="Times New Roman" w:hAnsi="Times New Roman" w:cs="Times New Roman"/>
            <w:sz w:val="24"/>
            <w:szCs w:val="24"/>
            <w:lang w:val="es-ES"/>
          </w:rPr>
          <w:t>https://www.euractiv.com/section/economy-jobs/news/recovery-fund-should-be-blueprint-for-permanent-joint-borrowing-eu-commission-economy-chief-says/</w:t>
        </w:r>
      </w:hyperlink>
      <w:r w:rsidRPr="001234AB">
        <w:rPr>
          <w:rFonts w:ascii="Times New Roman" w:hAnsi="Times New Roman" w:cs="Times New Roman"/>
          <w:sz w:val="24"/>
          <w:szCs w:val="24"/>
          <w:lang w:val="es-ES"/>
        </w:rPr>
        <w:t>.</w:t>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n-US"/>
        </w:rPr>
        <w:t xml:space="preserve">Peters, J. (2011). The rise of finance and the decline of </w:t>
      </w:r>
      <w:proofErr w:type="spellStart"/>
      <w:r w:rsidRPr="001234AB">
        <w:rPr>
          <w:rFonts w:ascii="Times New Roman" w:hAnsi="Times New Roman" w:cs="Times New Roman"/>
          <w:sz w:val="24"/>
          <w:szCs w:val="24"/>
          <w:lang w:val="en-US"/>
        </w:rPr>
        <w:t>organised</w:t>
      </w:r>
      <w:proofErr w:type="spellEnd"/>
      <w:r w:rsidRPr="001234AB">
        <w:rPr>
          <w:rFonts w:ascii="Times New Roman" w:hAnsi="Times New Roman" w:cs="Times New Roman"/>
          <w:sz w:val="24"/>
          <w:szCs w:val="24"/>
          <w:lang w:val="en-US"/>
        </w:rPr>
        <w:t xml:space="preserve"> </w:t>
      </w:r>
      <w:proofErr w:type="spellStart"/>
      <w:r w:rsidRPr="001234AB">
        <w:rPr>
          <w:rFonts w:ascii="Times New Roman" w:hAnsi="Times New Roman" w:cs="Times New Roman"/>
          <w:sz w:val="24"/>
          <w:szCs w:val="24"/>
          <w:lang w:val="en-US"/>
        </w:rPr>
        <w:t>labour</w:t>
      </w:r>
      <w:proofErr w:type="spellEnd"/>
      <w:r w:rsidRPr="001234AB">
        <w:rPr>
          <w:rFonts w:ascii="Times New Roman" w:hAnsi="Times New Roman" w:cs="Times New Roman"/>
          <w:sz w:val="24"/>
          <w:szCs w:val="24"/>
          <w:lang w:val="en-US"/>
        </w:rPr>
        <w:t xml:space="preserve"> in the advanced </w:t>
      </w:r>
      <w:r w:rsidRPr="001234AB">
        <w:rPr>
          <w:rFonts w:ascii="Times New Roman" w:hAnsi="Times New Roman" w:cs="Times New Roman"/>
          <w:sz w:val="24"/>
          <w:szCs w:val="24"/>
          <w:lang w:val="en-US"/>
        </w:rPr>
        <w:lastRenderedPageBreak/>
        <w:t xml:space="preserve">capitalist countries. </w:t>
      </w:r>
      <w:r w:rsidRPr="001234AB">
        <w:rPr>
          <w:rFonts w:ascii="Times New Roman" w:hAnsi="Times New Roman" w:cs="Times New Roman"/>
          <w:i/>
          <w:iCs/>
          <w:sz w:val="24"/>
          <w:szCs w:val="24"/>
          <w:lang w:val="en-US"/>
        </w:rPr>
        <w:t>New political economy</w:t>
      </w:r>
      <w:r w:rsidRPr="001234AB">
        <w:rPr>
          <w:rFonts w:ascii="Times New Roman" w:hAnsi="Times New Roman" w:cs="Times New Roman"/>
          <w:sz w:val="24"/>
          <w:szCs w:val="24"/>
          <w:lang w:val="en-US"/>
        </w:rPr>
        <w:t xml:space="preserve">, 16(1), 73-99. </w:t>
      </w:r>
      <w:hyperlink r:id="rId136" w:history="1">
        <w:r w:rsidRPr="001234AB">
          <w:rPr>
            <w:rStyle w:val="Hyperlink"/>
            <w:rFonts w:ascii="Times New Roman" w:hAnsi="Times New Roman" w:cs="Times New Roman"/>
            <w:sz w:val="24"/>
            <w:szCs w:val="24"/>
            <w:lang w:val="en-US"/>
          </w:rPr>
          <w:t>https://doi.org/10.1080/13563461003789746</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Quaglia, L., Howarth, D., &amp; Liebe, M. (2016). The Political Economy of European Capital Markets Union</w:t>
      </w:r>
      <w:r w:rsidRPr="001234AB">
        <w:rPr>
          <w:rFonts w:ascii="Times New Roman" w:hAnsi="Times New Roman" w:cs="Times New Roman"/>
          <w:i/>
          <w:iCs/>
          <w:sz w:val="24"/>
          <w:szCs w:val="24"/>
          <w:lang w:val="en-US"/>
        </w:rPr>
        <w:t>. Journal of Common Market Studies</w:t>
      </w:r>
      <w:r w:rsidRPr="001234AB">
        <w:rPr>
          <w:rFonts w:ascii="Times New Roman" w:hAnsi="Times New Roman" w:cs="Times New Roman"/>
          <w:sz w:val="24"/>
          <w:szCs w:val="24"/>
          <w:lang w:val="en-US"/>
        </w:rPr>
        <w:t xml:space="preserve">, 54, 185–203. </w:t>
      </w:r>
      <w:hyperlink r:id="rId137" w:history="1">
        <w:r w:rsidRPr="001234AB">
          <w:rPr>
            <w:rStyle w:val="Hyperlink"/>
            <w:rFonts w:ascii="Times New Roman" w:hAnsi="Times New Roman" w:cs="Times New Roman"/>
            <w:sz w:val="24"/>
            <w:szCs w:val="24"/>
            <w:lang w:val="en-US"/>
          </w:rPr>
          <w:t>https://doi.org/10.1111/jcms.12429</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Rasmus, J. (2016). </w:t>
      </w:r>
      <w:r w:rsidRPr="001234AB">
        <w:rPr>
          <w:rFonts w:ascii="Times New Roman" w:hAnsi="Times New Roman" w:cs="Times New Roman"/>
          <w:i/>
          <w:iCs/>
          <w:sz w:val="24"/>
          <w:szCs w:val="24"/>
          <w:lang w:val="en-US"/>
        </w:rPr>
        <w:t>Systemic fragility in the global economy</w:t>
      </w:r>
      <w:r w:rsidRPr="001234AB">
        <w:rPr>
          <w:rFonts w:ascii="Times New Roman" w:hAnsi="Times New Roman" w:cs="Times New Roman"/>
          <w:sz w:val="24"/>
          <w:szCs w:val="24"/>
          <w:lang w:val="en-US"/>
        </w:rPr>
        <w:t>. Atlanta, United States: Clarity Press.</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Rosana, G. (2024, March 5). As the EU lays out its first joint </w:t>
      </w:r>
      <w:proofErr w:type="spellStart"/>
      <w:r w:rsidRPr="001234AB">
        <w:rPr>
          <w:rFonts w:ascii="Times New Roman" w:hAnsi="Times New Roman" w:cs="Times New Roman"/>
          <w:sz w:val="24"/>
          <w:szCs w:val="24"/>
          <w:lang w:val="en-US"/>
        </w:rPr>
        <w:t>defence</w:t>
      </w:r>
      <w:proofErr w:type="spellEnd"/>
      <w:r w:rsidRPr="001234AB">
        <w:rPr>
          <w:rFonts w:ascii="Times New Roman" w:hAnsi="Times New Roman" w:cs="Times New Roman"/>
          <w:sz w:val="24"/>
          <w:szCs w:val="24"/>
          <w:lang w:val="en-US"/>
        </w:rPr>
        <w:t xml:space="preserve"> strategy, could Eurobonds become a reality? </w:t>
      </w:r>
      <w:r w:rsidRPr="001234AB">
        <w:rPr>
          <w:rFonts w:ascii="Times New Roman" w:hAnsi="Times New Roman" w:cs="Times New Roman"/>
          <w:i/>
          <w:iCs/>
          <w:sz w:val="24"/>
          <w:szCs w:val="24"/>
          <w:lang w:val="en-US"/>
        </w:rPr>
        <w:t>The Parliament</w:t>
      </w:r>
      <w:r w:rsidRPr="001234AB">
        <w:rPr>
          <w:rFonts w:ascii="Times New Roman" w:hAnsi="Times New Roman" w:cs="Times New Roman"/>
          <w:sz w:val="24"/>
          <w:szCs w:val="24"/>
          <w:lang w:val="en-US"/>
        </w:rPr>
        <w:t xml:space="preserve">. </w:t>
      </w:r>
      <w:hyperlink r:id="rId138" w:history="1">
        <w:r w:rsidRPr="001234AB">
          <w:rPr>
            <w:rStyle w:val="Hyperlink"/>
            <w:rFonts w:ascii="Times New Roman" w:hAnsi="Times New Roman" w:cs="Times New Roman"/>
            <w:sz w:val="24"/>
            <w:szCs w:val="24"/>
            <w:lang w:val="en-US"/>
          </w:rPr>
          <w:t>https://www.theparliamentmagazine.eu/news/article/as-the-eu-lays-out-its-first-joint-defence-strategy-could-eurobonds-become-a-reality</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Rupert, M. (1993). Alienation, Capitalism, and the Inter-State System: Towards a Marxian/ Gramscian Critique. In S. Gill (Ed.), </w:t>
      </w:r>
      <w:r w:rsidRPr="001234AB">
        <w:rPr>
          <w:rFonts w:ascii="Times New Roman" w:hAnsi="Times New Roman" w:cs="Times New Roman"/>
          <w:i/>
          <w:iCs/>
          <w:sz w:val="24"/>
          <w:szCs w:val="24"/>
          <w:lang w:val="en-US"/>
        </w:rPr>
        <w:t>Gramsci, Historical Materialism and International Relations</w:t>
      </w:r>
      <w:r w:rsidRPr="001234AB">
        <w:rPr>
          <w:rFonts w:ascii="Times New Roman" w:hAnsi="Times New Roman" w:cs="Times New Roman"/>
          <w:sz w:val="24"/>
          <w:szCs w:val="24"/>
          <w:lang w:val="en-US"/>
        </w:rPr>
        <w:t xml:space="preserve"> (pp. 67-92). Cambridge, United Kingdom: Cambridge University.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Ryner</w:t>
      </w:r>
      <w:proofErr w:type="spellEnd"/>
      <w:r w:rsidRPr="001234AB">
        <w:rPr>
          <w:rFonts w:ascii="Times New Roman" w:hAnsi="Times New Roman" w:cs="Times New Roman"/>
          <w:sz w:val="24"/>
          <w:szCs w:val="24"/>
          <w:lang w:val="en-US"/>
        </w:rPr>
        <w:t xml:space="preserve">, M. (2015). Europe’s ordoliberal iron cage: critical political economy, the euro area crisis and its management. </w:t>
      </w:r>
      <w:r w:rsidRPr="001234AB">
        <w:rPr>
          <w:rFonts w:ascii="Times New Roman" w:hAnsi="Times New Roman" w:cs="Times New Roman"/>
          <w:i/>
          <w:iCs/>
          <w:sz w:val="24"/>
          <w:szCs w:val="24"/>
          <w:lang w:val="en-US"/>
        </w:rPr>
        <w:t>Journal of European Public Policy</w:t>
      </w:r>
      <w:r w:rsidRPr="001234AB">
        <w:rPr>
          <w:rFonts w:ascii="Times New Roman" w:hAnsi="Times New Roman" w:cs="Times New Roman"/>
          <w:sz w:val="24"/>
          <w:szCs w:val="24"/>
          <w:lang w:val="en-US"/>
        </w:rPr>
        <w:t xml:space="preserve">, 22(2), 275–294. </w:t>
      </w:r>
      <w:hyperlink r:id="rId139" w:history="1">
        <w:r w:rsidRPr="001234AB">
          <w:rPr>
            <w:rStyle w:val="Hyperlink"/>
            <w:rFonts w:ascii="Times New Roman" w:hAnsi="Times New Roman" w:cs="Times New Roman"/>
            <w:sz w:val="24"/>
            <w:szCs w:val="24"/>
            <w:lang w:val="en-US"/>
          </w:rPr>
          <w:t>https://doi.org/10.1080/13501763.2014.995119</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Ryner</w:t>
      </w:r>
      <w:proofErr w:type="spellEnd"/>
      <w:r w:rsidRPr="001234AB">
        <w:rPr>
          <w:rFonts w:ascii="Times New Roman" w:hAnsi="Times New Roman" w:cs="Times New Roman"/>
          <w:sz w:val="24"/>
          <w:szCs w:val="24"/>
          <w:lang w:val="en-US"/>
        </w:rPr>
        <w:t xml:space="preserve">, J. M. (2023). Silent revolution/passive revolution: Europe’s COVID-19 recovery plan and green deal. </w:t>
      </w:r>
      <w:r w:rsidRPr="001234AB">
        <w:rPr>
          <w:rFonts w:ascii="Times New Roman" w:hAnsi="Times New Roman" w:cs="Times New Roman"/>
          <w:i/>
          <w:iCs/>
          <w:sz w:val="24"/>
          <w:szCs w:val="24"/>
          <w:lang w:val="en-US"/>
        </w:rPr>
        <w:t>Globalizations</w:t>
      </w:r>
      <w:r w:rsidRPr="001234AB">
        <w:rPr>
          <w:rFonts w:ascii="Times New Roman" w:hAnsi="Times New Roman" w:cs="Times New Roman"/>
          <w:sz w:val="24"/>
          <w:szCs w:val="24"/>
          <w:lang w:val="en-US"/>
        </w:rPr>
        <w:t xml:space="preserve">, 20(4), 628–643. </w:t>
      </w:r>
      <w:hyperlink r:id="rId140" w:history="1">
        <w:r w:rsidRPr="001234AB">
          <w:rPr>
            <w:rStyle w:val="Hyperlink"/>
            <w:rFonts w:ascii="Times New Roman" w:hAnsi="Times New Roman" w:cs="Times New Roman"/>
            <w:sz w:val="24"/>
            <w:szCs w:val="24"/>
            <w:lang w:val="en-US"/>
          </w:rPr>
          <w:t>https://doi.org/10.1080/14747731.2022.2147764</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Santos, A. C., Lopes, C. A., &amp; </w:t>
      </w:r>
      <w:proofErr w:type="spellStart"/>
      <w:r w:rsidRPr="001234AB">
        <w:rPr>
          <w:rFonts w:ascii="Times New Roman" w:hAnsi="Times New Roman" w:cs="Times New Roman"/>
          <w:sz w:val="24"/>
          <w:szCs w:val="24"/>
          <w:lang w:val="en-US"/>
        </w:rPr>
        <w:t>Betzelt</w:t>
      </w:r>
      <w:proofErr w:type="spellEnd"/>
      <w:r w:rsidRPr="001234AB">
        <w:rPr>
          <w:rFonts w:ascii="Times New Roman" w:hAnsi="Times New Roman" w:cs="Times New Roman"/>
          <w:sz w:val="24"/>
          <w:szCs w:val="24"/>
          <w:lang w:val="en-US"/>
        </w:rPr>
        <w:t xml:space="preserve">, S. (2017). </w:t>
      </w:r>
      <w:proofErr w:type="spellStart"/>
      <w:r w:rsidRPr="001234AB">
        <w:rPr>
          <w:rFonts w:ascii="Times New Roman" w:hAnsi="Times New Roman" w:cs="Times New Roman"/>
          <w:sz w:val="24"/>
          <w:szCs w:val="24"/>
          <w:lang w:val="en-US"/>
        </w:rPr>
        <w:t>Financialisation</w:t>
      </w:r>
      <w:proofErr w:type="spellEnd"/>
      <w:r w:rsidRPr="001234AB">
        <w:rPr>
          <w:rFonts w:ascii="Times New Roman" w:hAnsi="Times New Roman" w:cs="Times New Roman"/>
          <w:sz w:val="24"/>
          <w:szCs w:val="24"/>
          <w:lang w:val="en-US"/>
        </w:rPr>
        <w:t xml:space="preserve"> and Work in Europe: Inequality, Debt and </w:t>
      </w:r>
      <w:proofErr w:type="spellStart"/>
      <w:r w:rsidRPr="001234AB">
        <w:rPr>
          <w:rFonts w:ascii="Times New Roman" w:hAnsi="Times New Roman" w:cs="Times New Roman"/>
          <w:sz w:val="24"/>
          <w:szCs w:val="24"/>
          <w:lang w:val="en-US"/>
        </w:rPr>
        <w:t>Labour</w:t>
      </w:r>
      <w:proofErr w:type="spellEnd"/>
      <w:r w:rsidRPr="001234AB">
        <w:rPr>
          <w:rFonts w:ascii="Times New Roman" w:hAnsi="Times New Roman" w:cs="Times New Roman"/>
          <w:sz w:val="24"/>
          <w:szCs w:val="24"/>
          <w:lang w:val="en-US"/>
        </w:rPr>
        <w:t xml:space="preserve"> Market Segmentation. </w:t>
      </w:r>
      <w:r w:rsidRPr="001234AB">
        <w:rPr>
          <w:rFonts w:ascii="Times New Roman" w:hAnsi="Times New Roman" w:cs="Times New Roman"/>
          <w:i/>
          <w:iCs/>
          <w:sz w:val="24"/>
          <w:szCs w:val="24"/>
          <w:lang w:val="es-ES"/>
        </w:rPr>
        <w:t>Revista de economía mundial</w:t>
      </w:r>
      <w:r w:rsidRPr="001234AB">
        <w:rPr>
          <w:rFonts w:ascii="Times New Roman" w:hAnsi="Times New Roman" w:cs="Times New Roman"/>
          <w:sz w:val="24"/>
          <w:szCs w:val="24"/>
          <w:lang w:val="es-ES"/>
        </w:rPr>
        <w:t xml:space="preserve">, (46). </w:t>
      </w:r>
      <w:hyperlink r:id="rId141" w:history="1">
        <w:r w:rsidRPr="001234AB">
          <w:rPr>
            <w:rStyle w:val="Hyperlink"/>
            <w:rFonts w:ascii="Times New Roman" w:hAnsi="Times New Roman" w:cs="Times New Roman"/>
            <w:sz w:val="24"/>
            <w:szCs w:val="24"/>
            <w:lang w:val="es-ES"/>
          </w:rPr>
          <w:t>http://hdl.handle.net/10272/14072</w:t>
        </w:r>
      </w:hyperlink>
      <w:r w:rsidRPr="001234AB">
        <w:rPr>
          <w:rFonts w:ascii="Times New Roman" w:hAnsi="Times New Roman" w:cs="Times New Roman"/>
          <w:sz w:val="24"/>
          <w:szCs w:val="24"/>
          <w:lang w:val="es-ES"/>
        </w:rPr>
        <w:t xml:space="preserve">. </w:t>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s-ES"/>
        </w:rPr>
        <w:br/>
      </w:r>
      <w:proofErr w:type="spellStart"/>
      <w:r w:rsidRPr="001234AB">
        <w:rPr>
          <w:rFonts w:ascii="Times New Roman" w:hAnsi="Times New Roman" w:cs="Times New Roman"/>
          <w:sz w:val="24"/>
          <w:szCs w:val="24"/>
          <w:lang w:val="es-ES"/>
        </w:rPr>
        <w:t>Schelkle</w:t>
      </w:r>
      <w:proofErr w:type="spellEnd"/>
      <w:r w:rsidRPr="001234AB">
        <w:rPr>
          <w:rFonts w:ascii="Times New Roman" w:hAnsi="Times New Roman" w:cs="Times New Roman"/>
          <w:sz w:val="24"/>
          <w:szCs w:val="24"/>
          <w:lang w:val="es-ES"/>
        </w:rPr>
        <w:t xml:space="preserve">, W. (2021). </w:t>
      </w:r>
      <w:r w:rsidRPr="001234AB">
        <w:rPr>
          <w:rFonts w:ascii="Times New Roman" w:hAnsi="Times New Roman" w:cs="Times New Roman"/>
          <w:sz w:val="24"/>
          <w:szCs w:val="24"/>
          <w:lang w:val="en-US"/>
        </w:rPr>
        <w:t xml:space="preserve">Fiscal Integration in an Experimental Union: How Path-Breaking Was the EU’s Response to the COVID-19 Pandemic? </w:t>
      </w:r>
      <w:r w:rsidRPr="001234AB">
        <w:rPr>
          <w:rFonts w:ascii="Times New Roman" w:hAnsi="Times New Roman" w:cs="Times New Roman"/>
          <w:i/>
          <w:iCs/>
          <w:sz w:val="24"/>
          <w:szCs w:val="24"/>
          <w:lang w:val="en-US"/>
        </w:rPr>
        <w:t>Journal of Common Market Studies</w:t>
      </w:r>
      <w:r w:rsidRPr="001234AB">
        <w:rPr>
          <w:rFonts w:ascii="Times New Roman" w:hAnsi="Times New Roman" w:cs="Times New Roman"/>
          <w:sz w:val="24"/>
          <w:szCs w:val="24"/>
          <w:lang w:val="en-US"/>
        </w:rPr>
        <w:t xml:space="preserve">, 59, 44–55. </w:t>
      </w:r>
      <w:hyperlink r:id="rId142" w:history="1">
        <w:r w:rsidRPr="001234AB">
          <w:rPr>
            <w:rStyle w:val="Hyperlink"/>
            <w:rFonts w:ascii="Times New Roman" w:hAnsi="Times New Roman" w:cs="Times New Roman"/>
            <w:sz w:val="24"/>
            <w:szCs w:val="24"/>
            <w:lang w:val="en-US"/>
          </w:rPr>
          <w:t>https://doi.org/10.1111/jcms.13246</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lastRenderedPageBreak/>
        <w:br/>
        <w:t xml:space="preserve">Schneider, E. (2023). </w:t>
      </w:r>
      <w:proofErr w:type="spellStart"/>
      <w:r w:rsidRPr="001234AB">
        <w:rPr>
          <w:rFonts w:ascii="Times New Roman" w:hAnsi="Times New Roman" w:cs="Times New Roman"/>
          <w:sz w:val="24"/>
          <w:szCs w:val="24"/>
          <w:lang w:val="en-US"/>
        </w:rPr>
        <w:t>NextGenerationEU</w:t>
      </w:r>
      <w:proofErr w:type="spellEnd"/>
      <w:r w:rsidRPr="001234AB">
        <w:rPr>
          <w:rFonts w:ascii="Times New Roman" w:hAnsi="Times New Roman" w:cs="Times New Roman"/>
          <w:sz w:val="24"/>
          <w:szCs w:val="24"/>
          <w:lang w:val="en-US"/>
        </w:rPr>
        <w:t xml:space="preserve"> and the Future of the European Monetary Union: Shifting Interests and New Fractures in the German Power Bloc. </w:t>
      </w:r>
      <w:r w:rsidRPr="001234AB">
        <w:rPr>
          <w:rFonts w:ascii="Times New Roman" w:hAnsi="Times New Roman" w:cs="Times New Roman"/>
          <w:i/>
          <w:iCs/>
          <w:sz w:val="24"/>
          <w:szCs w:val="24"/>
          <w:lang w:val="en-US"/>
        </w:rPr>
        <w:t>Journal of Common Market Studies</w:t>
      </w:r>
      <w:r w:rsidRPr="001234AB">
        <w:rPr>
          <w:rFonts w:ascii="Times New Roman" w:hAnsi="Times New Roman" w:cs="Times New Roman"/>
          <w:sz w:val="24"/>
          <w:szCs w:val="24"/>
          <w:lang w:val="en-US"/>
        </w:rPr>
        <w:t xml:space="preserve">, 61(5), 1298–1317. </w:t>
      </w:r>
      <w:hyperlink r:id="rId143" w:history="1">
        <w:r w:rsidRPr="001234AB">
          <w:rPr>
            <w:rStyle w:val="Hyperlink"/>
            <w:rFonts w:ascii="Times New Roman" w:hAnsi="Times New Roman" w:cs="Times New Roman"/>
            <w:sz w:val="24"/>
            <w:szCs w:val="24"/>
            <w:lang w:val="en-US"/>
          </w:rPr>
          <w:t>https://doi.org/10.1111/jcms.13465</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Soref</w:t>
      </w:r>
      <w:proofErr w:type="spellEnd"/>
      <w:r w:rsidRPr="001234AB">
        <w:rPr>
          <w:rFonts w:ascii="Times New Roman" w:hAnsi="Times New Roman" w:cs="Times New Roman"/>
          <w:sz w:val="24"/>
          <w:szCs w:val="24"/>
          <w:lang w:val="en-US"/>
        </w:rPr>
        <w:t xml:space="preserve">, M., &amp; Zeitlin, M. (1987). Finance capital and the internal structure of the capitalist class in the United States. In M.S. </w:t>
      </w:r>
      <w:proofErr w:type="spellStart"/>
      <w:r w:rsidRPr="001234AB">
        <w:rPr>
          <w:rFonts w:ascii="Times New Roman" w:hAnsi="Times New Roman" w:cs="Times New Roman"/>
          <w:sz w:val="24"/>
          <w:szCs w:val="24"/>
          <w:lang w:val="en-US"/>
        </w:rPr>
        <w:t>Mizruchi</w:t>
      </w:r>
      <w:proofErr w:type="spellEnd"/>
      <w:r w:rsidRPr="001234AB">
        <w:rPr>
          <w:rFonts w:ascii="Times New Roman" w:hAnsi="Times New Roman" w:cs="Times New Roman"/>
          <w:sz w:val="24"/>
          <w:szCs w:val="24"/>
          <w:lang w:val="en-US"/>
        </w:rPr>
        <w:t xml:space="preserve"> &amp; M. Schwartz (Eds.), </w:t>
      </w:r>
      <w:r w:rsidRPr="001234AB">
        <w:rPr>
          <w:rFonts w:ascii="Times New Roman" w:hAnsi="Times New Roman" w:cs="Times New Roman"/>
          <w:i/>
          <w:iCs/>
          <w:sz w:val="24"/>
          <w:szCs w:val="24"/>
          <w:lang w:val="en-US"/>
        </w:rPr>
        <w:t xml:space="preserve">Intercorporate relations. The structural analysis of business </w:t>
      </w:r>
      <w:r w:rsidRPr="001234AB">
        <w:rPr>
          <w:rFonts w:ascii="Times New Roman" w:hAnsi="Times New Roman" w:cs="Times New Roman"/>
          <w:sz w:val="24"/>
          <w:szCs w:val="24"/>
          <w:lang w:val="en-US"/>
        </w:rPr>
        <w:t>(pp. 56–84). Cambridge, United Kingdom: Cambridge University Press.</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Stoupos</w:t>
      </w:r>
      <w:proofErr w:type="spellEnd"/>
      <w:r w:rsidRPr="001234AB">
        <w:rPr>
          <w:rFonts w:ascii="Times New Roman" w:hAnsi="Times New Roman" w:cs="Times New Roman"/>
          <w:sz w:val="24"/>
          <w:szCs w:val="24"/>
          <w:lang w:val="en-US"/>
        </w:rPr>
        <w:t xml:space="preserve">, N., &amp; </w:t>
      </w:r>
      <w:proofErr w:type="spellStart"/>
      <w:r w:rsidRPr="001234AB">
        <w:rPr>
          <w:rFonts w:ascii="Times New Roman" w:hAnsi="Times New Roman" w:cs="Times New Roman"/>
          <w:sz w:val="24"/>
          <w:szCs w:val="24"/>
          <w:lang w:val="en-US"/>
        </w:rPr>
        <w:t>Kiohos</w:t>
      </w:r>
      <w:proofErr w:type="spellEnd"/>
      <w:r w:rsidRPr="001234AB">
        <w:rPr>
          <w:rFonts w:ascii="Times New Roman" w:hAnsi="Times New Roman" w:cs="Times New Roman"/>
          <w:sz w:val="24"/>
          <w:szCs w:val="24"/>
          <w:lang w:val="en-US"/>
        </w:rPr>
        <w:t xml:space="preserve">, A. (2022). Euro Area: Towards a European Common Bond? - Empirical Evidence from the Sovereign Debt Markets. </w:t>
      </w:r>
      <w:r w:rsidRPr="001234AB">
        <w:rPr>
          <w:rFonts w:ascii="Times New Roman" w:hAnsi="Times New Roman" w:cs="Times New Roman"/>
          <w:i/>
          <w:iCs/>
          <w:sz w:val="24"/>
          <w:szCs w:val="24"/>
          <w:lang w:val="en-US"/>
        </w:rPr>
        <w:t>Journal of Common Market Studies</w:t>
      </w:r>
      <w:r w:rsidRPr="001234AB">
        <w:rPr>
          <w:rFonts w:ascii="Times New Roman" w:hAnsi="Times New Roman" w:cs="Times New Roman"/>
          <w:sz w:val="24"/>
          <w:szCs w:val="24"/>
          <w:lang w:val="en-US"/>
        </w:rPr>
        <w:t xml:space="preserve">, 60(4), 1019–1046. </w:t>
      </w:r>
      <w:hyperlink r:id="rId144" w:history="1">
        <w:r w:rsidRPr="001234AB">
          <w:rPr>
            <w:rStyle w:val="Hyperlink"/>
            <w:rFonts w:ascii="Times New Roman" w:hAnsi="Times New Roman" w:cs="Times New Roman"/>
            <w:sz w:val="24"/>
            <w:szCs w:val="24"/>
            <w:lang w:val="en-US"/>
          </w:rPr>
          <w:t>https://doi.org/10.1111/jcms.13297</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Tesche</w:t>
      </w:r>
      <w:proofErr w:type="spellEnd"/>
      <w:r w:rsidRPr="001234AB">
        <w:rPr>
          <w:rFonts w:ascii="Times New Roman" w:hAnsi="Times New Roman" w:cs="Times New Roman"/>
          <w:sz w:val="24"/>
          <w:szCs w:val="24"/>
          <w:lang w:val="en-US"/>
        </w:rPr>
        <w:t xml:space="preserve">, T. (2022). Pandemic politics: the European Union in times of the coronavirus emergency. </w:t>
      </w:r>
      <w:r w:rsidRPr="001234AB">
        <w:rPr>
          <w:rFonts w:ascii="Times New Roman" w:hAnsi="Times New Roman" w:cs="Times New Roman"/>
          <w:i/>
          <w:iCs/>
          <w:sz w:val="24"/>
          <w:szCs w:val="24"/>
          <w:lang w:val="en-US"/>
        </w:rPr>
        <w:t>Journal of Common Market Studies</w:t>
      </w:r>
      <w:r w:rsidRPr="001234AB">
        <w:rPr>
          <w:rFonts w:ascii="Times New Roman" w:hAnsi="Times New Roman" w:cs="Times New Roman"/>
          <w:sz w:val="24"/>
          <w:szCs w:val="24"/>
          <w:lang w:val="en-US"/>
        </w:rPr>
        <w:t xml:space="preserve">, 60(2), 480–496. </w:t>
      </w:r>
      <w:hyperlink r:id="rId145" w:history="1">
        <w:r w:rsidRPr="001234AB">
          <w:rPr>
            <w:rStyle w:val="Hyperlink"/>
            <w:rFonts w:ascii="Times New Roman" w:hAnsi="Times New Roman" w:cs="Times New Roman"/>
            <w:sz w:val="24"/>
            <w:szCs w:val="24"/>
            <w:lang w:val="en-US"/>
          </w:rPr>
          <w:t>https://doi.org/10.1111/jcms.13303</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Thiemann, M. (2014). In the Shadow of Basel: How Competitive Politics Bred the Crisis. </w:t>
      </w:r>
      <w:r w:rsidRPr="001234AB">
        <w:rPr>
          <w:rFonts w:ascii="Times New Roman" w:hAnsi="Times New Roman" w:cs="Times New Roman"/>
          <w:i/>
          <w:iCs/>
          <w:sz w:val="24"/>
          <w:szCs w:val="24"/>
          <w:lang w:val="en-US"/>
        </w:rPr>
        <w:t>Review of International Political Economy</w:t>
      </w:r>
      <w:r w:rsidRPr="001234AB">
        <w:rPr>
          <w:rFonts w:ascii="Times New Roman" w:hAnsi="Times New Roman" w:cs="Times New Roman"/>
          <w:sz w:val="24"/>
          <w:szCs w:val="24"/>
          <w:lang w:val="en-US"/>
        </w:rPr>
        <w:t xml:space="preserve">, 21(6), 1203–1239. </w:t>
      </w:r>
      <w:hyperlink r:id="rId146" w:history="1">
        <w:r w:rsidRPr="001234AB">
          <w:rPr>
            <w:rStyle w:val="Hyperlink"/>
            <w:rFonts w:ascii="Times New Roman" w:hAnsi="Times New Roman" w:cs="Times New Roman"/>
            <w:color w:val="auto"/>
            <w:sz w:val="24"/>
            <w:szCs w:val="24"/>
            <w:lang w:val="en-US"/>
          </w:rPr>
          <w:t>https://doi.org/10.1080/09692290.2013.860612</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Treaty on the Functioning of the European Union. (2016). </w:t>
      </w:r>
      <w:r w:rsidRPr="001234AB">
        <w:rPr>
          <w:rFonts w:ascii="Times New Roman" w:hAnsi="Times New Roman" w:cs="Times New Roman"/>
          <w:i/>
          <w:iCs/>
          <w:sz w:val="24"/>
          <w:szCs w:val="24"/>
          <w:lang w:val="en-US"/>
        </w:rPr>
        <w:t>Official Journal</w:t>
      </w:r>
      <w:r w:rsidRPr="001234AB">
        <w:rPr>
          <w:rFonts w:ascii="Times New Roman" w:hAnsi="Times New Roman" w:cs="Times New Roman"/>
          <w:sz w:val="24"/>
          <w:szCs w:val="24"/>
          <w:lang w:val="en-US"/>
        </w:rPr>
        <w:t xml:space="preserve"> OJ C 202, p. 181.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Treaty on the Functioning of the European Union. </w:t>
      </w:r>
      <w:r w:rsidRPr="001234AB">
        <w:rPr>
          <w:rFonts w:ascii="Times New Roman" w:hAnsi="Times New Roman" w:cs="Times New Roman"/>
          <w:sz w:val="24"/>
          <w:szCs w:val="24"/>
        </w:rPr>
        <w:t xml:space="preserve">(2016). </w:t>
      </w:r>
      <w:r w:rsidRPr="001234AB">
        <w:rPr>
          <w:rFonts w:ascii="Times New Roman" w:hAnsi="Times New Roman" w:cs="Times New Roman"/>
          <w:i/>
          <w:iCs/>
          <w:sz w:val="24"/>
          <w:szCs w:val="24"/>
        </w:rPr>
        <w:t>Official Journal</w:t>
      </w:r>
      <w:r w:rsidRPr="001234AB">
        <w:rPr>
          <w:rFonts w:ascii="Times New Roman" w:hAnsi="Times New Roman" w:cs="Times New Roman"/>
          <w:sz w:val="24"/>
          <w:szCs w:val="24"/>
        </w:rPr>
        <w:t xml:space="preserve"> OJ C 202, pp. 181-182. </w:t>
      </w:r>
      <w:r w:rsidRPr="001234AB">
        <w:rPr>
          <w:rFonts w:ascii="Times New Roman" w:hAnsi="Times New Roman" w:cs="Times New Roman"/>
          <w:sz w:val="24"/>
          <w:szCs w:val="24"/>
        </w:rPr>
        <w:br/>
      </w:r>
      <w:r w:rsidRPr="001234AB">
        <w:rPr>
          <w:rFonts w:ascii="Times New Roman" w:hAnsi="Times New Roman" w:cs="Times New Roman"/>
          <w:sz w:val="24"/>
          <w:szCs w:val="24"/>
        </w:rPr>
        <w:br/>
      </w:r>
      <w:proofErr w:type="gramStart"/>
      <w:r w:rsidRPr="001234AB">
        <w:rPr>
          <w:rFonts w:ascii="Times New Roman" w:hAnsi="Times New Roman" w:cs="Times New Roman"/>
          <w:sz w:val="24"/>
          <w:szCs w:val="24"/>
        </w:rPr>
        <w:t>van</w:t>
      </w:r>
      <w:proofErr w:type="gramEnd"/>
      <w:r w:rsidRPr="001234AB">
        <w:rPr>
          <w:rFonts w:ascii="Times New Roman" w:hAnsi="Times New Roman" w:cs="Times New Roman"/>
          <w:sz w:val="24"/>
          <w:szCs w:val="24"/>
        </w:rPr>
        <w:t xml:space="preserve"> Apeldoorn, B., Overbeek, H., &amp; </w:t>
      </w:r>
      <w:proofErr w:type="spellStart"/>
      <w:r w:rsidRPr="001234AB">
        <w:rPr>
          <w:rFonts w:ascii="Times New Roman" w:hAnsi="Times New Roman" w:cs="Times New Roman"/>
          <w:sz w:val="24"/>
          <w:szCs w:val="24"/>
        </w:rPr>
        <w:t>Ryner</w:t>
      </w:r>
      <w:proofErr w:type="spellEnd"/>
      <w:r w:rsidRPr="001234AB">
        <w:rPr>
          <w:rFonts w:ascii="Times New Roman" w:hAnsi="Times New Roman" w:cs="Times New Roman"/>
          <w:sz w:val="24"/>
          <w:szCs w:val="24"/>
        </w:rPr>
        <w:t xml:space="preserve">, M. (2003). </w:t>
      </w:r>
      <w:r w:rsidRPr="001234AB">
        <w:rPr>
          <w:rFonts w:ascii="Times New Roman" w:hAnsi="Times New Roman" w:cs="Times New Roman"/>
          <w:sz w:val="24"/>
          <w:szCs w:val="24"/>
          <w:lang w:val="en-US"/>
        </w:rPr>
        <w:t xml:space="preserve">Theories of European Integration A Critique. In A. W. </w:t>
      </w:r>
      <w:proofErr w:type="spellStart"/>
      <w:r w:rsidRPr="001234AB">
        <w:rPr>
          <w:rFonts w:ascii="Times New Roman" w:hAnsi="Times New Roman" w:cs="Times New Roman"/>
          <w:sz w:val="24"/>
          <w:szCs w:val="24"/>
          <w:lang w:val="en-US"/>
        </w:rPr>
        <w:t>Cafruny</w:t>
      </w:r>
      <w:proofErr w:type="spellEnd"/>
      <w:r w:rsidRPr="001234AB">
        <w:rPr>
          <w:rFonts w:ascii="Times New Roman" w:hAnsi="Times New Roman" w:cs="Times New Roman"/>
          <w:sz w:val="24"/>
          <w:szCs w:val="24"/>
          <w:lang w:val="en-US"/>
        </w:rPr>
        <w:t xml:space="preserve">, &amp; M. </w:t>
      </w:r>
      <w:proofErr w:type="spellStart"/>
      <w:r w:rsidRPr="001234AB">
        <w:rPr>
          <w:rFonts w:ascii="Times New Roman" w:hAnsi="Times New Roman" w:cs="Times New Roman"/>
          <w:sz w:val="24"/>
          <w:szCs w:val="24"/>
          <w:lang w:val="en-US"/>
        </w:rPr>
        <w:t>Ryner</w:t>
      </w:r>
      <w:proofErr w:type="spellEnd"/>
      <w:r w:rsidRPr="001234AB">
        <w:rPr>
          <w:rFonts w:ascii="Times New Roman" w:hAnsi="Times New Roman" w:cs="Times New Roman"/>
          <w:sz w:val="24"/>
          <w:szCs w:val="24"/>
          <w:lang w:val="en-US"/>
        </w:rPr>
        <w:t xml:space="preserve"> (Eds.),</w:t>
      </w:r>
      <w:r w:rsidRPr="001234AB">
        <w:rPr>
          <w:rFonts w:ascii="Times New Roman" w:hAnsi="Times New Roman" w:cs="Times New Roman"/>
          <w:i/>
          <w:iCs/>
          <w:sz w:val="24"/>
          <w:szCs w:val="24"/>
          <w:lang w:val="en-US"/>
        </w:rPr>
        <w:t> A Ruined Fortress? Neoliberal Hegemony and Transformation in Europe</w:t>
      </w:r>
      <w:r w:rsidRPr="001234AB">
        <w:rPr>
          <w:rFonts w:ascii="Times New Roman" w:hAnsi="Times New Roman" w:cs="Times New Roman"/>
          <w:sz w:val="24"/>
          <w:szCs w:val="24"/>
          <w:lang w:val="en-US"/>
        </w:rPr>
        <w:t> (pp. 17-45). Lanham, United States: Rowan &amp; Littlefield Publishers.</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van Apeldoorn, B. (2004). Theorizing the transnational: a historical materialist approach. </w:t>
      </w:r>
      <w:r w:rsidRPr="001234AB">
        <w:rPr>
          <w:rFonts w:ascii="Times New Roman" w:hAnsi="Times New Roman" w:cs="Times New Roman"/>
          <w:i/>
          <w:iCs/>
          <w:sz w:val="24"/>
          <w:szCs w:val="24"/>
          <w:lang w:val="en-US"/>
        </w:rPr>
        <w:t>Journal of International Relations and Development</w:t>
      </w:r>
      <w:r w:rsidRPr="001234AB">
        <w:rPr>
          <w:rFonts w:ascii="Times New Roman" w:hAnsi="Times New Roman" w:cs="Times New Roman"/>
          <w:sz w:val="24"/>
          <w:szCs w:val="24"/>
          <w:lang w:val="en-US"/>
        </w:rPr>
        <w:t xml:space="preserve">, 7(2), 142–176. </w:t>
      </w:r>
      <w:hyperlink r:id="rId147" w:history="1">
        <w:r w:rsidRPr="001234AB">
          <w:rPr>
            <w:rStyle w:val="Hyperlink"/>
            <w:rFonts w:ascii="Times New Roman" w:hAnsi="Times New Roman" w:cs="Times New Roman"/>
            <w:sz w:val="24"/>
            <w:szCs w:val="24"/>
            <w:lang w:val="en-US"/>
          </w:rPr>
          <w:t>https://doi.org/10.1057/palgrave.jird.1800010</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van Apeldoorn, B., &amp;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H. (2012). Introduction: The Life Course of the Neoliberal project and the Global Crisis. </w:t>
      </w:r>
      <w:r w:rsidRPr="001234AB">
        <w:rPr>
          <w:rFonts w:ascii="Times New Roman" w:hAnsi="Times New Roman" w:cs="Times New Roman"/>
          <w:sz w:val="24"/>
          <w:szCs w:val="24"/>
        </w:rPr>
        <w:t xml:space="preserve">In H. Overbeek &amp; B. van Apeldoorn (Eds.), </w:t>
      </w:r>
      <w:proofErr w:type="spellStart"/>
      <w:r w:rsidRPr="001234AB">
        <w:rPr>
          <w:rFonts w:ascii="Times New Roman" w:hAnsi="Times New Roman" w:cs="Times New Roman"/>
          <w:i/>
          <w:iCs/>
          <w:sz w:val="24"/>
          <w:szCs w:val="24"/>
        </w:rPr>
        <w:t>Neoliberalism</w:t>
      </w:r>
      <w:proofErr w:type="spellEnd"/>
      <w:r w:rsidRPr="001234AB">
        <w:rPr>
          <w:rFonts w:ascii="Times New Roman" w:hAnsi="Times New Roman" w:cs="Times New Roman"/>
          <w:i/>
          <w:iCs/>
          <w:sz w:val="24"/>
          <w:szCs w:val="24"/>
        </w:rPr>
        <w:t xml:space="preserve"> in crisis</w:t>
      </w:r>
      <w:r w:rsidRPr="001234AB">
        <w:rPr>
          <w:rFonts w:ascii="Times New Roman" w:hAnsi="Times New Roman" w:cs="Times New Roman"/>
          <w:sz w:val="24"/>
          <w:szCs w:val="24"/>
        </w:rPr>
        <w:t xml:space="preserve"> (pp. 1-20). </w:t>
      </w:r>
      <w:r w:rsidRPr="001234AB">
        <w:rPr>
          <w:rFonts w:ascii="Times New Roman" w:hAnsi="Times New Roman" w:cs="Times New Roman"/>
          <w:sz w:val="24"/>
          <w:szCs w:val="24"/>
          <w:lang w:val="en-US"/>
        </w:rPr>
        <w:t>Chichester, United Kingdom: Palgrave Macmillan.</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van Apeldoorn, B., Horn, L. (2018). Critical Political Economy. </w:t>
      </w:r>
      <w:r w:rsidRPr="001234AB">
        <w:rPr>
          <w:rFonts w:ascii="Times New Roman" w:hAnsi="Times New Roman" w:cs="Times New Roman"/>
          <w:i/>
          <w:iCs/>
          <w:sz w:val="24"/>
          <w:szCs w:val="24"/>
          <w:lang w:val="en-US"/>
        </w:rPr>
        <w:t>KFG Working Paper Series, 87</w:t>
      </w:r>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Vanhercke</w:t>
      </w:r>
      <w:proofErr w:type="spellEnd"/>
      <w:r w:rsidRPr="001234AB">
        <w:rPr>
          <w:rFonts w:ascii="Times New Roman" w:hAnsi="Times New Roman" w:cs="Times New Roman"/>
          <w:sz w:val="24"/>
          <w:szCs w:val="24"/>
          <w:lang w:val="en-US"/>
        </w:rPr>
        <w:t xml:space="preserve">, B., &amp; Verdun, A. C. (2021). From the European Semester to the Recovery and Resilience Facility: Some social actors are (not) resurfacing. </w:t>
      </w:r>
      <w:r w:rsidRPr="001234AB">
        <w:rPr>
          <w:rFonts w:ascii="Times New Roman" w:hAnsi="Times New Roman" w:cs="Times New Roman"/>
          <w:i/>
          <w:iCs/>
          <w:sz w:val="24"/>
          <w:szCs w:val="24"/>
          <w:lang w:val="en-US"/>
        </w:rPr>
        <w:t>ETUI Research Paper-Working Paper</w:t>
      </w:r>
      <w:r w:rsidRPr="001234AB">
        <w:rPr>
          <w:rFonts w:ascii="Times New Roman" w:hAnsi="Times New Roman" w:cs="Times New Roman"/>
          <w:sz w:val="24"/>
          <w:szCs w:val="24"/>
          <w:lang w:val="en-US"/>
        </w:rPr>
        <w:t xml:space="preserve">. </w:t>
      </w:r>
      <w:hyperlink r:id="rId148" w:history="1">
        <w:r w:rsidRPr="001234AB">
          <w:rPr>
            <w:rStyle w:val="Hyperlink"/>
            <w:rFonts w:ascii="Times New Roman" w:hAnsi="Times New Roman" w:cs="Times New Roman"/>
            <w:color w:val="auto"/>
            <w:sz w:val="24"/>
            <w:szCs w:val="24"/>
            <w:lang w:val="en-US"/>
          </w:rPr>
          <w:t>https://dx.doi.org/10.2139/ssrn.4013325</w:t>
        </w:r>
      </w:hyperlink>
      <w:r w:rsidRPr="001234AB">
        <w:rPr>
          <w:rFonts w:ascii="Times New Roman" w:hAnsi="Times New Roman" w:cs="Times New Roman"/>
          <w:b/>
          <w:bCs/>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xml:space="preserve">, K. (1984). </w:t>
      </w:r>
      <w:r w:rsidRPr="001234AB">
        <w:rPr>
          <w:rFonts w:ascii="Times New Roman" w:hAnsi="Times New Roman" w:cs="Times New Roman"/>
          <w:i/>
          <w:iCs/>
          <w:sz w:val="24"/>
          <w:szCs w:val="24"/>
          <w:lang w:val="en-US"/>
        </w:rPr>
        <w:t>The Making of An Atlantic Ruling Class</w:t>
      </w:r>
      <w:r w:rsidRPr="001234AB">
        <w:rPr>
          <w:rFonts w:ascii="Times New Roman" w:hAnsi="Times New Roman" w:cs="Times New Roman"/>
          <w:sz w:val="24"/>
          <w:szCs w:val="24"/>
          <w:lang w:val="en-US"/>
        </w:rPr>
        <w:t>. London, United Kingdom: Verso.</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xml:space="preserve">, K. (1995). </w:t>
      </w:r>
      <w:r w:rsidRPr="001234AB">
        <w:rPr>
          <w:rFonts w:ascii="Times New Roman" w:hAnsi="Times New Roman" w:cs="Times New Roman"/>
          <w:i/>
          <w:iCs/>
          <w:sz w:val="24"/>
          <w:szCs w:val="24"/>
          <w:lang w:val="en-US"/>
        </w:rPr>
        <w:t>Transnational Historical Materialism</w:t>
      </w:r>
      <w:r w:rsidRPr="001234AB">
        <w:rPr>
          <w:rFonts w:ascii="Times New Roman" w:hAnsi="Times New Roman" w:cs="Times New Roman"/>
          <w:sz w:val="24"/>
          <w:szCs w:val="24"/>
          <w:lang w:val="en-US"/>
        </w:rPr>
        <w:t xml:space="preserve">. Unpublished manuscript, University of Amsterdam, Amsterdam, The Netherlands.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xml:space="preserve">, K. (1998). </w:t>
      </w:r>
      <w:r w:rsidRPr="001234AB">
        <w:rPr>
          <w:rFonts w:ascii="Times New Roman" w:hAnsi="Times New Roman" w:cs="Times New Roman"/>
          <w:i/>
          <w:iCs/>
          <w:sz w:val="24"/>
          <w:szCs w:val="24"/>
          <w:lang w:val="en-US"/>
        </w:rPr>
        <w:t>Transnational classes and international relations</w:t>
      </w:r>
      <w:r w:rsidRPr="001234AB">
        <w:rPr>
          <w:rFonts w:ascii="Times New Roman" w:hAnsi="Times New Roman" w:cs="Times New Roman"/>
          <w:sz w:val="24"/>
          <w:szCs w:val="24"/>
          <w:lang w:val="en-US"/>
        </w:rPr>
        <w:t>. Routledge.</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xml:space="preserve">, K. (2004). Two faces of the transnational cadre under neo-liberalism. </w:t>
      </w:r>
      <w:r w:rsidRPr="001234AB">
        <w:rPr>
          <w:rFonts w:ascii="Times New Roman" w:hAnsi="Times New Roman" w:cs="Times New Roman"/>
          <w:i/>
          <w:iCs/>
          <w:sz w:val="24"/>
          <w:szCs w:val="24"/>
          <w:lang w:val="en-US"/>
        </w:rPr>
        <w:t>Journal of International Relations and Development</w:t>
      </w:r>
      <w:r w:rsidRPr="001234AB">
        <w:rPr>
          <w:rFonts w:ascii="Times New Roman" w:hAnsi="Times New Roman" w:cs="Times New Roman"/>
          <w:sz w:val="24"/>
          <w:szCs w:val="24"/>
          <w:lang w:val="en-US"/>
        </w:rPr>
        <w:t xml:space="preserve">, 7(2), 177–207. </w:t>
      </w:r>
      <w:hyperlink r:id="rId149" w:history="1">
        <w:r w:rsidRPr="001234AB">
          <w:rPr>
            <w:rStyle w:val="Hyperlink"/>
            <w:rFonts w:ascii="Times New Roman" w:hAnsi="Times New Roman" w:cs="Times New Roman"/>
            <w:sz w:val="24"/>
            <w:szCs w:val="24"/>
            <w:lang w:val="en-US"/>
          </w:rPr>
          <w:t>https://doi.org/10.1057/palgrave.jird.1800012</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van der </w:t>
      </w:r>
      <w:proofErr w:type="spellStart"/>
      <w:r w:rsidRPr="001234AB">
        <w:rPr>
          <w:rFonts w:ascii="Times New Roman" w:hAnsi="Times New Roman" w:cs="Times New Roman"/>
          <w:sz w:val="24"/>
          <w:szCs w:val="24"/>
          <w:lang w:val="en-US"/>
        </w:rPr>
        <w:t>Pijl</w:t>
      </w:r>
      <w:proofErr w:type="spellEnd"/>
      <w:r w:rsidRPr="001234AB">
        <w:rPr>
          <w:rFonts w:ascii="Times New Roman" w:hAnsi="Times New Roman" w:cs="Times New Roman"/>
          <w:sz w:val="24"/>
          <w:szCs w:val="24"/>
          <w:lang w:val="en-US"/>
        </w:rPr>
        <w:t xml:space="preserve">, K. (2018). A transnational class analysis of the current crisis. In B. Jessop, &amp; H. </w:t>
      </w:r>
      <w:proofErr w:type="spellStart"/>
      <w:r w:rsidRPr="001234AB">
        <w:rPr>
          <w:rFonts w:ascii="Times New Roman" w:hAnsi="Times New Roman" w:cs="Times New Roman"/>
          <w:sz w:val="24"/>
          <w:szCs w:val="24"/>
          <w:lang w:val="en-US"/>
        </w:rPr>
        <w:t>Overbeek</w:t>
      </w:r>
      <w:proofErr w:type="spellEnd"/>
      <w:r w:rsidRPr="001234AB">
        <w:rPr>
          <w:rFonts w:ascii="Times New Roman" w:hAnsi="Times New Roman" w:cs="Times New Roman"/>
          <w:sz w:val="24"/>
          <w:szCs w:val="24"/>
          <w:lang w:val="en-US"/>
        </w:rPr>
        <w:t xml:space="preserve"> (Eds.), </w:t>
      </w:r>
      <w:r w:rsidRPr="001234AB">
        <w:rPr>
          <w:rFonts w:ascii="Times New Roman" w:hAnsi="Times New Roman" w:cs="Times New Roman"/>
          <w:i/>
          <w:iCs/>
          <w:sz w:val="24"/>
          <w:szCs w:val="24"/>
          <w:lang w:val="en-US"/>
        </w:rPr>
        <w:t>Transnational Capital and Class fractions: The Amsterdam School Perspective Reconsidered</w:t>
      </w:r>
      <w:r w:rsidRPr="001234AB">
        <w:rPr>
          <w:rFonts w:ascii="Times New Roman" w:hAnsi="Times New Roman" w:cs="Times New Roman"/>
          <w:sz w:val="24"/>
          <w:szCs w:val="24"/>
          <w:lang w:val="en-US"/>
        </w:rPr>
        <w:t xml:space="preserve"> (pp. 241-262). Routledge.</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von der Burchard, H., Oliveira, I., &amp; </w:t>
      </w:r>
      <w:proofErr w:type="spellStart"/>
      <w:r w:rsidRPr="001234AB">
        <w:rPr>
          <w:rFonts w:ascii="Times New Roman" w:hAnsi="Times New Roman" w:cs="Times New Roman"/>
          <w:sz w:val="24"/>
          <w:szCs w:val="24"/>
          <w:lang w:val="en-US"/>
        </w:rPr>
        <w:t>Schaart</w:t>
      </w:r>
      <w:proofErr w:type="spellEnd"/>
      <w:r w:rsidRPr="001234AB">
        <w:rPr>
          <w:rFonts w:ascii="Times New Roman" w:hAnsi="Times New Roman" w:cs="Times New Roman"/>
          <w:sz w:val="24"/>
          <w:szCs w:val="24"/>
          <w:lang w:val="en-US"/>
        </w:rPr>
        <w:t xml:space="preserve">, E. (2020, March 27). Dutch try to calm north-south economic storm over coronavirus. </w:t>
      </w:r>
      <w:proofErr w:type="spellStart"/>
      <w:r w:rsidRPr="001234AB">
        <w:rPr>
          <w:rFonts w:ascii="Times New Roman" w:hAnsi="Times New Roman" w:cs="Times New Roman"/>
          <w:i/>
          <w:iCs/>
          <w:sz w:val="24"/>
          <w:szCs w:val="24"/>
          <w:lang w:val="es-ES"/>
        </w:rPr>
        <w:t>Politico</w:t>
      </w:r>
      <w:proofErr w:type="spellEnd"/>
      <w:r w:rsidRPr="001234AB">
        <w:rPr>
          <w:rFonts w:ascii="Times New Roman" w:hAnsi="Times New Roman" w:cs="Times New Roman"/>
          <w:sz w:val="24"/>
          <w:szCs w:val="24"/>
          <w:lang w:val="es-ES"/>
        </w:rPr>
        <w:t xml:space="preserve">. </w:t>
      </w:r>
      <w:hyperlink r:id="rId150" w:history="1">
        <w:r w:rsidRPr="001234AB">
          <w:rPr>
            <w:rStyle w:val="Hyperlink"/>
            <w:rFonts w:ascii="Times New Roman" w:hAnsi="Times New Roman" w:cs="Times New Roman"/>
            <w:sz w:val="24"/>
            <w:szCs w:val="24"/>
            <w:lang w:val="es-ES"/>
          </w:rPr>
          <w:t>https://www.politico.eu/article/netherlands-try-to-calm-storm-over-repugnant-finance-ministers-comments/</w:t>
        </w:r>
      </w:hyperlink>
      <w:r w:rsidRPr="001234AB">
        <w:rPr>
          <w:rFonts w:ascii="Times New Roman" w:hAnsi="Times New Roman" w:cs="Times New Roman"/>
          <w:sz w:val="24"/>
          <w:szCs w:val="24"/>
          <w:lang w:val="es-ES"/>
        </w:rPr>
        <w:t xml:space="preserve">. </w:t>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s-ES"/>
        </w:rPr>
        <w:br/>
      </w:r>
      <w:r w:rsidRPr="001234AB">
        <w:rPr>
          <w:rFonts w:ascii="Times New Roman" w:hAnsi="Times New Roman" w:cs="Times New Roman"/>
          <w:sz w:val="24"/>
          <w:szCs w:val="24"/>
          <w:lang w:val="en-US"/>
        </w:rPr>
        <w:t xml:space="preserve">von der Leyen, U. (2020a, April 16). President von der Leyen on the EU coordinated action to </w:t>
      </w:r>
      <w:r w:rsidRPr="001234AB">
        <w:rPr>
          <w:rFonts w:ascii="Times New Roman" w:hAnsi="Times New Roman" w:cs="Times New Roman"/>
          <w:sz w:val="24"/>
          <w:szCs w:val="24"/>
          <w:lang w:val="en-US"/>
        </w:rPr>
        <w:lastRenderedPageBreak/>
        <w:t xml:space="preserve">combat the coronavirus pandemic and its consequences. Speech by European Commission President Ursula von der Leyen, the European Parliament Plenary. Retrieved from </w:t>
      </w:r>
      <w:hyperlink r:id="rId151" w:history="1">
        <w:r w:rsidRPr="001234AB">
          <w:rPr>
            <w:rStyle w:val="Hyperlink"/>
            <w:rFonts w:ascii="Times New Roman" w:hAnsi="Times New Roman" w:cs="Times New Roman"/>
            <w:sz w:val="24"/>
            <w:szCs w:val="24"/>
            <w:lang w:val="en-US"/>
          </w:rPr>
          <w:t>https://ec.europa.eu/commission/presscorner/detail/en/speech_20_675</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von der Leyen, U. (2020b, May 13). President von der Leyen on the New MFF, own resources and the Recovery Plan. Speech by European Commission President Ursula von der Leyen, the European Parliament Plenary. Retrieved from </w:t>
      </w:r>
      <w:hyperlink r:id="rId152" w:history="1">
        <w:r w:rsidRPr="001234AB">
          <w:rPr>
            <w:rStyle w:val="Hyperlink"/>
            <w:rFonts w:ascii="Times New Roman" w:hAnsi="Times New Roman" w:cs="Times New Roman"/>
            <w:sz w:val="24"/>
            <w:szCs w:val="24"/>
            <w:lang w:val="en-US"/>
          </w:rPr>
          <w:t>https://ec.europa.eu/commission/presscorner/detail/en/speech_20_877</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von der Leyen, U. (2020c, May 27). President von der Leyen on the EU Recovery Package. Speech by European Commission President Ursula von der Leyen, the European Parliament Plenary. Retrieved from </w:t>
      </w:r>
      <w:hyperlink r:id="rId153" w:history="1">
        <w:r w:rsidRPr="001234AB">
          <w:rPr>
            <w:rStyle w:val="Hyperlink"/>
            <w:rFonts w:ascii="Times New Roman" w:hAnsi="Times New Roman" w:cs="Times New Roman"/>
            <w:sz w:val="24"/>
            <w:szCs w:val="24"/>
            <w:lang w:val="en-US"/>
          </w:rPr>
          <w:t>https://ec.europa.eu/commission/presscorner/api/files/document/print/en/speech_20_941/SPEECH_20_941_EN.pdf</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von der Leyen, U. (2020d, July 23). President von der Leyen on the conclusions of the Special European Council meeting of 17-21 July 2020. Speech by European Commission President Ursula von der Leyen, the European Parliament Plenary. Retrieved from </w:t>
      </w:r>
      <w:hyperlink r:id="rId154" w:history="1">
        <w:r w:rsidRPr="001234AB">
          <w:rPr>
            <w:rStyle w:val="Hyperlink"/>
            <w:rFonts w:ascii="Times New Roman" w:hAnsi="Times New Roman" w:cs="Times New Roman"/>
            <w:sz w:val="24"/>
            <w:szCs w:val="24"/>
            <w:lang w:val="en-US"/>
          </w:rPr>
          <w:t>https://ec.europa.eu/commission/presscorner/detail/en/speech_20_1396</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r>
      <w:proofErr w:type="spellStart"/>
      <w:r w:rsidRPr="001234AB">
        <w:rPr>
          <w:rFonts w:ascii="Times New Roman" w:hAnsi="Times New Roman" w:cs="Times New Roman"/>
          <w:sz w:val="24"/>
          <w:szCs w:val="24"/>
          <w:lang w:val="en-US"/>
        </w:rPr>
        <w:t>Wasserfallen</w:t>
      </w:r>
      <w:proofErr w:type="spellEnd"/>
      <w:r w:rsidRPr="001234AB">
        <w:rPr>
          <w:rFonts w:ascii="Times New Roman" w:hAnsi="Times New Roman" w:cs="Times New Roman"/>
          <w:sz w:val="24"/>
          <w:szCs w:val="24"/>
          <w:lang w:val="en-US"/>
        </w:rPr>
        <w:t xml:space="preserve">, F. (2023). The Politics of Fiscal Burden Sharing in Eurozone Reforms and Next Generation EU: Policy-Making Power, Differentiated Integration, and Democratic Legitimacy. In D., Adamski, F., </w:t>
      </w:r>
      <w:proofErr w:type="spellStart"/>
      <w:r w:rsidRPr="001234AB">
        <w:rPr>
          <w:rFonts w:ascii="Times New Roman" w:hAnsi="Times New Roman" w:cs="Times New Roman"/>
          <w:sz w:val="24"/>
          <w:szCs w:val="24"/>
          <w:lang w:val="en-US"/>
        </w:rPr>
        <w:t>Amtenbrink</w:t>
      </w:r>
      <w:proofErr w:type="spellEnd"/>
      <w:r w:rsidRPr="001234AB">
        <w:rPr>
          <w:rFonts w:ascii="Times New Roman" w:hAnsi="Times New Roman" w:cs="Times New Roman"/>
          <w:sz w:val="24"/>
          <w:szCs w:val="24"/>
          <w:lang w:val="en-US"/>
        </w:rPr>
        <w:t xml:space="preserve">, &amp; J. De Haan (Eds.), </w:t>
      </w:r>
      <w:r w:rsidRPr="001234AB">
        <w:rPr>
          <w:rFonts w:ascii="Times New Roman" w:hAnsi="Times New Roman" w:cs="Times New Roman"/>
          <w:i/>
          <w:iCs/>
          <w:sz w:val="24"/>
          <w:szCs w:val="24"/>
          <w:lang w:val="en-US"/>
        </w:rPr>
        <w:t>Cambridge Handbook on European Monetary, Economic, and Financial Market Integration</w:t>
      </w:r>
      <w:r w:rsidRPr="001234AB">
        <w:rPr>
          <w:rFonts w:ascii="Times New Roman" w:hAnsi="Times New Roman" w:cs="Times New Roman"/>
          <w:sz w:val="24"/>
          <w:szCs w:val="24"/>
          <w:lang w:val="en-US"/>
        </w:rPr>
        <w:t xml:space="preserve"> (pp. 349-362). Cambridge, United Kingdom: Cambridge University Press.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Wigger, A., &amp; Buch-Hansen, H. (2015). The Evolution of Intermediary Institutions in Europe </w:t>
      </w:r>
      <w:proofErr w:type="gramStart"/>
      <w:r w:rsidRPr="001234AB">
        <w:rPr>
          <w:rFonts w:ascii="Times New Roman" w:hAnsi="Times New Roman" w:cs="Times New Roman"/>
          <w:sz w:val="24"/>
          <w:szCs w:val="24"/>
          <w:lang w:val="en-US"/>
        </w:rPr>
        <w:t>From</w:t>
      </w:r>
      <w:proofErr w:type="gramEnd"/>
      <w:r w:rsidRPr="001234AB">
        <w:rPr>
          <w:rFonts w:ascii="Times New Roman" w:hAnsi="Times New Roman" w:cs="Times New Roman"/>
          <w:sz w:val="24"/>
          <w:szCs w:val="24"/>
          <w:lang w:val="en-US"/>
        </w:rPr>
        <w:t xml:space="preserve"> Corporatism to Governance. In E. Hartmann &amp; P. </w:t>
      </w:r>
      <w:proofErr w:type="spellStart"/>
      <w:r w:rsidRPr="001234AB">
        <w:rPr>
          <w:rFonts w:ascii="Times New Roman" w:hAnsi="Times New Roman" w:cs="Times New Roman"/>
          <w:sz w:val="24"/>
          <w:szCs w:val="24"/>
          <w:lang w:val="en-US"/>
        </w:rPr>
        <w:t>Kjaer</w:t>
      </w:r>
      <w:proofErr w:type="spellEnd"/>
      <w:r w:rsidRPr="001234AB">
        <w:rPr>
          <w:rFonts w:ascii="Times New Roman" w:hAnsi="Times New Roman" w:cs="Times New Roman"/>
          <w:sz w:val="24"/>
          <w:szCs w:val="24"/>
          <w:lang w:val="en-US"/>
        </w:rPr>
        <w:t xml:space="preserve"> (Eds.), </w:t>
      </w:r>
      <w:r w:rsidRPr="001234AB">
        <w:rPr>
          <w:rFonts w:ascii="Times New Roman" w:hAnsi="Times New Roman" w:cs="Times New Roman"/>
          <w:i/>
          <w:iCs/>
          <w:sz w:val="24"/>
          <w:szCs w:val="24"/>
          <w:lang w:val="en-US"/>
        </w:rPr>
        <w:t>EU Competition Regulation: A Case of Authoritarian Neo-liberalism?</w:t>
      </w:r>
      <w:r w:rsidRPr="001234AB">
        <w:rPr>
          <w:rFonts w:ascii="Times New Roman" w:hAnsi="Times New Roman" w:cs="Times New Roman"/>
          <w:sz w:val="24"/>
          <w:szCs w:val="24"/>
          <w:lang w:val="en-US"/>
        </w:rPr>
        <w:t xml:space="preserve"> (pp. 81-99). Basingstoke, United Kingdom: Palgrave MacMillan.</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Wigger, A., &amp; Horn, L. (2016). Taking critical ontology seriously. Implications for Political Science Methodology. In H. </w:t>
      </w:r>
      <w:proofErr w:type="spellStart"/>
      <w:r w:rsidRPr="001234AB">
        <w:rPr>
          <w:rFonts w:ascii="Times New Roman" w:hAnsi="Times New Roman" w:cs="Times New Roman"/>
          <w:sz w:val="24"/>
          <w:szCs w:val="24"/>
          <w:lang w:val="en-US"/>
        </w:rPr>
        <w:t>Keman</w:t>
      </w:r>
      <w:proofErr w:type="spellEnd"/>
      <w:r w:rsidRPr="001234AB">
        <w:rPr>
          <w:rFonts w:ascii="Times New Roman" w:hAnsi="Times New Roman" w:cs="Times New Roman"/>
          <w:sz w:val="24"/>
          <w:szCs w:val="24"/>
          <w:lang w:val="en-US"/>
        </w:rPr>
        <w:t xml:space="preserve">, &amp; J. </w:t>
      </w:r>
      <w:proofErr w:type="spellStart"/>
      <w:r w:rsidRPr="001234AB">
        <w:rPr>
          <w:rFonts w:ascii="Times New Roman" w:hAnsi="Times New Roman" w:cs="Times New Roman"/>
          <w:sz w:val="24"/>
          <w:szCs w:val="24"/>
          <w:lang w:val="en-US"/>
        </w:rPr>
        <w:t>Woldendorp</w:t>
      </w:r>
      <w:proofErr w:type="spellEnd"/>
      <w:r w:rsidRPr="001234AB">
        <w:rPr>
          <w:rFonts w:ascii="Times New Roman" w:hAnsi="Times New Roman" w:cs="Times New Roman"/>
          <w:sz w:val="24"/>
          <w:szCs w:val="24"/>
          <w:lang w:val="en-US"/>
        </w:rPr>
        <w:t xml:space="preserve"> (Eds.), </w:t>
      </w:r>
      <w:r w:rsidRPr="001234AB">
        <w:rPr>
          <w:rFonts w:ascii="Times New Roman" w:hAnsi="Times New Roman" w:cs="Times New Roman"/>
          <w:i/>
          <w:iCs/>
          <w:sz w:val="24"/>
          <w:szCs w:val="24"/>
          <w:lang w:val="en-US"/>
        </w:rPr>
        <w:t>Handbook of Research Methods and Applications in Political Science</w:t>
      </w:r>
      <w:r w:rsidRPr="001234AB">
        <w:rPr>
          <w:rFonts w:ascii="Times New Roman" w:hAnsi="Times New Roman" w:cs="Times New Roman"/>
          <w:sz w:val="24"/>
          <w:szCs w:val="24"/>
          <w:lang w:val="en-US"/>
        </w:rPr>
        <w:t xml:space="preserve"> (pp. 38-53). Cheltenham, United Kingdom: </w:t>
      </w:r>
      <w:r w:rsidRPr="001234AB">
        <w:rPr>
          <w:rFonts w:ascii="Times New Roman" w:hAnsi="Times New Roman" w:cs="Times New Roman"/>
          <w:sz w:val="24"/>
          <w:szCs w:val="24"/>
          <w:lang w:val="en-US"/>
        </w:rPr>
        <w:lastRenderedPageBreak/>
        <w:t xml:space="preserve">Edward Elgar Publishing.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Wigger, A. (2022). Continuing to fight the beast of the apocalypse: final reasons for a Critical Political Economy approach to Global Political Economy. </w:t>
      </w:r>
      <w:r w:rsidRPr="001234AB">
        <w:rPr>
          <w:rFonts w:ascii="Times New Roman" w:hAnsi="Times New Roman" w:cs="Times New Roman"/>
          <w:i/>
          <w:iCs/>
          <w:sz w:val="24"/>
          <w:szCs w:val="24"/>
          <w:lang w:val="en-US"/>
        </w:rPr>
        <w:t>Global Political Economy</w:t>
      </w:r>
      <w:r w:rsidRPr="001234AB">
        <w:rPr>
          <w:rFonts w:ascii="Times New Roman" w:hAnsi="Times New Roman" w:cs="Times New Roman"/>
          <w:sz w:val="24"/>
          <w:szCs w:val="24"/>
          <w:lang w:val="en-US"/>
        </w:rPr>
        <w:t>, 1(1), 188-196.</w:t>
      </w:r>
      <w:r w:rsidRPr="001234AB">
        <w:rPr>
          <w:rFonts w:ascii="Times New Roman" w:hAnsi="Times New Roman" w:cs="Times New Roman"/>
          <w:color w:val="231F20"/>
          <w:sz w:val="24"/>
          <w:szCs w:val="24"/>
          <w:shd w:val="clear" w:color="auto" w:fill="FFFFFF"/>
          <w:lang w:val="en-US"/>
        </w:rPr>
        <w:t xml:space="preserve"> </w:t>
      </w:r>
      <w:hyperlink r:id="rId155" w:history="1">
        <w:r w:rsidRPr="001234AB">
          <w:rPr>
            <w:rStyle w:val="Hyperlink"/>
            <w:rFonts w:ascii="Times New Roman" w:hAnsi="Times New Roman" w:cs="Times New Roman"/>
            <w:sz w:val="24"/>
            <w:szCs w:val="24"/>
            <w:lang w:val="en-US"/>
          </w:rPr>
          <w:t>https://doi.org/10.1332/AMGM8614</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Wigger, A. (2023). The new EU industrial policy and deepening structural asymmetries: Smart </w:t>
      </w:r>
      <w:proofErr w:type="spellStart"/>
      <w:r w:rsidRPr="001234AB">
        <w:rPr>
          <w:rFonts w:ascii="Times New Roman" w:hAnsi="Times New Roman" w:cs="Times New Roman"/>
          <w:sz w:val="24"/>
          <w:szCs w:val="24"/>
          <w:lang w:val="en-US"/>
        </w:rPr>
        <w:t>specialisation</w:t>
      </w:r>
      <w:proofErr w:type="spellEnd"/>
      <w:r w:rsidRPr="001234AB">
        <w:rPr>
          <w:rFonts w:ascii="Times New Roman" w:hAnsi="Times New Roman" w:cs="Times New Roman"/>
          <w:sz w:val="24"/>
          <w:szCs w:val="24"/>
          <w:lang w:val="en-US"/>
        </w:rPr>
        <w:t xml:space="preserve"> not so smart. </w:t>
      </w:r>
      <w:r w:rsidRPr="001234AB">
        <w:rPr>
          <w:rFonts w:ascii="Times New Roman" w:hAnsi="Times New Roman" w:cs="Times New Roman"/>
          <w:i/>
          <w:iCs/>
          <w:sz w:val="24"/>
          <w:szCs w:val="24"/>
          <w:lang w:val="en-US"/>
        </w:rPr>
        <w:t>Journal of Common Market Studies</w:t>
      </w:r>
      <w:r w:rsidRPr="001234AB">
        <w:rPr>
          <w:rFonts w:ascii="Times New Roman" w:hAnsi="Times New Roman" w:cs="Times New Roman"/>
          <w:sz w:val="24"/>
          <w:szCs w:val="24"/>
          <w:lang w:val="en-US"/>
        </w:rPr>
        <w:t xml:space="preserve">, 61(1), 20-37. </w:t>
      </w:r>
      <w:hyperlink r:id="rId156" w:history="1">
        <w:r w:rsidRPr="001234AB">
          <w:rPr>
            <w:rStyle w:val="Hyperlink"/>
            <w:rFonts w:ascii="Times New Roman" w:hAnsi="Times New Roman" w:cs="Times New Roman"/>
            <w:sz w:val="24"/>
            <w:szCs w:val="24"/>
            <w:lang w:val="en-US"/>
          </w:rPr>
          <w:t>https://doi.org/10.1111/jcms.13366</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Wigger, A., &amp; Horn, L. (2023). Critical and Feminist European Political Economy. In M. </w:t>
      </w:r>
      <w:proofErr w:type="spellStart"/>
      <w:r w:rsidRPr="001234AB">
        <w:rPr>
          <w:rFonts w:ascii="Times New Roman" w:hAnsi="Times New Roman" w:cs="Times New Roman"/>
          <w:sz w:val="24"/>
          <w:szCs w:val="24"/>
          <w:lang w:val="en-US"/>
        </w:rPr>
        <w:t>Moschella</w:t>
      </w:r>
      <w:proofErr w:type="spellEnd"/>
      <w:r w:rsidRPr="001234AB">
        <w:rPr>
          <w:rFonts w:ascii="Times New Roman" w:hAnsi="Times New Roman" w:cs="Times New Roman"/>
          <w:sz w:val="24"/>
          <w:szCs w:val="24"/>
          <w:lang w:val="en-US"/>
        </w:rPr>
        <w:t xml:space="preserve">, L. Quaglia, &amp; A. </w:t>
      </w:r>
      <w:proofErr w:type="spellStart"/>
      <w:r w:rsidRPr="001234AB">
        <w:rPr>
          <w:rFonts w:ascii="Times New Roman" w:hAnsi="Times New Roman" w:cs="Times New Roman"/>
          <w:sz w:val="24"/>
          <w:szCs w:val="24"/>
          <w:lang w:val="en-US"/>
        </w:rPr>
        <w:t>Spendzharova</w:t>
      </w:r>
      <w:proofErr w:type="spellEnd"/>
      <w:r w:rsidRPr="001234AB">
        <w:rPr>
          <w:rFonts w:ascii="Times New Roman" w:hAnsi="Times New Roman" w:cs="Times New Roman"/>
          <w:sz w:val="24"/>
          <w:szCs w:val="24"/>
          <w:lang w:val="en-US"/>
        </w:rPr>
        <w:t xml:space="preserve"> (Eds.), </w:t>
      </w:r>
      <w:r w:rsidRPr="001234AB">
        <w:rPr>
          <w:rFonts w:ascii="Times New Roman" w:hAnsi="Times New Roman" w:cs="Times New Roman"/>
          <w:i/>
          <w:iCs/>
          <w:sz w:val="24"/>
          <w:szCs w:val="24"/>
          <w:lang w:val="en-US"/>
        </w:rPr>
        <w:t>European Political Economy</w:t>
      </w:r>
      <w:r w:rsidRPr="001234AB">
        <w:rPr>
          <w:rFonts w:ascii="Times New Roman" w:hAnsi="Times New Roman" w:cs="Times New Roman"/>
          <w:sz w:val="24"/>
          <w:szCs w:val="24"/>
          <w:lang w:val="en-US"/>
        </w:rPr>
        <w:t xml:space="preserve"> (pp. 89-114). Oxford, United Kingdom: Oxford University Press.</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World Bank (2024a). </w:t>
      </w:r>
      <w:r w:rsidRPr="001234AB">
        <w:rPr>
          <w:rFonts w:ascii="Times New Roman" w:hAnsi="Times New Roman" w:cs="Times New Roman"/>
          <w:i/>
          <w:iCs/>
          <w:sz w:val="24"/>
          <w:szCs w:val="24"/>
          <w:lang w:val="en-US"/>
        </w:rPr>
        <w:t>Total reserves (includes gold, current US$)</w:t>
      </w:r>
      <w:r w:rsidRPr="001234AB">
        <w:rPr>
          <w:rFonts w:ascii="Times New Roman" w:hAnsi="Times New Roman" w:cs="Times New Roman"/>
          <w:sz w:val="24"/>
          <w:szCs w:val="24"/>
          <w:lang w:val="en-US"/>
        </w:rPr>
        <w:t xml:space="preserve">. Retrieved from </w:t>
      </w:r>
      <w:hyperlink r:id="rId157" w:history="1">
        <w:r w:rsidRPr="001234AB">
          <w:rPr>
            <w:rStyle w:val="Hyperlink"/>
            <w:rFonts w:ascii="Times New Roman" w:hAnsi="Times New Roman" w:cs="Times New Roman"/>
            <w:sz w:val="24"/>
            <w:szCs w:val="24"/>
            <w:lang w:val="en-US"/>
          </w:rPr>
          <w:t>https://data.worldbank.org/indicator/FI.RES.TOTL.CD</w:t>
        </w:r>
      </w:hyperlink>
      <w:r w:rsidRPr="001234AB">
        <w:rPr>
          <w:rFonts w:ascii="Times New Roman" w:hAnsi="Times New Roman" w:cs="Times New Roman"/>
          <w:sz w:val="24"/>
          <w:szCs w:val="24"/>
          <w:lang w:val="en-US"/>
        </w:rPr>
        <w:t xml:space="preserve">. </w:t>
      </w:r>
      <w:r w:rsidRPr="001234AB">
        <w:rPr>
          <w:rFonts w:ascii="Times New Roman" w:hAnsi="Times New Roman" w:cs="Times New Roman"/>
          <w:sz w:val="24"/>
          <w:szCs w:val="24"/>
          <w:lang w:val="en-US"/>
        </w:rPr>
        <w:br/>
      </w:r>
      <w:r w:rsidRPr="001234AB">
        <w:rPr>
          <w:rFonts w:ascii="Times New Roman" w:hAnsi="Times New Roman" w:cs="Times New Roman"/>
          <w:sz w:val="24"/>
          <w:szCs w:val="24"/>
          <w:lang w:val="en-US"/>
        </w:rPr>
        <w:br/>
        <w:t xml:space="preserve">World Bank (2024b). </w:t>
      </w:r>
      <w:r w:rsidRPr="001234AB">
        <w:rPr>
          <w:rFonts w:ascii="Times New Roman" w:hAnsi="Times New Roman" w:cs="Times New Roman"/>
          <w:i/>
          <w:iCs/>
          <w:sz w:val="24"/>
          <w:szCs w:val="24"/>
          <w:lang w:val="en-US"/>
        </w:rPr>
        <w:t>Market capitalization of listed domestic companies (% of GDP)</w:t>
      </w:r>
      <w:r w:rsidRPr="001234AB">
        <w:rPr>
          <w:rFonts w:ascii="Times New Roman" w:hAnsi="Times New Roman" w:cs="Times New Roman"/>
          <w:sz w:val="24"/>
          <w:szCs w:val="24"/>
          <w:lang w:val="en-US"/>
        </w:rPr>
        <w:t xml:space="preserve">. Retrieved from </w:t>
      </w:r>
      <w:hyperlink r:id="rId158" w:history="1">
        <w:r w:rsidRPr="001234AB">
          <w:rPr>
            <w:rStyle w:val="Hyperlink"/>
            <w:rFonts w:ascii="Times New Roman" w:hAnsi="Times New Roman" w:cs="Times New Roman"/>
            <w:sz w:val="24"/>
            <w:szCs w:val="24"/>
            <w:lang w:val="en-US"/>
          </w:rPr>
          <w:t>https://data.worldbank.org/indicator/CM.MKT.LCAP.GD.ZS</w:t>
        </w:r>
      </w:hyperlink>
      <w:r w:rsidRPr="001234AB">
        <w:rPr>
          <w:rFonts w:ascii="Times New Roman" w:hAnsi="Times New Roman" w:cs="Times New Roman"/>
          <w:sz w:val="24"/>
          <w:szCs w:val="24"/>
          <w:lang w:val="en-US"/>
        </w:rPr>
        <w:t>.</w:t>
      </w:r>
      <w:r w:rsidRPr="001234AB">
        <w:rPr>
          <w:rFonts w:ascii="Times New Roman" w:hAnsi="Times New Roman" w:cs="Times New Roman"/>
          <w:sz w:val="24"/>
          <w:szCs w:val="24"/>
          <w:lang w:val="en-US"/>
        </w:rPr>
        <w:br/>
      </w:r>
    </w:p>
    <w:sectPr w:rsidR="00492161" w:rsidRPr="001234AB" w:rsidSect="00F359CF">
      <w:footerReference w:type="default" r:id="rId15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80D461" w14:textId="77777777" w:rsidR="00A9343D" w:rsidRDefault="00A9343D" w:rsidP="00FC173F">
      <w:pPr>
        <w:spacing w:after="0" w:line="240" w:lineRule="auto"/>
      </w:pPr>
      <w:r>
        <w:separator/>
      </w:r>
    </w:p>
  </w:endnote>
  <w:endnote w:type="continuationSeparator" w:id="0">
    <w:p w14:paraId="7268E09B" w14:textId="77777777" w:rsidR="00A9343D" w:rsidRDefault="00A9343D" w:rsidP="00FC17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169B8E" w14:textId="2359CC55" w:rsidR="00973555" w:rsidRDefault="00973555">
    <w:pPr>
      <w:pStyle w:val="Footer"/>
      <w:jc w:val="right"/>
    </w:pPr>
  </w:p>
  <w:p w14:paraId="5F994FFD" w14:textId="77777777" w:rsidR="00F359CF" w:rsidRDefault="00F359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0450067"/>
      <w:docPartObj>
        <w:docPartGallery w:val="Page Numbers (Bottom of Page)"/>
        <w:docPartUnique/>
      </w:docPartObj>
    </w:sdtPr>
    <w:sdtContent>
      <w:p w14:paraId="1D80A56B" w14:textId="7872D36C" w:rsidR="00C1563F" w:rsidRDefault="00C1563F">
        <w:pPr>
          <w:pStyle w:val="Footer"/>
          <w:jc w:val="right"/>
        </w:pPr>
        <w:r>
          <w:fldChar w:fldCharType="begin"/>
        </w:r>
        <w:r>
          <w:instrText>PAGE   \* MERGEFORMAT</w:instrText>
        </w:r>
        <w:r>
          <w:fldChar w:fldCharType="separate"/>
        </w:r>
        <w:r>
          <w:t>2</w:t>
        </w:r>
        <w:r>
          <w:fldChar w:fldCharType="end"/>
        </w:r>
      </w:p>
    </w:sdtContent>
  </w:sdt>
  <w:p w14:paraId="177CF34F" w14:textId="77777777" w:rsidR="00C1563F" w:rsidRDefault="00C1563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1095364506"/>
      <w:docPartObj>
        <w:docPartGallery w:val="Page Numbers (Bottom of Page)"/>
        <w:docPartUnique/>
      </w:docPartObj>
    </w:sdtPr>
    <w:sdtContent>
      <w:p w14:paraId="24B8DFA1" w14:textId="77777777" w:rsidR="0015087F" w:rsidRPr="006C6776" w:rsidRDefault="0015087F">
        <w:pPr>
          <w:pStyle w:val="Footer"/>
          <w:jc w:val="right"/>
          <w:rPr>
            <w:rFonts w:ascii="Times New Roman" w:hAnsi="Times New Roman" w:cs="Times New Roman"/>
            <w:sz w:val="24"/>
            <w:szCs w:val="24"/>
          </w:rPr>
        </w:pPr>
        <w:r w:rsidRPr="006C6776">
          <w:rPr>
            <w:rFonts w:ascii="Times New Roman" w:hAnsi="Times New Roman" w:cs="Times New Roman"/>
            <w:sz w:val="24"/>
            <w:szCs w:val="24"/>
          </w:rPr>
          <w:fldChar w:fldCharType="begin"/>
        </w:r>
        <w:r w:rsidRPr="006C6776">
          <w:rPr>
            <w:rFonts w:ascii="Times New Roman" w:hAnsi="Times New Roman" w:cs="Times New Roman"/>
            <w:sz w:val="24"/>
            <w:szCs w:val="24"/>
          </w:rPr>
          <w:instrText>PAGE   \* MERGEFORMAT</w:instrText>
        </w:r>
        <w:r w:rsidRPr="006C6776">
          <w:rPr>
            <w:rFonts w:ascii="Times New Roman" w:hAnsi="Times New Roman" w:cs="Times New Roman"/>
            <w:sz w:val="24"/>
            <w:szCs w:val="24"/>
          </w:rPr>
          <w:fldChar w:fldCharType="separate"/>
        </w:r>
        <w:r w:rsidRPr="006C6776">
          <w:rPr>
            <w:rFonts w:ascii="Times New Roman" w:hAnsi="Times New Roman" w:cs="Times New Roman"/>
            <w:sz w:val="24"/>
            <w:szCs w:val="24"/>
          </w:rPr>
          <w:t>2</w:t>
        </w:r>
        <w:r w:rsidRPr="006C6776">
          <w:rPr>
            <w:rFonts w:ascii="Times New Roman" w:hAnsi="Times New Roman" w:cs="Times New Roman"/>
            <w:sz w:val="24"/>
            <w:szCs w:val="24"/>
          </w:rPr>
          <w:fldChar w:fldCharType="end"/>
        </w:r>
      </w:p>
    </w:sdtContent>
  </w:sdt>
  <w:p w14:paraId="6367DFF4" w14:textId="77777777" w:rsidR="0015087F" w:rsidRDefault="001508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2C6670" w14:textId="77777777" w:rsidR="00A9343D" w:rsidRDefault="00A9343D" w:rsidP="00FC173F">
      <w:pPr>
        <w:spacing w:after="0" w:line="240" w:lineRule="auto"/>
      </w:pPr>
      <w:r>
        <w:separator/>
      </w:r>
    </w:p>
  </w:footnote>
  <w:footnote w:type="continuationSeparator" w:id="0">
    <w:p w14:paraId="1B3AF251" w14:textId="77777777" w:rsidR="00A9343D" w:rsidRDefault="00A9343D" w:rsidP="00FC173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161"/>
    <w:rsid w:val="00007E75"/>
    <w:rsid w:val="00007F0D"/>
    <w:rsid w:val="000365A2"/>
    <w:rsid w:val="0004178F"/>
    <w:rsid w:val="00044215"/>
    <w:rsid w:val="0004761A"/>
    <w:rsid w:val="00051D20"/>
    <w:rsid w:val="00087A12"/>
    <w:rsid w:val="000974AA"/>
    <w:rsid w:val="000A5CF3"/>
    <w:rsid w:val="000C096F"/>
    <w:rsid w:val="000E6164"/>
    <w:rsid w:val="000F6429"/>
    <w:rsid w:val="000F64CE"/>
    <w:rsid w:val="0010049E"/>
    <w:rsid w:val="001234AB"/>
    <w:rsid w:val="0014591A"/>
    <w:rsid w:val="0015087F"/>
    <w:rsid w:val="0015351E"/>
    <w:rsid w:val="00157E93"/>
    <w:rsid w:val="00181D10"/>
    <w:rsid w:val="00185250"/>
    <w:rsid w:val="001C5258"/>
    <w:rsid w:val="001D57D4"/>
    <w:rsid w:val="00206CCB"/>
    <w:rsid w:val="00210384"/>
    <w:rsid w:val="00210D53"/>
    <w:rsid w:val="00217AF1"/>
    <w:rsid w:val="00224CDC"/>
    <w:rsid w:val="00234F56"/>
    <w:rsid w:val="00266AFD"/>
    <w:rsid w:val="002B1CC1"/>
    <w:rsid w:val="002E2938"/>
    <w:rsid w:val="002F1BD4"/>
    <w:rsid w:val="002F7529"/>
    <w:rsid w:val="0030343B"/>
    <w:rsid w:val="0030404D"/>
    <w:rsid w:val="00312021"/>
    <w:rsid w:val="0031573B"/>
    <w:rsid w:val="0032364E"/>
    <w:rsid w:val="00324155"/>
    <w:rsid w:val="00327CA5"/>
    <w:rsid w:val="00354EEB"/>
    <w:rsid w:val="00355791"/>
    <w:rsid w:val="00364053"/>
    <w:rsid w:val="0036457C"/>
    <w:rsid w:val="00372129"/>
    <w:rsid w:val="00373CA7"/>
    <w:rsid w:val="00381F78"/>
    <w:rsid w:val="003A06B1"/>
    <w:rsid w:val="003A1604"/>
    <w:rsid w:val="003A60FC"/>
    <w:rsid w:val="003D7BB3"/>
    <w:rsid w:val="003E2A0F"/>
    <w:rsid w:val="003F52BB"/>
    <w:rsid w:val="003F5FC6"/>
    <w:rsid w:val="0040381A"/>
    <w:rsid w:val="00405B60"/>
    <w:rsid w:val="004119C6"/>
    <w:rsid w:val="00440535"/>
    <w:rsid w:val="00445ED2"/>
    <w:rsid w:val="00452A08"/>
    <w:rsid w:val="00460A19"/>
    <w:rsid w:val="00470A67"/>
    <w:rsid w:val="00475895"/>
    <w:rsid w:val="00476F57"/>
    <w:rsid w:val="00481FBF"/>
    <w:rsid w:val="00484040"/>
    <w:rsid w:val="00492161"/>
    <w:rsid w:val="00494D28"/>
    <w:rsid w:val="00495A7E"/>
    <w:rsid w:val="004A5141"/>
    <w:rsid w:val="004A5FB2"/>
    <w:rsid w:val="004C7958"/>
    <w:rsid w:val="004D5E5C"/>
    <w:rsid w:val="004E233B"/>
    <w:rsid w:val="004F6A40"/>
    <w:rsid w:val="004F7B0F"/>
    <w:rsid w:val="00503FFE"/>
    <w:rsid w:val="00510097"/>
    <w:rsid w:val="0052035E"/>
    <w:rsid w:val="0052272B"/>
    <w:rsid w:val="00531DCA"/>
    <w:rsid w:val="0053226B"/>
    <w:rsid w:val="00533E49"/>
    <w:rsid w:val="00537403"/>
    <w:rsid w:val="0054113B"/>
    <w:rsid w:val="00553218"/>
    <w:rsid w:val="00561CE4"/>
    <w:rsid w:val="00561F8E"/>
    <w:rsid w:val="0056527C"/>
    <w:rsid w:val="005722A9"/>
    <w:rsid w:val="005759B2"/>
    <w:rsid w:val="00591F71"/>
    <w:rsid w:val="005A37B2"/>
    <w:rsid w:val="005C47AC"/>
    <w:rsid w:val="005D25DA"/>
    <w:rsid w:val="005D3F5C"/>
    <w:rsid w:val="005E2556"/>
    <w:rsid w:val="005F4245"/>
    <w:rsid w:val="00603DE8"/>
    <w:rsid w:val="00614C28"/>
    <w:rsid w:val="0062002D"/>
    <w:rsid w:val="00632F5C"/>
    <w:rsid w:val="00663BD3"/>
    <w:rsid w:val="006751F7"/>
    <w:rsid w:val="00676EB5"/>
    <w:rsid w:val="00697D65"/>
    <w:rsid w:val="006A28BE"/>
    <w:rsid w:val="006A7872"/>
    <w:rsid w:val="006B39C1"/>
    <w:rsid w:val="006C6776"/>
    <w:rsid w:val="006F405E"/>
    <w:rsid w:val="006F732A"/>
    <w:rsid w:val="00700640"/>
    <w:rsid w:val="0072059B"/>
    <w:rsid w:val="007562DF"/>
    <w:rsid w:val="00756E49"/>
    <w:rsid w:val="00780170"/>
    <w:rsid w:val="00797B8C"/>
    <w:rsid w:val="007A432B"/>
    <w:rsid w:val="007A5631"/>
    <w:rsid w:val="007C07F4"/>
    <w:rsid w:val="007C6BC5"/>
    <w:rsid w:val="007F3470"/>
    <w:rsid w:val="0084356C"/>
    <w:rsid w:val="0086103F"/>
    <w:rsid w:val="00861A40"/>
    <w:rsid w:val="008652D8"/>
    <w:rsid w:val="00876F00"/>
    <w:rsid w:val="0089145C"/>
    <w:rsid w:val="00893F82"/>
    <w:rsid w:val="008A01B4"/>
    <w:rsid w:val="008C0379"/>
    <w:rsid w:val="008D0A1D"/>
    <w:rsid w:val="008E2669"/>
    <w:rsid w:val="008E5A5D"/>
    <w:rsid w:val="008F4E03"/>
    <w:rsid w:val="00900868"/>
    <w:rsid w:val="0091186A"/>
    <w:rsid w:val="00917267"/>
    <w:rsid w:val="00945C44"/>
    <w:rsid w:val="00954742"/>
    <w:rsid w:val="00954E76"/>
    <w:rsid w:val="00961139"/>
    <w:rsid w:val="009639EB"/>
    <w:rsid w:val="00973555"/>
    <w:rsid w:val="00980523"/>
    <w:rsid w:val="00983D3C"/>
    <w:rsid w:val="00985AF3"/>
    <w:rsid w:val="0099661A"/>
    <w:rsid w:val="009B1329"/>
    <w:rsid w:val="009B31F2"/>
    <w:rsid w:val="009B3E47"/>
    <w:rsid w:val="009C5393"/>
    <w:rsid w:val="009F1335"/>
    <w:rsid w:val="009F1B1D"/>
    <w:rsid w:val="009F480D"/>
    <w:rsid w:val="009F50DD"/>
    <w:rsid w:val="00A01909"/>
    <w:rsid w:val="00A048A9"/>
    <w:rsid w:val="00A11922"/>
    <w:rsid w:val="00A21F4E"/>
    <w:rsid w:val="00A31D7E"/>
    <w:rsid w:val="00A330A8"/>
    <w:rsid w:val="00A36A79"/>
    <w:rsid w:val="00A6458D"/>
    <w:rsid w:val="00A77668"/>
    <w:rsid w:val="00A9343D"/>
    <w:rsid w:val="00A97730"/>
    <w:rsid w:val="00AA16A4"/>
    <w:rsid w:val="00AB249B"/>
    <w:rsid w:val="00AF3224"/>
    <w:rsid w:val="00AF3AAE"/>
    <w:rsid w:val="00B26F7D"/>
    <w:rsid w:val="00B358F1"/>
    <w:rsid w:val="00B50EDE"/>
    <w:rsid w:val="00B546FE"/>
    <w:rsid w:val="00B67587"/>
    <w:rsid w:val="00B86094"/>
    <w:rsid w:val="00B87BFD"/>
    <w:rsid w:val="00B93E05"/>
    <w:rsid w:val="00BA3F3A"/>
    <w:rsid w:val="00BB4920"/>
    <w:rsid w:val="00BD0652"/>
    <w:rsid w:val="00C06B1E"/>
    <w:rsid w:val="00C1563F"/>
    <w:rsid w:val="00C3041A"/>
    <w:rsid w:val="00C43C2D"/>
    <w:rsid w:val="00C569B6"/>
    <w:rsid w:val="00C656BD"/>
    <w:rsid w:val="00C66EC9"/>
    <w:rsid w:val="00C732FC"/>
    <w:rsid w:val="00C839B3"/>
    <w:rsid w:val="00CB253C"/>
    <w:rsid w:val="00CC7313"/>
    <w:rsid w:val="00CD692E"/>
    <w:rsid w:val="00CE564E"/>
    <w:rsid w:val="00CE661F"/>
    <w:rsid w:val="00CF4008"/>
    <w:rsid w:val="00D039C9"/>
    <w:rsid w:val="00D044E5"/>
    <w:rsid w:val="00D70519"/>
    <w:rsid w:val="00D775B3"/>
    <w:rsid w:val="00D85E44"/>
    <w:rsid w:val="00DE792A"/>
    <w:rsid w:val="00DF56A4"/>
    <w:rsid w:val="00E077E7"/>
    <w:rsid w:val="00E12DDB"/>
    <w:rsid w:val="00E26927"/>
    <w:rsid w:val="00E3110E"/>
    <w:rsid w:val="00E655BD"/>
    <w:rsid w:val="00E7535C"/>
    <w:rsid w:val="00E80A39"/>
    <w:rsid w:val="00E93031"/>
    <w:rsid w:val="00E93C2B"/>
    <w:rsid w:val="00EA1FA9"/>
    <w:rsid w:val="00EA512C"/>
    <w:rsid w:val="00EB512A"/>
    <w:rsid w:val="00ED0E47"/>
    <w:rsid w:val="00EE4CB7"/>
    <w:rsid w:val="00EF7DEE"/>
    <w:rsid w:val="00F116D2"/>
    <w:rsid w:val="00F17E9E"/>
    <w:rsid w:val="00F327EC"/>
    <w:rsid w:val="00F359CF"/>
    <w:rsid w:val="00F45F16"/>
    <w:rsid w:val="00F807BD"/>
    <w:rsid w:val="00F85DB8"/>
    <w:rsid w:val="00F91494"/>
    <w:rsid w:val="00FA524B"/>
    <w:rsid w:val="00FB5950"/>
    <w:rsid w:val="00FB6131"/>
    <w:rsid w:val="00FC0961"/>
    <w:rsid w:val="00FC0E24"/>
    <w:rsid w:val="00FC173F"/>
    <w:rsid w:val="00FC3E86"/>
    <w:rsid w:val="00FE5CF6"/>
    <w:rsid w:val="1F28CB6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74A2CD"/>
  <w15:chartTrackingRefBased/>
  <w15:docId w15:val="{BEF7EFEA-36CB-41C3-8E02-D84392A21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492161"/>
  </w:style>
  <w:style w:type="character" w:styleId="Hyperlink">
    <w:name w:val="Hyperlink"/>
    <w:basedOn w:val="DefaultParagraphFont"/>
    <w:uiPriority w:val="99"/>
    <w:unhideWhenUsed/>
    <w:rsid w:val="00492161"/>
    <w:rPr>
      <w:color w:val="0563C1" w:themeColor="hyperlink"/>
      <w:u w:val="single"/>
    </w:rPr>
  </w:style>
  <w:style w:type="character" w:styleId="FollowedHyperlink">
    <w:name w:val="FollowedHyperlink"/>
    <w:basedOn w:val="DefaultParagraphFont"/>
    <w:uiPriority w:val="99"/>
    <w:semiHidden/>
    <w:unhideWhenUsed/>
    <w:rsid w:val="0015351E"/>
    <w:rPr>
      <w:color w:val="954F72" w:themeColor="followedHyperlink"/>
      <w:u w:val="single"/>
    </w:rPr>
  </w:style>
  <w:style w:type="paragraph" w:styleId="ListParagraph">
    <w:name w:val="List Paragraph"/>
    <w:basedOn w:val="Normal"/>
    <w:uiPriority w:val="34"/>
    <w:qFormat/>
    <w:rsid w:val="00FB5950"/>
    <w:pPr>
      <w:ind w:left="720"/>
      <w:contextualSpacing/>
    </w:pPr>
  </w:style>
  <w:style w:type="paragraph" w:styleId="Caption">
    <w:name w:val="caption"/>
    <w:basedOn w:val="Normal"/>
    <w:next w:val="Normal"/>
    <w:uiPriority w:val="35"/>
    <w:unhideWhenUsed/>
    <w:qFormat/>
    <w:rsid w:val="00CD692E"/>
    <w:pPr>
      <w:spacing w:after="200" w:line="240" w:lineRule="auto"/>
    </w:pPr>
    <w:rPr>
      <w:i/>
      <w:iCs/>
      <w:color w:val="44546A" w:themeColor="text2"/>
      <w:sz w:val="18"/>
      <w:szCs w:val="18"/>
    </w:rPr>
  </w:style>
  <w:style w:type="paragraph" w:styleId="Header">
    <w:name w:val="header"/>
    <w:basedOn w:val="Normal"/>
    <w:link w:val="HeaderChar"/>
    <w:uiPriority w:val="99"/>
    <w:unhideWhenUsed/>
    <w:rsid w:val="00FC173F"/>
    <w:pPr>
      <w:tabs>
        <w:tab w:val="center" w:pos="4536"/>
        <w:tab w:val="right" w:pos="9072"/>
      </w:tabs>
      <w:spacing w:after="0" w:line="240" w:lineRule="auto"/>
    </w:pPr>
  </w:style>
  <w:style w:type="character" w:customStyle="1" w:styleId="HeaderChar">
    <w:name w:val="Header Char"/>
    <w:basedOn w:val="DefaultParagraphFont"/>
    <w:link w:val="Header"/>
    <w:uiPriority w:val="99"/>
    <w:rsid w:val="00FC173F"/>
  </w:style>
  <w:style w:type="paragraph" w:styleId="Footer">
    <w:name w:val="footer"/>
    <w:basedOn w:val="Normal"/>
    <w:link w:val="FooterChar"/>
    <w:uiPriority w:val="99"/>
    <w:unhideWhenUsed/>
    <w:rsid w:val="00FC173F"/>
    <w:pPr>
      <w:tabs>
        <w:tab w:val="center" w:pos="4536"/>
        <w:tab w:val="right" w:pos="9072"/>
      </w:tabs>
      <w:spacing w:after="0" w:line="240" w:lineRule="auto"/>
    </w:pPr>
  </w:style>
  <w:style w:type="character" w:customStyle="1" w:styleId="FooterChar">
    <w:name w:val="Footer Char"/>
    <w:basedOn w:val="DefaultParagraphFont"/>
    <w:link w:val="Footer"/>
    <w:uiPriority w:val="99"/>
    <w:rsid w:val="00FC173F"/>
  </w:style>
  <w:style w:type="character" w:styleId="UnresolvedMention">
    <w:name w:val="Unresolved Mention"/>
    <w:basedOn w:val="DefaultParagraphFont"/>
    <w:uiPriority w:val="99"/>
    <w:semiHidden/>
    <w:unhideWhenUsed/>
    <w:rsid w:val="009F480D"/>
    <w:rPr>
      <w:color w:val="605E5C"/>
      <w:shd w:val="clear" w:color="auto" w:fill="E1DFDD"/>
    </w:rPr>
  </w:style>
  <w:style w:type="character" w:styleId="CommentReference">
    <w:name w:val="annotation reference"/>
    <w:basedOn w:val="DefaultParagraphFont"/>
    <w:uiPriority w:val="99"/>
    <w:semiHidden/>
    <w:unhideWhenUsed/>
    <w:rsid w:val="00561F8E"/>
    <w:rPr>
      <w:sz w:val="16"/>
      <w:szCs w:val="16"/>
    </w:rPr>
  </w:style>
  <w:style w:type="paragraph" w:styleId="CommentText">
    <w:name w:val="annotation text"/>
    <w:basedOn w:val="Normal"/>
    <w:link w:val="CommentTextChar"/>
    <w:uiPriority w:val="99"/>
    <w:unhideWhenUsed/>
    <w:rsid w:val="00561F8E"/>
    <w:pPr>
      <w:spacing w:line="240" w:lineRule="auto"/>
    </w:pPr>
    <w:rPr>
      <w:sz w:val="20"/>
      <w:szCs w:val="20"/>
    </w:rPr>
  </w:style>
  <w:style w:type="character" w:customStyle="1" w:styleId="CommentTextChar">
    <w:name w:val="Comment Text Char"/>
    <w:basedOn w:val="DefaultParagraphFont"/>
    <w:link w:val="CommentText"/>
    <w:uiPriority w:val="99"/>
    <w:rsid w:val="00561F8E"/>
    <w:rPr>
      <w:sz w:val="20"/>
      <w:szCs w:val="20"/>
    </w:rPr>
  </w:style>
  <w:style w:type="paragraph" w:styleId="CommentSubject">
    <w:name w:val="annotation subject"/>
    <w:basedOn w:val="CommentText"/>
    <w:next w:val="CommentText"/>
    <w:link w:val="CommentSubjectChar"/>
    <w:uiPriority w:val="99"/>
    <w:semiHidden/>
    <w:unhideWhenUsed/>
    <w:rsid w:val="00561F8E"/>
    <w:rPr>
      <w:b/>
      <w:bCs/>
    </w:rPr>
  </w:style>
  <w:style w:type="character" w:customStyle="1" w:styleId="CommentSubjectChar">
    <w:name w:val="Comment Subject Char"/>
    <w:basedOn w:val="CommentTextChar"/>
    <w:link w:val="CommentSubject"/>
    <w:uiPriority w:val="99"/>
    <w:semiHidden/>
    <w:rsid w:val="00561F8E"/>
    <w:rPr>
      <w:b/>
      <w:bCs/>
      <w:sz w:val="20"/>
      <w:szCs w:val="20"/>
    </w:rPr>
  </w:style>
  <w:style w:type="table" w:styleId="TableGrid">
    <w:name w:val="Table Grid"/>
    <w:basedOn w:val="TableNormal"/>
    <w:uiPriority w:val="39"/>
    <w:rsid w:val="00D705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177/0309816813513088" TargetMode="External"/><Relationship Id="rId21" Type="http://schemas.openxmlformats.org/officeDocument/2006/relationships/hyperlink" Target="https://dx.doi.org/10.2139/ssrn.1928573" TargetMode="External"/><Relationship Id="rId42" Type="http://schemas.openxmlformats.org/officeDocument/2006/relationships/hyperlink" Target="https://www.businesseurope.eu/sites/buseur/files/media/position_papers/businesseurope_recovery_plan_final_30_04_2020_v2.pdf" TargetMode="External"/><Relationship Id="rId63" Type="http://schemas.openxmlformats.org/officeDocument/2006/relationships/hyperlink" Target="https://ert.eu/wp-content/uploads/2019/12/ERT-Competitiveness-and-Industry-Benchmarking-Report-2019_II.pdf" TargetMode="External"/><Relationship Id="rId84" Type="http://schemas.openxmlformats.org/officeDocument/2006/relationships/hyperlink" Target="http://europa.eu/rapid/press-release_MEMO-11-820_en.pdf" TargetMode="External"/><Relationship Id="rId138" Type="http://schemas.openxmlformats.org/officeDocument/2006/relationships/hyperlink" Target="https://www.theparliamentmagazine.eu/news/article/as-the-eu-lays-out-its-first-joint-defence-strategy-could-eurobonds-become-a-reality" TargetMode="External"/><Relationship Id="rId159" Type="http://schemas.openxmlformats.org/officeDocument/2006/relationships/footer" Target="footer3.xml"/><Relationship Id="rId107" Type="http://schemas.openxmlformats.org/officeDocument/2006/relationships/hyperlink" Target="https://www.finance-watch.org/blog/the-insufficient-role-of-edis-in-restoring-trust-in-banks" TargetMode="External"/><Relationship Id="rId11" Type="http://schemas.openxmlformats.org/officeDocument/2006/relationships/image" Target="media/image2.png"/><Relationship Id="rId32" Type="http://schemas.openxmlformats.org/officeDocument/2006/relationships/hyperlink" Target="https://doi.org/10.1080/13501763.2023.2220357" TargetMode="External"/><Relationship Id="rId53" Type="http://schemas.openxmlformats.org/officeDocument/2006/relationships/hyperlink" Target="https://doi.org/10.1080/09692299408434270" TargetMode="External"/><Relationship Id="rId74" Type="http://schemas.openxmlformats.org/officeDocument/2006/relationships/hyperlink" Target="https://www.etuc.org/sites/default/files/document/file/2021-10/ETUC%20resolution%20on%20the%20European%20Union%20public%20debt%20issue%20and%20the%20fiscal%20rules.pdf" TargetMode="External"/><Relationship Id="rId128" Type="http://schemas.openxmlformats.org/officeDocument/2006/relationships/hyperlink" Target="https://www.euractiv.com/section/economy-jobs/news/eus-new-fiscal-rules-impede-fight-against-climate-change-report/" TargetMode="External"/><Relationship Id="rId149" Type="http://schemas.openxmlformats.org/officeDocument/2006/relationships/hyperlink" Target="https://doi.org/10.1057/palgrave.jird.1800012" TargetMode="External"/><Relationship Id="rId5" Type="http://schemas.openxmlformats.org/officeDocument/2006/relationships/footnotes" Target="footnotes.xml"/><Relationship Id="rId95" Type="http://schemas.openxmlformats.org/officeDocument/2006/relationships/hyperlink" Target="https://commission.europa.eu/strategy-and-policy/eu-budget/eu-borrower-investor-relations/mfa-programmes-including-ukraine_en" TargetMode="External"/><Relationship Id="rId160" Type="http://schemas.openxmlformats.org/officeDocument/2006/relationships/fontTable" Target="fontTable.xml"/><Relationship Id="rId22" Type="http://schemas.openxmlformats.org/officeDocument/2006/relationships/hyperlink" Target="https://doi.org/10.1016/j.jimonfin.2020.102343" TargetMode="External"/><Relationship Id="rId43" Type="http://schemas.openxmlformats.org/officeDocument/2006/relationships/hyperlink" Target="https://bankwatch.org/what-we-do" TargetMode="External"/><Relationship Id="rId64" Type="http://schemas.openxmlformats.org/officeDocument/2006/relationships/hyperlink" Target="https://ert.eu/wp-content/uploads/2019/12/2019-12-09-Europes-industrial-leaders-call-for-urgent-action-as-new-report-shows-Europe-falling-behind-globally-Press-Release.pdf" TargetMode="External"/><Relationship Id="rId118" Type="http://schemas.openxmlformats.org/officeDocument/2006/relationships/hyperlink" Target="https://www.politico.eu/article/peace-dividend-dead-brussels-plan-war-ukraine-eurobonds-thierry-breton/" TargetMode="External"/><Relationship Id="rId139" Type="http://schemas.openxmlformats.org/officeDocument/2006/relationships/hyperlink" Target="https://doi.org/10.1080/13501763.2014.995119" TargetMode="External"/><Relationship Id="rId85" Type="http://schemas.openxmlformats.org/officeDocument/2006/relationships/hyperlink" Target="https://eur-lex.europa.eu/legal-content/EN/TXT/?uri=celex%3A52015DC0063" TargetMode="External"/><Relationship Id="rId150" Type="http://schemas.openxmlformats.org/officeDocument/2006/relationships/hyperlink" Target="https://www.politico.eu/article/netherlands-try-to-calm-storm-over-repugnant-finance-ministers-comments/" TargetMode="External"/><Relationship Id="rId12" Type="http://schemas.openxmlformats.org/officeDocument/2006/relationships/image" Target="media/image3.png"/><Relationship Id="rId17" Type="http://schemas.openxmlformats.org/officeDocument/2006/relationships/hyperlink" Target="https://www.afme.eu/publications/reports/details/annual-review-2017" TargetMode="External"/><Relationship Id="rId33" Type="http://schemas.openxmlformats.org/officeDocument/2006/relationships/hyperlink" Target="https://doi.org/10.1177/1354066115612558" TargetMode="External"/><Relationship Id="rId38" Type="http://schemas.openxmlformats.org/officeDocument/2006/relationships/hyperlink" Target="https://www.businesseurope.eu/sites/buseur/files/media/imported/2011-01761-E.pdf" TargetMode="External"/><Relationship Id="rId59" Type="http://schemas.openxmlformats.org/officeDocument/2006/relationships/hyperlink" Target="https://www.efr.be/media/1prgsynf/107-1-efr-report-23-03-2017.pdf" TargetMode="External"/><Relationship Id="rId103" Type="http://schemas.openxmlformats.org/officeDocument/2006/relationships/hyperlink" Target="https://doi.org/10.1080/03085147.2016.1264167" TargetMode="External"/><Relationship Id="rId108" Type="http://schemas.openxmlformats.org/officeDocument/2006/relationships/hyperlink" Target="https://www.finance-watch.org/wp-content/uploads/2020/07/Debt-sustainability-sustainable-COVID-recovery.pdf" TargetMode="External"/><Relationship Id="rId124" Type="http://schemas.openxmlformats.org/officeDocument/2006/relationships/hyperlink" Target="https://www.mckinsey.com/~/media/mckinsey/industries/financial%20services/our%20insights/the%20rise%20and%20rise%20of%20the%20global%20balance%20sheet%20how%20productively%20are%20we%20using%20our%20wealth/mgi-the-rise-and-rise-of-the-global-balance-sheet-full-report-vf.pdf" TargetMode="External"/><Relationship Id="rId129" Type="http://schemas.openxmlformats.org/officeDocument/2006/relationships/hyperlink" Target="https://www.euractiv.com/section/economy-jobs/news/new-eu-fiscal-reforms-will-impede-critical-investments-experts-warn/" TargetMode="External"/><Relationship Id="rId54" Type="http://schemas.openxmlformats.org/officeDocument/2006/relationships/hyperlink" Target="https://doi.org/10.1177/004839318501500201" TargetMode="External"/><Relationship Id="rId70" Type="http://schemas.openxmlformats.org/officeDocument/2006/relationships/hyperlink" Target="https://www.etuc.org/sites/default/files/publication/files/ces-congrecs_2015-rapport-uk-ld_def_0.pdf" TargetMode="External"/><Relationship Id="rId75" Type="http://schemas.openxmlformats.org/officeDocument/2006/relationships/hyperlink" Target="https://www.etuc.org/sites/default/files/2023-06/ETUC%20Activity%20Report%202019_2023.pdf" TargetMode="External"/><Relationship Id="rId91" Type="http://schemas.openxmlformats.org/officeDocument/2006/relationships/hyperlink" Target="https://commission.europa.eu/business-economy-euro/economic-recovery/recovery-and-resilience-facility_en" TargetMode="External"/><Relationship Id="rId96" Type="http://schemas.openxmlformats.org/officeDocument/2006/relationships/hyperlink" Target="https://commission.europa.eu/document/download/fb6687a7-4249-434c-bb07-5e9f34f4fd43_en?filename=H2%202023%20Half-yearly%20report%20on%20the%20implementation%20of%20borrowing%2C%20debt%20management%20and%20related%20lending%20operations.pdf" TargetMode="External"/><Relationship Id="rId140" Type="http://schemas.openxmlformats.org/officeDocument/2006/relationships/hyperlink" Target="https://doi.org/10.1080/14747731.2022.2147764" TargetMode="External"/><Relationship Id="rId145" Type="http://schemas.openxmlformats.org/officeDocument/2006/relationships/hyperlink" Target="https://doi.org/10.1111/jcms.13303" TargetMode="Externa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23" Type="http://schemas.openxmlformats.org/officeDocument/2006/relationships/hyperlink" Target="https://bdi.eu/download_content/20100702131614.pdf" TargetMode="External"/><Relationship Id="rId28" Type="http://schemas.openxmlformats.org/officeDocument/2006/relationships/hyperlink" Target="https://doi.org/10.1179/1024529413Z.00000000038" TargetMode="External"/><Relationship Id="rId49" Type="http://schemas.openxmlformats.org/officeDocument/2006/relationships/hyperlink" Target="https://doi.org/10.1080/07036337.2021.1881499" TargetMode="External"/><Relationship Id="rId114" Type="http://schemas.openxmlformats.org/officeDocument/2006/relationships/hyperlink" Target="https://www.politico.com/news/2020/03/26/virtual-summit-real-acrimony-eu-leaders-clash-over-corona-bonds-151291" TargetMode="External"/><Relationship Id="rId119" Type="http://schemas.openxmlformats.org/officeDocument/2006/relationships/hyperlink" Target="https://www.bild.de/politik/inland/angela-merkel/keine-eurobonds-solange-ich-lebe-24873790.bild.html" TargetMode="External"/><Relationship Id="rId44" Type="http://schemas.openxmlformats.org/officeDocument/2006/relationships/hyperlink" Target="https://bankwatch.org/wp-content/uploads/2020/04/Joint-NGO-letter-to-President-Hoyer-on-Covid19-response.pdf" TargetMode="External"/><Relationship Id="rId60" Type="http://schemas.openxmlformats.org/officeDocument/2006/relationships/hyperlink" Target="https://www.efr.be/media/jdmm3ajo/approved-annual-efr-report-17-4-2018.pdf" TargetMode="External"/><Relationship Id="rId65" Type="http://schemas.openxmlformats.org/officeDocument/2006/relationships/hyperlink" Target="https://ert.eu/wp-content/uploads/2020/05/TCB-CEO-Confidence-ERT_H12020.pdf" TargetMode="External"/><Relationship Id="rId81" Type="http://schemas.openxmlformats.org/officeDocument/2006/relationships/hyperlink" Target="https://euromemo.eu/wp-content/uploads/pdfs/uploads/euromemorandum2022_final_draft_28march_2022.pdf" TargetMode="External"/><Relationship Id="rId86" Type="http://schemas.openxmlformats.org/officeDocument/2006/relationships/hyperlink" Target="https://eur-lex.europa.eu/legal-content/EN/TXT/?uri=CELEX%3A52015DC0468" TargetMode="External"/><Relationship Id="rId130" Type="http://schemas.openxmlformats.org/officeDocument/2006/relationships/hyperlink" Target="https://www.euractiv.com/section/economy-jobs/news/gentiloni-member-states-will-set-up-smaller-scale-capital-markets-union-in-case-of-no-eu-consensus/" TargetMode="External"/><Relationship Id="rId135" Type="http://schemas.openxmlformats.org/officeDocument/2006/relationships/hyperlink" Target="https://www.euractiv.com/section/economy-jobs/news/recovery-fund-should-be-blueprint-for-permanent-joint-borrowing-eu-commission-economy-chief-says/" TargetMode="External"/><Relationship Id="rId151" Type="http://schemas.openxmlformats.org/officeDocument/2006/relationships/hyperlink" Target="https://ec.europa.eu/commission/presscorner/detail/en/speech_20_675" TargetMode="External"/><Relationship Id="rId156" Type="http://schemas.openxmlformats.org/officeDocument/2006/relationships/hyperlink" Target="https://doi.org/10.1111/jcms.13366" TargetMode="External"/><Relationship Id="rId13" Type="http://schemas.openxmlformats.org/officeDocument/2006/relationships/hyperlink" Target="https://doi.org/10.1016/j.jfi.2008.12.002" TargetMode="External"/><Relationship Id="rId18" Type="http://schemas.openxmlformats.org/officeDocument/2006/relationships/hyperlink" Target="https://www.afme.eu/portals/0/globalassets/downloads/consultation-responses/afme-ppa-response-to-framework-for-sbbs.pdf" TargetMode="External"/><Relationship Id="rId39" Type="http://schemas.openxmlformats.org/officeDocument/2006/relationships/hyperlink" Target="https://www.businesseurope.eu/sites/buseur/files/media/imported/2014-00841-E.pdf" TargetMode="External"/><Relationship Id="rId109" Type="http://schemas.openxmlformats.org/officeDocument/2006/relationships/hyperlink" Target="https://doi.org/10.1111/jcms.12309" TargetMode="External"/><Relationship Id="rId34" Type="http://schemas.openxmlformats.org/officeDocument/2006/relationships/hyperlink" Target="https://doi.org/10.1177/030981689104500105" TargetMode="External"/><Relationship Id="rId50" Type="http://schemas.openxmlformats.org/officeDocument/2006/relationships/hyperlink" Target="https://doi.org/10.1177/03058298830120020701" TargetMode="External"/><Relationship Id="rId55" Type="http://schemas.openxmlformats.org/officeDocument/2006/relationships/hyperlink" Target="https://www.efr.be/about-us/" TargetMode="External"/><Relationship Id="rId76" Type="http://schemas.openxmlformats.org/officeDocument/2006/relationships/hyperlink" Target="https://eurochambres.eu/wp-content/uploads/2020/06/ECH_23_April_EU_Council_input_final-2020-00039-01.pdf" TargetMode="External"/><Relationship Id="rId97" Type="http://schemas.openxmlformats.org/officeDocument/2006/relationships/hyperlink" Target="https://www.consilium.europa.eu/media/45109/210720-euco-final-conclusions-en.pdf" TargetMode="External"/><Relationship Id="rId104" Type="http://schemas.openxmlformats.org/officeDocument/2006/relationships/hyperlink" Target="https://www.finance-watch.org/policy-portal/public-finance/speech-to-ecb-on-financial-integration-and-stability" TargetMode="External"/><Relationship Id="rId120" Type="http://schemas.openxmlformats.org/officeDocument/2006/relationships/hyperlink" Target="https://www.ecb.europa.eu/press/inter/date/2020/html/ecb.in200708~8418847210.en.html" TargetMode="External"/><Relationship Id="rId125" Type="http://schemas.openxmlformats.org/officeDocument/2006/relationships/hyperlink" Target="https://www.bundesregierung.de/breg-en/service/archive/speech-by-federal-chancellor-angela-merkel-on-the-german-presidency-of-the-council-of-the-eu-2020-to-the-european-parliament-in-brussels-on-8-july-2020-1768008" TargetMode="External"/><Relationship Id="rId141" Type="http://schemas.openxmlformats.org/officeDocument/2006/relationships/hyperlink" Target="http://hdl.handle.net/10272/14072" TargetMode="External"/><Relationship Id="rId146" Type="http://schemas.openxmlformats.org/officeDocument/2006/relationships/hyperlink" Target="https://doi.org/10.1080/09692290.2013.860612" TargetMode="External"/><Relationship Id="rId7" Type="http://schemas.openxmlformats.org/officeDocument/2006/relationships/image" Target="media/image1.emf"/><Relationship Id="rId71" Type="http://schemas.openxmlformats.org/officeDocument/2006/relationships/hyperlink" Target="https://www.etuc.org/sites/default/files/page/file/2019-05/ETUC%2014th%20Congress%20Activity%20Report%20EN.pdf" TargetMode="External"/><Relationship Id="rId92" Type="http://schemas.openxmlformats.org/officeDocument/2006/relationships/hyperlink" Target="https://commission.europa.eu/strategy-and-policy/eu-budget/eu-borrower-investor-relations/nextgenerationeu_en" TargetMode="External"/><Relationship Id="rId2" Type="http://schemas.openxmlformats.org/officeDocument/2006/relationships/styles" Target="styles.xml"/><Relationship Id="rId29" Type="http://schemas.openxmlformats.org/officeDocument/2006/relationships/hyperlink" Target="https://doi.org/10.1111/jcms.12331" TargetMode="External"/><Relationship Id="rId24" Type="http://schemas.openxmlformats.org/officeDocument/2006/relationships/hyperlink" Target="https://www.businesseurope.eu/sites/buseur/files/media/other_docs/members/bdi_confindustria_medef_08052020_final.pdf" TargetMode="External"/><Relationship Id="rId40" Type="http://schemas.openxmlformats.org/officeDocument/2006/relationships/hyperlink" Target="https://www.spcr.cz/images/EU/2015-06-19_Message_to_the_June_council_-_President_Tusk.pdf" TargetMode="External"/><Relationship Id="rId45" Type="http://schemas.openxmlformats.org/officeDocument/2006/relationships/hyperlink" Target="https://bankwatch.org/wp-content/uploads/2020/05/Bankwatch-Statement-on-EIB-Covid-19-crisis-response.pdf" TargetMode="External"/><Relationship Id="rId66" Type="http://schemas.openxmlformats.org/officeDocument/2006/relationships/hyperlink" Target="https://ert.eu/wp-content/uploads/2020/06/2020-06-10-European-industrial-leaders-support-the-Next-Generation-EU-recovery-plan-PRESS-RELEASE.pdf" TargetMode="External"/><Relationship Id="rId87" Type="http://schemas.openxmlformats.org/officeDocument/2006/relationships/hyperlink" Target="https://eur-lex.europa.eu/legal-content/EN/TXT/?uri=CELEX:52015PC0586" TargetMode="External"/><Relationship Id="rId110" Type="http://schemas.openxmlformats.org/officeDocument/2006/relationships/hyperlink" Target="https://doi.org/10.1016/j.jfineco.2011.03.016" TargetMode="External"/><Relationship Id="rId115" Type="http://schemas.openxmlformats.org/officeDocument/2006/relationships/hyperlink" Target="https://www.politico.eu/article/calls-for-swift-deal-on-budget-and-recovery-package-angela-merkel-recovery-fund/" TargetMode="External"/><Relationship Id="rId131" Type="http://schemas.openxmlformats.org/officeDocument/2006/relationships/hyperlink" Target="https://doi.org/10.1177/03058298070350031301" TargetMode="External"/><Relationship Id="rId136" Type="http://schemas.openxmlformats.org/officeDocument/2006/relationships/hyperlink" Target="https://doi.org/10.1080/13563461003789746" TargetMode="External"/><Relationship Id="rId157" Type="http://schemas.openxmlformats.org/officeDocument/2006/relationships/hyperlink" Target="https://data.worldbank.org/indicator/FI.RES.TOTL.CD" TargetMode="External"/><Relationship Id="rId61" Type="http://schemas.openxmlformats.org/officeDocument/2006/relationships/hyperlink" Target="https://www.efr.be/media/c2nf5gho/125-1-final-efr-letter-on-measures-following-corona-crisis-vf-19-03-2020.pdf" TargetMode="External"/><Relationship Id="rId82" Type="http://schemas.openxmlformats.org/officeDocument/2006/relationships/hyperlink" Target="https://ec.europa.eu/economy_finance/publications/pages/publication7454_en.pdf" TargetMode="External"/><Relationship Id="rId152" Type="http://schemas.openxmlformats.org/officeDocument/2006/relationships/hyperlink" Target="https://ec.europa.eu/commission/presscorner/detail/en/speech_20_877" TargetMode="External"/><Relationship Id="rId19" Type="http://schemas.openxmlformats.org/officeDocument/2006/relationships/hyperlink" Target="https://www.afme.eu/Portals/0/DispatchFeaturedImages/AFME_AnnualReview2019_10-1.pdf" TargetMode="External"/><Relationship Id="rId14" Type="http://schemas.openxmlformats.org/officeDocument/2006/relationships/hyperlink" Target="https://www.afme.eu/about-us/introducing-afme" TargetMode="External"/><Relationship Id="rId30" Type="http://schemas.openxmlformats.org/officeDocument/2006/relationships/hyperlink" Target="https://doi.org/10.1177/1024529418759476" TargetMode="External"/><Relationship Id="rId35" Type="http://schemas.openxmlformats.org/officeDocument/2006/relationships/hyperlink" Target="https://www.businesseurope.eu/sites/buseur/files/media/imported/2010-00765-E.pdf" TargetMode="External"/><Relationship Id="rId56" Type="http://schemas.openxmlformats.org/officeDocument/2006/relationships/hyperlink" Target="https://www.efr.be/media/p1ijlpwa/efr-response-to-capital-markets-union.pdf" TargetMode="External"/><Relationship Id="rId77" Type="http://schemas.openxmlformats.org/officeDocument/2006/relationships/hyperlink" Target="https://euromemo.eu/euromemo/" TargetMode="External"/><Relationship Id="rId100" Type="http://schemas.openxmlformats.org/officeDocument/2006/relationships/hyperlink" Target="https://www.womenlobby.org/IMG/pdf/ewl_walk-the-talk_eu_funds_must_mirror_women_s_equality_june_2020.pdf" TargetMode="External"/><Relationship Id="rId105" Type="http://schemas.openxmlformats.org/officeDocument/2006/relationships/hyperlink" Target="https://www.finance-watch.org/wp-content/uploads/2014/12/Finance-Watch-LTF-paper-2014-EN-summary.pdf" TargetMode="External"/><Relationship Id="rId126" Type="http://schemas.openxmlformats.org/officeDocument/2006/relationships/hyperlink" Target="https://doi.org/10.1016/j.mar.2009.04.001" TargetMode="External"/><Relationship Id="rId147" Type="http://schemas.openxmlformats.org/officeDocument/2006/relationships/hyperlink" Target="https://doi.org/10.1057/palgrave.jird.1800010" TargetMode="External"/><Relationship Id="rId8" Type="http://schemas.openxmlformats.org/officeDocument/2006/relationships/package" Target="embeddings/Microsoft_Word_Document.docx"/><Relationship Id="rId51" Type="http://schemas.openxmlformats.org/officeDocument/2006/relationships/hyperlink" Target="https://doi.org/10.1111/j.1467-8462.2012.00691" TargetMode="External"/><Relationship Id="rId72" Type="http://schemas.openxmlformats.org/officeDocument/2006/relationships/hyperlink" Target="https://www.etuc.org/sites/default/files/document/file/2020-06/ETUC%20position%20-%20An%20EU%20Economic%20and%20Social%20Governance%20for%20a%20prompt%2C%20strong%20and%20sustained%20recovery%20%28Adopted%29.pdf" TargetMode="External"/><Relationship Id="rId93" Type="http://schemas.openxmlformats.org/officeDocument/2006/relationships/hyperlink" Target="https://eur-lex.europa.eu/resource.html?uri=cellar:61042990-fe46-11ea-b44f-01aa75ed71a1.0001.02/DOC_1&amp;format=PDF" TargetMode="External"/><Relationship Id="rId98" Type="http://schemas.openxmlformats.org/officeDocument/2006/relationships/hyperlink" Target="https://www.consilium.europa.eu/en/meetings/european-council/2020/07/17-21/" TargetMode="External"/><Relationship Id="rId121" Type="http://schemas.openxmlformats.org/officeDocument/2006/relationships/hyperlink" Target="https://www.ft.com/content/3ea8d790-7fd1-11ea-8fdb-7ec06edeef84" TargetMode="External"/><Relationship Id="rId142" Type="http://schemas.openxmlformats.org/officeDocument/2006/relationships/hyperlink" Target="https://doi.org/10.1111/jcms.13246" TargetMode="External"/><Relationship Id="rId3" Type="http://schemas.openxmlformats.org/officeDocument/2006/relationships/settings" Target="settings.xml"/><Relationship Id="rId25" Type="http://schemas.openxmlformats.org/officeDocument/2006/relationships/hyperlink" Target="https://doi.org/10.1179/102452910X12837703615337" TargetMode="External"/><Relationship Id="rId46" Type="http://schemas.openxmlformats.org/officeDocument/2006/relationships/hyperlink" Target="https://www.bruegel.org/policy-brief/next-generation-eu-borrowing-first-assessment" TargetMode="External"/><Relationship Id="rId67" Type="http://schemas.openxmlformats.org/officeDocument/2006/relationships/hyperlink" Target="https://www.etuc.org/sites/default/files/CES_resol_EN6_Am_2010_2.pdf" TargetMode="External"/><Relationship Id="rId116" Type="http://schemas.openxmlformats.org/officeDocument/2006/relationships/hyperlink" Target="https://www.globaltimes.cn/content/670875.shtml" TargetMode="External"/><Relationship Id="rId137" Type="http://schemas.openxmlformats.org/officeDocument/2006/relationships/hyperlink" Target="https://doi.org/10.1111/jcms.12429" TargetMode="External"/><Relationship Id="rId158" Type="http://schemas.openxmlformats.org/officeDocument/2006/relationships/hyperlink" Target="https://data.worldbank.org/indicator/CM.MKT.LCAP.GD.ZS" TargetMode="External"/><Relationship Id="rId20" Type="http://schemas.openxmlformats.org/officeDocument/2006/relationships/hyperlink" Target="https://doi.org/10.1080/09692290.2022.2107043" TargetMode="External"/><Relationship Id="rId41" Type="http://schemas.openxmlformats.org/officeDocument/2006/relationships/hyperlink" Target="https://www.businesseurope.eu/sites/buseur/files/media/position_papers/ecofin/2018-03-20_emu_position_paper.pdf" TargetMode="External"/><Relationship Id="rId62" Type="http://schemas.openxmlformats.org/officeDocument/2006/relationships/hyperlink" Target="https://www.efr.be/media/25pfe1js/126-1-approved-efr-report-2020-16-03-2020.pdf" TargetMode="External"/><Relationship Id="rId83" Type="http://schemas.openxmlformats.org/officeDocument/2006/relationships/hyperlink" Target="https://eur-lex.europa.eu/EN/legal-content/summary/financial-services-action-plan-fsap.html" TargetMode="External"/><Relationship Id="rId88" Type="http://schemas.openxmlformats.org/officeDocument/2006/relationships/hyperlink" Target="https://commission.europa.eu/publications/reflection-paper-deepening-economic-and-monetary-union_en" TargetMode="External"/><Relationship Id="rId111" Type="http://schemas.openxmlformats.org/officeDocument/2006/relationships/hyperlink" Target="https://doi.org/10.6092/issn.1561-8048/15651" TargetMode="External"/><Relationship Id="rId132" Type="http://schemas.openxmlformats.org/officeDocument/2006/relationships/hyperlink" Target="https://doi.org/10.1093/oxrep/grt032" TargetMode="External"/><Relationship Id="rId153" Type="http://schemas.openxmlformats.org/officeDocument/2006/relationships/hyperlink" Target="https://ec.europa.eu/commission/presscorner/api/files/document/print/en/speech_20_941/SPEECH_20_941_EN.pdf" TargetMode="External"/><Relationship Id="rId15" Type="http://schemas.openxmlformats.org/officeDocument/2006/relationships/hyperlink" Target="https://www.afme.eu/Portals/0/globalassets/downloads/press-releases/2012/PCSrelease.pdf?ver=2019-09-11-143543-457" TargetMode="External"/><Relationship Id="rId36" Type="http://schemas.openxmlformats.org/officeDocument/2006/relationships/hyperlink" Target="https://www.businesseurope.eu/sites/buseur/files/media/imported/2010-01412-E.pdf" TargetMode="External"/><Relationship Id="rId57" Type="http://schemas.openxmlformats.org/officeDocument/2006/relationships/hyperlink" Target="https://www.efr.be/media/yubcmbgc/final-approved-efr-report-2016.pdf" TargetMode="External"/><Relationship Id="rId106" Type="http://schemas.openxmlformats.org/officeDocument/2006/relationships/hyperlink" Target="https://www.finance-watch.org/policy-portal/stability-supervision/response-to-commission-green-paper-on-capital-markets-union" TargetMode="External"/><Relationship Id="rId127" Type="http://schemas.openxmlformats.org/officeDocument/2006/relationships/hyperlink" Target="https://doi.org/10.5089/9781475505207.001" TargetMode="External"/><Relationship Id="rId10" Type="http://schemas.openxmlformats.org/officeDocument/2006/relationships/footer" Target="footer2.xml"/><Relationship Id="rId31" Type="http://schemas.openxmlformats.org/officeDocument/2006/relationships/hyperlink" Target="https://doi.org/10.1257/jep.23.1.77/" TargetMode="External"/><Relationship Id="rId52" Type="http://schemas.openxmlformats.org/officeDocument/2006/relationships/hyperlink" Target="https://doi.org/10.1111/spol.12709" TargetMode="External"/><Relationship Id="rId73" Type="http://schemas.openxmlformats.org/officeDocument/2006/relationships/hyperlink" Target="https://www.etuc.org/system/files/document/file2020-06/ETUC%20Resolution%20on%20the%20recovery%20strategy%20after%20COVID-19%20-%20FINAL%20AFTER%20EXCO.pdf" TargetMode="External"/><Relationship Id="rId78" Type="http://schemas.openxmlformats.org/officeDocument/2006/relationships/hyperlink" Target="https://euromemo.eu/wp-content/uploads/pdfs/uploads/euromemorandum_2010_2011.pdf" TargetMode="External"/><Relationship Id="rId94" Type="http://schemas.openxmlformats.org/officeDocument/2006/relationships/hyperlink" Target="https://commission.europa.eu/strategy-and-policy/eu-budget/eu-borrower-investor-relations/sure_en" TargetMode="External"/><Relationship Id="rId99" Type="http://schemas.openxmlformats.org/officeDocument/2006/relationships/hyperlink" Target="https://www.womenlobby.org/IMG/pdf/ewl_policy_brief_on_covid-19_impact_on_women_and_girls-2.pdf" TargetMode="External"/><Relationship Id="rId101" Type="http://schemas.openxmlformats.org/officeDocument/2006/relationships/hyperlink" Target="https://www.womenlobby.org/IMG/pdf/2020.07.02_-_ewl_letter_to_president_von_der_leyen.pdf" TargetMode="External"/><Relationship Id="rId122" Type="http://schemas.openxmlformats.org/officeDocument/2006/relationships/hyperlink" Target="https://doi.org/10.1080/07036337.2014.990137" TargetMode="External"/><Relationship Id="rId143" Type="http://schemas.openxmlformats.org/officeDocument/2006/relationships/hyperlink" Target="https://doi.org/10.1111/jcms.13465" TargetMode="External"/><Relationship Id="rId148" Type="http://schemas.openxmlformats.org/officeDocument/2006/relationships/hyperlink" Target="https://dx.doi.org/10.2139/ssrn.4013325" TargetMode="External"/><Relationship Id="rId4" Type="http://schemas.openxmlformats.org/officeDocument/2006/relationships/webSettings" Target="webSettings.xml"/><Relationship Id="rId9" Type="http://schemas.openxmlformats.org/officeDocument/2006/relationships/footer" Target="footer1.xml"/><Relationship Id="rId26" Type="http://schemas.openxmlformats.org/officeDocument/2006/relationships/hyperlink" Target="https://doi.org/10.1016/j.jimonfin.2014.03.002" TargetMode="External"/><Relationship Id="rId47" Type="http://schemas.openxmlformats.org/officeDocument/2006/relationships/hyperlink" Target="https://doi.org/10.1177/030981687800500103" TargetMode="External"/><Relationship Id="rId68" Type="http://schemas.openxmlformats.org/officeDocument/2006/relationships/hyperlink" Target="https://www.etuc.org/sites/default/files/other/files/rapport_congres_2011_en_def_1.pdf" TargetMode="External"/><Relationship Id="rId89" Type="http://schemas.openxmlformats.org/officeDocument/2006/relationships/hyperlink" Target="https://eur-lex.europa.eu/legal-content/EN/TXT/?uri=CELEX:52018SC0252" TargetMode="External"/><Relationship Id="rId112" Type="http://schemas.openxmlformats.org/officeDocument/2006/relationships/hyperlink" Target="https://doi.org/10.3898/136266210791036791" TargetMode="External"/><Relationship Id="rId133" Type="http://schemas.openxmlformats.org/officeDocument/2006/relationships/hyperlink" Target="https://doi.org/10.1057/s41295-022-00311-7" TargetMode="External"/><Relationship Id="rId154" Type="http://schemas.openxmlformats.org/officeDocument/2006/relationships/hyperlink" Target="https://ec.europa.eu/commission/presscorner/detail/en/speech_20_1396" TargetMode="External"/><Relationship Id="rId16" Type="http://schemas.openxmlformats.org/officeDocument/2006/relationships/hyperlink" Target="https://www.afme.eu/portals/0/globalassets/downloads/annual-review/afme-annual-review-2013.pdf" TargetMode="External"/><Relationship Id="rId37" Type="http://schemas.openxmlformats.org/officeDocument/2006/relationships/hyperlink" Target="https://www.businesseurope.eu/sites/buseur/files/media/imported/2011-01758-E.pdf" TargetMode="External"/><Relationship Id="rId58" Type="http://schemas.openxmlformats.org/officeDocument/2006/relationships/hyperlink" Target="https://www.efr.be/media/dmgn3jgi/101-1-efr-statement-ahead-of-cop22-24-10-2016.pdf" TargetMode="External"/><Relationship Id="rId79" Type="http://schemas.openxmlformats.org/officeDocument/2006/relationships/hyperlink" Target="https://euromemo.eu/wp-content/uploads/pdfs/uploads/euromemorandum_2018.pdf" TargetMode="External"/><Relationship Id="rId102" Type="http://schemas.openxmlformats.org/officeDocument/2006/relationships/hyperlink" Target="https://womenlobby.org/Mission-vision-values?lang=en" TargetMode="External"/><Relationship Id="rId123" Type="http://schemas.openxmlformats.org/officeDocument/2006/relationships/hyperlink" Target="https://www.theguardian.com/commentisfree/2020/mar/18/the-covid-19-crisis-is-a-chance-to-do-capitalism-differently" TargetMode="External"/><Relationship Id="rId144" Type="http://schemas.openxmlformats.org/officeDocument/2006/relationships/hyperlink" Target="https://doi.org/10.1111/jcms.13297" TargetMode="External"/><Relationship Id="rId90" Type="http://schemas.openxmlformats.org/officeDocument/2006/relationships/hyperlink" Target="https://eur-lex.europa.eu/legal-content/EN/TXT/PDF/?uri=CELEX:32020R0672" TargetMode="External"/><Relationship Id="rId27" Type="http://schemas.openxmlformats.org/officeDocument/2006/relationships/hyperlink" Target="https://doi.org/10.1177/0309816813513088" TargetMode="External"/><Relationship Id="rId48" Type="http://schemas.openxmlformats.org/officeDocument/2006/relationships/hyperlink" Target="https://www.ethicalmarkets.com/business-against-europe-businesseurope-celebrates-social-onslaught-in-europe/" TargetMode="External"/><Relationship Id="rId69" Type="http://schemas.openxmlformats.org/officeDocument/2006/relationships/hyperlink" Target="https://www.etuc.org/sites/default/files/publication/files/ces-brochure_resolutions-uk.pdf" TargetMode="External"/><Relationship Id="rId113" Type="http://schemas.openxmlformats.org/officeDocument/2006/relationships/hyperlink" Target="https://doi.org/10.1007/s10602-021-09327-9" TargetMode="External"/><Relationship Id="rId134" Type="http://schemas.openxmlformats.org/officeDocument/2006/relationships/hyperlink" Target="https://doi.org/10.1057/palgrave.jird.1800011" TargetMode="External"/><Relationship Id="rId80" Type="http://schemas.openxmlformats.org/officeDocument/2006/relationships/hyperlink" Target="https://euromemo.eu/wp-content/uploads/pdfs/uploads/euromemorandum_2021_updated.pdf" TargetMode="External"/><Relationship Id="rId155" Type="http://schemas.openxmlformats.org/officeDocument/2006/relationships/hyperlink" Target="https://doi.org/10.1332/AMGM86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0665CC-99F7-4D6A-9F6E-50C978A6AA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89</Pages>
  <Words>30603</Words>
  <Characters>174442</Characters>
  <Application>Microsoft Office Word</Application>
  <DocSecurity>0</DocSecurity>
  <Lines>1453</Lines>
  <Paragraphs>409</Paragraphs>
  <ScaleCrop>false</ScaleCrop>
  <Company/>
  <LinksUpToDate>false</LinksUpToDate>
  <CharactersWithSpaces>204636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Bus, C.J. (Camiel)</dc:creator>
  <cp:keywords/>
  <dc:description/>
  <cp:lastModifiedBy>Angela Wigger</cp:lastModifiedBy>
  <cp:revision>4</cp:revision>
  <dcterms:created xsi:type="dcterms:W3CDTF">2024-08-14T15:17:00Z</dcterms:created>
  <dcterms:modified xsi:type="dcterms:W3CDTF">2024-08-18T10:47:00Z</dcterms:modified>
</cp:coreProperties>
</file>