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6DDDF0" w14:textId="44189656" w:rsidR="00250391" w:rsidRDefault="00D93D72">
      <w:pPr>
        <w:rPr>
          <w:sz w:val="32"/>
        </w:rPr>
      </w:pPr>
      <w:bookmarkStart w:id="0" w:name="_GoBack"/>
      <w:bookmarkEnd w:id="0"/>
      <w:r w:rsidRPr="00D93D72">
        <w:rPr>
          <w:sz w:val="40"/>
        </w:rPr>
        <w:t xml:space="preserve">Understanding European </w:t>
      </w:r>
      <w:r w:rsidRPr="00CA65E1">
        <w:rPr>
          <w:sz w:val="40"/>
        </w:rPr>
        <w:t>disintegration</w:t>
      </w:r>
      <w:r w:rsidRPr="00D93D72">
        <w:rPr>
          <w:sz w:val="40"/>
        </w:rPr>
        <w:t xml:space="preserve">; </w:t>
      </w:r>
      <w:r>
        <w:rPr>
          <w:sz w:val="32"/>
        </w:rPr>
        <w:t>a case study on</w:t>
      </w:r>
      <w:r w:rsidRPr="00D93D72">
        <w:rPr>
          <w:sz w:val="32"/>
        </w:rPr>
        <w:t xml:space="preserve"> the renationalisation of </w:t>
      </w:r>
      <w:r w:rsidR="00B97671">
        <w:rPr>
          <w:sz w:val="32"/>
        </w:rPr>
        <w:t xml:space="preserve">the </w:t>
      </w:r>
      <w:r>
        <w:rPr>
          <w:sz w:val="32"/>
        </w:rPr>
        <w:t xml:space="preserve">discretionary </w:t>
      </w:r>
      <w:r w:rsidR="00B97671">
        <w:rPr>
          <w:sz w:val="32"/>
        </w:rPr>
        <w:t>competence</w:t>
      </w:r>
      <w:r w:rsidRPr="00D93D72">
        <w:rPr>
          <w:sz w:val="32"/>
        </w:rPr>
        <w:t xml:space="preserve"> </w:t>
      </w:r>
      <w:r w:rsidR="00B97671">
        <w:rPr>
          <w:sz w:val="32"/>
        </w:rPr>
        <w:t>to prohibit the cultivation</w:t>
      </w:r>
      <w:r w:rsidRPr="00D93D72">
        <w:rPr>
          <w:sz w:val="32"/>
        </w:rPr>
        <w:t xml:space="preserve"> </w:t>
      </w:r>
      <w:r w:rsidR="00CA65E1">
        <w:rPr>
          <w:sz w:val="32"/>
        </w:rPr>
        <w:t xml:space="preserve">of </w:t>
      </w:r>
      <w:r w:rsidRPr="00D93D72">
        <w:rPr>
          <w:sz w:val="32"/>
        </w:rPr>
        <w:t>genetically modified crops.</w:t>
      </w:r>
    </w:p>
    <w:p w14:paraId="6BE8051F" w14:textId="77777777" w:rsidR="00D93D72" w:rsidRDefault="00D93D72">
      <w:pPr>
        <w:rPr>
          <w:sz w:val="32"/>
        </w:rPr>
      </w:pPr>
    </w:p>
    <w:p w14:paraId="3F19544C" w14:textId="77777777" w:rsidR="00D93D72" w:rsidRDefault="00D93D72">
      <w:pPr>
        <w:rPr>
          <w:sz w:val="32"/>
        </w:rPr>
      </w:pPr>
    </w:p>
    <w:p w14:paraId="49C3BFF3" w14:textId="77777777" w:rsidR="00D93D72" w:rsidRDefault="00D93D72">
      <w:pPr>
        <w:rPr>
          <w:sz w:val="32"/>
        </w:rPr>
      </w:pPr>
    </w:p>
    <w:p w14:paraId="75A7AD08" w14:textId="77777777" w:rsidR="00D93D72" w:rsidRDefault="00D93D72">
      <w:pPr>
        <w:rPr>
          <w:sz w:val="32"/>
        </w:rPr>
      </w:pPr>
    </w:p>
    <w:p w14:paraId="3CA6115B" w14:textId="77777777" w:rsidR="00D93D72" w:rsidRDefault="00D93D72">
      <w:pPr>
        <w:rPr>
          <w:sz w:val="32"/>
        </w:rPr>
      </w:pPr>
    </w:p>
    <w:p w14:paraId="49F496DE" w14:textId="77777777" w:rsidR="00D93D72" w:rsidRDefault="00D93D72">
      <w:pPr>
        <w:rPr>
          <w:sz w:val="32"/>
        </w:rPr>
      </w:pPr>
    </w:p>
    <w:p w14:paraId="474C8F13" w14:textId="77777777" w:rsidR="00D93D72" w:rsidRDefault="00D93D72">
      <w:pPr>
        <w:rPr>
          <w:sz w:val="32"/>
        </w:rPr>
      </w:pPr>
    </w:p>
    <w:p w14:paraId="5F19B03B" w14:textId="77777777" w:rsidR="00D93D72" w:rsidRDefault="00D93D72">
      <w:pPr>
        <w:rPr>
          <w:sz w:val="32"/>
        </w:rPr>
      </w:pPr>
    </w:p>
    <w:p w14:paraId="778AA996" w14:textId="77777777" w:rsidR="00D93D72" w:rsidRDefault="00D93D72">
      <w:pPr>
        <w:rPr>
          <w:sz w:val="32"/>
        </w:rPr>
      </w:pPr>
    </w:p>
    <w:p w14:paraId="1D98DDC0" w14:textId="77777777" w:rsidR="00D93D72" w:rsidRDefault="00D93D72">
      <w:pPr>
        <w:rPr>
          <w:sz w:val="32"/>
        </w:rPr>
      </w:pPr>
    </w:p>
    <w:p w14:paraId="0C7FC4C7" w14:textId="77777777" w:rsidR="00D93D72" w:rsidRDefault="00D93D72">
      <w:pPr>
        <w:rPr>
          <w:sz w:val="32"/>
        </w:rPr>
      </w:pPr>
    </w:p>
    <w:p w14:paraId="1CACB859" w14:textId="77777777" w:rsidR="00D93D72" w:rsidRDefault="00D93D72">
      <w:pPr>
        <w:rPr>
          <w:sz w:val="32"/>
        </w:rPr>
      </w:pPr>
    </w:p>
    <w:p w14:paraId="2928EEB2" w14:textId="77777777" w:rsidR="00D93D72" w:rsidRDefault="00D93D72">
      <w:pPr>
        <w:rPr>
          <w:sz w:val="32"/>
        </w:rPr>
      </w:pPr>
    </w:p>
    <w:p w14:paraId="2259FDA1" w14:textId="77777777" w:rsidR="00D93D72" w:rsidRDefault="009877B2" w:rsidP="009877B2">
      <w:pPr>
        <w:spacing w:line="360" w:lineRule="auto"/>
        <w:rPr>
          <w:sz w:val="24"/>
          <w:szCs w:val="24"/>
        </w:rPr>
      </w:pPr>
      <w:r>
        <w:rPr>
          <w:sz w:val="24"/>
          <w:szCs w:val="24"/>
        </w:rPr>
        <w:t>M</w:t>
      </w:r>
      <w:r w:rsidR="00D93D72">
        <w:rPr>
          <w:sz w:val="24"/>
          <w:szCs w:val="24"/>
        </w:rPr>
        <w:t>aster thesis by Finn F.W. Roelofs</w:t>
      </w:r>
    </w:p>
    <w:p w14:paraId="7163D098" w14:textId="77777777" w:rsidR="00D93D72" w:rsidRDefault="00D93D72" w:rsidP="009877B2">
      <w:pPr>
        <w:spacing w:line="360" w:lineRule="auto"/>
        <w:rPr>
          <w:sz w:val="24"/>
          <w:szCs w:val="24"/>
        </w:rPr>
      </w:pPr>
      <w:r>
        <w:rPr>
          <w:sz w:val="24"/>
          <w:szCs w:val="24"/>
        </w:rPr>
        <w:t>For the completion of th</w:t>
      </w:r>
      <w:r w:rsidR="009877B2">
        <w:rPr>
          <w:sz w:val="24"/>
          <w:szCs w:val="24"/>
        </w:rPr>
        <w:t>e International Relations track of</w:t>
      </w:r>
      <w:r>
        <w:rPr>
          <w:sz w:val="24"/>
          <w:szCs w:val="24"/>
        </w:rPr>
        <w:t xml:space="preserve"> Political Science</w:t>
      </w:r>
    </w:p>
    <w:p w14:paraId="1D463F85" w14:textId="77777777" w:rsidR="00D93D72" w:rsidRDefault="009877B2" w:rsidP="009877B2">
      <w:pPr>
        <w:spacing w:line="360" w:lineRule="auto"/>
        <w:rPr>
          <w:sz w:val="24"/>
          <w:szCs w:val="24"/>
        </w:rPr>
      </w:pPr>
      <w:r>
        <w:rPr>
          <w:sz w:val="24"/>
          <w:szCs w:val="24"/>
        </w:rPr>
        <w:t>Nijmegen School of Management</w:t>
      </w:r>
    </w:p>
    <w:p w14:paraId="2AFFA52A" w14:textId="77777777" w:rsidR="00D93D72" w:rsidRDefault="00D93D72" w:rsidP="009877B2">
      <w:pPr>
        <w:spacing w:line="360" w:lineRule="auto"/>
        <w:rPr>
          <w:sz w:val="24"/>
          <w:szCs w:val="24"/>
        </w:rPr>
      </w:pPr>
      <w:r>
        <w:rPr>
          <w:sz w:val="24"/>
          <w:szCs w:val="24"/>
        </w:rPr>
        <w:t>Supervised by Dr. Thomas R. Eimer</w:t>
      </w:r>
    </w:p>
    <w:p w14:paraId="2C6FF98D" w14:textId="77777777" w:rsidR="009877B2" w:rsidRDefault="009877B2" w:rsidP="009877B2">
      <w:pPr>
        <w:spacing w:line="360" w:lineRule="auto"/>
        <w:rPr>
          <w:sz w:val="24"/>
          <w:szCs w:val="24"/>
        </w:rPr>
      </w:pPr>
      <w:r>
        <w:rPr>
          <w:noProof/>
          <w:sz w:val="24"/>
          <w:szCs w:val="24"/>
          <w:lang w:val="nl-NL" w:eastAsia="nl-NL"/>
        </w:rPr>
        <w:drawing>
          <wp:anchor distT="0" distB="0" distL="114300" distR="114300" simplePos="0" relativeHeight="251658240" behindDoc="1" locked="0" layoutInCell="1" allowOverlap="1" wp14:anchorId="41DB16D9" wp14:editId="0D086584">
            <wp:simplePos x="0" y="0"/>
            <wp:positionH relativeFrom="margin">
              <wp:align>right</wp:align>
            </wp:positionH>
            <wp:positionV relativeFrom="paragraph">
              <wp:posOffset>4445</wp:posOffset>
            </wp:positionV>
            <wp:extent cx="3194050" cy="853440"/>
            <wp:effectExtent l="0" t="0" r="6350" b="3810"/>
            <wp:wrapTight wrapText="bothSides">
              <wp:wrapPolygon edited="0">
                <wp:start x="0" y="0"/>
                <wp:lineTo x="0" y="21214"/>
                <wp:lineTo x="21514" y="21214"/>
                <wp:lineTo x="21514" y="0"/>
                <wp:lineTo x="0" y="0"/>
              </wp:wrapPolygon>
            </wp:wrapTight>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94050" cy="853440"/>
                    </a:xfrm>
                    <a:prstGeom prst="rect">
                      <a:avLst/>
                    </a:prstGeom>
                    <a:noFill/>
                    <a:ln>
                      <a:noFill/>
                    </a:ln>
                  </pic:spPr>
                </pic:pic>
              </a:graphicData>
            </a:graphic>
          </wp:anchor>
        </w:drawing>
      </w:r>
      <w:r w:rsidR="00B97671">
        <w:rPr>
          <w:sz w:val="24"/>
          <w:szCs w:val="24"/>
        </w:rPr>
        <w:t>14-8</w:t>
      </w:r>
      <w:r>
        <w:rPr>
          <w:sz w:val="24"/>
          <w:szCs w:val="24"/>
        </w:rPr>
        <w:t>-2017</w:t>
      </w:r>
    </w:p>
    <w:p w14:paraId="5EC56007" w14:textId="77777777" w:rsidR="009877B2" w:rsidRDefault="009877B2" w:rsidP="009877B2">
      <w:pPr>
        <w:spacing w:line="480" w:lineRule="auto"/>
        <w:rPr>
          <w:sz w:val="24"/>
          <w:szCs w:val="24"/>
        </w:rPr>
      </w:pPr>
    </w:p>
    <w:p w14:paraId="5501C329" w14:textId="77777777" w:rsidR="009877B2" w:rsidRDefault="009877B2" w:rsidP="009877B2">
      <w:pPr>
        <w:spacing w:line="480" w:lineRule="auto"/>
        <w:rPr>
          <w:sz w:val="24"/>
          <w:szCs w:val="24"/>
        </w:rPr>
      </w:pPr>
    </w:p>
    <w:p w14:paraId="3FA8D4D6" w14:textId="77777777" w:rsidR="009877B2" w:rsidRDefault="009877B2" w:rsidP="009877B2">
      <w:pPr>
        <w:spacing w:line="480" w:lineRule="auto"/>
        <w:rPr>
          <w:sz w:val="24"/>
          <w:szCs w:val="24"/>
        </w:rPr>
      </w:pPr>
    </w:p>
    <w:p w14:paraId="4AF9E085" w14:textId="77777777" w:rsidR="009877B2" w:rsidRDefault="009877B2" w:rsidP="009877B2">
      <w:pPr>
        <w:spacing w:line="480" w:lineRule="auto"/>
        <w:rPr>
          <w:sz w:val="24"/>
          <w:szCs w:val="24"/>
        </w:rPr>
      </w:pPr>
    </w:p>
    <w:p w14:paraId="6F2732CB" w14:textId="77777777" w:rsidR="009877B2" w:rsidRDefault="009877B2" w:rsidP="009877B2">
      <w:pPr>
        <w:spacing w:line="480" w:lineRule="auto"/>
        <w:rPr>
          <w:sz w:val="24"/>
          <w:szCs w:val="24"/>
        </w:rPr>
      </w:pPr>
    </w:p>
    <w:p w14:paraId="4DD485D7" w14:textId="77777777" w:rsidR="009877B2" w:rsidRDefault="009877B2" w:rsidP="009877B2">
      <w:pPr>
        <w:spacing w:line="480" w:lineRule="auto"/>
        <w:rPr>
          <w:sz w:val="24"/>
          <w:szCs w:val="24"/>
        </w:rPr>
      </w:pPr>
    </w:p>
    <w:p w14:paraId="6D1F58C0" w14:textId="77777777" w:rsidR="009877B2" w:rsidRDefault="009877B2" w:rsidP="009877B2">
      <w:pPr>
        <w:spacing w:line="480" w:lineRule="auto"/>
        <w:rPr>
          <w:sz w:val="24"/>
          <w:szCs w:val="24"/>
        </w:rPr>
      </w:pPr>
    </w:p>
    <w:p w14:paraId="669CC12C" w14:textId="77777777" w:rsidR="009877B2" w:rsidRDefault="009877B2" w:rsidP="009877B2">
      <w:pPr>
        <w:spacing w:line="480" w:lineRule="auto"/>
        <w:rPr>
          <w:sz w:val="24"/>
          <w:szCs w:val="24"/>
        </w:rPr>
      </w:pPr>
    </w:p>
    <w:p w14:paraId="26ABA5E7" w14:textId="77777777" w:rsidR="009877B2" w:rsidRDefault="009877B2" w:rsidP="009877B2">
      <w:pPr>
        <w:spacing w:line="480" w:lineRule="auto"/>
        <w:rPr>
          <w:sz w:val="24"/>
          <w:szCs w:val="24"/>
        </w:rPr>
      </w:pPr>
    </w:p>
    <w:p w14:paraId="22085E7E" w14:textId="77777777" w:rsidR="009877B2" w:rsidRDefault="009877B2" w:rsidP="009877B2">
      <w:pPr>
        <w:spacing w:line="480" w:lineRule="auto"/>
        <w:rPr>
          <w:sz w:val="24"/>
          <w:szCs w:val="24"/>
        </w:rPr>
      </w:pPr>
    </w:p>
    <w:p w14:paraId="361DDDDE" w14:textId="77777777" w:rsidR="009877B2" w:rsidRDefault="009877B2" w:rsidP="009877B2">
      <w:pPr>
        <w:spacing w:line="480" w:lineRule="auto"/>
        <w:rPr>
          <w:sz w:val="24"/>
          <w:szCs w:val="24"/>
        </w:rPr>
      </w:pPr>
    </w:p>
    <w:p w14:paraId="32D55C2D" w14:textId="77777777" w:rsidR="009877B2" w:rsidRDefault="009877B2" w:rsidP="009877B2">
      <w:pPr>
        <w:spacing w:line="480" w:lineRule="auto"/>
        <w:rPr>
          <w:sz w:val="24"/>
          <w:szCs w:val="24"/>
        </w:rPr>
      </w:pPr>
    </w:p>
    <w:p w14:paraId="3E3DEB9C" w14:textId="77777777" w:rsidR="009877B2" w:rsidRDefault="009877B2" w:rsidP="009877B2">
      <w:pPr>
        <w:spacing w:line="480" w:lineRule="auto"/>
        <w:rPr>
          <w:sz w:val="24"/>
          <w:szCs w:val="24"/>
        </w:rPr>
      </w:pPr>
    </w:p>
    <w:p w14:paraId="6884A187" w14:textId="77777777" w:rsidR="009877B2" w:rsidRDefault="009877B2" w:rsidP="009877B2">
      <w:pPr>
        <w:spacing w:line="480" w:lineRule="auto"/>
        <w:rPr>
          <w:sz w:val="24"/>
          <w:szCs w:val="24"/>
        </w:rPr>
      </w:pPr>
    </w:p>
    <w:p w14:paraId="43359A6D" w14:textId="77777777" w:rsidR="009877B2" w:rsidRDefault="009877B2" w:rsidP="009877B2">
      <w:pPr>
        <w:spacing w:line="480" w:lineRule="auto"/>
        <w:rPr>
          <w:sz w:val="24"/>
          <w:szCs w:val="24"/>
        </w:rPr>
      </w:pPr>
    </w:p>
    <w:p w14:paraId="7A720E07" w14:textId="77777777" w:rsidR="009877B2" w:rsidRDefault="009877B2" w:rsidP="009877B2">
      <w:pPr>
        <w:spacing w:line="480" w:lineRule="auto"/>
        <w:rPr>
          <w:sz w:val="24"/>
          <w:szCs w:val="24"/>
        </w:rPr>
      </w:pPr>
    </w:p>
    <w:p w14:paraId="049118DC" w14:textId="77777777" w:rsidR="009877B2" w:rsidRDefault="009877B2" w:rsidP="009877B2">
      <w:pPr>
        <w:spacing w:line="480" w:lineRule="auto"/>
        <w:rPr>
          <w:sz w:val="24"/>
          <w:szCs w:val="24"/>
        </w:rPr>
      </w:pPr>
    </w:p>
    <w:p w14:paraId="4D735C34" w14:textId="77777777" w:rsidR="009877B2" w:rsidRDefault="009877B2" w:rsidP="009877B2">
      <w:pPr>
        <w:spacing w:line="480" w:lineRule="auto"/>
        <w:rPr>
          <w:sz w:val="24"/>
          <w:szCs w:val="24"/>
        </w:rPr>
      </w:pPr>
    </w:p>
    <w:p w14:paraId="5DA51E24" w14:textId="77777777" w:rsidR="009877B2" w:rsidRDefault="009877B2" w:rsidP="009877B2">
      <w:pPr>
        <w:spacing w:line="480" w:lineRule="auto"/>
        <w:rPr>
          <w:sz w:val="24"/>
          <w:szCs w:val="24"/>
        </w:rPr>
      </w:pPr>
    </w:p>
    <w:p w14:paraId="22823075" w14:textId="77777777" w:rsidR="009877B2" w:rsidRDefault="009877B2" w:rsidP="009877B2">
      <w:pPr>
        <w:spacing w:line="480" w:lineRule="auto"/>
        <w:rPr>
          <w:sz w:val="24"/>
          <w:szCs w:val="24"/>
        </w:rPr>
      </w:pPr>
    </w:p>
    <w:p w14:paraId="7789C920" w14:textId="77777777" w:rsidR="009877B2" w:rsidRDefault="009877B2" w:rsidP="009877B2">
      <w:pPr>
        <w:spacing w:line="480" w:lineRule="auto"/>
        <w:rPr>
          <w:sz w:val="24"/>
          <w:szCs w:val="24"/>
        </w:rPr>
      </w:pPr>
    </w:p>
    <w:p w14:paraId="7BF5BB8B" w14:textId="77777777" w:rsidR="009877B2" w:rsidRDefault="009877B2" w:rsidP="009877B2">
      <w:pPr>
        <w:spacing w:line="480" w:lineRule="auto"/>
        <w:rPr>
          <w:sz w:val="24"/>
          <w:szCs w:val="24"/>
        </w:rPr>
      </w:pPr>
    </w:p>
    <w:p w14:paraId="1D28CB7E" w14:textId="77777777" w:rsidR="009877B2" w:rsidRDefault="009877B2" w:rsidP="009877B2">
      <w:pPr>
        <w:spacing w:line="480" w:lineRule="auto"/>
        <w:rPr>
          <w:sz w:val="24"/>
          <w:szCs w:val="24"/>
        </w:rPr>
      </w:pPr>
    </w:p>
    <w:p w14:paraId="41136E53" w14:textId="77777777" w:rsidR="009877B2" w:rsidRDefault="009877B2" w:rsidP="009877B2">
      <w:pPr>
        <w:spacing w:line="480" w:lineRule="auto"/>
        <w:rPr>
          <w:sz w:val="24"/>
          <w:szCs w:val="24"/>
        </w:rPr>
      </w:pPr>
    </w:p>
    <w:p w14:paraId="217C3FEB" w14:textId="77777777" w:rsidR="009877B2" w:rsidRDefault="009877B2" w:rsidP="009877B2">
      <w:pPr>
        <w:spacing w:line="480" w:lineRule="auto"/>
        <w:rPr>
          <w:sz w:val="24"/>
          <w:szCs w:val="24"/>
        </w:rPr>
      </w:pPr>
    </w:p>
    <w:p w14:paraId="36ACE513" w14:textId="77777777" w:rsidR="009877B2" w:rsidRDefault="009877B2" w:rsidP="009877B2">
      <w:pPr>
        <w:spacing w:line="480" w:lineRule="auto"/>
        <w:rPr>
          <w:sz w:val="24"/>
          <w:szCs w:val="24"/>
        </w:rPr>
      </w:pPr>
    </w:p>
    <w:p w14:paraId="21DCE76A" w14:textId="77777777" w:rsidR="009877B2" w:rsidRDefault="009877B2" w:rsidP="009877B2">
      <w:pPr>
        <w:spacing w:line="480" w:lineRule="auto"/>
        <w:rPr>
          <w:sz w:val="24"/>
          <w:szCs w:val="24"/>
        </w:rPr>
      </w:pPr>
    </w:p>
    <w:p w14:paraId="32A69B5C" w14:textId="77777777" w:rsidR="009877B2" w:rsidRDefault="009877B2" w:rsidP="009877B2">
      <w:pPr>
        <w:spacing w:line="480" w:lineRule="auto"/>
        <w:rPr>
          <w:sz w:val="24"/>
          <w:szCs w:val="24"/>
        </w:rPr>
      </w:pPr>
    </w:p>
    <w:p w14:paraId="3CA2E7B2" w14:textId="77777777" w:rsidR="009877B2" w:rsidRDefault="009877B2" w:rsidP="009877B2">
      <w:pPr>
        <w:spacing w:line="480" w:lineRule="auto"/>
        <w:rPr>
          <w:sz w:val="24"/>
          <w:szCs w:val="24"/>
        </w:rPr>
      </w:pPr>
    </w:p>
    <w:p w14:paraId="509F783F" w14:textId="77777777" w:rsidR="009877B2" w:rsidRDefault="009877B2" w:rsidP="009877B2">
      <w:pPr>
        <w:spacing w:line="480" w:lineRule="auto"/>
        <w:rPr>
          <w:sz w:val="24"/>
          <w:szCs w:val="24"/>
        </w:rPr>
      </w:pPr>
    </w:p>
    <w:p w14:paraId="10D4E7E6" w14:textId="77777777" w:rsidR="009877B2" w:rsidRDefault="009877B2" w:rsidP="009877B2">
      <w:pPr>
        <w:spacing w:line="480" w:lineRule="auto"/>
        <w:rPr>
          <w:sz w:val="24"/>
          <w:szCs w:val="24"/>
        </w:rPr>
      </w:pPr>
    </w:p>
    <w:p w14:paraId="52D12251" w14:textId="77777777" w:rsidR="009877B2" w:rsidRDefault="009877B2" w:rsidP="009877B2">
      <w:pPr>
        <w:spacing w:line="480" w:lineRule="auto"/>
        <w:rPr>
          <w:sz w:val="24"/>
          <w:szCs w:val="24"/>
        </w:rPr>
      </w:pPr>
    </w:p>
    <w:p w14:paraId="3C1E6D5F" w14:textId="77777777" w:rsidR="009877B2" w:rsidRDefault="009877B2" w:rsidP="009877B2">
      <w:pPr>
        <w:spacing w:line="480" w:lineRule="auto"/>
        <w:rPr>
          <w:sz w:val="24"/>
          <w:szCs w:val="24"/>
        </w:rPr>
      </w:pPr>
    </w:p>
    <w:p w14:paraId="76569739" w14:textId="77777777" w:rsidR="009877B2" w:rsidRDefault="009877B2" w:rsidP="009877B2">
      <w:pPr>
        <w:spacing w:line="480" w:lineRule="auto"/>
        <w:rPr>
          <w:sz w:val="24"/>
          <w:szCs w:val="24"/>
        </w:rPr>
      </w:pPr>
    </w:p>
    <w:p w14:paraId="72F44B02" w14:textId="77777777" w:rsidR="009877B2" w:rsidRDefault="009877B2" w:rsidP="009877B2">
      <w:pPr>
        <w:spacing w:line="480" w:lineRule="auto"/>
        <w:rPr>
          <w:sz w:val="24"/>
          <w:szCs w:val="24"/>
        </w:rPr>
      </w:pPr>
    </w:p>
    <w:p w14:paraId="20EE7BBF" w14:textId="77777777" w:rsidR="009877B2" w:rsidRDefault="009877B2" w:rsidP="009877B2">
      <w:pPr>
        <w:spacing w:line="480" w:lineRule="auto"/>
        <w:rPr>
          <w:sz w:val="24"/>
          <w:szCs w:val="24"/>
        </w:rPr>
      </w:pPr>
    </w:p>
    <w:p w14:paraId="780E1724" w14:textId="77777777" w:rsidR="009877B2" w:rsidRDefault="009877B2" w:rsidP="009877B2">
      <w:pPr>
        <w:spacing w:line="480" w:lineRule="auto"/>
        <w:rPr>
          <w:sz w:val="24"/>
          <w:szCs w:val="24"/>
        </w:rPr>
      </w:pPr>
    </w:p>
    <w:p w14:paraId="4F9AA83A" w14:textId="77777777" w:rsidR="009877B2" w:rsidRDefault="009877B2" w:rsidP="009877B2">
      <w:pPr>
        <w:spacing w:line="480" w:lineRule="auto"/>
        <w:rPr>
          <w:sz w:val="24"/>
          <w:szCs w:val="24"/>
        </w:rPr>
      </w:pPr>
    </w:p>
    <w:p w14:paraId="7B34A57D" w14:textId="77777777" w:rsidR="009877B2" w:rsidRDefault="009877B2" w:rsidP="009877B2">
      <w:pPr>
        <w:spacing w:line="480" w:lineRule="auto"/>
        <w:rPr>
          <w:sz w:val="24"/>
          <w:szCs w:val="24"/>
        </w:rPr>
      </w:pPr>
    </w:p>
    <w:p w14:paraId="2DBDA63F" w14:textId="77777777" w:rsidR="009877B2" w:rsidRDefault="009877B2" w:rsidP="009877B2">
      <w:pPr>
        <w:spacing w:line="480" w:lineRule="auto"/>
        <w:rPr>
          <w:sz w:val="24"/>
          <w:szCs w:val="24"/>
        </w:rPr>
      </w:pPr>
    </w:p>
    <w:p w14:paraId="5F9F7FD9" w14:textId="77777777" w:rsidR="009877B2" w:rsidRDefault="009877B2" w:rsidP="009877B2">
      <w:pPr>
        <w:spacing w:line="480" w:lineRule="auto"/>
        <w:rPr>
          <w:sz w:val="24"/>
          <w:szCs w:val="24"/>
        </w:rPr>
      </w:pPr>
    </w:p>
    <w:p w14:paraId="04F8942F" w14:textId="77777777" w:rsidR="00917560" w:rsidRDefault="00917560" w:rsidP="009877B2">
      <w:pPr>
        <w:spacing w:line="480" w:lineRule="auto"/>
        <w:rPr>
          <w:sz w:val="24"/>
          <w:szCs w:val="24"/>
        </w:rPr>
      </w:pPr>
    </w:p>
    <w:p w14:paraId="4F597536" w14:textId="77777777" w:rsidR="001327A2" w:rsidRDefault="001327A2" w:rsidP="009877B2">
      <w:pPr>
        <w:spacing w:line="480" w:lineRule="auto"/>
        <w:rPr>
          <w:sz w:val="24"/>
          <w:szCs w:val="24"/>
        </w:rPr>
      </w:pPr>
    </w:p>
    <w:p w14:paraId="35F283EA" w14:textId="77777777" w:rsidR="001327A2" w:rsidRDefault="001327A2" w:rsidP="009877B2">
      <w:pPr>
        <w:spacing w:line="480" w:lineRule="auto"/>
        <w:rPr>
          <w:sz w:val="24"/>
          <w:szCs w:val="24"/>
        </w:rPr>
      </w:pPr>
    </w:p>
    <w:p w14:paraId="33BB860B" w14:textId="77777777" w:rsidR="001327A2" w:rsidRDefault="001327A2" w:rsidP="009877B2">
      <w:pPr>
        <w:spacing w:line="480" w:lineRule="auto"/>
        <w:rPr>
          <w:sz w:val="24"/>
          <w:szCs w:val="24"/>
        </w:rPr>
      </w:pPr>
    </w:p>
    <w:p w14:paraId="3C122C43" w14:textId="77777777" w:rsidR="001327A2" w:rsidRDefault="001327A2" w:rsidP="009877B2">
      <w:pPr>
        <w:spacing w:line="480" w:lineRule="auto"/>
        <w:rPr>
          <w:sz w:val="24"/>
          <w:szCs w:val="24"/>
        </w:rPr>
      </w:pPr>
    </w:p>
    <w:p w14:paraId="2038DF22" w14:textId="77777777" w:rsidR="001327A2" w:rsidRDefault="001327A2" w:rsidP="009877B2">
      <w:pPr>
        <w:spacing w:line="480" w:lineRule="auto"/>
        <w:rPr>
          <w:sz w:val="24"/>
          <w:szCs w:val="24"/>
        </w:rPr>
      </w:pPr>
    </w:p>
    <w:p w14:paraId="40D4D832" w14:textId="77777777" w:rsidR="009877B2" w:rsidRDefault="009877B2" w:rsidP="00917560">
      <w:pPr>
        <w:pStyle w:val="Heading2"/>
        <w:jc w:val="center"/>
      </w:pPr>
      <w:bookmarkStart w:id="1" w:name="_Toc490488028"/>
      <w:r>
        <w:t>Abstract</w:t>
      </w:r>
      <w:bookmarkEnd w:id="1"/>
    </w:p>
    <w:p w14:paraId="4076BC86" w14:textId="5D82A808" w:rsidR="00917560" w:rsidRPr="00917560" w:rsidRDefault="00917560" w:rsidP="00917560">
      <w:pPr>
        <w:jc w:val="center"/>
        <w:rPr>
          <w:sz w:val="24"/>
          <w:szCs w:val="24"/>
        </w:rPr>
      </w:pPr>
      <w:r>
        <w:rPr>
          <w:sz w:val="24"/>
          <w:szCs w:val="24"/>
        </w:rPr>
        <w:t>This thesis answers the question how we can explain European disintegration. It does so through the analysis of the highly controversial debate on</w:t>
      </w:r>
      <w:r w:rsidR="00CA65E1">
        <w:rPr>
          <w:sz w:val="24"/>
          <w:szCs w:val="24"/>
        </w:rPr>
        <w:t xml:space="preserve"> the cultivation of</w:t>
      </w:r>
      <w:r>
        <w:rPr>
          <w:sz w:val="24"/>
          <w:szCs w:val="24"/>
        </w:rPr>
        <w:t xml:space="preserve"> geneti</w:t>
      </w:r>
      <w:r w:rsidR="00CA65E1">
        <w:rPr>
          <w:sz w:val="24"/>
          <w:szCs w:val="24"/>
        </w:rPr>
        <w:t xml:space="preserve">cally modified crops </w:t>
      </w:r>
      <w:r>
        <w:rPr>
          <w:sz w:val="24"/>
          <w:szCs w:val="24"/>
        </w:rPr>
        <w:t>in the European Union. The competence to prohibit such cultivation is reallocated to the member states</w:t>
      </w:r>
      <w:r w:rsidR="003B6266">
        <w:rPr>
          <w:sz w:val="24"/>
          <w:szCs w:val="24"/>
        </w:rPr>
        <w:t xml:space="preserve"> and this thesis asks why this has occurred</w:t>
      </w:r>
      <w:r>
        <w:rPr>
          <w:sz w:val="24"/>
          <w:szCs w:val="24"/>
        </w:rPr>
        <w:t xml:space="preserve">. Other European policies remain adamant to calls for subsidiarity. Through the analysis of this disintegrative process, this thesis enhances our understanding of integrative dynamics. By employing the classical theories of European integration Neofunctionalism and Liberal Intergovernmentalism to explain disintegration, the explanatory scope of these theories is increased. </w:t>
      </w:r>
      <w:r w:rsidR="001327A2">
        <w:rPr>
          <w:sz w:val="24"/>
          <w:szCs w:val="24"/>
        </w:rPr>
        <w:t>As this thesis will show moreover, the Liberal Intergovernmentalist explanation underestimates the role the European Commission plays, and the Neofunctionalist approach overestimates the power of societal actors.</w:t>
      </w:r>
    </w:p>
    <w:p w14:paraId="262B29A9" w14:textId="71EE0D7F" w:rsidR="008F6F95" w:rsidRDefault="00917560">
      <w:pPr>
        <w:rPr>
          <w:i/>
          <w:sz w:val="24"/>
          <w:szCs w:val="24"/>
        </w:rPr>
      </w:pPr>
      <w:r>
        <w:rPr>
          <w:i/>
          <w:sz w:val="24"/>
          <w:szCs w:val="24"/>
        </w:rPr>
        <w:br w:type="page"/>
      </w:r>
      <w:r w:rsidR="008F6F95">
        <w:rPr>
          <w:i/>
          <w:sz w:val="24"/>
          <w:szCs w:val="24"/>
        </w:rPr>
        <w:lastRenderedPageBreak/>
        <w:br w:type="page"/>
      </w:r>
    </w:p>
    <w:sdt>
      <w:sdtPr>
        <w:rPr>
          <w:rFonts w:asciiTheme="minorHAnsi" w:eastAsiaTheme="minorHAnsi" w:hAnsiTheme="minorHAnsi" w:cstheme="minorBidi"/>
          <w:color w:val="auto"/>
          <w:sz w:val="22"/>
          <w:szCs w:val="22"/>
          <w:lang w:val="en-GB"/>
        </w:rPr>
        <w:id w:val="-1180737910"/>
        <w:docPartObj>
          <w:docPartGallery w:val="Table of Contents"/>
          <w:docPartUnique/>
        </w:docPartObj>
      </w:sdtPr>
      <w:sdtEndPr>
        <w:rPr>
          <w:b/>
          <w:bCs/>
          <w:noProof/>
        </w:rPr>
      </w:sdtEndPr>
      <w:sdtContent>
        <w:p w14:paraId="60EA0F16" w14:textId="77777777" w:rsidR="0034411E" w:rsidRDefault="0034411E">
          <w:pPr>
            <w:pStyle w:val="TOCHeading"/>
          </w:pPr>
          <w:r>
            <w:t>Contents</w:t>
          </w:r>
        </w:p>
        <w:p w14:paraId="1BF6B768" w14:textId="4652BB23" w:rsidR="008F6F95" w:rsidRDefault="0034411E">
          <w:pPr>
            <w:pStyle w:val="TOC2"/>
            <w:tabs>
              <w:tab w:val="right" w:leader="dot" w:pos="9062"/>
            </w:tabs>
            <w:rPr>
              <w:rFonts w:cstheme="minorBidi"/>
              <w:noProof/>
              <w:lang w:val="nl-NL" w:eastAsia="nl-NL"/>
            </w:rPr>
          </w:pPr>
          <w:r>
            <w:fldChar w:fldCharType="begin"/>
          </w:r>
          <w:r>
            <w:instrText xml:space="preserve"> TOC \o "1-3" \h \z \u </w:instrText>
          </w:r>
          <w:r>
            <w:fldChar w:fldCharType="separate"/>
          </w:r>
          <w:hyperlink w:anchor="_Toc490488028" w:history="1">
            <w:r w:rsidR="008F6F95" w:rsidRPr="00A87153">
              <w:rPr>
                <w:rStyle w:val="Hyperlink"/>
                <w:noProof/>
              </w:rPr>
              <w:t>Abstract</w:t>
            </w:r>
            <w:r w:rsidR="008F6F95">
              <w:rPr>
                <w:noProof/>
                <w:webHidden/>
              </w:rPr>
              <w:tab/>
            </w:r>
            <w:r w:rsidR="008F6F95">
              <w:rPr>
                <w:noProof/>
                <w:webHidden/>
              </w:rPr>
              <w:fldChar w:fldCharType="begin"/>
            </w:r>
            <w:r w:rsidR="008F6F95">
              <w:rPr>
                <w:noProof/>
                <w:webHidden/>
              </w:rPr>
              <w:instrText xml:space="preserve"> PAGEREF _Toc490488028 \h </w:instrText>
            </w:r>
            <w:r w:rsidR="008F6F95">
              <w:rPr>
                <w:noProof/>
                <w:webHidden/>
              </w:rPr>
            </w:r>
            <w:r w:rsidR="008F6F95">
              <w:rPr>
                <w:noProof/>
                <w:webHidden/>
              </w:rPr>
              <w:fldChar w:fldCharType="separate"/>
            </w:r>
            <w:r w:rsidR="00543837">
              <w:rPr>
                <w:noProof/>
                <w:webHidden/>
              </w:rPr>
              <w:t>4</w:t>
            </w:r>
            <w:r w:rsidR="008F6F95">
              <w:rPr>
                <w:noProof/>
                <w:webHidden/>
              </w:rPr>
              <w:fldChar w:fldCharType="end"/>
            </w:r>
          </w:hyperlink>
        </w:p>
        <w:p w14:paraId="62E6C65B" w14:textId="0106D0CF" w:rsidR="008F6F95" w:rsidRDefault="005953CE">
          <w:pPr>
            <w:pStyle w:val="TOC1"/>
            <w:rPr>
              <w:rFonts w:cstheme="minorBidi"/>
              <w:noProof/>
              <w:lang w:val="nl-NL" w:eastAsia="nl-NL"/>
            </w:rPr>
          </w:pPr>
          <w:hyperlink w:anchor="_Toc490488029" w:history="1">
            <w:r w:rsidR="008F6F95" w:rsidRPr="00A87153">
              <w:rPr>
                <w:rStyle w:val="Hyperlink"/>
                <w:noProof/>
              </w:rPr>
              <w:t>Chapter 1: Introduction</w:t>
            </w:r>
            <w:r w:rsidR="008F6F95">
              <w:rPr>
                <w:noProof/>
                <w:webHidden/>
              </w:rPr>
              <w:tab/>
            </w:r>
            <w:r w:rsidR="008F6F95">
              <w:rPr>
                <w:noProof/>
                <w:webHidden/>
              </w:rPr>
              <w:fldChar w:fldCharType="begin"/>
            </w:r>
            <w:r w:rsidR="008F6F95">
              <w:rPr>
                <w:noProof/>
                <w:webHidden/>
              </w:rPr>
              <w:instrText xml:space="preserve"> PAGEREF _Toc490488029 \h </w:instrText>
            </w:r>
            <w:r w:rsidR="008F6F95">
              <w:rPr>
                <w:noProof/>
                <w:webHidden/>
              </w:rPr>
            </w:r>
            <w:r w:rsidR="008F6F95">
              <w:rPr>
                <w:noProof/>
                <w:webHidden/>
              </w:rPr>
              <w:fldChar w:fldCharType="separate"/>
            </w:r>
            <w:r w:rsidR="00543837">
              <w:rPr>
                <w:noProof/>
                <w:webHidden/>
              </w:rPr>
              <w:t>9</w:t>
            </w:r>
            <w:r w:rsidR="008F6F95">
              <w:rPr>
                <w:noProof/>
                <w:webHidden/>
              </w:rPr>
              <w:fldChar w:fldCharType="end"/>
            </w:r>
          </w:hyperlink>
        </w:p>
        <w:p w14:paraId="4A547187" w14:textId="7CF44A02" w:rsidR="008F6F95" w:rsidRDefault="005953CE">
          <w:pPr>
            <w:pStyle w:val="TOC1"/>
            <w:rPr>
              <w:rFonts w:cstheme="minorBidi"/>
              <w:noProof/>
              <w:lang w:val="nl-NL" w:eastAsia="nl-NL"/>
            </w:rPr>
          </w:pPr>
          <w:hyperlink w:anchor="_Toc490488030" w:history="1">
            <w:r w:rsidR="008F6F95" w:rsidRPr="00A87153">
              <w:rPr>
                <w:rStyle w:val="Hyperlink"/>
                <w:noProof/>
              </w:rPr>
              <w:t>Chapter 2: Theoretical Framework</w:t>
            </w:r>
            <w:r w:rsidR="008F6F95">
              <w:rPr>
                <w:noProof/>
                <w:webHidden/>
              </w:rPr>
              <w:tab/>
            </w:r>
            <w:r w:rsidR="008F6F95">
              <w:rPr>
                <w:noProof/>
                <w:webHidden/>
              </w:rPr>
              <w:fldChar w:fldCharType="begin"/>
            </w:r>
            <w:r w:rsidR="008F6F95">
              <w:rPr>
                <w:noProof/>
                <w:webHidden/>
              </w:rPr>
              <w:instrText xml:space="preserve"> PAGEREF _Toc490488030 \h </w:instrText>
            </w:r>
            <w:r w:rsidR="008F6F95">
              <w:rPr>
                <w:noProof/>
                <w:webHidden/>
              </w:rPr>
            </w:r>
            <w:r w:rsidR="008F6F95">
              <w:rPr>
                <w:noProof/>
                <w:webHidden/>
              </w:rPr>
              <w:fldChar w:fldCharType="separate"/>
            </w:r>
            <w:r w:rsidR="00543837">
              <w:rPr>
                <w:noProof/>
                <w:webHidden/>
              </w:rPr>
              <w:t>12</w:t>
            </w:r>
            <w:r w:rsidR="008F6F95">
              <w:rPr>
                <w:noProof/>
                <w:webHidden/>
              </w:rPr>
              <w:fldChar w:fldCharType="end"/>
            </w:r>
          </w:hyperlink>
        </w:p>
        <w:p w14:paraId="24942FBF" w14:textId="15D6E589" w:rsidR="008F6F95" w:rsidRDefault="005953CE">
          <w:pPr>
            <w:pStyle w:val="TOC2"/>
            <w:tabs>
              <w:tab w:val="right" w:leader="dot" w:pos="9062"/>
            </w:tabs>
            <w:rPr>
              <w:rFonts w:cstheme="minorBidi"/>
              <w:noProof/>
              <w:lang w:val="nl-NL" w:eastAsia="nl-NL"/>
            </w:rPr>
          </w:pPr>
          <w:hyperlink w:anchor="_Toc490488031" w:history="1">
            <w:r w:rsidR="008F6F95" w:rsidRPr="00A87153">
              <w:rPr>
                <w:rStyle w:val="Hyperlink"/>
                <w:noProof/>
              </w:rPr>
              <w:t>2.1 Neofunctionalism</w:t>
            </w:r>
            <w:r w:rsidR="008F6F95">
              <w:rPr>
                <w:noProof/>
                <w:webHidden/>
              </w:rPr>
              <w:tab/>
            </w:r>
            <w:r w:rsidR="008F6F95">
              <w:rPr>
                <w:noProof/>
                <w:webHidden/>
              </w:rPr>
              <w:fldChar w:fldCharType="begin"/>
            </w:r>
            <w:r w:rsidR="008F6F95">
              <w:rPr>
                <w:noProof/>
                <w:webHidden/>
              </w:rPr>
              <w:instrText xml:space="preserve"> PAGEREF _Toc490488031 \h </w:instrText>
            </w:r>
            <w:r w:rsidR="008F6F95">
              <w:rPr>
                <w:noProof/>
                <w:webHidden/>
              </w:rPr>
            </w:r>
            <w:r w:rsidR="008F6F95">
              <w:rPr>
                <w:noProof/>
                <w:webHidden/>
              </w:rPr>
              <w:fldChar w:fldCharType="separate"/>
            </w:r>
            <w:r w:rsidR="00543837">
              <w:rPr>
                <w:noProof/>
                <w:webHidden/>
              </w:rPr>
              <w:t>12</w:t>
            </w:r>
            <w:r w:rsidR="008F6F95">
              <w:rPr>
                <w:noProof/>
                <w:webHidden/>
              </w:rPr>
              <w:fldChar w:fldCharType="end"/>
            </w:r>
          </w:hyperlink>
        </w:p>
        <w:p w14:paraId="63F874D9" w14:textId="10673403" w:rsidR="008F6F95" w:rsidRDefault="005953CE">
          <w:pPr>
            <w:pStyle w:val="TOC2"/>
            <w:tabs>
              <w:tab w:val="right" w:leader="dot" w:pos="9062"/>
            </w:tabs>
            <w:rPr>
              <w:rFonts w:cstheme="minorBidi"/>
              <w:noProof/>
              <w:lang w:val="nl-NL" w:eastAsia="nl-NL"/>
            </w:rPr>
          </w:pPr>
          <w:hyperlink w:anchor="_Toc490488032" w:history="1">
            <w:r w:rsidR="008F6F95" w:rsidRPr="00A87153">
              <w:rPr>
                <w:rStyle w:val="Hyperlink"/>
                <w:noProof/>
              </w:rPr>
              <w:t>Key actors</w:t>
            </w:r>
            <w:r w:rsidR="008F6F95">
              <w:rPr>
                <w:noProof/>
                <w:webHidden/>
              </w:rPr>
              <w:tab/>
            </w:r>
            <w:r w:rsidR="008F6F95">
              <w:rPr>
                <w:noProof/>
                <w:webHidden/>
              </w:rPr>
              <w:fldChar w:fldCharType="begin"/>
            </w:r>
            <w:r w:rsidR="008F6F95">
              <w:rPr>
                <w:noProof/>
                <w:webHidden/>
              </w:rPr>
              <w:instrText xml:space="preserve"> PAGEREF _Toc490488032 \h </w:instrText>
            </w:r>
            <w:r w:rsidR="008F6F95">
              <w:rPr>
                <w:noProof/>
                <w:webHidden/>
              </w:rPr>
            </w:r>
            <w:r w:rsidR="008F6F95">
              <w:rPr>
                <w:noProof/>
                <w:webHidden/>
              </w:rPr>
              <w:fldChar w:fldCharType="separate"/>
            </w:r>
            <w:r w:rsidR="00543837">
              <w:rPr>
                <w:noProof/>
                <w:webHidden/>
              </w:rPr>
              <w:t>15</w:t>
            </w:r>
            <w:r w:rsidR="008F6F95">
              <w:rPr>
                <w:noProof/>
                <w:webHidden/>
              </w:rPr>
              <w:fldChar w:fldCharType="end"/>
            </w:r>
          </w:hyperlink>
        </w:p>
        <w:p w14:paraId="4DA78717" w14:textId="44B38369" w:rsidR="008F6F95" w:rsidRDefault="005953CE">
          <w:pPr>
            <w:pStyle w:val="TOC2"/>
            <w:tabs>
              <w:tab w:val="right" w:leader="dot" w:pos="9062"/>
            </w:tabs>
            <w:rPr>
              <w:rFonts w:cstheme="minorBidi"/>
              <w:noProof/>
              <w:lang w:val="nl-NL" w:eastAsia="nl-NL"/>
            </w:rPr>
          </w:pPr>
          <w:hyperlink w:anchor="_Toc490488033" w:history="1">
            <w:r w:rsidR="008F6F95" w:rsidRPr="00A87153">
              <w:rPr>
                <w:rStyle w:val="Hyperlink"/>
                <w:noProof/>
              </w:rPr>
              <w:t>Mechanisms</w:t>
            </w:r>
            <w:r w:rsidR="008F6F95">
              <w:rPr>
                <w:noProof/>
                <w:webHidden/>
              </w:rPr>
              <w:tab/>
            </w:r>
            <w:r w:rsidR="008F6F95">
              <w:rPr>
                <w:noProof/>
                <w:webHidden/>
              </w:rPr>
              <w:fldChar w:fldCharType="begin"/>
            </w:r>
            <w:r w:rsidR="008F6F95">
              <w:rPr>
                <w:noProof/>
                <w:webHidden/>
              </w:rPr>
              <w:instrText xml:space="preserve"> PAGEREF _Toc490488033 \h </w:instrText>
            </w:r>
            <w:r w:rsidR="008F6F95">
              <w:rPr>
                <w:noProof/>
                <w:webHidden/>
              </w:rPr>
            </w:r>
            <w:r w:rsidR="008F6F95">
              <w:rPr>
                <w:noProof/>
                <w:webHidden/>
              </w:rPr>
              <w:fldChar w:fldCharType="separate"/>
            </w:r>
            <w:r w:rsidR="00543837">
              <w:rPr>
                <w:noProof/>
                <w:webHidden/>
              </w:rPr>
              <w:t>15</w:t>
            </w:r>
            <w:r w:rsidR="008F6F95">
              <w:rPr>
                <w:noProof/>
                <w:webHidden/>
              </w:rPr>
              <w:fldChar w:fldCharType="end"/>
            </w:r>
          </w:hyperlink>
        </w:p>
        <w:p w14:paraId="2EF66A87" w14:textId="6A38BBC0" w:rsidR="008F6F95" w:rsidRDefault="005953CE">
          <w:pPr>
            <w:pStyle w:val="TOC2"/>
            <w:tabs>
              <w:tab w:val="right" w:leader="dot" w:pos="9062"/>
            </w:tabs>
            <w:rPr>
              <w:rFonts w:cstheme="minorBidi"/>
              <w:noProof/>
              <w:lang w:val="nl-NL" w:eastAsia="nl-NL"/>
            </w:rPr>
          </w:pPr>
          <w:hyperlink w:anchor="_Toc490488034" w:history="1">
            <w:r w:rsidR="008F6F95" w:rsidRPr="00A87153">
              <w:rPr>
                <w:rStyle w:val="Hyperlink"/>
                <w:noProof/>
              </w:rPr>
              <w:t>2.2 Liberal intergovernmentalism</w:t>
            </w:r>
            <w:r w:rsidR="008F6F95">
              <w:rPr>
                <w:noProof/>
                <w:webHidden/>
              </w:rPr>
              <w:tab/>
            </w:r>
            <w:r w:rsidR="008F6F95">
              <w:rPr>
                <w:noProof/>
                <w:webHidden/>
              </w:rPr>
              <w:fldChar w:fldCharType="begin"/>
            </w:r>
            <w:r w:rsidR="008F6F95">
              <w:rPr>
                <w:noProof/>
                <w:webHidden/>
              </w:rPr>
              <w:instrText xml:space="preserve"> PAGEREF _Toc490488034 \h </w:instrText>
            </w:r>
            <w:r w:rsidR="008F6F95">
              <w:rPr>
                <w:noProof/>
                <w:webHidden/>
              </w:rPr>
            </w:r>
            <w:r w:rsidR="008F6F95">
              <w:rPr>
                <w:noProof/>
                <w:webHidden/>
              </w:rPr>
              <w:fldChar w:fldCharType="separate"/>
            </w:r>
            <w:r w:rsidR="00543837">
              <w:rPr>
                <w:noProof/>
                <w:webHidden/>
              </w:rPr>
              <w:t>23</w:t>
            </w:r>
            <w:r w:rsidR="008F6F95">
              <w:rPr>
                <w:noProof/>
                <w:webHidden/>
              </w:rPr>
              <w:fldChar w:fldCharType="end"/>
            </w:r>
          </w:hyperlink>
        </w:p>
        <w:p w14:paraId="3E618978" w14:textId="755BFE2E" w:rsidR="008F6F95" w:rsidRDefault="005953CE">
          <w:pPr>
            <w:pStyle w:val="TOC2"/>
            <w:tabs>
              <w:tab w:val="right" w:leader="dot" w:pos="9062"/>
            </w:tabs>
            <w:rPr>
              <w:rFonts w:cstheme="minorBidi"/>
              <w:noProof/>
              <w:lang w:val="nl-NL" w:eastAsia="nl-NL"/>
            </w:rPr>
          </w:pPr>
          <w:hyperlink w:anchor="_Toc490488035" w:history="1">
            <w:r w:rsidR="008F6F95" w:rsidRPr="00A87153">
              <w:rPr>
                <w:rStyle w:val="Hyperlink"/>
                <w:noProof/>
              </w:rPr>
              <w:t>Mechanisms</w:t>
            </w:r>
            <w:r w:rsidR="008F6F95">
              <w:rPr>
                <w:noProof/>
                <w:webHidden/>
              </w:rPr>
              <w:tab/>
            </w:r>
            <w:r w:rsidR="008F6F95">
              <w:rPr>
                <w:noProof/>
                <w:webHidden/>
              </w:rPr>
              <w:fldChar w:fldCharType="begin"/>
            </w:r>
            <w:r w:rsidR="008F6F95">
              <w:rPr>
                <w:noProof/>
                <w:webHidden/>
              </w:rPr>
              <w:instrText xml:space="preserve"> PAGEREF _Toc490488035 \h </w:instrText>
            </w:r>
            <w:r w:rsidR="008F6F95">
              <w:rPr>
                <w:noProof/>
                <w:webHidden/>
              </w:rPr>
            </w:r>
            <w:r w:rsidR="008F6F95">
              <w:rPr>
                <w:noProof/>
                <w:webHidden/>
              </w:rPr>
              <w:fldChar w:fldCharType="separate"/>
            </w:r>
            <w:r w:rsidR="00543837">
              <w:rPr>
                <w:noProof/>
                <w:webHidden/>
              </w:rPr>
              <w:t>24</w:t>
            </w:r>
            <w:r w:rsidR="008F6F95">
              <w:rPr>
                <w:noProof/>
                <w:webHidden/>
              </w:rPr>
              <w:fldChar w:fldCharType="end"/>
            </w:r>
          </w:hyperlink>
        </w:p>
        <w:p w14:paraId="3EE3A4EC" w14:textId="73870CD8" w:rsidR="008F6F95" w:rsidRDefault="005953CE">
          <w:pPr>
            <w:pStyle w:val="TOC2"/>
            <w:tabs>
              <w:tab w:val="right" w:leader="dot" w:pos="9062"/>
            </w:tabs>
            <w:rPr>
              <w:rFonts w:cstheme="minorBidi"/>
              <w:noProof/>
              <w:lang w:val="nl-NL" w:eastAsia="nl-NL"/>
            </w:rPr>
          </w:pPr>
          <w:hyperlink w:anchor="_Toc490488036" w:history="1">
            <w:r w:rsidR="008F6F95" w:rsidRPr="00A87153">
              <w:rPr>
                <w:rStyle w:val="Hyperlink"/>
                <w:noProof/>
              </w:rPr>
              <w:t>2.3 Comparative synopsis</w:t>
            </w:r>
            <w:r w:rsidR="008F6F95">
              <w:rPr>
                <w:noProof/>
                <w:webHidden/>
              </w:rPr>
              <w:tab/>
            </w:r>
            <w:r w:rsidR="008F6F95">
              <w:rPr>
                <w:noProof/>
                <w:webHidden/>
              </w:rPr>
              <w:fldChar w:fldCharType="begin"/>
            </w:r>
            <w:r w:rsidR="008F6F95">
              <w:rPr>
                <w:noProof/>
                <w:webHidden/>
              </w:rPr>
              <w:instrText xml:space="preserve"> PAGEREF _Toc490488036 \h </w:instrText>
            </w:r>
            <w:r w:rsidR="008F6F95">
              <w:rPr>
                <w:noProof/>
                <w:webHidden/>
              </w:rPr>
            </w:r>
            <w:r w:rsidR="008F6F95">
              <w:rPr>
                <w:noProof/>
                <w:webHidden/>
              </w:rPr>
              <w:fldChar w:fldCharType="separate"/>
            </w:r>
            <w:r w:rsidR="00543837">
              <w:rPr>
                <w:noProof/>
                <w:webHidden/>
              </w:rPr>
              <w:t>30</w:t>
            </w:r>
            <w:r w:rsidR="008F6F95">
              <w:rPr>
                <w:noProof/>
                <w:webHidden/>
              </w:rPr>
              <w:fldChar w:fldCharType="end"/>
            </w:r>
          </w:hyperlink>
        </w:p>
        <w:p w14:paraId="3E3AD3E4" w14:textId="106F2D35" w:rsidR="008F6F95" w:rsidRDefault="005953CE">
          <w:pPr>
            <w:pStyle w:val="TOC1"/>
            <w:rPr>
              <w:rFonts w:cstheme="minorBidi"/>
              <w:noProof/>
              <w:lang w:val="nl-NL" w:eastAsia="nl-NL"/>
            </w:rPr>
          </w:pPr>
          <w:hyperlink w:anchor="_Toc490488037" w:history="1">
            <w:r w:rsidR="008F6F95" w:rsidRPr="00A87153">
              <w:rPr>
                <w:rStyle w:val="Hyperlink"/>
                <w:noProof/>
              </w:rPr>
              <w:t>Chapter 3: Methods and hypotheses</w:t>
            </w:r>
            <w:r w:rsidR="008F6F95">
              <w:rPr>
                <w:noProof/>
                <w:webHidden/>
              </w:rPr>
              <w:tab/>
            </w:r>
            <w:r w:rsidR="008F6F95">
              <w:rPr>
                <w:noProof/>
                <w:webHidden/>
              </w:rPr>
              <w:fldChar w:fldCharType="begin"/>
            </w:r>
            <w:r w:rsidR="008F6F95">
              <w:rPr>
                <w:noProof/>
                <w:webHidden/>
              </w:rPr>
              <w:instrText xml:space="preserve"> PAGEREF _Toc490488037 \h </w:instrText>
            </w:r>
            <w:r w:rsidR="008F6F95">
              <w:rPr>
                <w:noProof/>
                <w:webHidden/>
              </w:rPr>
            </w:r>
            <w:r w:rsidR="008F6F95">
              <w:rPr>
                <w:noProof/>
                <w:webHidden/>
              </w:rPr>
              <w:fldChar w:fldCharType="separate"/>
            </w:r>
            <w:r w:rsidR="00543837">
              <w:rPr>
                <w:noProof/>
                <w:webHidden/>
              </w:rPr>
              <w:t>35</w:t>
            </w:r>
            <w:r w:rsidR="008F6F95">
              <w:rPr>
                <w:noProof/>
                <w:webHidden/>
              </w:rPr>
              <w:fldChar w:fldCharType="end"/>
            </w:r>
          </w:hyperlink>
        </w:p>
        <w:p w14:paraId="71DFA9B7" w14:textId="11165A03" w:rsidR="008F6F95" w:rsidRDefault="005953CE">
          <w:pPr>
            <w:pStyle w:val="TOC2"/>
            <w:tabs>
              <w:tab w:val="right" w:leader="dot" w:pos="9062"/>
            </w:tabs>
            <w:rPr>
              <w:rFonts w:cstheme="minorBidi"/>
              <w:noProof/>
              <w:lang w:val="nl-NL" w:eastAsia="nl-NL"/>
            </w:rPr>
          </w:pPr>
          <w:hyperlink w:anchor="_Toc490488038" w:history="1">
            <w:r w:rsidR="008F6F95" w:rsidRPr="00A87153">
              <w:rPr>
                <w:rStyle w:val="Hyperlink"/>
                <w:noProof/>
              </w:rPr>
              <w:t>3.1 Case selection</w:t>
            </w:r>
            <w:r w:rsidR="008F6F95">
              <w:rPr>
                <w:noProof/>
                <w:webHidden/>
              </w:rPr>
              <w:tab/>
            </w:r>
            <w:r w:rsidR="008F6F95">
              <w:rPr>
                <w:noProof/>
                <w:webHidden/>
              </w:rPr>
              <w:fldChar w:fldCharType="begin"/>
            </w:r>
            <w:r w:rsidR="008F6F95">
              <w:rPr>
                <w:noProof/>
                <w:webHidden/>
              </w:rPr>
              <w:instrText xml:space="preserve"> PAGEREF _Toc490488038 \h </w:instrText>
            </w:r>
            <w:r w:rsidR="008F6F95">
              <w:rPr>
                <w:noProof/>
                <w:webHidden/>
              </w:rPr>
            </w:r>
            <w:r w:rsidR="008F6F95">
              <w:rPr>
                <w:noProof/>
                <w:webHidden/>
              </w:rPr>
              <w:fldChar w:fldCharType="separate"/>
            </w:r>
            <w:r w:rsidR="00543837">
              <w:rPr>
                <w:noProof/>
                <w:webHidden/>
              </w:rPr>
              <w:t>35</w:t>
            </w:r>
            <w:r w:rsidR="008F6F95">
              <w:rPr>
                <w:noProof/>
                <w:webHidden/>
              </w:rPr>
              <w:fldChar w:fldCharType="end"/>
            </w:r>
          </w:hyperlink>
        </w:p>
        <w:p w14:paraId="2C7ED428" w14:textId="767A4297" w:rsidR="008F6F95" w:rsidRDefault="005953CE">
          <w:pPr>
            <w:pStyle w:val="TOC2"/>
            <w:tabs>
              <w:tab w:val="right" w:leader="dot" w:pos="9062"/>
            </w:tabs>
            <w:rPr>
              <w:rFonts w:cstheme="minorBidi"/>
              <w:noProof/>
              <w:lang w:val="nl-NL" w:eastAsia="nl-NL"/>
            </w:rPr>
          </w:pPr>
          <w:hyperlink w:anchor="_Toc490488039" w:history="1">
            <w:r w:rsidR="008F6F95" w:rsidRPr="00A87153">
              <w:rPr>
                <w:rStyle w:val="Hyperlink"/>
                <w:noProof/>
              </w:rPr>
              <w:t>3.2 Method of inquiry</w:t>
            </w:r>
            <w:r w:rsidR="008F6F95">
              <w:rPr>
                <w:noProof/>
                <w:webHidden/>
              </w:rPr>
              <w:tab/>
            </w:r>
            <w:r w:rsidR="008F6F95">
              <w:rPr>
                <w:noProof/>
                <w:webHidden/>
              </w:rPr>
              <w:fldChar w:fldCharType="begin"/>
            </w:r>
            <w:r w:rsidR="008F6F95">
              <w:rPr>
                <w:noProof/>
                <w:webHidden/>
              </w:rPr>
              <w:instrText xml:space="preserve"> PAGEREF _Toc490488039 \h </w:instrText>
            </w:r>
            <w:r w:rsidR="008F6F95">
              <w:rPr>
                <w:noProof/>
                <w:webHidden/>
              </w:rPr>
            </w:r>
            <w:r w:rsidR="008F6F95">
              <w:rPr>
                <w:noProof/>
                <w:webHidden/>
              </w:rPr>
              <w:fldChar w:fldCharType="separate"/>
            </w:r>
            <w:r w:rsidR="00543837">
              <w:rPr>
                <w:noProof/>
                <w:webHidden/>
              </w:rPr>
              <w:t>36</w:t>
            </w:r>
            <w:r w:rsidR="008F6F95">
              <w:rPr>
                <w:noProof/>
                <w:webHidden/>
              </w:rPr>
              <w:fldChar w:fldCharType="end"/>
            </w:r>
          </w:hyperlink>
        </w:p>
        <w:p w14:paraId="189DD3FB" w14:textId="47568381" w:rsidR="008F6F95" w:rsidRDefault="005953CE">
          <w:pPr>
            <w:pStyle w:val="TOC2"/>
            <w:tabs>
              <w:tab w:val="right" w:leader="dot" w:pos="9062"/>
            </w:tabs>
            <w:rPr>
              <w:rFonts w:cstheme="minorBidi"/>
              <w:noProof/>
              <w:lang w:val="nl-NL" w:eastAsia="nl-NL"/>
            </w:rPr>
          </w:pPr>
          <w:hyperlink w:anchor="_Toc490488040" w:history="1">
            <w:r w:rsidR="008F6F95" w:rsidRPr="00A87153">
              <w:rPr>
                <w:rStyle w:val="Hyperlink"/>
                <w:noProof/>
              </w:rPr>
              <w:t>3.3 Hypotheses and operationalisation</w:t>
            </w:r>
            <w:r w:rsidR="008F6F95">
              <w:rPr>
                <w:noProof/>
                <w:webHidden/>
              </w:rPr>
              <w:tab/>
            </w:r>
            <w:r w:rsidR="008F6F95">
              <w:rPr>
                <w:noProof/>
                <w:webHidden/>
              </w:rPr>
              <w:fldChar w:fldCharType="begin"/>
            </w:r>
            <w:r w:rsidR="008F6F95">
              <w:rPr>
                <w:noProof/>
                <w:webHidden/>
              </w:rPr>
              <w:instrText xml:space="preserve"> PAGEREF _Toc490488040 \h </w:instrText>
            </w:r>
            <w:r w:rsidR="008F6F95">
              <w:rPr>
                <w:noProof/>
                <w:webHidden/>
              </w:rPr>
            </w:r>
            <w:r w:rsidR="008F6F95">
              <w:rPr>
                <w:noProof/>
                <w:webHidden/>
              </w:rPr>
              <w:fldChar w:fldCharType="separate"/>
            </w:r>
            <w:r w:rsidR="00543837">
              <w:rPr>
                <w:noProof/>
                <w:webHidden/>
              </w:rPr>
              <w:t>37</w:t>
            </w:r>
            <w:r w:rsidR="008F6F95">
              <w:rPr>
                <w:noProof/>
                <w:webHidden/>
              </w:rPr>
              <w:fldChar w:fldCharType="end"/>
            </w:r>
          </w:hyperlink>
        </w:p>
        <w:p w14:paraId="79DA08AA" w14:textId="5B86F99B" w:rsidR="008F6F95" w:rsidRDefault="005953CE">
          <w:pPr>
            <w:pStyle w:val="TOC2"/>
            <w:tabs>
              <w:tab w:val="right" w:leader="dot" w:pos="9062"/>
            </w:tabs>
            <w:rPr>
              <w:rFonts w:cstheme="minorBidi"/>
              <w:noProof/>
              <w:lang w:val="nl-NL" w:eastAsia="nl-NL"/>
            </w:rPr>
          </w:pPr>
          <w:hyperlink w:anchor="_Toc490488041" w:history="1">
            <w:r w:rsidR="008F6F95" w:rsidRPr="00A87153">
              <w:rPr>
                <w:rStyle w:val="Hyperlink"/>
                <w:noProof/>
              </w:rPr>
              <w:t>3.4 Strengths and weaknesses</w:t>
            </w:r>
            <w:r w:rsidR="008F6F95">
              <w:rPr>
                <w:noProof/>
                <w:webHidden/>
              </w:rPr>
              <w:tab/>
            </w:r>
            <w:r w:rsidR="008F6F95">
              <w:rPr>
                <w:noProof/>
                <w:webHidden/>
              </w:rPr>
              <w:fldChar w:fldCharType="begin"/>
            </w:r>
            <w:r w:rsidR="008F6F95">
              <w:rPr>
                <w:noProof/>
                <w:webHidden/>
              </w:rPr>
              <w:instrText xml:space="preserve"> PAGEREF _Toc490488041 \h </w:instrText>
            </w:r>
            <w:r w:rsidR="008F6F95">
              <w:rPr>
                <w:noProof/>
                <w:webHidden/>
              </w:rPr>
            </w:r>
            <w:r w:rsidR="008F6F95">
              <w:rPr>
                <w:noProof/>
                <w:webHidden/>
              </w:rPr>
              <w:fldChar w:fldCharType="separate"/>
            </w:r>
            <w:r w:rsidR="00543837">
              <w:rPr>
                <w:noProof/>
                <w:webHidden/>
              </w:rPr>
              <w:t>41</w:t>
            </w:r>
            <w:r w:rsidR="008F6F95">
              <w:rPr>
                <w:noProof/>
                <w:webHidden/>
              </w:rPr>
              <w:fldChar w:fldCharType="end"/>
            </w:r>
          </w:hyperlink>
        </w:p>
        <w:p w14:paraId="3C8B62B6" w14:textId="1BA6ABF9" w:rsidR="008F6F95" w:rsidRDefault="005953CE">
          <w:pPr>
            <w:pStyle w:val="TOC1"/>
            <w:rPr>
              <w:rFonts w:cstheme="minorBidi"/>
              <w:noProof/>
              <w:lang w:val="nl-NL" w:eastAsia="nl-NL"/>
            </w:rPr>
          </w:pPr>
          <w:hyperlink w:anchor="_Toc490488042" w:history="1">
            <w:r w:rsidR="008F6F95" w:rsidRPr="00A87153">
              <w:rPr>
                <w:rStyle w:val="Hyperlink"/>
                <w:noProof/>
              </w:rPr>
              <w:t>Chapter 4: Empirical analysis</w:t>
            </w:r>
            <w:r w:rsidR="008F6F95">
              <w:rPr>
                <w:noProof/>
                <w:webHidden/>
              </w:rPr>
              <w:tab/>
            </w:r>
            <w:r w:rsidR="008F6F95">
              <w:rPr>
                <w:noProof/>
                <w:webHidden/>
              </w:rPr>
              <w:fldChar w:fldCharType="begin"/>
            </w:r>
            <w:r w:rsidR="008F6F95">
              <w:rPr>
                <w:noProof/>
                <w:webHidden/>
              </w:rPr>
              <w:instrText xml:space="preserve"> PAGEREF _Toc490488042 \h </w:instrText>
            </w:r>
            <w:r w:rsidR="008F6F95">
              <w:rPr>
                <w:noProof/>
                <w:webHidden/>
              </w:rPr>
            </w:r>
            <w:r w:rsidR="008F6F95">
              <w:rPr>
                <w:noProof/>
                <w:webHidden/>
              </w:rPr>
              <w:fldChar w:fldCharType="separate"/>
            </w:r>
            <w:r w:rsidR="00543837">
              <w:rPr>
                <w:noProof/>
                <w:webHidden/>
              </w:rPr>
              <w:t>43</w:t>
            </w:r>
            <w:r w:rsidR="008F6F95">
              <w:rPr>
                <w:noProof/>
                <w:webHidden/>
              </w:rPr>
              <w:fldChar w:fldCharType="end"/>
            </w:r>
          </w:hyperlink>
        </w:p>
        <w:p w14:paraId="4A56AAD2" w14:textId="3F4523DE" w:rsidR="008F6F95" w:rsidRDefault="005953CE">
          <w:pPr>
            <w:pStyle w:val="TOC2"/>
            <w:tabs>
              <w:tab w:val="right" w:leader="dot" w:pos="9062"/>
            </w:tabs>
            <w:rPr>
              <w:rFonts w:cstheme="minorBidi"/>
              <w:noProof/>
              <w:lang w:val="nl-NL" w:eastAsia="nl-NL"/>
            </w:rPr>
          </w:pPr>
          <w:hyperlink w:anchor="_Toc490488043" w:history="1">
            <w:r w:rsidR="008F6F95" w:rsidRPr="00A87153">
              <w:rPr>
                <w:rStyle w:val="Hyperlink"/>
                <w:noProof/>
              </w:rPr>
              <w:t>4.1 Regulatory framework changes in the EU GMC regime</w:t>
            </w:r>
            <w:r w:rsidR="008F6F95">
              <w:rPr>
                <w:noProof/>
                <w:webHidden/>
              </w:rPr>
              <w:tab/>
            </w:r>
            <w:r w:rsidR="008F6F95">
              <w:rPr>
                <w:noProof/>
                <w:webHidden/>
              </w:rPr>
              <w:fldChar w:fldCharType="begin"/>
            </w:r>
            <w:r w:rsidR="008F6F95">
              <w:rPr>
                <w:noProof/>
                <w:webHidden/>
              </w:rPr>
              <w:instrText xml:space="preserve"> PAGEREF _Toc490488043 \h </w:instrText>
            </w:r>
            <w:r w:rsidR="008F6F95">
              <w:rPr>
                <w:noProof/>
                <w:webHidden/>
              </w:rPr>
            </w:r>
            <w:r w:rsidR="008F6F95">
              <w:rPr>
                <w:noProof/>
                <w:webHidden/>
              </w:rPr>
              <w:fldChar w:fldCharType="separate"/>
            </w:r>
            <w:r w:rsidR="00543837">
              <w:rPr>
                <w:noProof/>
                <w:webHidden/>
              </w:rPr>
              <w:t>43</w:t>
            </w:r>
            <w:r w:rsidR="008F6F95">
              <w:rPr>
                <w:noProof/>
                <w:webHidden/>
              </w:rPr>
              <w:fldChar w:fldCharType="end"/>
            </w:r>
          </w:hyperlink>
        </w:p>
        <w:p w14:paraId="79E417CC" w14:textId="2917C6B6" w:rsidR="008F6F95" w:rsidRDefault="005953CE">
          <w:pPr>
            <w:pStyle w:val="TOC2"/>
            <w:tabs>
              <w:tab w:val="right" w:leader="dot" w:pos="9062"/>
            </w:tabs>
            <w:rPr>
              <w:rFonts w:cstheme="minorBidi"/>
              <w:noProof/>
              <w:lang w:val="nl-NL" w:eastAsia="nl-NL"/>
            </w:rPr>
          </w:pPr>
          <w:hyperlink w:anchor="_Toc490488044" w:history="1">
            <w:r w:rsidR="008F6F95" w:rsidRPr="00A87153">
              <w:rPr>
                <w:rStyle w:val="Hyperlink"/>
                <w:noProof/>
              </w:rPr>
              <w:t>4.2 Agenda setting phase</w:t>
            </w:r>
            <w:r w:rsidR="008F6F95">
              <w:rPr>
                <w:noProof/>
                <w:webHidden/>
              </w:rPr>
              <w:tab/>
            </w:r>
            <w:r w:rsidR="008F6F95">
              <w:rPr>
                <w:noProof/>
                <w:webHidden/>
              </w:rPr>
              <w:fldChar w:fldCharType="begin"/>
            </w:r>
            <w:r w:rsidR="008F6F95">
              <w:rPr>
                <w:noProof/>
                <w:webHidden/>
              </w:rPr>
              <w:instrText xml:space="preserve"> PAGEREF _Toc490488044 \h </w:instrText>
            </w:r>
            <w:r w:rsidR="008F6F95">
              <w:rPr>
                <w:noProof/>
                <w:webHidden/>
              </w:rPr>
            </w:r>
            <w:r w:rsidR="008F6F95">
              <w:rPr>
                <w:noProof/>
                <w:webHidden/>
              </w:rPr>
              <w:fldChar w:fldCharType="separate"/>
            </w:r>
            <w:r w:rsidR="00543837">
              <w:rPr>
                <w:noProof/>
                <w:webHidden/>
              </w:rPr>
              <w:t>47</w:t>
            </w:r>
            <w:r w:rsidR="008F6F95">
              <w:rPr>
                <w:noProof/>
                <w:webHidden/>
              </w:rPr>
              <w:fldChar w:fldCharType="end"/>
            </w:r>
          </w:hyperlink>
        </w:p>
        <w:p w14:paraId="3E71E153" w14:textId="7770EA99" w:rsidR="008F6F95" w:rsidRDefault="005953CE">
          <w:pPr>
            <w:pStyle w:val="TOC2"/>
            <w:tabs>
              <w:tab w:val="right" w:leader="dot" w:pos="9062"/>
            </w:tabs>
            <w:rPr>
              <w:rFonts w:cstheme="minorBidi"/>
              <w:noProof/>
              <w:lang w:val="nl-NL" w:eastAsia="nl-NL"/>
            </w:rPr>
          </w:pPr>
          <w:hyperlink w:anchor="_Toc490488045" w:history="1">
            <w:r w:rsidR="008F6F95" w:rsidRPr="00A87153">
              <w:rPr>
                <w:rStyle w:val="Hyperlink"/>
                <w:noProof/>
              </w:rPr>
              <w:t>4.2.1 Analysis</w:t>
            </w:r>
            <w:r w:rsidR="008F6F95">
              <w:rPr>
                <w:noProof/>
                <w:webHidden/>
              </w:rPr>
              <w:tab/>
            </w:r>
            <w:r w:rsidR="008F6F95">
              <w:rPr>
                <w:noProof/>
                <w:webHidden/>
              </w:rPr>
              <w:fldChar w:fldCharType="begin"/>
            </w:r>
            <w:r w:rsidR="008F6F95">
              <w:rPr>
                <w:noProof/>
                <w:webHidden/>
              </w:rPr>
              <w:instrText xml:space="preserve"> PAGEREF _Toc490488045 \h </w:instrText>
            </w:r>
            <w:r w:rsidR="008F6F95">
              <w:rPr>
                <w:noProof/>
                <w:webHidden/>
              </w:rPr>
            </w:r>
            <w:r w:rsidR="008F6F95">
              <w:rPr>
                <w:noProof/>
                <w:webHidden/>
              </w:rPr>
              <w:fldChar w:fldCharType="separate"/>
            </w:r>
            <w:r w:rsidR="00543837">
              <w:rPr>
                <w:noProof/>
                <w:webHidden/>
              </w:rPr>
              <w:t>49</w:t>
            </w:r>
            <w:r w:rsidR="008F6F95">
              <w:rPr>
                <w:noProof/>
                <w:webHidden/>
              </w:rPr>
              <w:fldChar w:fldCharType="end"/>
            </w:r>
          </w:hyperlink>
        </w:p>
        <w:p w14:paraId="31DDFC81" w14:textId="035D4B66" w:rsidR="008F6F95" w:rsidRDefault="005953CE">
          <w:pPr>
            <w:pStyle w:val="TOC2"/>
            <w:tabs>
              <w:tab w:val="right" w:leader="dot" w:pos="9062"/>
            </w:tabs>
            <w:rPr>
              <w:rFonts w:cstheme="minorBidi"/>
              <w:noProof/>
              <w:lang w:val="nl-NL" w:eastAsia="nl-NL"/>
            </w:rPr>
          </w:pPr>
          <w:hyperlink w:anchor="_Toc490488046" w:history="1">
            <w:r w:rsidR="008F6F95" w:rsidRPr="00A87153">
              <w:rPr>
                <w:rStyle w:val="Hyperlink"/>
                <w:noProof/>
              </w:rPr>
              <w:t>4.2.2 Evaluation of the hypotheses</w:t>
            </w:r>
            <w:r w:rsidR="008F6F95">
              <w:rPr>
                <w:noProof/>
                <w:webHidden/>
              </w:rPr>
              <w:tab/>
            </w:r>
            <w:r w:rsidR="008F6F95">
              <w:rPr>
                <w:noProof/>
                <w:webHidden/>
              </w:rPr>
              <w:fldChar w:fldCharType="begin"/>
            </w:r>
            <w:r w:rsidR="008F6F95">
              <w:rPr>
                <w:noProof/>
                <w:webHidden/>
              </w:rPr>
              <w:instrText xml:space="preserve"> PAGEREF _Toc490488046 \h </w:instrText>
            </w:r>
            <w:r w:rsidR="008F6F95">
              <w:rPr>
                <w:noProof/>
                <w:webHidden/>
              </w:rPr>
            </w:r>
            <w:r w:rsidR="008F6F95">
              <w:rPr>
                <w:noProof/>
                <w:webHidden/>
              </w:rPr>
              <w:fldChar w:fldCharType="separate"/>
            </w:r>
            <w:r w:rsidR="00543837">
              <w:rPr>
                <w:noProof/>
                <w:webHidden/>
              </w:rPr>
              <w:t>60</w:t>
            </w:r>
            <w:r w:rsidR="008F6F95">
              <w:rPr>
                <w:noProof/>
                <w:webHidden/>
              </w:rPr>
              <w:fldChar w:fldCharType="end"/>
            </w:r>
          </w:hyperlink>
        </w:p>
        <w:p w14:paraId="2C2CA20D" w14:textId="1521C448" w:rsidR="008F6F95" w:rsidRDefault="005953CE">
          <w:pPr>
            <w:pStyle w:val="TOC2"/>
            <w:tabs>
              <w:tab w:val="right" w:leader="dot" w:pos="9062"/>
            </w:tabs>
            <w:rPr>
              <w:rFonts w:cstheme="minorBidi"/>
              <w:noProof/>
              <w:lang w:val="nl-NL" w:eastAsia="nl-NL"/>
            </w:rPr>
          </w:pPr>
          <w:hyperlink w:anchor="_Toc490488047" w:history="1">
            <w:r w:rsidR="008F6F95" w:rsidRPr="00A87153">
              <w:rPr>
                <w:rStyle w:val="Hyperlink"/>
                <w:noProof/>
              </w:rPr>
              <w:t>4.3 Decision making phase</w:t>
            </w:r>
            <w:r w:rsidR="008F6F95">
              <w:rPr>
                <w:noProof/>
                <w:webHidden/>
              </w:rPr>
              <w:tab/>
            </w:r>
            <w:r w:rsidR="008F6F95">
              <w:rPr>
                <w:noProof/>
                <w:webHidden/>
              </w:rPr>
              <w:fldChar w:fldCharType="begin"/>
            </w:r>
            <w:r w:rsidR="008F6F95">
              <w:rPr>
                <w:noProof/>
                <w:webHidden/>
              </w:rPr>
              <w:instrText xml:space="preserve"> PAGEREF _Toc490488047 \h </w:instrText>
            </w:r>
            <w:r w:rsidR="008F6F95">
              <w:rPr>
                <w:noProof/>
                <w:webHidden/>
              </w:rPr>
            </w:r>
            <w:r w:rsidR="008F6F95">
              <w:rPr>
                <w:noProof/>
                <w:webHidden/>
              </w:rPr>
              <w:fldChar w:fldCharType="separate"/>
            </w:r>
            <w:r w:rsidR="00543837">
              <w:rPr>
                <w:noProof/>
                <w:webHidden/>
              </w:rPr>
              <w:t>63</w:t>
            </w:r>
            <w:r w:rsidR="008F6F95">
              <w:rPr>
                <w:noProof/>
                <w:webHidden/>
              </w:rPr>
              <w:fldChar w:fldCharType="end"/>
            </w:r>
          </w:hyperlink>
        </w:p>
        <w:p w14:paraId="4751A79C" w14:textId="2F6151D0" w:rsidR="008F6F95" w:rsidRDefault="005953CE">
          <w:pPr>
            <w:pStyle w:val="TOC2"/>
            <w:tabs>
              <w:tab w:val="right" w:leader="dot" w:pos="9062"/>
            </w:tabs>
            <w:rPr>
              <w:rFonts w:cstheme="minorBidi"/>
              <w:noProof/>
              <w:lang w:val="nl-NL" w:eastAsia="nl-NL"/>
            </w:rPr>
          </w:pPr>
          <w:hyperlink w:anchor="_Toc490488048" w:history="1">
            <w:r w:rsidR="008F6F95" w:rsidRPr="00A87153">
              <w:rPr>
                <w:rStyle w:val="Hyperlink"/>
                <w:noProof/>
              </w:rPr>
              <w:t>4.3.1 Analysis</w:t>
            </w:r>
            <w:r w:rsidR="008F6F95">
              <w:rPr>
                <w:noProof/>
                <w:webHidden/>
              </w:rPr>
              <w:tab/>
            </w:r>
            <w:r w:rsidR="008F6F95">
              <w:rPr>
                <w:noProof/>
                <w:webHidden/>
              </w:rPr>
              <w:fldChar w:fldCharType="begin"/>
            </w:r>
            <w:r w:rsidR="008F6F95">
              <w:rPr>
                <w:noProof/>
                <w:webHidden/>
              </w:rPr>
              <w:instrText xml:space="preserve"> PAGEREF _Toc490488048 \h </w:instrText>
            </w:r>
            <w:r w:rsidR="008F6F95">
              <w:rPr>
                <w:noProof/>
                <w:webHidden/>
              </w:rPr>
            </w:r>
            <w:r w:rsidR="008F6F95">
              <w:rPr>
                <w:noProof/>
                <w:webHidden/>
              </w:rPr>
              <w:fldChar w:fldCharType="separate"/>
            </w:r>
            <w:r w:rsidR="00543837">
              <w:rPr>
                <w:noProof/>
                <w:webHidden/>
              </w:rPr>
              <w:t>65</w:t>
            </w:r>
            <w:r w:rsidR="008F6F95">
              <w:rPr>
                <w:noProof/>
                <w:webHidden/>
              </w:rPr>
              <w:fldChar w:fldCharType="end"/>
            </w:r>
          </w:hyperlink>
        </w:p>
        <w:p w14:paraId="2297F22D" w14:textId="796A8080" w:rsidR="008F6F95" w:rsidRDefault="005953CE">
          <w:pPr>
            <w:pStyle w:val="TOC2"/>
            <w:tabs>
              <w:tab w:val="right" w:leader="dot" w:pos="9062"/>
            </w:tabs>
            <w:rPr>
              <w:rFonts w:cstheme="minorBidi"/>
              <w:noProof/>
              <w:lang w:val="nl-NL" w:eastAsia="nl-NL"/>
            </w:rPr>
          </w:pPr>
          <w:hyperlink w:anchor="_Toc490488049" w:history="1">
            <w:r w:rsidR="008F6F95" w:rsidRPr="00A87153">
              <w:rPr>
                <w:rStyle w:val="Hyperlink"/>
                <w:noProof/>
              </w:rPr>
              <w:t>4.3.2 Evaluation of the hypotheses</w:t>
            </w:r>
            <w:r w:rsidR="008F6F95">
              <w:rPr>
                <w:noProof/>
                <w:webHidden/>
              </w:rPr>
              <w:tab/>
            </w:r>
            <w:r w:rsidR="008F6F95">
              <w:rPr>
                <w:noProof/>
                <w:webHidden/>
              </w:rPr>
              <w:fldChar w:fldCharType="begin"/>
            </w:r>
            <w:r w:rsidR="008F6F95">
              <w:rPr>
                <w:noProof/>
                <w:webHidden/>
              </w:rPr>
              <w:instrText xml:space="preserve"> PAGEREF _Toc490488049 \h </w:instrText>
            </w:r>
            <w:r w:rsidR="008F6F95">
              <w:rPr>
                <w:noProof/>
                <w:webHidden/>
              </w:rPr>
            </w:r>
            <w:r w:rsidR="008F6F95">
              <w:rPr>
                <w:noProof/>
                <w:webHidden/>
              </w:rPr>
              <w:fldChar w:fldCharType="separate"/>
            </w:r>
            <w:r w:rsidR="00543837">
              <w:rPr>
                <w:noProof/>
                <w:webHidden/>
              </w:rPr>
              <w:t>72</w:t>
            </w:r>
            <w:r w:rsidR="008F6F95">
              <w:rPr>
                <w:noProof/>
                <w:webHidden/>
              </w:rPr>
              <w:fldChar w:fldCharType="end"/>
            </w:r>
          </w:hyperlink>
        </w:p>
        <w:p w14:paraId="3A326E68" w14:textId="2E138BDF" w:rsidR="008F6F95" w:rsidRDefault="005953CE">
          <w:pPr>
            <w:pStyle w:val="TOC2"/>
            <w:tabs>
              <w:tab w:val="right" w:leader="dot" w:pos="9062"/>
            </w:tabs>
            <w:rPr>
              <w:rFonts w:cstheme="minorBidi"/>
              <w:noProof/>
              <w:lang w:val="nl-NL" w:eastAsia="nl-NL"/>
            </w:rPr>
          </w:pPr>
          <w:hyperlink w:anchor="_Toc490488050" w:history="1">
            <w:r w:rsidR="008F6F95" w:rsidRPr="00A87153">
              <w:rPr>
                <w:rStyle w:val="Hyperlink"/>
                <w:noProof/>
              </w:rPr>
              <w:t>4.4 Implementation phase</w:t>
            </w:r>
            <w:r w:rsidR="008F6F95">
              <w:rPr>
                <w:noProof/>
                <w:webHidden/>
              </w:rPr>
              <w:tab/>
            </w:r>
            <w:r w:rsidR="008F6F95">
              <w:rPr>
                <w:noProof/>
                <w:webHidden/>
              </w:rPr>
              <w:fldChar w:fldCharType="begin"/>
            </w:r>
            <w:r w:rsidR="008F6F95">
              <w:rPr>
                <w:noProof/>
                <w:webHidden/>
              </w:rPr>
              <w:instrText xml:space="preserve"> PAGEREF _Toc490488050 \h </w:instrText>
            </w:r>
            <w:r w:rsidR="008F6F95">
              <w:rPr>
                <w:noProof/>
                <w:webHidden/>
              </w:rPr>
            </w:r>
            <w:r w:rsidR="008F6F95">
              <w:rPr>
                <w:noProof/>
                <w:webHidden/>
              </w:rPr>
              <w:fldChar w:fldCharType="separate"/>
            </w:r>
            <w:r w:rsidR="00543837">
              <w:rPr>
                <w:noProof/>
                <w:webHidden/>
              </w:rPr>
              <w:t>75</w:t>
            </w:r>
            <w:r w:rsidR="008F6F95">
              <w:rPr>
                <w:noProof/>
                <w:webHidden/>
              </w:rPr>
              <w:fldChar w:fldCharType="end"/>
            </w:r>
          </w:hyperlink>
        </w:p>
        <w:p w14:paraId="3BC25F40" w14:textId="266D9201" w:rsidR="008F6F95" w:rsidRDefault="005953CE">
          <w:pPr>
            <w:pStyle w:val="TOC2"/>
            <w:tabs>
              <w:tab w:val="right" w:leader="dot" w:pos="9062"/>
            </w:tabs>
            <w:rPr>
              <w:rFonts w:cstheme="minorBidi"/>
              <w:noProof/>
              <w:lang w:val="nl-NL" w:eastAsia="nl-NL"/>
            </w:rPr>
          </w:pPr>
          <w:hyperlink w:anchor="_Toc490488051" w:history="1">
            <w:r w:rsidR="008F6F95" w:rsidRPr="00A87153">
              <w:rPr>
                <w:rStyle w:val="Hyperlink"/>
                <w:noProof/>
              </w:rPr>
              <w:t>4.4.1 Analysis</w:t>
            </w:r>
            <w:r w:rsidR="008F6F95">
              <w:rPr>
                <w:noProof/>
                <w:webHidden/>
              </w:rPr>
              <w:tab/>
            </w:r>
            <w:r w:rsidR="008F6F95">
              <w:rPr>
                <w:noProof/>
                <w:webHidden/>
              </w:rPr>
              <w:fldChar w:fldCharType="begin"/>
            </w:r>
            <w:r w:rsidR="008F6F95">
              <w:rPr>
                <w:noProof/>
                <w:webHidden/>
              </w:rPr>
              <w:instrText xml:space="preserve"> PAGEREF _Toc490488051 \h </w:instrText>
            </w:r>
            <w:r w:rsidR="008F6F95">
              <w:rPr>
                <w:noProof/>
                <w:webHidden/>
              </w:rPr>
            </w:r>
            <w:r w:rsidR="008F6F95">
              <w:rPr>
                <w:noProof/>
                <w:webHidden/>
              </w:rPr>
              <w:fldChar w:fldCharType="separate"/>
            </w:r>
            <w:r w:rsidR="00543837">
              <w:rPr>
                <w:noProof/>
                <w:webHidden/>
              </w:rPr>
              <w:t>75</w:t>
            </w:r>
            <w:r w:rsidR="008F6F95">
              <w:rPr>
                <w:noProof/>
                <w:webHidden/>
              </w:rPr>
              <w:fldChar w:fldCharType="end"/>
            </w:r>
          </w:hyperlink>
        </w:p>
        <w:p w14:paraId="2ACD016E" w14:textId="55F95F9D" w:rsidR="008F6F95" w:rsidRDefault="005953CE">
          <w:pPr>
            <w:pStyle w:val="TOC2"/>
            <w:tabs>
              <w:tab w:val="right" w:leader="dot" w:pos="9062"/>
            </w:tabs>
            <w:rPr>
              <w:rFonts w:cstheme="minorBidi"/>
              <w:noProof/>
              <w:lang w:val="nl-NL" w:eastAsia="nl-NL"/>
            </w:rPr>
          </w:pPr>
          <w:hyperlink w:anchor="_Toc490488052" w:history="1">
            <w:r w:rsidR="008F6F95" w:rsidRPr="00A87153">
              <w:rPr>
                <w:rStyle w:val="Hyperlink"/>
                <w:noProof/>
              </w:rPr>
              <w:t>4.4.2 Evaluation of the hypotheses</w:t>
            </w:r>
            <w:r w:rsidR="008F6F95">
              <w:rPr>
                <w:noProof/>
                <w:webHidden/>
              </w:rPr>
              <w:tab/>
            </w:r>
            <w:r w:rsidR="008F6F95">
              <w:rPr>
                <w:noProof/>
                <w:webHidden/>
              </w:rPr>
              <w:fldChar w:fldCharType="begin"/>
            </w:r>
            <w:r w:rsidR="008F6F95">
              <w:rPr>
                <w:noProof/>
                <w:webHidden/>
              </w:rPr>
              <w:instrText xml:space="preserve"> PAGEREF _Toc490488052 \h </w:instrText>
            </w:r>
            <w:r w:rsidR="008F6F95">
              <w:rPr>
                <w:noProof/>
                <w:webHidden/>
              </w:rPr>
            </w:r>
            <w:r w:rsidR="008F6F95">
              <w:rPr>
                <w:noProof/>
                <w:webHidden/>
              </w:rPr>
              <w:fldChar w:fldCharType="separate"/>
            </w:r>
            <w:r w:rsidR="00543837">
              <w:rPr>
                <w:noProof/>
                <w:webHidden/>
              </w:rPr>
              <w:t>78</w:t>
            </w:r>
            <w:r w:rsidR="008F6F95">
              <w:rPr>
                <w:noProof/>
                <w:webHidden/>
              </w:rPr>
              <w:fldChar w:fldCharType="end"/>
            </w:r>
          </w:hyperlink>
        </w:p>
        <w:p w14:paraId="15BC9103" w14:textId="5AB3789F" w:rsidR="008F6F95" w:rsidRDefault="005953CE">
          <w:pPr>
            <w:pStyle w:val="TOC1"/>
            <w:rPr>
              <w:rFonts w:cstheme="minorBidi"/>
              <w:noProof/>
              <w:lang w:val="nl-NL" w:eastAsia="nl-NL"/>
            </w:rPr>
          </w:pPr>
          <w:hyperlink w:anchor="_Toc490488053" w:history="1">
            <w:r w:rsidR="008F6F95" w:rsidRPr="00A87153">
              <w:rPr>
                <w:rStyle w:val="Hyperlink"/>
                <w:noProof/>
              </w:rPr>
              <w:t>Chapter 5: Conclusion</w:t>
            </w:r>
            <w:r w:rsidR="008F6F95">
              <w:rPr>
                <w:noProof/>
                <w:webHidden/>
              </w:rPr>
              <w:tab/>
            </w:r>
            <w:r w:rsidR="008F6F95">
              <w:rPr>
                <w:noProof/>
                <w:webHidden/>
              </w:rPr>
              <w:fldChar w:fldCharType="begin"/>
            </w:r>
            <w:r w:rsidR="008F6F95">
              <w:rPr>
                <w:noProof/>
                <w:webHidden/>
              </w:rPr>
              <w:instrText xml:space="preserve"> PAGEREF _Toc490488053 \h </w:instrText>
            </w:r>
            <w:r w:rsidR="008F6F95">
              <w:rPr>
                <w:noProof/>
                <w:webHidden/>
              </w:rPr>
            </w:r>
            <w:r w:rsidR="008F6F95">
              <w:rPr>
                <w:noProof/>
                <w:webHidden/>
              </w:rPr>
              <w:fldChar w:fldCharType="separate"/>
            </w:r>
            <w:r w:rsidR="00543837">
              <w:rPr>
                <w:noProof/>
                <w:webHidden/>
              </w:rPr>
              <w:t>79</w:t>
            </w:r>
            <w:r w:rsidR="008F6F95">
              <w:rPr>
                <w:noProof/>
                <w:webHidden/>
              </w:rPr>
              <w:fldChar w:fldCharType="end"/>
            </w:r>
          </w:hyperlink>
        </w:p>
        <w:p w14:paraId="7E13CE78" w14:textId="2C492135" w:rsidR="008F6F95" w:rsidRDefault="005953CE">
          <w:pPr>
            <w:pStyle w:val="TOC2"/>
            <w:tabs>
              <w:tab w:val="right" w:leader="dot" w:pos="9062"/>
            </w:tabs>
            <w:rPr>
              <w:rFonts w:cstheme="minorBidi"/>
              <w:noProof/>
              <w:lang w:val="nl-NL" w:eastAsia="nl-NL"/>
            </w:rPr>
          </w:pPr>
          <w:hyperlink w:anchor="_Toc490488054" w:history="1">
            <w:r w:rsidR="008F6F95" w:rsidRPr="00A87153">
              <w:rPr>
                <w:rStyle w:val="Hyperlink"/>
                <w:noProof/>
              </w:rPr>
              <w:t>Research limitations</w:t>
            </w:r>
            <w:r w:rsidR="008F6F95">
              <w:rPr>
                <w:noProof/>
                <w:webHidden/>
              </w:rPr>
              <w:tab/>
            </w:r>
            <w:r w:rsidR="008F6F95">
              <w:rPr>
                <w:noProof/>
                <w:webHidden/>
              </w:rPr>
              <w:fldChar w:fldCharType="begin"/>
            </w:r>
            <w:r w:rsidR="008F6F95">
              <w:rPr>
                <w:noProof/>
                <w:webHidden/>
              </w:rPr>
              <w:instrText xml:space="preserve"> PAGEREF _Toc490488054 \h </w:instrText>
            </w:r>
            <w:r w:rsidR="008F6F95">
              <w:rPr>
                <w:noProof/>
                <w:webHidden/>
              </w:rPr>
            </w:r>
            <w:r w:rsidR="008F6F95">
              <w:rPr>
                <w:noProof/>
                <w:webHidden/>
              </w:rPr>
              <w:fldChar w:fldCharType="separate"/>
            </w:r>
            <w:r w:rsidR="00543837">
              <w:rPr>
                <w:noProof/>
                <w:webHidden/>
              </w:rPr>
              <w:t>81</w:t>
            </w:r>
            <w:r w:rsidR="008F6F95">
              <w:rPr>
                <w:noProof/>
                <w:webHidden/>
              </w:rPr>
              <w:fldChar w:fldCharType="end"/>
            </w:r>
          </w:hyperlink>
        </w:p>
        <w:p w14:paraId="58E4BC24" w14:textId="675D4B59" w:rsidR="008F6F95" w:rsidRDefault="005953CE">
          <w:pPr>
            <w:pStyle w:val="TOC2"/>
            <w:tabs>
              <w:tab w:val="right" w:leader="dot" w:pos="9062"/>
            </w:tabs>
            <w:rPr>
              <w:rFonts w:cstheme="minorBidi"/>
              <w:noProof/>
              <w:lang w:val="nl-NL" w:eastAsia="nl-NL"/>
            </w:rPr>
          </w:pPr>
          <w:hyperlink w:anchor="_Toc490488055" w:history="1">
            <w:r w:rsidR="008F6F95" w:rsidRPr="00A87153">
              <w:rPr>
                <w:rStyle w:val="Hyperlink"/>
                <w:noProof/>
              </w:rPr>
              <w:t>Recommendations for future research</w:t>
            </w:r>
            <w:r w:rsidR="008F6F95">
              <w:rPr>
                <w:noProof/>
                <w:webHidden/>
              </w:rPr>
              <w:tab/>
            </w:r>
            <w:r w:rsidR="008F6F95">
              <w:rPr>
                <w:noProof/>
                <w:webHidden/>
              </w:rPr>
              <w:fldChar w:fldCharType="begin"/>
            </w:r>
            <w:r w:rsidR="008F6F95">
              <w:rPr>
                <w:noProof/>
                <w:webHidden/>
              </w:rPr>
              <w:instrText xml:space="preserve"> PAGEREF _Toc490488055 \h </w:instrText>
            </w:r>
            <w:r w:rsidR="008F6F95">
              <w:rPr>
                <w:noProof/>
                <w:webHidden/>
              </w:rPr>
            </w:r>
            <w:r w:rsidR="008F6F95">
              <w:rPr>
                <w:noProof/>
                <w:webHidden/>
              </w:rPr>
              <w:fldChar w:fldCharType="separate"/>
            </w:r>
            <w:r w:rsidR="00543837">
              <w:rPr>
                <w:noProof/>
                <w:webHidden/>
              </w:rPr>
              <w:t>83</w:t>
            </w:r>
            <w:r w:rsidR="008F6F95">
              <w:rPr>
                <w:noProof/>
                <w:webHidden/>
              </w:rPr>
              <w:fldChar w:fldCharType="end"/>
            </w:r>
          </w:hyperlink>
        </w:p>
        <w:p w14:paraId="5A12964E" w14:textId="587A6CEF" w:rsidR="008F6F95" w:rsidRDefault="005953CE">
          <w:pPr>
            <w:pStyle w:val="TOC1"/>
            <w:rPr>
              <w:rFonts w:cstheme="minorBidi"/>
              <w:noProof/>
              <w:lang w:val="nl-NL" w:eastAsia="nl-NL"/>
            </w:rPr>
          </w:pPr>
          <w:hyperlink w:anchor="_Toc490488056" w:history="1">
            <w:r w:rsidR="008F6F95" w:rsidRPr="00A87153">
              <w:rPr>
                <w:rStyle w:val="Hyperlink"/>
                <w:noProof/>
              </w:rPr>
              <w:t>Bibliography</w:t>
            </w:r>
            <w:r w:rsidR="008F6F95">
              <w:rPr>
                <w:noProof/>
                <w:webHidden/>
              </w:rPr>
              <w:tab/>
            </w:r>
            <w:r w:rsidR="008F6F95">
              <w:rPr>
                <w:noProof/>
                <w:webHidden/>
              </w:rPr>
              <w:fldChar w:fldCharType="begin"/>
            </w:r>
            <w:r w:rsidR="008F6F95">
              <w:rPr>
                <w:noProof/>
                <w:webHidden/>
              </w:rPr>
              <w:instrText xml:space="preserve"> PAGEREF _Toc490488056 \h </w:instrText>
            </w:r>
            <w:r w:rsidR="008F6F95">
              <w:rPr>
                <w:noProof/>
                <w:webHidden/>
              </w:rPr>
            </w:r>
            <w:r w:rsidR="008F6F95">
              <w:rPr>
                <w:noProof/>
                <w:webHidden/>
              </w:rPr>
              <w:fldChar w:fldCharType="separate"/>
            </w:r>
            <w:r w:rsidR="00543837">
              <w:rPr>
                <w:noProof/>
                <w:webHidden/>
              </w:rPr>
              <w:t>84</w:t>
            </w:r>
            <w:r w:rsidR="008F6F95">
              <w:rPr>
                <w:noProof/>
                <w:webHidden/>
              </w:rPr>
              <w:fldChar w:fldCharType="end"/>
            </w:r>
          </w:hyperlink>
        </w:p>
        <w:p w14:paraId="161D1763" w14:textId="24ED6DBF" w:rsidR="008F6F95" w:rsidRDefault="005953CE">
          <w:pPr>
            <w:pStyle w:val="TOC2"/>
            <w:tabs>
              <w:tab w:val="right" w:leader="dot" w:pos="9062"/>
            </w:tabs>
            <w:rPr>
              <w:rFonts w:cstheme="minorBidi"/>
              <w:noProof/>
              <w:lang w:val="nl-NL" w:eastAsia="nl-NL"/>
            </w:rPr>
          </w:pPr>
          <w:hyperlink w:anchor="_Toc490488057" w:history="1">
            <w:r w:rsidR="008F6F95" w:rsidRPr="00A87153">
              <w:rPr>
                <w:rStyle w:val="Hyperlink"/>
                <w:noProof/>
              </w:rPr>
              <w:t>Academic Sources</w:t>
            </w:r>
            <w:r w:rsidR="008F6F95">
              <w:rPr>
                <w:noProof/>
                <w:webHidden/>
              </w:rPr>
              <w:tab/>
            </w:r>
            <w:r w:rsidR="008F6F95">
              <w:rPr>
                <w:noProof/>
                <w:webHidden/>
              </w:rPr>
              <w:fldChar w:fldCharType="begin"/>
            </w:r>
            <w:r w:rsidR="008F6F95">
              <w:rPr>
                <w:noProof/>
                <w:webHidden/>
              </w:rPr>
              <w:instrText xml:space="preserve"> PAGEREF _Toc490488057 \h </w:instrText>
            </w:r>
            <w:r w:rsidR="008F6F95">
              <w:rPr>
                <w:noProof/>
                <w:webHidden/>
              </w:rPr>
            </w:r>
            <w:r w:rsidR="008F6F95">
              <w:rPr>
                <w:noProof/>
                <w:webHidden/>
              </w:rPr>
              <w:fldChar w:fldCharType="separate"/>
            </w:r>
            <w:r w:rsidR="00543837">
              <w:rPr>
                <w:noProof/>
                <w:webHidden/>
              </w:rPr>
              <w:t>84</w:t>
            </w:r>
            <w:r w:rsidR="008F6F95">
              <w:rPr>
                <w:noProof/>
                <w:webHidden/>
              </w:rPr>
              <w:fldChar w:fldCharType="end"/>
            </w:r>
          </w:hyperlink>
        </w:p>
        <w:p w14:paraId="7516FDC3" w14:textId="3970AA3B" w:rsidR="008F6F95" w:rsidRDefault="005953CE">
          <w:pPr>
            <w:pStyle w:val="TOC2"/>
            <w:tabs>
              <w:tab w:val="right" w:leader="dot" w:pos="9062"/>
            </w:tabs>
            <w:rPr>
              <w:rFonts w:cstheme="minorBidi"/>
              <w:noProof/>
              <w:lang w:val="nl-NL" w:eastAsia="nl-NL"/>
            </w:rPr>
          </w:pPr>
          <w:hyperlink w:anchor="_Toc490488058" w:history="1">
            <w:r w:rsidR="008F6F95" w:rsidRPr="00A87153">
              <w:rPr>
                <w:rStyle w:val="Hyperlink"/>
                <w:noProof/>
              </w:rPr>
              <w:t>Primary Sources</w:t>
            </w:r>
            <w:r w:rsidR="008F6F95">
              <w:rPr>
                <w:noProof/>
                <w:webHidden/>
              </w:rPr>
              <w:tab/>
            </w:r>
            <w:r w:rsidR="008F6F95">
              <w:rPr>
                <w:noProof/>
                <w:webHidden/>
              </w:rPr>
              <w:fldChar w:fldCharType="begin"/>
            </w:r>
            <w:r w:rsidR="008F6F95">
              <w:rPr>
                <w:noProof/>
                <w:webHidden/>
              </w:rPr>
              <w:instrText xml:space="preserve"> PAGEREF _Toc490488058 \h </w:instrText>
            </w:r>
            <w:r w:rsidR="008F6F95">
              <w:rPr>
                <w:noProof/>
                <w:webHidden/>
              </w:rPr>
            </w:r>
            <w:r w:rsidR="008F6F95">
              <w:rPr>
                <w:noProof/>
                <w:webHidden/>
              </w:rPr>
              <w:fldChar w:fldCharType="separate"/>
            </w:r>
            <w:r w:rsidR="00543837">
              <w:rPr>
                <w:noProof/>
                <w:webHidden/>
              </w:rPr>
              <w:t>90</w:t>
            </w:r>
            <w:r w:rsidR="008F6F95">
              <w:rPr>
                <w:noProof/>
                <w:webHidden/>
              </w:rPr>
              <w:fldChar w:fldCharType="end"/>
            </w:r>
          </w:hyperlink>
        </w:p>
        <w:p w14:paraId="19388468" w14:textId="01184AB5" w:rsidR="0034411E" w:rsidRDefault="0034411E">
          <w:r>
            <w:rPr>
              <w:b/>
              <w:bCs/>
              <w:noProof/>
            </w:rPr>
            <w:fldChar w:fldCharType="end"/>
          </w:r>
        </w:p>
      </w:sdtContent>
    </w:sdt>
    <w:p w14:paraId="2C6E02F9" w14:textId="39AECA82" w:rsidR="009877B2" w:rsidRDefault="009877B2" w:rsidP="008F6F95">
      <w:pPr>
        <w:rPr>
          <w:i/>
          <w:sz w:val="24"/>
          <w:szCs w:val="24"/>
        </w:rPr>
      </w:pPr>
      <w:r>
        <w:rPr>
          <w:i/>
          <w:sz w:val="24"/>
          <w:szCs w:val="24"/>
        </w:rPr>
        <w:br w:type="page"/>
      </w:r>
      <w:r>
        <w:rPr>
          <w:i/>
          <w:sz w:val="24"/>
          <w:szCs w:val="24"/>
        </w:rPr>
        <w:lastRenderedPageBreak/>
        <w:t>Abbreviations</w:t>
      </w:r>
    </w:p>
    <w:p w14:paraId="1374E44D" w14:textId="77777777" w:rsidR="00FA33A3" w:rsidRPr="00FA33A3" w:rsidRDefault="00FA33A3">
      <w:pPr>
        <w:rPr>
          <w:sz w:val="24"/>
          <w:szCs w:val="24"/>
        </w:rPr>
      </w:pPr>
      <w:r>
        <w:rPr>
          <w:b/>
          <w:sz w:val="24"/>
          <w:szCs w:val="24"/>
        </w:rPr>
        <w:t xml:space="preserve">ALDE </w:t>
      </w:r>
      <w:r>
        <w:rPr>
          <w:sz w:val="24"/>
          <w:szCs w:val="24"/>
        </w:rPr>
        <w:t>Alliance of Liberals and Democrats</w:t>
      </w:r>
    </w:p>
    <w:p w14:paraId="06670949" w14:textId="77777777" w:rsidR="00B27BF4" w:rsidRPr="00B27BF4" w:rsidRDefault="00B27BF4">
      <w:pPr>
        <w:rPr>
          <w:sz w:val="24"/>
          <w:szCs w:val="24"/>
        </w:rPr>
      </w:pPr>
      <w:r>
        <w:rPr>
          <w:b/>
          <w:sz w:val="24"/>
          <w:szCs w:val="24"/>
        </w:rPr>
        <w:t xml:space="preserve">CAP </w:t>
      </w:r>
      <w:r>
        <w:rPr>
          <w:sz w:val="24"/>
          <w:szCs w:val="24"/>
        </w:rPr>
        <w:t>Common Agricultural Policy</w:t>
      </w:r>
    </w:p>
    <w:p w14:paraId="39DBE88C" w14:textId="77777777" w:rsidR="00156C14" w:rsidRPr="00156C14" w:rsidRDefault="00156C14">
      <w:pPr>
        <w:rPr>
          <w:sz w:val="24"/>
          <w:szCs w:val="24"/>
        </w:rPr>
      </w:pPr>
      <w:r>
        <w:rPr>
          <w:b/>
          <w:sz w:val="24"/>
          <w:szCs w:val="24"/>
        </w:rPr>
        <w:t xml:space="preserve">CDU </w:t>
      </w:r>
      <w:r>
        <w:rPr>
          <w:sz w:val="24"/>
          <w:szCs w:val="24"/>
        </w:rPr>
        <w:t>Christlich Demokratische Union Deutschlands</w:t>
      </w:r>
    </w:p>
    <w:p w14:paraId="44751116" w14:textId="77777777" w:rsidR="00156C14" w:rsidRDefault="00156C14">
      <w:pPr>
        <w:rPr>
          <w:sz w:val="24"/>
          <w:szCs w:val="24"/>
        </w:rPr>
      </w:pPr>
      <w:r>
        <w:rPr>
          <w:b/>
          <w:sz w:val="24"/>
          <w:szCs w:val="24"/>
        </w:rPr>
        <w:t xml:space="preserve">CSU </w:t>
      </w:r>
      <w:r>
        <w:rPr>
          <w:sz w:val="24"/>
          <w:szCs w:val="24"/>
        </w:rPr>
        <w:t>Christlich-Soziale Union</w:t>
      </w:r>
    </w:p>
    <w:p w14:paraId="5A1D44BE" w14:textId="77777777" w:rsidR="00FA33A3" w:rsidRDefault="00FA33A3">
      <w:pPr>
        <w:rPr>
          <w:sz w:val="24"/>
          <w:szCs w:val="24"/>
        </w:rPr>
      </w:pPr>
      <w:r>
        <w:rPr>
          <w:b/>
          <w:sz w:val="24"/>
          <w:szCs w:val="24"/>
        </w:rPr>
        <w:t>ECJ</w:t>
      </w:r>
      <w:r>
        <w:rPr>
          <w:sz w:val="24"/>
          <w:szCs w:val="24"/>
        </w:rPr>
        <w:t xml:space="preserve"> European Court of Justice</w:t>
      </w:r>
    </w:p>
    <w:p w14:paraId="2FE31F5E" w14:textId="77777777" w:rsidR="00D3321D" w:rsidRPr="00D3321D" w:rsidRDefault="00D3321D" w:rsidP="00D3321D">
      <w:pPr>
        <w:rPr>
          <w:sz w:val="24"/>
          <w:szCs w:val="24"/>
        </w:rPr>
      </w:pPr>
      <w:r>
        <w:rPr>
          <w:b/>
          <w:sz w:val="24"/>
          <w:szCs w:val="24"/>
        </w:rPr>
        <w:t>ECSC</w:t>
      </w:r>
      <w:r>
        <w:rPr>
          <w:sz w:val="24"/>
          <w:szCs w:val="24"/>
        </w:rPr>
        <w:t xml:space="preserve"> European Coal and Steel Community</w:t>
      </w:r>
    </w:p>
    <w:p w14:paraId="373713AB" w14:textId="77777777" w:rsidR="00D3321D" w:rsidRDefault="00D3321D" w:rsidP="00D3321D">
      <w:pPr>
        <w:rPr>
          <w:sz w:val="24"/>
          <w:szCs w:val="24"/>
        </w:rPr>
      </w:pPr>
      <w:r>
        <w:rPr>
          <w:b/>
          <w:sz w:val="24"/>
          <w:szCs w:val="24"/>
        </w:rPr>
        <w:t xml:space="preserve">ED </w:t>
      </w:r>
      <w:r>
        <w:rPr>
          <w:sz w:val="24"/>
          <w:szCs w:val="24"/>
        </w:rPr>
        <w:t>European Disintegration</w:t>
      </w:r>
    </w:p>
    <w:p w14:paraId="56FA5BA4" w14:textId="77777777" w:rsidR="00FA33A3" w:rsidRPr="00FA33A3" w:rsidRDefault="00FA33A3">
      <w:pPr>
        <w:rPr>
          <w:sz w:val="24"/>
          <w:szCs w:val="24"/>
        </w:rPr>
      </w:pPr>
      <w:r>
        <w:rPr>
          <w:b/>
          <w:sz w:val="24"/>
          <w:szCs w:val="24"/>
        </w:rPr>
        <w:t xml:space="preserve">EFDD </w:t>
      </w:r>
      <w:r>
        <w:rPr>
          <w:sz w:val="24"/>
          <w:szCs w:val="24"/>
        </w:rPr>
        <w:t>European of Freedom and Direct Democracy</w:t>
      </w:r>
    </w:p>
    <w:p w14:paraId="5D9A7838" w14:textId="77777777" w:rsidR="00156C14" w:rsidRDefault="00156C14">
      <w:pPr>
        <w:rPr>
          <w:sz w:val="24"/>
          <w:szCs w:val="24"/>
        </w:rPr>
      </w:pPr>
      <w:r>
        <w:rPr>
          <w:b/>
          <w:sz w:val="24"/>
          <w:szCs w:val="24"/>
        </w:rPr>
        <w:t>EFSA</w:t>
      </w:r>
      <w:r>
        <w:rPr>
          <w:sz w:val="24"/>
          <w:szCs w:val="24"/>
        </w:rPr>
        <w:t xml:space="preserve"> European Food and Safety Authority</w:t>
      </w:r>
    </w:p>
    <w:p w14:paraId="0A02EDCA" w14:textId="77777777" w:rsidR="00D3321D" w:rsidRPr="00D3321D" w:rsidRDefault="00D3321D">
      <w:pPr>
        <w:rPr>
          <w:sz w:val="24"/>
          <w:szCs w:val="24"/>
        </w:rPr>
      </w:pPr>
      <w:r>
        <w:rPr>
          <w:b/>
          <w:sz w:val="24"/>
          <w:szCs w:val="24"/>
        </w:rPr>
        <w:t xml:space="preserve">EI </w:t>
      </w:r>
      <w:r>
        <w:rPr>
          <w:sz w:val="24"/>
          <w:szCs w:val="24"/>
        </w:rPr>
        <w:t>European Integration</w:t>
      </w:r>
    </w:p>
    <w:p w14:paraId="2D691203" w14:textId="77777777" w:rsidR="00FA33A3" w:rsidRPr="00FA33A3" w:rsidRDefault="00FA33A3">
      <w:pPr>
        <w:rPr>
          <w:sz w:val="24"/>
          <w:szCs w:val="24"/>
        </w:rPr>
      </w:pPr>
      <w:r>
        <w:rPr>
          <w:b/>
          <w:sz w:val="24"/>
          <w:szCs w:val="24"/>
        </w:rPr>
        <w:t xml:space="preserve">EP </w:t>
      </w:r>
      <w:r>
        <w:rPr>
          <w:sz w:val="24"/>
          <w:szCs w:val="24"/>
        </w:rPr>
        <w:t>European Parliament</w:t>
      </w:r>
    </w:p>
    <w:p w14:paraId="32E4B656" w14:textId="77777777" w:rsidR="00156C14" w:rsidRDefault="00156C14">
      <w:pPr>
        <w:rPr>
          <w:sz w:val="24"/>
          <w:szCs w:val="24"/>
        </w:rPr>
      </w:pPr>
      <w:r>
        <w:rPr>
          <w:b/>
          <w:sz w:val="24"/>
          <w:szCs w:val="24"/>
        </w:rPr>
        <w:t xml:space="preserve">EU </w:t>
      </w:r>
      <w:r>
        <w:rPr>
          <w:sz w:val="24"/>
          <w:szCs w:val="24"/>
        </w:rPr>
        <w:t>European Union</w:t>
      </w:r>
    </w:p>
    <w:p w14:paraId="0B33D265" w14:textId="77777777" w:rsidR="00D3321D" w:rsidRPr="00D3321D" w:rsidRDefault="00D3321D">
      <w:pPr>
        <w:rPr>
          <w:sz w:val="24"/>
          <w:szCs w:val="24"/>
        </w:rPr>
      </w:pPr>
      <w:r>
        <w:rPr>
          <w:b/>
          <w:sz w:val="24"/>
          <w:szCs w:val="24"/>
        </w:rPr>
        <w:t xml:space="preserve">FOEE </w:t>
      </w:r>
      <w:r>
        <w:rPr>
          <w:sz w:val="24"/>
          <w:szCs w:val="24"/>
        </w:rPr>
        <w:t>Friends of the Earth Europe</w:t>
      </w:r>
    </w:p>
    <w:p w14:paraId="5E1B154D" w14:textId="77777777" w:rsidR="00156C14" w:rsidRDefault="00156C14">
      <w:pPr>
        <w:rPr>
          <w:sz w:val="24"/>
          <w:szCs w:val="24"/>
        </w:rPr>
      </w:pPr>
      <w:r>
        <w:rPr>
          <w:b/>
          <w:sz w:val="24"/>
          <w:szCs w:val="24"/>
        </w:rPr>
        <w:t xml:space="preserve">GMC </w:t>
      </w:r>
      <w:r>
        <w:rPr>
          <w:sz w:val="24"/>
          <w:szCs w:val="24"/>
        </w:rPr>
        <w:t>Genetically Modified Crop</w:t>
      </w:r>
    </w:p>
    <w:p w14:paraId="500D160B" w14:textId="77777777" w:rsidR="00156C14" w:rsidRDefault="00156C14">
      <w:pPr>
        <w:rPr>
          <w:sz w:val="24"/>
          <w:szCs w:val="24"/>
        </w:rPr>
      </w:pPr>
      <w:r>
        <w:rPr>
          <w:b/>
          <w:sz w:val="24"/>
          <w:szCs w:val="24"/>
        </w:rPr>
        <w:t>GMO</w:t>
      </w:r>
      <w:r>
        <w:rPr>
          <w:sz w:val="24"/>
          <w:szCs w:val="24"/>
        </w:rPr>
        <w:t xml:space="preserve"> Genetically Modified Organism</w:t>
      </w:r>
    </w:p>
    <w:p w14:paraId="2113937E" w14:textId="77777777" w:rsidR="00D3321D" w:rsidRPr="00D3321D" w:rsidRDefault="00D3321D">
      <w:pPr>
        <w:rPr>
          <w:sz w:val="24"/>
          <w:szCs w:val="24"/>
        </w:rPr>
      </w:pPr>
      <w:r>
        <w:rPr>
          <w:b/>
          <w:sz w:val="24"/>
          <w:szCs w:val="24"/>
        </w:rPr>
        <w:t>GUE-NGL</w:t>
      </w:r>
      <w:r>
        <w:rPr>
          <w:sz w:val="24"/>
          <w:szCs w:val="24"/>
        </w:rPr>
        <w:t xml:space="preserve"> European United Left – Nordic Green Left</w:t>
      </w:r>
    </w:p>
    <w:p w14:paraId="070E070B" w14:textId="77777777" w:rsidR="00B27BF4" w:rsidRPr="00B27BF4" w:rsidRDefault="00B27BF4">
      <w:pPr>
        <w:rPr>
          <w:sz w:val="24"/>
          <w:szCs w:val="24"/>
        </w:rPr>
      </w:pPr>
      <w:r>
        <w:rPr>
          <w:b/>
          <w:sz w:val="24"/>
          <w:szCs w:val="24"/>
        </w:rPr>
        <w:t xml:space="preserve">AMIF </w:t>
      </w:r>
      <w:r>
        <w:rPr>
          <w:sz w:val="24"/>
          <w:szCs w:val="24"/>
        </w:rPr>
        <w:t>Asylum Migration and Integration Fund</w:t>
      </w:r>
    </w:p>
    <w:p w14:paraId="4030E24D" w14:textId="77777777" w:rsidR="00FA33A3" w:rsidRPr="00FA33A3" w:rsidRDefault="00FA33A3">
      <w:pPr>
        <w:rPr>
          <w:sz w:val="24"/>
          <w:szCs w:val="24"/>
        </w:rPr>
      </w:pPr>
      <w:r>
        <w:rPr>
          <w:b/>
          <w:sz w:val="24"/>
          <w:szCs w:val="24"/>
        </w:rPr>
        <w:t xml:space="preserve">LI </w:t>
      </w:r>
      <w:r>
        <w:rPr>
          <w:sz w:val="24"/>
          <w:szCs w:val="24"/>
        </w:rPr>
        <w:t>Liberal Intergovernmentalism</w:t>
      </w:r>
    </w:p>
    <w:p w14:paraId="2E666B61" w14:textId="77777777" w:rsidR="00156C14" w:rsidRDefault="00156C14">
      <w:pPr>
        <w:rPr>
          <w:sz w:val="24"/>
          <w:szCs w:val="24"/>
        </w:rPr>
      </w:pPr>
      <w:r>
        <w:rPr>
          <w:b/>
          <w:sz w:val="24"/>
          <w:szCs w:val="24"/>
        </w:rPr>
        <w:t>MS</w:t>
      </w:r>
      <w:r>
        <w:rPr>
          <w:sz w:val="24"/>
          <w:szCs w:val="24"/>
        </w:rPr>
        <w:t xml:space="preserve"> Member State</w:t>
      </w:r>
    </w:p>
    <w:p w14:paraId="2A32460D" w14:textId="77777777" w:rsidR="00FA33A3" w:rsidRPr="00FA33A3" w:rsidRDefault="00FA33A3">
      <w:pPr>
        <w:rPr>
          <w:sz w:val="24"/>
          <w:szCs w:val="24"/>
        </w:rPr>
      </w:pPr>
      <w:r>
        <w:rPr>
          <w:b/>
          <w:sz w:val="24"/>
          <w:szCs w:val="24"/>
        </w:rPr>
        <w:t>NF</w:t>
      </w:r>
      <w:r>
        <w:rPr>
          <w:sz w:val="24"/>
          <w:szCs w:val="24"/>
        </w:rPr>
        <w:t xml:space="preserve"> Neofunctionalism</w:t>
      </w:r>
    </w:p>
    <w:p w14:paraId="65B62415" w14:textId="77777777" w:rsidR="00156C14" w:rsidRDefault="00156C14">
      <w:pPr>
        <w:rPr>
          <w:sz w:val="24"/>
          <w:szCs w:val="24"/>
        </w:rPr>
      </w:pPr>
      <w:r>
        <w:rPr>
          <w:b/>
          <w:sz w:val="24"/>
          <w:szCs w:val="24"/>
        </w:rPr>
        <w:t>OLP</w:t>
      </w:r>
      <w:r>
        <w:rPr>
          <w:sz w:val="24"/>
          <w:szCs w:val="24"/>
        </w:rPr>
        <w:t xml:space="preserve"> Ordinary Legislative Procedure</w:t>
      </w:r>
    </w:p>
    <w:p w14:paraId="17931EC9" w14:textId="77777777" w:rsidR="00156C14" w:rsidRDefault="00156C14">
      <w:r>
        <w:rPr>
          <w:b/>
          <w:sz w:val="24"/>
          <w:szCs w:val="24"/>
        </w:rPr>
        <w:t>QM</w:t>
      </w:r>
      <w:r>
        <w:t xml:space="preserve"> Qualified Majority</w:t>
      </w:r>
    </w:p>
    <w:p w14:paraId="0210C0BE" w14:textId="77777777" w:rsidR="00FA33A3" w:rsidRPr="00884928" w:rsidRDefault="00FA33A3">
      <w:pPr>
        <w:rPr>
          <w:sz w:val="24"/>
        </w:rPr>
      </w:pPr>
      <w:r w:rsidRPr="00884928">
        <w:rPr>
          <w:b/>
          <w:sz w:val="24"/>
        </w:rPr>
        <w:t xml:space="preserve">SPD </w:t>
      </w:r>
      <w:r w:rsidRPr="00884928">
        <w:rPr>
          <w:iCs/>
          <w:sz w:val="24"/>
        </w:rPr>
        <w:t>Sozialdemokratische Partei Deutschlands</w:t>
      </w:r>
    </w:p>
    <w:p w14:paraId="57BEE395" w14:textId="77777777" w:rsidR="00156C14" w:rsidRPr="00884928" w:rsidRDefault="00156C14">
      <w:pPr>
        <w:rPr>
          <w:sz w:val="24"/>
          <w:szCs w:val="24"/>
        </w:rPr>
      </w:pPr>
      <w:r w:rsidRPr="00884928">
        <w:rPr>
          <w:b/>
          <w:sz w:val="24"/>
          <w:szCs w:val="24"/>
        </w:rPr>
        <w:t xml:space="preserve">UK </w:t>
      </w:r>
      <w:r w:rsidRPr="00884928">
        <w:rPr>
          <w:sz w:val="24"/>
          <w:szCs w:val="24"/>
        </w:rPr>
        <w:t>United Kingdom</w:t>
      </w:r>
    </w:p>
    <w:p w14:paraId="512DAB90" w14:textId="77777777" w:rsidR="00FA33A3" w:rsidRPr="00FA33A3" w:rsidRDefault="00FA33A3">
      <w:pPr>
        <w:rPr>
          <w:sz w:val="24"/>
          <w:szCs w:val="24"/>
        </w:rPr>
      </w:pPr>
      <w:r>
        <w:rPr>
          <w:b/>
          <w:sz w:val="24"/>
          <w:szCs w:val="24"/>
        </w:rPr>
        <w:t xml:space="preserve">UMP </w:t>
      </w:r>
      <w:r>
        <w:rPr>
          <w:sz w:val="24"/>
          <w:szCs w:val="24"/>
        </w:rPr>
        <w:t>Union pour un Movement Populaire</w:t>
      </w:r>
    </w:p>
    <w:p w14:paraId="601B9B63" w14:textId="77777777" w:rsidR="00156C14" w:rsidRDefault="00156C14">
      <w:pPr>
        <w:rPr>
          <w:sz w:val="24"/>
          <w:szCs w:val="24"/>
        </w:rPr>
      </w:pPr>
      <w:r>
        <w:rPr>
          <w:b/>
          <w:sz w:val="24"/>
          <w:szCs w:val="24"/>
        </w:rPr>
        <w:t xml:space="preserve">US </w:t>
      </w:r>
      <w:r>
        <w:rPr>
          <w:sz w:val="24"/>
          <w:szCs w:val="24"/>
        </w:rPr>
        <w:t xml:space="preserve">United States </w:t>
      </w:r>
      <w:r w:rsidR="00FA33A3">
        <w:rPr>
          <w:sz w:val="24"/>
          <w:szCs w:val="24"/>
        </w:rPr>
        <w:t>(</w:t>
      </w:r>
      <w:r>
        <w:rPr>
          <w:sz w:val="24"/>
          <w:szCs w:val="24"/>
        </w:rPr>
        <w:t>of America)</w:t>
      </w:r>
    </w:p>
    <w:p w14:paraId="1E250A45" w14:textId="77777777" w:rsidR="00156C14" w:rsidRPr="00156C14" w:rsidRDefault="00156C14">
      <w:pPr>
        <w:rPr>
          <w:sz w:val="24"/>
          <w:szCs w:val="24"/>
        </w:rPr>
      </w:pPr>
    </w:p>
    <w:p w14:paraId="0E07C2B9" w14:textId="336199C2" w:rsidR="008F6F95" w:rsidRDefault="009877B2">
      <w:pPr>
        <w:rPr>
          <w:i/>
          <w:sz w:val="24"/>
          <w:szCs w:val="24"/>
        </w:rPr>
      </w:pPr>
      <w:r>
        <w:rPr>
          <w:i/>
          <w:sz w:val="24"/>
          <w:szCs w:val="24"/>
        </w:rPr>
        <w:br w:type="page"/>
      </w:r>
    </w:p>
    <w:p w14:paraId="44B1BA04" w14:textId="77777777" w:rsidR="008F6F95" w:rsidRDefault="008F6F95">
      <w:pPr>
        <w:rPr>
          <w:rFonts w:asciiTheme="majorHAnsi" w:eastAsiaTheme="majorEastAsia" w:hAnsiTheme="majorHAnsi" w:cstheme="majorBidi"/>
          <w:color w:val="2F5496" w:themeColor="accent1" w:themeShade="BF"/>
          <w:sz w:val="32"/>
          <w:szCs w:val="32"/>
        </w:rPr>
      </w:pPr>
      <w:r>
        <w:lastRenderedPageBreak/>
        <w:br w:type="page"/>
      </w:r>
    </w:p>
    <w:p w14:paraId="5AC5FBE3" w14:textId="124D909E" w:rsidR="00DD1574" w:rsidRDefault="00DD1574" w:rsidP="00DD1574">
      <w:pPr>
        <w:pStyle w:val="Heading1"/>
      </w:pPr>
      <w:bookmarkStart w:id="2" w:name="_Toc490488029"/>
      <w:r w:rsidRPr="002549AF">
        <w:lastRenderedPageBreak/>
        <w:t>Chapter 1: Introduction</w:t>
      </w:r>
      <w:bookmarkEnd w:id="2"/>
    </w:p>
    <w:p w14:paraId="785D14A5" w14:textId="77777777" w:rsidR="00DD1574" w:rsidRPr="00DD1574" w:rsidRDefault="00DD1574" w:rsidP="00DD1574"/>
    <w:p w14:paraId="25EDEE56" w14:textId="64C76996" w:rsidR="00DD1574" w:rsidRPr="002549AF" w:rsidRDefault="00DD1574" w:rsidP="00DD1574">
      <w:pPr>
        <w:spacing w:line="480" w:lineRule="auto"/>
      </w:pPr>
      <w:r w:rsidRPr="002549AF">
        <w:t>In March 2015, decades of debates within the tripartite leadership of the EU</w:t>
      </w:r>
      <w:r>
        <w:t xml:space="preserve"> consisting of the European Council (the Council), the European Commission (the Commission), and the EP, have resulted in an agreement to let the MSs decide for themselves if they wish to ban the cultivation of GMCs on their territory. Although the in</w:t>
      </w:r>
      <w:r w:rsidR="003B6266">
        <w:t>tegration project has gained</w:t>
      </w:r>
      <w:r>
        <w:t xml:space="preserve"> increased attention and criticism, which marks the end of the so called ‘permissive consensus’ of continued EI (Hooghe and Marks, 2009), the project has never been put in the reverse gear. The reallocation of GMC authorisation competences is an unprecedented and remarkable disintegrative event in the EU.</w:t>
      </w:r>
      <w:r>
        <w:tab/>
        <w:t>The reallocation is remarkable in the sense that it effectuates a breach of one of the corner stones of the EU: the internal market. Although the internal market perhaps exists with some inconsistencies, it’s scope has always expanded rather than reduced. Why have no other European policies been subject to disintegration? The CAP has remained a European competences in spite of high controversy over the years. Moreover, the AMIF which addresses the highly salient topic of migration has not been disintegrated. In contrast, GMC policy has been renationalised; how can this difference exist? The following question arises: ‘</w:t>
      </w:r>
      <w:r w:rsidRPr="00EC628A">
        <w:rPr>
          <w:i/>
        </w:rPr>
        <w:t>’How can we explain the reallocation of discretionary competences regarding the authorisation of GMCs?’’</w:t>
      </w:r>
      <w:r w:rsidRPr="00EC628A">
        <w:rPr>
          <w:i/>
        </w:rPr>
        <w:tab/>
      </w:r>
      <w:r>
        <w:tab/>
      </w:r>
      <w:r>
        <w:tab/>
      </w:r>
      <w:r>
        <w:tab/>
      </w:r>
      <w:r>
        <w:tab/>
      </w:r>
      <w:r>
        <w:tab/>
      </w:r>
      <w:r>
        <w:tab/>
      </w:r>
      <w:r w:rsidRPr="00EC628A">
        <w:t xml:space="preserve">This thesis aims at gaining an understanding of the process of </w:t>
      </w:r>
      <w:r>
        <w:t>ED</w:t>
      </w:r>
      <w:r w:rsidRPr="00EC628A">
        <w:t xml:space="preserve"> through the study of a rare instance where EU competences have been reallocated back to the </w:t>
      </w:r>
      <w:r>
        <w:t>MSs</w:t>
      </w:r>
      <w:r w:rsidRPr="00EC628A">
        <w:t xml:space="preserve">, namely: the discretionary competence to prohibit the cultivation of GMCs. It does so by describing the conditions under which theories of EI, namely Liberal intergovernmentalism (LI) and Neofunctionalism (NF) expect </w:t>
      </w:r>
      <w:r w:rsidRPr="00EC628A">
        <w:rPr>
          <w:i/>
        </w:rPr>
        <w:t>disintegration</w:t>
      </w:r>
      <w:r>
        <w:t xml:space="preserve"> to happen, and applying them to</w:t>
      </w:r>
      <w:r w:rsidRPr="00EC628A">
        <w:t xml:space="preserve"> the case. The objective is to conduct a case study analysis with the aid of both theoretical approaches in order to demonstrate which elements of the explanations can be confirmed by the empirical material</w:t>
      </w:r>
      <w:r>
        <w:t>,</w:t>
      </w:r>
      <w:r w:rsidRPr="00EC628A">
        <w:t xml:space="preserve"> and can explain why a EU competence is reallocated back to the MSs. An important assumption for this thesis is that the process of ED is institutionally driven. The institutions which are considered relevant this reallocation, although each </w:t>
      </w:r>
      <w:r w:rsidRPr="00EC628A">
        <w:lastRenderedPageBreak/>
        <w:t xml:space="preserve">theory assigns more </w:t>
      </w:r>
      <w:r w:rsidR="003B6266">
        <w:t>(</w:t>
      </w:r>
      <w:r w:rsidRPr="00EC628A">
        <w:t>or less</w:t>
      </w:r>
      <w:r w:rsidR="003B6266">
        <w:t>)</w:t>
      </w:r>
      <w:r w:rsidRPr="00EC628A">
        <w:t xml:space="preserve"> importance to different ones, are the supranational institutions of the EU, most notably the Commission and the </w:t>
      </w:r>
      <w:r>
        <w:t xml:space="preserve">EP, </w:t>
      </w:r>
      <w:r w:rsidRPr="00EC628A">
        <w:t xml:space="preserve">societal actors such as Greenpeace, Friends of the Earth Europe (FOEE), </w:t>
      </w:r>
      <w:r>
        <w:t xml:space="preserve">or business actors such as </w:t>
      </w:r>
      <w:r w:rsidRPr="00EC628A">
        <w:t>Monsanto, Syngenta and Bayer, and the governments of the most powerful MSs of the EU: the United Kingdom (U.K.), Germany, and France.</w:t>
      </w:r>
      <w:r>
        <w:tab/>
        <w:t xml:space="preserve">To answer this thesis’ question, two </w:t>
      </w:r>
      <w:r w:rsidR="003B6266">
        <w:t>theories of integration</w:t>
      </w:r>
      <w:r>
        <w:t xml:space="preserve"> will be used: LI and NF. Both theories are renowned for their explanatory power when it comes to integrative dynamics. Their capacity to address a reversal of these developments has however not yet been properly tested. This is what this thesis addresses: the possibility to make use of the well-known theories of integration to explain disintegration. </w:t>
      </w:r>
      <w:r>
        <w:tab/>
      </w:r>
      <w:r>
        <w:tab/>
      </w:r>
      <w:r>
        <w:tab/>
      </w:r>
      <w:r>
        <w:tab/>
      </w:r>
      <w:r>
        <w:tab/>
      </w:r>
      <w:r>
        <w:tab/>
      </w:r>
      <w:r>
        <w:tab/>
      </w:r>
      <w:r>
        <w:tab/>
      </w:r>
      <w:r>
        <w:tab/>
      </w:r>
      <w:r>
        <w:tab/>
      </w:r>
      <w:r>
        <w:tab/>
        <w:t xml:space="preserve">NF explains integration as a process whereby interdependency between states creates ‘practical’ incentives for integration, which itself turns into a perpetuating process. This process is expected to be advanced and promoted by societal actors with supranational loyalties or interests. This thesis will show that the NF understanding of the core integrative mechanisms can be used to generate expectations for disintegration as well. It is expected that NF explains disintegration through ‘practical’ reasons of protecting initial more important policy objectives, and that this process is advanced and promoted by the same kind of societal actors as those who promote integration. LI expects that integration is the result of sovereign states who cooperate in order to seek absolute gains. State preferences reflect domestic bargaining outcomes which, in turn, can be predicted by the domestic actors’ ability to successfully organize and represent their interests.  European integration, in this sense, is a means to ensure the survival of the MS rather that the replacement of it (Hoffmann 1995, p. 89). In order to explain disintegration then, one might be able to turn around the above explanations and generate expectations about disintegrative forces. It is expected that LI explains disintegration as a consequence of these MSs’ preferences again. These preferences are based on expectations of absolute gains from disintegration. </w:t>
      </w:r>
      <w:r>
        <w:tab/>
      </w:r>
      <w:r>
        <w:tab/>
      </w:r>
      <w:r>
        <w:tab/>
      </w:r>
      <w:r>
        <w:tab/>
        <w:t xml:space="preserve">This thesis functions as an assessment of how both LI and NF explanations of EI succeed in explaining the reallocation of EU GMC cultivation policy. By doing so, it increases the scope of LI and </w:t>
      </w:r>
      <w:r>
        <w:lastRenderedPageBreak/>
        <w:t>NF to explanations of disintegration, rather than integration alone. Moreover, it generates evidence about when to expect disintegration in the EU.</w:t>
      </w:r>
      <w:r>
        <w:tab/>
        <w:t>For the project of EI, the reallocation of GMC authorisation competences may not have drawn such attention as the ‘Brexit’, it is nonetheless a unique and illustrating example of disintegration. Together with the pending British exit from the EU, the reallocation of GMC authorisation competences are amongst the first examples of ED. Similar to the Brexit, Council Directive 2015/412/EC appeals to public claims to subsidiarity; the principle that calls for the allocation of discretionary competences at the government level that is most appropriate. The reallocation can therefore be understood as part of the broader debate on subsidiarity and the rising momentum of support for a different EU. Although calls for more subsidiarity are not new, little has been achieved in name of this principle until now. When the circumstances of this reallocation are analysed, we might be able to generate new knowledge about when we can expect disintegration to happen.</w:t>
      </w:r>
      <w:r>
        <w:tab/>
      </w:r>
      <w:r>
        <w:tab/>
      </w:r>
      <w:r>
        <w:tab/>
      </w:r>
      <w:r>
        <w:tab/>
      </w:r>
      <w:r>
        <w:tab/>
      </w:r>
      <w:r>
        <w:tab/>
      </w:r>
      <w:r>
        <w:tab/>
        <w:t>Addressing these problems, first the theoretical framework will be described; juxtaposing the two theoretical frameworks proposed in the introduction by highlighting their biggest differences as well as by describing how they account for EI combined. Secondly, the method of research is discussed and hypotheses based on the theoretical chapter will be introduced and operationalised. Third, the empirical data will be analysed and the hypotheses will be evaluated. The final chapter concludes this thesis. Here the main question will be answered and evaluated, the strengths and weaknesses of this thesis will be discussed, and recommendations for further research will be presented.</w:t>
      </w:r>
    </w:p>
    <w:p w14:paraId="33DD1E67" w14:textId="77777777" w:rsidR="009877B2" w:rsidRDefault="009877B2" w:rsidP="009877B2">
      <w:pPr>
        <w:spacing w:line="480" w:lineRule="auto"/>
        <w:ind w:firstLine="708"/>
      </w:pPr>
      <w:r>
        <w:t xml:space="preserve"> </w:t>
      </w:r>
    </w:p>
    <w:p w14:paraId="44E421FF" w14:textId="77777777" w:rsidR="009877B2" w:rsidRDefault="009877B2">
      <w:pPr>
        <w:rPr>
          <w:i/>
          <w:sz w:val="24"/>
          <w:szCs w:val="24"/>
        </w:rPr>
      </w:pPr>
      <w:r>
        <w:rPr>
          <w:i/>
          <w:sz w:val="24"/>
          <w:szCs w:val="24"/>
        </w:rPr>
        <w:br w:type="page"/>
      </w:r>
    </w:p>
    <w:p w14:paraId="7EF8FF89" w14:textId="77777777" w:rsidR="00DD1574" w:rsidRDefault="00DD1574" w:rsidP="00DD1574">
      <w:pPr>
        <w:pStyle w:val="Heading1"/>
      </w:pPr>
      <w:bookmarkStart w:id="3" w:name="_Toc490488030"/>
      <w:r>
        <w:lastRenderedPageBreak/>
        <w:t>Chapter 2: Theoretical Framework</w:t>
      </w:r>
      <w:bookmarkEnd w:id="3"/>
    </w:p>
    <w:p w14:paraId="31702B0C" w14:textId="77777777" w:rsidR="00DD1574" w:rsidRPr="00DD1574" w:rsidRDefault="00DD1574" w:rsidP="00DD1574"/>
    <w:p w14:paraId="37304400" w14:textId="77777777" w:rsidR="0034411E" w:rsidRPr="0034411E" w:rsidRDefault="006A1EFE" w:rsidP="0034411E">
      <w:pPr>
        <w:pStyle w:val="Heading2"/>
        <w:rPr>
          <w:color w:val="44546A" w:themeColor="text2"/>
        </w:rPr>
      </w:pPr>
      <w:bookmarkStart w:id="4" w:name="_Toc490488031"/>
      <w:r>
        <w:rPr>
          <w:color w:val="44546A" w:themeColor="text2"/>
        </w:rPr>
        <w:t xml:space="preserve">2.1 </w:t>
      </w:r>
      <w:r w:rsidR="00DD1574" w:rsidRPr="0034411E">
        <w:rPr>
          <w:color w:val="44546A" w:themeColor="text2"/>
        </w:rPr>
        <w:t>Neofunctionalism</w:t>
      </w:r>
      <w:bookmarkEnd w:id="4"/>
    </w:p>
    <w:p w14:paraId="51AD8945" w14:textId="24C4FF7D" w:rsidR="00DD1574" w:rsidRPr="003D624F" w:rsidRDefault="00DD1574" w:rsidP="00DD1574">
      <w:pPr>
        <w:spacing w:line="480" w:lineRule="auto"/>
        <w:rPr>
          <w:rFonts w:cs="Times New Roman"/>
        </w:rPr>
      </w:pPr>
      <w:r w:rsidRPr="003D624F">
        <w:rPr>
          <w:rFonts w:cs="Times New Roman"/>
        </w:rPr>
        <w:t xml:space="preserve">In order to explain how discretionary competences are reallocated towards a supranational level, the theory of NF stages a political struggle for these competences within the boundaries of the EU and its MSs. Actors or geopolitical concerns that lay outside the EU are excluded in its understanding of integration. It expands the state-centric view of realist scholars in IR by including supranational actors, as well as societal actors such as transnational corporations, employers organisations, environmentalist organisations and other interest groups as decisive in international politics. In the distinction between these internationally operating societal actors and the political actors operating domestically, it is especially pointed out that the actors and developments on the European level pose a tremendous source of demand for further integration. Theoretically speaking then, it is possible to understand why and how EI proceeds by analysing the EI process as a function of these actors’ interests. </w:t>
      </w:r>
      <w:r w:rsidRPr="003D624F">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Pr="003D624F">
        <w:rPr>
          <w:rFonts w:cs="Times New Roman"/>
        </w:rPr>
        <w:tab/>
        <w:t xml:space="preserve">‘Process’ is a key term in this regard, as NF understands integration as a self-perpetuating progression that delivers its own incentives for further integration. What is taken here to be understood as the integration process, is described by one of the first and most prominent scholars of EI Ernst Haas (1958, p. 16) as a process: ‘’whereby political actors in several, distinct national settings are persuaded to shift their loyalties, expectations and political activities towards a new centre, whose institutions possess or demand jurisdiction over the pre-existing national states’’. This process has a political and a social element to it (Niemann and Schmitter, 2009, p. 46-47). In Haas’ definition the social element is highlighted by the ‘shifting of loyalties, expectations and political activities’. The political element is highlighted by the possession of jurisdiction over the pre-existing national states, or: the pooling of discretionary competences. It is especially the latter that is of interest here, as this thesis seeks to explain the reallocation of discretionary competences. What is useful about the distinction between the social and political element to integration however, is that it highlights that there is a political struggle for integration that is somehow determined or </w:t>
      </w:r>
      <w:r w:rsidRPr="003D624F">
        <w:rPr>
          <w:rFonts w:cs="Times New Roman"/>
        </w:rPr>
        <w:lastRenderedPageBreak/>
        <w:t>influenced by the more social or structural condition</w:t>
      </w:r>
      <w:r w:rsidR="003B6266">
        <w:rPr>
          <w:rFonts w:cs="Times New Roman"/>
        </w:rPr>
        <w:t>s of the European playing field</w:t>
      </w:r>
      <w:r w:rsidRPr="003D624F">
        <w:rPr>
          <w:rFonts w:cs="Times New Roman"/>
        </w:rPr>
        <w:t xml:space="preserve"> and vice-versa: it’s an interaction. </w:t>
      </w:r>
      <w:r w:rsidRPr="003D624F">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Pr="003D624F">
        <w:rPr>
          <w:rFonts w:cs="Times New Roman"/>
        </w:rPr>
        <w:tab/>
        <w:t>An interaction moreover, at the expense of the power and capacities of the national states. This is different from the idea of federalism which aims at an understanding of the accommodation and preservation of the differences in interests and identities of the parts of a legally constructed whole (Burgess, 2009, p. 26). The theory of NF is however grounded in the functionalist idea that such differences gradually disappear in international political interactions, rather they being accommodated. This idea has become well-known through the works of David Mitrany, who emphasises the functional logic that connects international politics across the world: ‘’[N]o matter how great the historical, constitutional and social variations, similar problems under similar conditions led to similar ways and means for dealing with them …. A rare thing in social experience’’ (Mitrany, 1975, p. 136). So, NF is not only about the shifting and merging of national political activity, it is also about the changing nature of politics. This relates to cosmopolitan ideas and to ‘the end of ideology thesis’ (Bell 1962; see also Steffek, 2015) which state that ideology is no longer relevant in governing. In a world that witnesses increased economic traffic, communication, and other interactions, politics increasingly consists of providing solutions to practical problems, or: ‘’…’the administration of things’ (Rosamond 2000, 58).</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Pr="003D624F">
        <w:rPr>
          <w:rFonts w:cs="Times New Roman"/>
        </w:rPr>
        <w:t xml:space="preserve">This brings us back to the societal actors who are at the foundation of integration. In this sense, NF is different from Historical Institutionalist (HI) explanations of integration. HI theorizes political integration as the consequence of actors’ previous choices, whereby they become ‘locked in’ and make future choices constrained by previous ones, or even become ‘path-dependent’ (Pollack, 2009, p. 127). In contrast: ‘’In […] functionalist explanations, political institutions are assumed to have been deliberately designed by contemporary actors for the efficient performance of specific functions […]’’ (Pollack, 2009, p. 127). Schmitter (1969, p. 164) for example emphasises that, in contrast to this rather ‘technocratic’ view of international politics: ‘’ […] the neo-functional logic actually emphasizes the contrary: the role of bureaucratic practice, organizational ideology, and the </w:t>
      </w:r>
      <w:r w:rsidRPr="003D624F">
        <w:rPr>
          <w:rFonts w:cs="Times New Roman"/>
        </w:rPr>
        <w:lastRenderedPageBreak/>
        <w:t xml:space="preserve">creative intervention of administrative and political elites’’. </w:t>
      </w:r>
      <w:r w:rsidR="0034411E">
        <w:rPr>
          <w:rFonts w:cs="Times New Roman"/>
        </w:rPr>
        <w:tab/>
      </w:r>
      <w:r w:rsidR="0034411E">
        <w:rPr>
          <w:rFonts w:cs="Times New Roman"/>
        </w:rPr>
        <w:tab/>
      </w:r>
      <w:r w:rsidR="0034411E">
        <w:rPr>
          <w:rFonts w:cs="Times New Roman"/>
        </w:rPr>
        <w:tab/>
      </w:r>
      <w:r w:rsidR="0034411E">
        <w:rPr>
          <w:rFonts w:cs="Times New Roman"/>
        </w:rPr>
        <w:tab/>
      </w:r>
      <w:r w:rsidR="0034411E">
        <w:rPr>
          <w:rFonts w:cs="Times New Roman"/>
        </w:rPr>
        <w:tab/>
      </w:r>
      <w:r w:rsidR="0034411E">
        <w:rPr>
          <w:rFonts w:cs="Times New Roman"/>
        </w:rPr>
        <w:tab/>
      </w:r>
      <w:r w:rsidRPr="003D624F">
        <w:rPr>
          <w:rFonts w:cs="Times New Roman"/>
        </w:rPr>
        <w:t>An empirical reality for the EU according to authors of integration research, is that there is increased involvement of all sorts of supra- and subnational actors in the making of policy (Marks et al. 1996, p. 341). This has sparked notions such as ‘policy networks’ and ‘Multi-level Governance’ which emphasise ‘interdependency’ and ‘mutuality’ between different sorts of public actors, and is focussed on studying the policy networks and the links between the actors (Peterson, 2009, p. 105). The NF acknowledges too, that all sorts of actors are important to integration: political parties, workers and employers organisations, transnational companies, supranational actors, think-tanks and advisory organisations, and bureaucratic elites are examples of such actors. In contrast however, it focusses on actors’ interests and conflict as the main determinants of integration politics. The interplay between these actors thus forms the locu</w:t>
      </w:r>
      <w:r w:rsidR="003B6266">
        <w:rPr>
          <w:rFonts w:cs="Times New Roman"/>
        </w:rPr>
        <w:t>s of attention for NF. Politics</w:t>
      </w:r>
      <w:r w:rsidRPr="003D624F">
        <w:rPr>
          <w:rFonts w:cs="Times New Roman"/>
        </w:rPr>
        <w:t xml:space="preserve"> is a group-based activity wherein multiple actors all try to influence policy. A diverse set of actors operate at the domestic and international level and forge coalitions across countries and organisations (Niemann and Schmitter, 2009, p. 48). It however never loses sight of actors’ self-interested motives. The assumption is that actors act in a self-interested way (Niemann and Schmitter, 2009, p. 48), and that therefore the: ‘’[A]nalysis of political process must give a central place to the phenomena of group conflict’’ (Lindberg, 1963, p. 9). EI in this sense, is deliberately driven by the societal actors who benefit from it: ‘’It starts with egoistic utility-maximizing actors who cooperate to overcome collective action problems’’ (Risse, 2009, p. 147).</w:t>
      </w:r>
      <w:r w:rsidRPr="003D624F">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Pr="003D624F">
        <w:rPr>
          <w:rFonts w:cs="Times New Roman"/>
        </w:rPr>
        <w:tab/>
      </w:r>
      <w:r w:rsidR="003B6266">
        <w:rPr>
          <w:rFonts w:cs="Times New Roman"/>
        </w:rPr>
        <w:t>To complete the circle</w:t>
      </w:r>
      <w:r w:rsidRPr="003D624F">
        <w:rPr>
          <w:rFonts w:cs="Times New Roman"/>
        </w:rPr>
        <w:t xml:space="preserve">, it needs to be said that NF understands that actors’ interests are somehow altered and transformed through the integration process. Interests are derived through a pluralist process where actors learn and alter their preferences in the context of integration (Haas, 1970, p. 627). This bears resemblance to the social constructivist ideas about how the interaction between actors (or more generally: ‘agency’) and institutions (‘strucure’) is mutually constitutive (Risse, 2009, p. 148). As a consequence: [T]he EU as an emerging polity is expected not just to constrain the range of choices available to, say, nation states, but the way in which they define their </w:t>
      </w:r>
      <w:r w:rsidRPr="003D624F">
        <w:rPr>
          <w:rFonts w:cs="Times New Roman"/>
        </w:rPr>
        <w:lastRenderedPageBreak/>
        <w:t xml:space="preserve">interests and even their identities’’ (Risse, 2009, p. 148). Indeed, NF emphasises a ‘social element’ to integration, and a ‘shift of loyalties’ towards the supranational level, as mentioned above. According to Risse (2009, p. 147) this implies: ‘‘[S]ome constitutive effects of European integration on the various societal and political actors’’. But although NF scholars such as Ernst Haas do flirt with a more ‘thicker understanding’ of rational choice (Risse, 2009, p. 147), integration according to NF does not follow a ‘logic of appropriateness’ where: ‘’Human actors are imagined to follow rules that associate particular identities to particular situations, approaching individual opportunities for action by assessing similarities between current identities and choice dilemmas and more general concepts of self and situations’’ (March and Oslen, 1998, p. 951). Instead, NF supposes that the EU provides for circumstances that enable societal actors to engage in positive- rather than zero-sum games (Niemann and Schmitter, 2009, p.48). By these conditions, the institutions are meant which provide for information, transparency and trust (Rosamond, 2000). As a result, the European environment offers: ‘’[A] multitude of different advantages for different groups’’ (Haas, 1958, p. xiii). </w:t>
      </w:r>
    </w:p>
    <w:p w14:paraId="0977EAAB" w14:textId="77777777" w:rsidR="00DD1574" w:rsidRPr="0034411E" w:rsidRDefault="00DD1574" w:rsidP="006A1EFE">
      <w:pPr>
        <w:pStyle w:val="Heading2"/>
        <w:rPr>
          <w:color w:val="44546A" w:themeColor="text2"/>
        </w:rPr>
      </w:pPr>
      <w:bookmarkStart w:id="5" w:name="_Toc490488032"/>
      <w:r w:rsidRPr="0034411E">
        <w:rPr>
          <w:color w:val="44546A" w:themeColor="text2"/>
        </w:rPr>
        <w:t>Key actors</w:t>
      </w:r>
      <w:bookmarkEnd w:id="5"/>
    </w:p>
    <w:p w14:paraId="58726A5A" w14:textId="77777777" w:rsidR="00DD1574" w:rsidRPr="003D624F" w:rsidRDefault="00DD1574" w:rsidP="00DD1574">
      <w:pPr>
        <w:spacing w:line="480" w:lineRule="auto"/>
        <w:rPr>
          <w:rFonts w:cs="Times New Roman"/>
        </w:rPr>
      </w:pPr>
      <w:r w:rsidRPr="003D624F">
        <w:rPr>
          <w:rFonts w:cs="Times New Roman"/>
        </w:rPr>
        <w:t xml:space="preserve">An important supposition in this thesis, is the focus on agency driven integrative dynamics. This means that the EI project is encouraged by actors who have an interest in integrative schemes. Importantly, societal actors such as transnational businesses or supranational actors themselves are expected to be pro-active as they reap benefits from integration, in contrast with national states which are regarded as reactive (Stone Sweet and Sandholtz. 1997, p. 306), or as Haas (1967, p. xix) puts it: ‘’The economic technician, the planner, the innovating industrialist, and trade unionist advanced the movement not the politician, the scholar, the poet, the writer’’.  </w:t>
      </w:r>
    </w:p>
    <w:p w14:paraId="3866DC6E" w14:textId="77777777" w:rsidR="00DD1574" w:rsidRPr="0034411E" w:rsidRDefault="00DD1574" w:rsidP="006A1EFE">
      <w:pPr>
        <w:pStyle w:val="Heading2"/>
        <w:rPr>
          <w:color w:val="44546A" w:themeColor="text2"/>
        </w:rPr>
      </w:pPr>
      <w:bookmarkStart w:id="6" w:name="_Toc490488033"/>
      <w:r w:rsidRPr="0034411E">
        <w:rPr>
          <w:color w:val="44546A" w:themeColor="text2"/>
        </w:rPr>
        <w:t>Mechanisms</w:t>
      </w:r>
      <w:bookmarkEnd w:id="6"/>
    </w:p>
    <w:p w14:paraId="5D234AB7" w14:textId="77777777" w:rsidR="00DD1574" w:rsidRPr="003D624F" w:rsidRDefault="00DD1574" w:rsidP="00DD1574">
      <w:pPr>
        <w:spacing w:line="480" w:lineRule="auto"/>
        <w:rPr>
          <w:rFonts w:cs="Times New Roman"/>
        </w:rPr>
      </w:pPr>
      <w:r w:rsidRPr="003D624F">
        <w:rPr>
          <w:rFonts w:cs="Times New Roman"/>
        </w:rPr>
        <w:t xml:space="preserve">While actors act rationally, NF expects integration to follow the logic of ‘spillover’. According to Niemann and Schmitter (2009, p. 49), the concept of spillover has been applied first in order to: ‘’identify the driving force and inherent logic of integration via increased functional/economic interdependence’’. NF understands that spillover pressures are logical or practical motives for actors </w:t>
      </w:r>
      <w:r w:rsidRPr="003D624F">
        <w:rPr>
          <w:rFonts w:cs="Times New Roman"/>
        </w:rPr>
        <w:lastRenderedPageBreak/>
        <w:t xml:space="preserve">to pursue integration because of interdependencies: ‘’the process of regional integration (in the contemporary setting) depends on the realization of mutual gains from cooperation in policy arenas characterized by high levels of functional interdependence’’ (Schmitter and Lefkofridi, 2016, p. 3). This is the somewhat uneasy position of early NF: ‘’At </w:t>
      </w:r>
      <w:r w:rsidRPr="003D624F">
        <w:rPr>
          <w:rFonts w:cs="Times New Roman"/>
          <w:i/>
        </w:rPr>
        <w:t>some point</w:t>
      </w:r>
      <w:r w:rsidRPr="003D624F">
        <w:rPr>
          <w:rFonts w:cs="Times New Roman"/>
        </w:rPr>
        <w:t xml:space="preserve">, the functional logic takes over (spillover) leading to further integration’’ (Risse, 2009, p. 147, italics added). In order to understand integration then, it must be examined when this logic takes over, or when and how it is employed by actors. To meet this problem, three variations of the concept have been developed by Tranholm-Mikkelsen (1991) which enable us to understand the different mechanisms of integration. These are functional spillover, political spillover, and cultivated spillover. These will be explained below. Moreover it will be explained how these mechanisms can be reinterpreted in order to explain disintegration: the reallocation of pooled discretionary competences back to the MSs. </w:t>
      </w:r>
      <w:r w:rsidRPr="003D624F">
        <w:rPr>
          <w:rFonts w:cs="Times New Roman"/>
        </w:rPr>
        <w:tab/>
      </w:r>
    </w:p>
    <w:p w14:paraId="2DF637C2" w14:textId="32404A35" w:rsidR="00DD1574" w:rsidRPr="00B91CAC" w:rsidRDefault="00DD1574" w:rsidP="00B91CAC">
      <w:pPr>
        <w:pStyle w:val="ListParagraph"/>
        <w:numPr>
          <w:ilvl w:val="0"/>
          <w:numId w:val="8"/>
        </w:numPr>
        <w:spacing w:line="480" w:lineRule="auto"/>
        <w:rPr>
          <w:rFonts w:cs="Times New Roman"/>
        </w:rPr>
      </w:pPr>
      <w:r w:rsidRPr="00B91CAC">
        <w:rPr>
          <w:rFonts w:cs="Times New Roman"/>
        </w:rPr>
        <w:t>Functional spillover and spillback</w:t>
      </w:r>
    </w:p>
    <w:p w14:paraId="59C5C8D2" w14:textId="5C233D44" w:rsidR="00DD1574" w:rsidRPr="003D624F" w:rsidRDefault="00DD1574" w:rsidP="00B91CAC">
      <w:pPr>
        <w:spacing w:line="480" w:lineRule="auto"/>
        <w:ind w:left="360"/>
        <w:rPr>
          <w:rFonts w:cs="Times New Roman"/>
        </w:rPr>
      </w:pPr>
      <w:r w:rsidRPr="003D624F">
        <w:rPr>
          <w:rFonts w:cs="Times New Roman"/>
        </w:rPr>
        <w:t xml:space="preserve">The first mechanism of NF integration is </w:t>
      </w:r>
      <w:r w:rsidRPr="003D624F">
        <w:rPr>
          <w:rFonts w:cs="Times New Roman"/>
          <w:i/>
        </w:rPr>
        <w:t>functional spillover</w:t>
      </w:r>
      <w:r w:rsidRPr="003D624F">
        <w:rPr>
          <w:rFonts w:cs="Times New Roman"/>
        </w:rPr>
        <w:t xml:space="preserve">. This concept was initially dubbed by Ernst Haas (1958, p.  383), who described an ‘expansive logic of sector integration’ as a process whereby the integration of one sector leads to ‘technical’ pressures pushing states to integrate other sectors’. These technical pressures hold that further integration to other fields of government is a necessity since the prior field of integration will be undermined if other related sectors do not follow. For example, the decision to remove tariffs on the movement of goods within the EU has illustrated the need for harmonization of regulations which lead to price discrimination; an effect of the removal of tariffs that undermines the initial goal to foster economic cooperation within the EU. These developments will effectuate an increasing interdependence of MSs. Schmitter and Lefkofridi (2016, p. 3) noted that NF expects this for all MSs to happen: ‘’The distribution of this increase will not accrue primarily to a single Member State (MS) or a set of  ‘hegemonic’ MSc within the [trans regional organization]’’. This interdependency leads to practicalities that speak in favour of integration, perpetuating the </w:t>
      </w:r>
      <w:r w:rsidRPr="003D624F">
        <w:rPr>
          <w:rFonts w:cs="Times New Roman"/>
        </w:rPr>
        <w:lastRenderedPageBreak/>
        <w:t>process. Schmitter (1969, p. 164) moreover emphasizes the role of agency for functional spillover: ‘’As transnational exchange rises, so does the societal demand for supranational rules and organizational capacity to regulate’ (Stone Sweet and Sandholtz, 1997, p. 306).</w:t>
      </w:r>
      <w:r w:rsidRPr="003D624F">
        <w:rPr>
          <w:rFonts w:cs="Times New Roman"/>
        </w:rPr>
        <w:tab/>
      </w:r>
      <w:r w:rsidRPr="003D624F">
        <w:rPr>
          <w:rFonts w:cs="Times New Roman"/>
        </w:rPr>
        <w:tab/>
      </w:r>
      <w:r w:rsidRPr="003D624F">
        <w:rPr>
          <w:rFonts w:cs="Times New Roman"/>
        </w:rPr>
        <w:tab/>
      </w:r>
      <w:r w:rsidRPr="003D624F">
        <w:rPr>
          <w:rFonts w:cs="Times New Roman"/>
        </w:rPr>
        <w:tab/>
        <w:t>As functional spillover expects that the basis of the practicality of integration lies with the (economic) interdependencies between the MSs, a logical step for a reinterpretation of this mechanism would be to expect the practicality of disintegration to lay with a lack of interdependency in a given policy field. However, NF expects interdependencies to increase more and more as the process of integration gets its own ‘impetus’ for continued integration. Still, the concept of spillback was mentioned in 1970 by Lindberg and Scheingold (p. 137) who understood it as ‘’a situation in which there is a withdrawal from a set of specific obligations. Rules are no longer regularly enforced or obeyed. The scope of Community action and its institutional capacities decrease’’. They argue that this spillback can be easily explained by pointing at the original incentives for disintegration. To illustrate this, they explain that the case of spillback in the European coal sector where the problem of a surplus of coal was redefined as a Belgium problem which resulted in its temporary de-facto exclusion of the common coal market. As a consequence there was a reduced willingness to cooperate on the supranational level. To link this to interdependency: it explains spillback as a direct result of negative effects of interdependency as the Belgium surplus can harm others’ interests. Although there is increasing literature on the ‘perverse’ effects of institutionalisation which may undermine social or political support for them (Pollack, 2009, p. 128), these focus on the more ‘structural’ determinants of ‘negative feedback loops’, rather than on agency.</w:t>
      </w:r>
      <w:r w:rsidRPr="003D624F">
        <w:rPr>
          <w:rFonts w:cs="Times New Roman"/>
        </w:rPr>
        <w:tab/>
      </w:r>
      <w:r w:rsidRPr="003D624F">
        <w:rPr>
          <w:rFonts w:cs="Times New Roman"/>
        </w:rPr>
        <w:tab/>
      </w:r>
      <w:r w:rsidRPr="003D624F">
        <w:rPr>
          <w:rFonts w:cs="Times New Roman"/>
        </w:rPr>
        <w:tab/>
      </w:r>
      <w:r w:rsidRPr="003D624F">
        <w:rPr>
          <w:rFonts w:cs="Times New Roman"/>
        </w:rPr>
        <w:tab/>
      </w:r>
      <w:r w:rsidR="00B91CAC">
        <w:rPr>
          <w:rFonts w:cs="Times New Roman"/>
        </w:rPr>
        <w:tab/>
      </w:r>
      <w:r w:rsidR="00B91CAC">
        <w:rPr>
          <w:rFonts w:cs="Times New Roman"/>
        </w:rPr>
        <w:tab/>
      </w:r>
      <w:r w:rsidR="00B91CAC">
        <w:rPr>
          <w:rFonts w:cs="Times New Roman"/>
        </w:rPr>
        <w:tab/>
      </w:r>
      <w:r w:rsidR="00B91CAC">
        <w:rPr>
          <w:rFonts w:cs="Times New Roman"/>
        </w:rPr>
        <w:tab/>
      </w:r>
      <w:r w:rsidRPr="003D624F">
        <w:rPr>
          <w:rFonts w:cs="Times New Roman"/>
        </w:rPr>
        <w:t xml:space="preserve">The mechanism of spillback then can be understood as: the diversifying logic of sector disintegration where practicalities dictate that societal actors’ problems are better addressed through multi-level approaches to the project of EI. Interdependency can present practical reasons, or functional spillback linkages, in two ways. The first one is based on the assumption that the project of EI proceeds intermittently such as in the case of the Belgium </w:t>
      </w:r>
      <w:r w:rsidRPr="003D624F">
        <w:rPr>
          <w:rFonts w:cs="Times New Roman"/>
        </w:rPr>
        <w:lastRenderedPageBreak/>
        <w:t>exclusion from the common coal market. In this case, the integration of a certain policy field is considered to be an obstruction to the achievement of another integrative scheme. The second one is based on the assumption that interdependencies do not limit themselves to the European continent and that it may be more practical in some cases to integrate with other countries at the expanse of the EU.</w:t>
      </w:r>
    </w:p>
    <w:p w14:paraId="13B5F4BC" w14:textId="77777777" w:rsidR="00DD1574" w:rsidRPr="0034411E" w:rsidRDefault="00DD1574" w:rsidP="0034411E">
      <w:pPr>
        <w:pStyle w:val="ListParagraph"/>
        <w:numPr>
          <w:ilvl w:val="0"/>
          <w:numId w:val="6"/>
        </w:numPr>
        <w:spacing w:line="480" w:lineRule="auto"/>
        <w:rPr>
          <w:rFonts w:cs="Times New Roman"/>
          <w:lang w:val="en-US"/>
        </w:rPr>
      </w:pPr>
      <w:r w:rsidRPr="0034411E">
        <w:rPr>
          <w:rFonts w:cs="Times New Roman"/>
          <w:lang w:val="en-US"/>
        </w:rPr>
        <w:t xml:space="preserve">Political spillover and </w:t>
      </w:r>
      <w:r w:rsidR="0034411E" w:rsidRPr="0034411E">
        <w:rPr>
          <w:rFonts w:cs="Times New Roman"/>
          <w:lang w:val="en-US"/>
        </w:rPr>
        <w:t xml:space="preserve">political </w:t>
      </w:r>
      <w:r w:rsidRPr="0034411E">
        <w:rPr>
          <w:rFonts w:cs="Times New Roman"/>
          <w:lang w:val="en-US"/>
        </w:rPr>
        <w:t>spillback</w:t>
      </w:r>
    </w:p>
    <w:p w14:paraId="467A9EF9" w14:textId="77777777" w:rsidR="00DD1574" w:rsidRPr="003D624F" w:rsidRDefault="00DD1574" w:rsidP="0034411E">
      <w:pPr>
        <w:spacing w:line="480" w:lineRule="auto"/>
        <w:ind w:left="360"/>
        <w:rPr>
          <w:rFonts w:cs="Times New Roman"/>
          <w:lang w:val="en-US"/>
        </w:rPr>
      </w:pPr>
      <w:r w:rsidRPr="003D624F">
        <w:rPr>
          <w:rFonts w:cs="Times New Roman"/>
        </w:rPr>
        <w:t xml:space="preserve">The next form of spillover is called </w:t>
      </w:r>
      <w:r w:rsidRPr="003D624F">
        <w:rPr>
          <w:rFonts w:cs="Times New Roman"/>
          <w:i/>
        </w:rPr>
        <w:t>political spillover</w:t>
      </w:r>
      <w:r w:rsidRPr="003D624F">
        <w:rPr>
          <w:rFonts w:cs="Times New Roman"/>
        </w:rPr>
        <w:t xml:space="preserve">. It is expected that societal elites such as the representatives of political parties, businesses, and other interest groups, promote integration. They will do so if domestic policies do not promote their interests well enough, and if they expect that their interests are better served at the supranational level. NF expects that these domestic elites undergo a learning process whereby they come to understand that their interests are better served at a supranational level, rather than domestically (Tranholm-Mikkelsen, 1991, p. 5). Increased interaction causes these elites to reorient themselves to the supranational level. Such involvement at the supranational level may also be necessary if they expect their interests to be harmed (Tranholm-Mikkelsen, 1991, p. 4). EI thus generates opportunities and risks that make it rational for domestic elites to refocus their attention to the supranational level. Assuming that it is rational for elites to promote integration, </w:t>
      </w:r>
      <w:r w:rsidRPr="003D624F">
        <w:rPr>
          <w:rFonts w:cs="Times New Roman"/>
          <w:i/>
        </w:rPr>
        <w:t>how</w:t>
      </w:r>
      <w:r w:rsidRPr="003D624F">
        <w:rPr>
          <w:rFonts w:cs="Times New Roman"/>
        </w:rPr>
        <w:t xml:space="preserve"> are they expected to promote this? Haas (1958, p. 312-313) focussed on the pressures which are exerted by non-governmental elites such as leaders of political parties, trade associations and trade unions. Later NF scholars tend to include a wider set of interest groups (Schmitter, 1971, 257). Lindberg (Niemann and Schmitter, 2009, p. 50) on the other hand, attributes greater significance to governmental elites. In order to promote integration, both groups are expected to express the need for an integrative approach. The success of these claims for these elites may depend on the successfulness of bypassing their respective governments. This is more easily achieved when different international elites’ interests align. An example may be that all manufacturers of cars have an interest in integrative </w:t>
      </w:r>
      <w:r w:rsidRPr="003D624F">
        <w:rPr>
          <w:rFonts w:cs="Times New Roman"/>
        </w:rPr>
        <w:lastRenderedPageBreak/>
        <w:t xml:space="preserve">measures that establish an internal market. Such alignment can result in cooperation through the creation of umbrella organizations. These are focussed on representing the shared interests of domestic elites who seek advantages they cannot achieve domestically and are thus inherently geared towards the promotion of collective solutions. Faced with opportunities and risks at the supranational level, domestic elites thus organize themselves on an international level and are able to lobby more effectively at this level as well.  </w:t>
      </w:r>
      <w:r w:rsidRPr="003D624F">
        <w:rPr>
          <w:rFonts w:cs="Times New Roman"/>
        </w:rPr>
        <w:tab/>
        <w:t xml:space="preserve">Again, it may be possible to imagine how political spillover might be useful as an explanation for disintegration. The expectation is that </w:t>
      </w:r>
      <w:r w:rsidRPr="003D624F">
        <w:rPr>
          <w:rFonts w:cs="Times New Roman"/>
          <w:i/>
        </w:rPr>
        <w:t>political spillback</w:t>
      </w:r>
      <w:r w:rsidRPr="003D624F">
        <w:rPr>
          <w:rFonts w:cs="Times New Roman"/>
        </w:rPr>
        <w:t xml:space="preserve"> occurs when interest groups no longer find that integrative schemes serve their interest. Or at least, that disintegration in certain policy subfields does serve their interest. This is not to say that these groups will retreat from the supranational level; they may have several goals which they pursue that still need this involvement. Once they have established umbrella organizations and have focussed their activities on a supranational level, it is rational for them to employ this position to exert pressures to disintegrate the supranational organization in certain policy subfields if this better serves their interest; the integrative schemes that serve their interests are consolidated and now they exert pressure on a reallocation of discretionary competences that serves them best. This sort of two-level is important as Van der Vleuten (2005, p. 485) argues that: ‘’</w:t>
      </w:r>
      <w:r w:rsidRPr="003D624F">
        <w:rPr>
          <w:rFonts w:cs="Times New Roman"/>
          <w:lang w:val="en-US"/>
        </w:rPr>
        <w:t xml:space="preserve">When supranational pressure is not met by domestic pressure (France, 1980s), the government does not go beyond ‘rhetorical implementation’ ’’. Consequently, political spillback pressures are expected to be more effective when umbrella organizations simultaneously exert pressure at the international as well as the domestic level.  </w:t>
      </w:r>
    </w:p>
    <w:p w14:paraId="2BE157A6" w14:textId="5D2D09A0" w:rsidR="00DD1574" w:rsidRDefault="00DD1574" w:rsidP="00DD1574">
      <w:pPr>
        <w:pStyle w:val="ListParagraph"/>
        <w:numPr>
          <w:ilvl w:val="0"/>
          <w:numId w:val="6"/>
        </w:numPr>
        <w:rPr>
          <w:rFonts w:cs="Times New Roman"/>
          <w:lang w:val="en-US"/>
        </w:rPr>
      </w:pPr>
      <w:r w:rsidRPr="0034411E">
        <w:rPr>
          <w:rFonts w:cs="Times New Roman"/>
          <w:lang w:val="en-US"/>
        </w:rPr>
        <w:t xml:space="preserve">Cultivated spillover and </w:t>
      </w:r>
      <w:r w:rsidR="0034411E" w:rsidRPr="0034411E">
        <w:rPr>
          <w:rFonts w:cs="Times New Roman"/>
          <w:lang w:val="en-US"/>
        </w:rPr>
        <w:t xml:space="preserve">cultivated </w:t>
      </w:r>
      <w:r w:rsidRPr="0034411E">
        <w:rPr>
          <w:rFonts w:cs="Times New Roman"/>
          <w:lang w:val="en-US"/>
        </w:rPr>
        <w:t>spillback</w:t>
      </w:r>
    </w:p>
    <w:p w14:paraId="23D721E2" w14:textId="77777777" w:rsidR="00B91CAC" w:rsidRPr="00B91CAC" w:rsidRDefault="00B91CAC" w:rsidP="00B91CAC">
      <w:pPr>
        <w:pStyle w:val="ListParagraph"/>
        <w:rPr>
          <w:rFonts w:cs="Times New Roman"/>
          <w:lang w:val="en-US"/>
        </w:rPr>
      </w:pPr>
    </w:p>
    <w:p w14:paraId="7EEC3811" w14:textId="401D8EB4" w:rsidR="00DD1574" w:rsidRPr="003D624F" w:rsidRDefault="00DD1574" w:rsidP="0034411E">
      <w:pPr>
        <w:spacing w:line="480" w:lineRule="auto"/>
        <w:ind w:left="360"/>
        <w:rPr>
          <w:rFonts w:cs="Times New Roman"/>
        </w:rPr>
      </w:pPr>
      <w:r w:rsidRPr="003D624F">
        <w:rPr>
          <w:rFonts w:cs="Times New Roman"/>
        </w:rPr>
        <w:t xml:space="preserve">A third version of spillover is called </w:t>
      </w:r>
      <w:r w:rsidRPr="003D624F">
        <w:rPr>
          <w:rFonts w:cs="Times New Roman"/>
          <w:i/>
        </w:rPr>
        <w:t>cultivated spillover</w:t>
      </w:r>
      <w:r w:rsidRPr="003D624F">
        <w:rPr>
          <w:rFonts w:cs="Times New Roman"/>
        </w:rPr>
        <w:t xml:space="preserve">. This type of spillover focuses on top-down rather than bottom-up integrative pressures: those exerted by the important supra-national institutions such as the Commission and the EP. These actors are expected to protect their own interests rather than that of the MSs individually. One way to do this, is by trying to </w:t>
      </w:r>
      <w:r w:rsidRPr="003D624F">
        <w:rPr>
          <w:rFonts w:cs="Times New Roman"/>
        </w:rPr>
        <w:lastRenderedPageBreak/>
        <w:t xml:space="preserve">expand their mandate. The role played by these institutions is mainly found in mediating the international bargaining process. Haas makes a distinction between interstate bargaining and bargaining facilitated by European institutions such as the ECSC and later the Commission (Niemann &amp; Schmitter, 2009, p. 50). Interstate bargaining, according to him, was characterized by lowest-common denominator outcomes. Instead, results of negotiations facilitated by an institutionalized mediator tend to be considered as promoting a common interest. The outcome of negotiations, according to Haas, involves a redefining of the conflict (Haas, 1961, p. 367). The relative success of cultivated spillover then, depends on the extent to which the Commission is able to redefine the conflict, or ‘upgrade the common interest’ (Haas, 1964, p. 66). This is not so much done by creating ‘win-win situations’, but rather by making compromises. Common interests, Niemann and Schmitter (2009, p. 50) state: ‘’are upgraded to the extent that each participant feels that, by conceding something, it has gained something else’’. These compromises then, according to the cultivated spillover logic, are more easily achieved under the auspices of European institutions such as the Commission. The expectation is that the outcome of this redefinition of conflict almost always implies the expansion of the powers of an international agency (Haas, 1961, p. 367). This follows the understanding of supranational actors as self-interested rational actors that seek to increase their power (Moravcsik &amp; Schimmelfennig, 2009, p. 50). The expectation is thus that the Commission (and other supra-national institutions) exerts pressure to expand its mandate as the European Union grows. Lindberg, in addition to Haas, expanded on how the Commission may exert its pressure. He stated that, because of its privileged position of centrality and authority, the Commission can direct the dynamics of interstate relations as well as intrastate relations between interest groups (Niemann &amp; Schmitter, 2009). Within the Commission or other institutions, compromise is more easily achieved as well due to the like-mindedness of officials. These officials may form ‘epistemic communities’ who share a scientific paradigm (Schmitter and Lefkofridi, 2016, p. 4). Consequently their understandings of the nature and solutions of problems are shared as well. </w:t>
      </w:r>
      <w:r w:rsidRPr="003D624F">
        <w:rPr>
          <w:rFonts w:cs="Times New Roman"/>
        </w:rPr>
        <w:lastRenderedPageBreak/>
        <w:t xml:space="preserve">Following Lindberg, later authors described the active role institutions can play in reallocating discretionary competences (Lindberg 1964, 71; Tranholm-Mikkelsen 1991, 6; Smyrl, 1998). Smyrl (1998, p. 97) for example stated that the Commission can convince MSs to adopt its policy preferences through gradual persuasion and alternative specification of the problem over the course of policy formulation. It can also influence agenda setting according to Pollack (1997, p. 102), albeit informally: ‘‘Moving to informal agenda setting, supranational institutions enjoy no formal monopoly on the right to set the Council's substantive agenda. Nevertheless, their policy expertise and institutional persistence can provide them with certain informational advantages vis-a-vis both competing agenda setters and the Council of Ministers in a setting of incomplete information’’. In the policy process leading to new proposals regarding the allocation of competences, the Commission, and the Parliament as well, have different opportunities to propose amendments and convince other parties of their point of view and perhaps redefine the problem or its solutions. In this sense the outcome of the international bargaining process is significantly different from a process in the absence of such actors. </w:t>
      </w:r>
      <w:r w:rsidRPr="003D624F">
        <w:rPr>
          <w:rFonts w:cs="Times New Roman"/>
        </w:rPr>
        <w:tab/>
      </w:r>
      <w:r w:rsidR="0034411E">
        <w:rPr>
          <w:rFonts w:cs="Times New Roman"/>
        </w:rPr>
        <w:tab/>
      </w:r>
      <w:r w:rsidR="00B91CAC">
        <w:rPr>
          <w:rFonts w:cs="Times New Roman"/>
        </w:rPr>
        <w:tab/>
      </w:r>
      <w:r w:rsidR="00B91CAC">
        <w:rPr>
          <w:rFonts w:cs="Times New Roman"/>
        </w:rPr>
        <w:tab/>
      </w:r>
      <w:r w:rsidRPr="003D624F">
        <w:rPr>
          <w:rFonts w:cs="Times New Roman"/>
        </w:rPr>
        <w:t xml:space="preserve">Although the supranational organizations within the EU are usually assumed to strive for an increase of their mandate, situations can be conceived of where it is in the interest of these institutions to discharge some of their discretionary competences, and hence support disintegration. This may occur when a certain policy subfield that has been integrated on a supranational scale causes damage to the reputation of a more important integrative scheme or institution. This especially holds for the Commission. Stephenson (2010, p. 1046) argues that in relation to policies carried out, the Commission is never free from scrutiny by MSs, and: ‘’[I]t must demonstrate the effectiveness and efficiency of EU policy in the face of constant pressures to nationalize policy or carry it out at lower levels’’. When a supranational organization perceives a subordinate practice or institution as a threat to its own reputation, it may understand disintegration as a necessity to its own success or survival. The specific policy subfield might have been politicized and turned into a ‘hot potato’ that the supranational institution might not want </w:t>
      </w:r>
      <w:r w:rsidRPr="003D624F">
        <w:rPr>
          <w:rFonts w:cs="Times New Roman"/>
        </w:rPr>
        <w:lastRenderedPageBreak/>
        <w:t>to burn its fingers on. It may then sacrifice certain integrated policy fields to protect others. However, seeing that the supranational organization is always striving to protect its mandate, the expectation is that it will seek to circumvent handling the issue in other ways as well. This explanation of political spillback presupposes a hierarchical ordering of EU institutions. Although NF scholars have not acknowledged this explicitly, it is not unlikely that the Commission is more capable of directing policy than some of its executive branches such as the EFSA.</w:t>
      </w:r>
      <w:r>
        <w:rPr>
          <w:rFonts w:cs="Times New Roman"/>
        </w:rPr>
        <w:t xml:space="preserve"> This view of cultivated spillback expects that supranational organisations will always be proactive, even when they seek to avoid responsibility they do so by actively striving for disintegration. In contrast, a more reactive or ‘weak’ Commission can undermine its own practices by not acting. Institutions can ‘cultivate the seeds of their own demise’ (Greif and Laitin, 2004, p. 34), increasing pressure for change over time (Pollack, 2009, p. 128).</w:t>
      </w:r>
    </w:p>
    <w:p w14:paraId="472FF04B" w14:textId="77777777" w:rsidR="00DD1574" w:rsidRPr="003D624F" w:rsidRDefault="00DD1574" w:rsidP="00DD1574">
      <w:pPr>
        <w:rPr>
          <w:rFonts w:cs="Times New Roman"/>
        </w:rPr>
      </w:pPr>
      <w:r w:rsidRPr="003D624F">
        <w:rPr>
          <w:rFonts w:cs="Times New Roman"/>
        </w:rPr>
        <w:br w:type="page"/>
      </w:r>
    </w:p>
    <w:p w14:paraId="15223A80" w14:textId="77777777" w:rsidR="00DD1574" w:rsidRPr="0034411E" w:rsidRDefault="006A1EFE" w:rsidP="0034411E">
      <w:pPr>
        <w:pStyle w:val="Heading2"/>
        <w:rPr>
          <w:color w:val="44546A" w:themeColor="text2"/>
        </w:rPr>
      </w:pPr>
      <w:bookmarkStart w:id="7" w:name="_Toc490488034"/>
      <w:r>
        <w:rPr>
          <w:color w:val="44546A" w:themeColor="text2"/>
        </w:rPr>
        <w:lastRenderedPageBreak/>
        <w:t xml:space="preserve">2.2 </w:t>
      </w:r>
      <w:r w:rsidR="00DD1574" w:rsidRPr="0034411E">
        <w:rPr>
          <w:color w:val="44546A" w:themeColor="text2"/>
        </w:rPr>
        <w:t>Liberal intergovernmentalism</w:t>
      </w:r>
      <w:bookmarkEnd w:id="7"/>
    </w:p>
    <w:p w14:paraId="5D2AFE64" w14:textId="2EDE17C0" w:rsidR="00DD1574" w:rsidRDefault="00DD1574" w:rsidP="00DD1574">
      <w:pPr>
        <w:spacing w:line="480" w:lineRule="auto"/>
        <w:rPr>
          <w:u w:val="single"/>
        </w:rPr>
      </w:pPr>
      <w:r w:rsidRPr="003D624F">
        <w:rPr>
          <w:rFonts w:cs="Times New Roman"/>
        </w:rPr>
        <w:t xml:space="preserve">The LI theory of integration is merited for its usefulness as a foundation for synthesis with other explanations (Moravcsik and Schimmelfennig, 2009, p. 67). It provides for an elaborate and step-by-step approach in understanding international politics, describing how meso-level inferences about integration are derived from actor level assumptions. Similarly to ‘rationalist institutionalism’, LI seeks to address the problem of ‘equilibrium institutions’: ‘’[N]amely, how actors choose or design institutions to secure mutual gains, and how those institutions change or persist over time’’ (Pollack, 2009, p. 126). It is an application of this approach to the practice of regional integration (Moravcsik and Schimmelfennig, 2009, p. 67). </w:t>
      </w:r>
      <w:r w:rsidRPr="003D624F">
        <w:rPr>
          <w:rFonts w:cs="Times New Roman"/>
        </w:rPr>
        <w:tab/>
      </w:r>
      <w:r w:rsidRPr="003D624F">
        <w:rPr>
          <w:rFonts w:cs="Times New Roman"/>
        </w:rPr>
        <w:tab/>
      </w:r>
      <w:r w:rsidRPr="003D624F">
        <w:rPr>
          <w:rFonts w:cs="Times New Roman"/>
        </w:rPr>
        <w:tab/>
      </w:r>
      <w:r w:rsidRPr="003D624F">
        <w:rPr>
          <w:rFonts w:cs="Times New Roman"/>
        </w:rPr>
        <w:tab/>
      </w:r>
      <w:r w:rsidRPr="003D624F">
        <w:rPr>
          <w:rFonts w:cs="Times New Roman"/>
        </w:rPr>
        <w:tab/>
      </w:r>
      <w:r w:rsidRPr="003D624F">
        <w:rPr>
          <w:rFonts w:cs="Times New Roman"/>
        </w:rPr>
        <w:tab/>
      </w:r>
      <w:r w:rsidRPr="003D624F">
        <w:rPr>
          <w:rFonts w:cs="Times New Roman"/>
        </w:rPr>
        <w:tab/>
      </w:r>
      <w:r w:rsidRPr="003D624F">
        <w:rPr>
          <w:rFonts w:cs="Times New Roman"/>
        </w:rPr>
        <w:tab/>
      </w:r>
      <w:r w:rsidRPr="003D624F">
        <w:rPr>
          <w:rFonts w:cs="Times New Roman"/>
        </w:rPr>
        <w:tab/>
        <w:t>In contrast with the NF approach to EI, LI does not include a strong social element to integration but focusses on the legal transfer of competences from the domestic to the international level. This can be associated with the supposed actors deciding on the reallocation of competences, namely: national states’ governments. These actors are legally speaking the ultimate decision makers on their territory and hence decide on a reallocation of competences. States are considered to be ‘Masters of the Treaty’ (Moravcsik and Schimmelfennig, 2009, p. 68), which amounts to the understanding of legal authority as the main resource of LI’s understanding of power (Marks, Hooghe, and Blank, 1996, p. 9). In this sense, integrati</w:t>
      </w:r>
      <w:r w:rsidR="003B6266">
        <w:rPr>
          <w:rFonts w:cs="Times New Roman"/>
        </w:rPr>
        <w:t>on is a function of state power</w:t>
      </w:r>
      <w:r w:rsidRPr="003D624F">
        <w:rPr>
          <w:rFonts w:cs="Times New Roman"/>
        </w:rPr>
        <w:t xml:space="preserve"> and theirs to take back when they want to: ‘’</w:t>
      </w:r>
      <w:r w:rsidRPr="003D624F">
        <w:rPr>
          <w:rFonts w:cs="Times New Roman"/>
          <w:lang w:val="en-US"/>
        </w:rPr>
        <w:t>EC politics is the continuation of domestic policies by other means’ (Moravcsik 1991, p. 47).</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Pr="003D624F">
        <w:rPr>
          <w:rFonts w:cs="Times New Roman"/>
        </w:rPr>
        <w:tab/>
        <w:t xml:space="preserve">Similar to NF, LI conceptualises integration within the European context. A central element to the LI explanation of integration is the distinction of politics in two levels: the domestic, and the international (Putnam, 1988). Moravcsik adds a temporal variable to this analysis of international politics through the setting of EI into three consecutive phases: preference formation, the outcome of interstate bargaining, and the formation or adjustment of institutions (Moravcsik and Schimmelfennig, 2009, p. 69). Each of these phases is specified as a theory with its own expectations </w:t>
      </w:r>
      <w:r w:rsidRPr="00B626B3">
        <w:rPr>
          <w:rFonts w:cs="Times New Roman"/>
        </w:rPr>
        <w:t xml:space="preserve">about its results. During these phases, which will be introduced more elaborately below, actors are </w:t>
      </w:r>
      <w:r w:rsidRPr="00B626B3">
        <w:rPr>
          <w:rFonts w:cs="Times New Roman"/>
        </w:rPr>
        <w:lastRenderedPageBreak/>
        <w:t>expected to act in a rational self-interested way. Regional integration according to LI can be understood as resulting from a series of rational, self-interested choices made by governments which are assumed to make a calculation of the utility of their actions (Moravcsik and Schimmelfennig, 2009, p. 48).</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Pr="00B626B3">
        <w:rPr>
          <w:rFonts w:cs="Times New Roman"/>
        </w:rPr>
        <w:t>LI initially set out to understand the integration process in terms of ‘grand bargains’ and the more ‘broad evolution of regional integration’ (Moravcsik and Schimmelfennig, 2009, p. 68</w:t>
      </w:r>
      <w:r>
        <w:rPr>
          <w:rFonts w:cs="Times New Roman"/>
        </w:rPr>
        <w:t>).</w:t>
      </w:r>
      <w:r w:rsidRPr="00B626B3">
        <w:rPr>
          <w:rFonts w:cs="Times New Roman"/>
        </w:rPr>
        <w:t xml:space="preserve"> </w:t>
      </w:r>
      <w:r>
        <w:rPr>
          <w:rFonts w:cs="Times New Roman"/>
        </w:rPr>
        <w:t>Whereas LI has predominantly been focussed on the delegation of competences, institutionalist authors have addressed the question what happens when supranational actors do not act according to the preferences of the MSs (Pollack, 2009, p. 132). It would therefore be unable to address more specific, day-to-day decision making practices in the EU. These questions have led to the hypothesis that agency autonomy varies over different policy fields (Pollack, 2009, p. 132). Partially addressing these criticisms, LI emphasises that there can be unforeseen changes in the domestic situation, thereby putting the MSs in an uneasy position (Moravcsik and Schimmelfennig, 2009, p. 75). Moreover, supranational organisations can increase the autonomy of MSs: [T]hereby uncomfortably constraining governments in unexpected ways (Moravcsik and Schimmelfennig, 2009, p. 75). Hereby, LI reaffirms its focus on agency.</w:t>
      </w:r>
    </w:p>
    <w:p w14:paraId="556E1D84" w14:textId="77777777" w:rsidR="00DD1574" w:rsidRPr="0034411E" w:rsidRDefault="00DD1574" w:rsidP="006A1EFE">
      <w:pPr>
        <w:pStyle w:val="Heading2"/>
        <w:rPr>
          <w:color w:val="44546A" w:themeColor="text2"/>
        </w:rPr>
      </w:pPr>
      <w:bookmarkStart w:id="8" w:name="_Toc490488035"/>
      <w:r w:rsidRPr="0034411E">
        <w:rPr>
          <w:color w:val="44546A" w:themeColor="text2"/>
        </w:rPr>
        <w:t>Mechanisms</w:t>
      </w:r>
      <w:bookmarkEnd w:id="8"/>
      <w:r w:rsidRPr="0034411E">
        <w:rPr>
          <w:color w:val="44546A" w:themeColor="text2"/>
        </w:rPr>
        <w:t xml:space="preserve"> </w:t>
      </w:r>
    </w:p>
    <w:p w14:paraId="7C6F2CF6" w14:textId="77777777" w:rsidR="00DD1574" w:rsidRDefault="00DD1574" w:rsidP="00DD1574">
      <w:pPr>
        <w:spacing w:line="480" w:lineRule="auto"/>
      </w:pPr>
      <w:r w:rsidRPr="003D624F">
        <w:t xml:space="preserve">Moravcsik (Moravcsik and Schimmelfennig, 2009, p. 69) theorizes regional integration in a three-staged analysis: the formation of state preferences, the outcomes of inter-state bargaining, and the formation or adjustment of institutions. Regional integration can be understood as a series of rational choices made by governments that act under the different constraints and opportunities each level contains (Moravcsik, 1998, p. 8). These conditions have been specified in order to be able to generate expectations with regards to European integration. What expectations then, does the LI analysis generate about regional integration, and how does this framework respond to an attempt to generate expectations about disintegration? </w:t>
      </w:r>
    </w:p>
    <w:p w14:paraId="501CDBAB" w14:textId="77777777" w:rsidR="0034411E" w:rsidRPr="003D624F" w:rsidRDefault="0034411E" w:rsidP="00DD1574">
      <w:pPr>
        <w:spacing w:line="480" w:lineRule="auto"/>
        <w:rPr>
          <w:u w:val="single"/>
        </w:rPr>
      </w:pPr>
    </w:p>
    <w:p w14:paraId="7E240429" w14:textId="77777777" w:rsidR="00DD1574" w:rsidRPr="0034411E" w:rsidRDefault="00DD1574" w:rsidP="0034411E">
      <w:pPr>
        <w:pStyle w:val="ListParagraph"/>
        <w:numPr>
          <w:ilvl w:val="0"/>
          <w:numId w:val="6"/>
        </w:numPr>
        <w:spacing w:line="480" w:lineRule="auto"/>
      </w:pPr>
      <w:r w:rsidRPr="0034411E">
        <w:lastRenderedPageBreak/>
        <w:t>Preference formation</w:t>
      </w:r>
    </w:p>
    <w:p w14:paraId="46C09F51" w14:textId="51E07591" w:rsidR="00DD1574" w:rsidRDefault="00DD1574" w:rsidP="0034411E">
      <w:pPr>
        <w:spacing w:line="480" w:lineRule="auto"/>
        <w:ind w:left="360"/>
      </w:pPr>
      <w:r w:rsidRPr="003D624F">
        <w:t xml:space="preserve">The first part of the LI framework is the assumption that preferences are generated at the domestic level. The preferences of MSs are endogenous to the state; they are generated through a domestic political bargaining process where societal actors fight over specific policy goals, rather than that they depend directly on international circumstances or the integration process itself  (Schimmelfennig, 2015, p.179). Societal actors are expected to determine preferences since governments seek re-election and are thus susceptible to pressure. Pressure is exerted directly through the mobilization of opposition and indirectly through punishment by voting (Moravcsik, 1993, p. 493). </w:t>
      </w:r>
      <w:r w:rsidR="001E63FA">
        <w:tab/>
      </w:r>
      <w:r w:rsidR="001E63FA">
        <w:tab/>
      </w:r>
      <w:r w:rsidR="001E63FA">
        <w:tab/>
      </w:r>
      <w:r w:rsidR="001E63FA">
        <w:tab/>
      </w:r>
      <w:r w:rsidR="001E63FA">
        <w:tab/>
      </w:r>
      <w:r w:rsidR="001E63FA">
        <w:tab/>
      </w:r>
      <w:r w:rsidR="001E63FA">
        <w:tab/>
      </w:r>
      <w:r w:rsidR="001E63FA">
        <w:tab/>
      </w:r>
      <w:r w:rsidR="001E63FA">
        <w:tab/>
      </w:r>
      <w:r w:rsidR="001E63FA">
        <w:tab/>
      </w:r>
      <w:r w:rsidRPr="003D624F">
        <w:t xml:space="preserve">Expectations about integration then, can be derived because LI assumes that the domestic power constellation tends to produce stable preference functions, specific to each ‘substantive issue’ (Moravcsik and Schimmelfennig, 2009, p. 70). Similarly Moravcsik and Schimmelfennig (2009, p. 78) argue that: ‘’The initial task in any LI analysis is to explain state preferences by understanding the structure of issue-specific domestic societal interests […]’’. This structure can be understood as the power constellation between domestic societal actors. For each issue, expectations can be derived for the: ‘’characteristic distributions of costs and benefits for societal groups, from which follow variations in patterns of domestic political mobilization, opportunities for governments to circumvent domestic opposition, and motivations for international cooperation’’ (Moravcsik, 1993, p. 488). The groups </w:t>
      </w:r>
      <w:r>
        <w:t>which</w:t>
      </w:r>
      <w:r w:rsidRPr="003D624F">
        <w:t xml:space="preserve"> are important for preference formation then, struggle to influence the government. </w:t>
      </w:r>
      <w:r>
        <w:tab/>
      </w:r>
      <w:r w:rsidRPr="003D624F">
        <w:t xml:space="preserve">Which societal actors are then expected to be the most influential? LI expects that the strength of societal actors in securing that their interests are represented depends on the intensity of these interests. This is grounded in the ‘collective action problem’ that it is more rational to let others ensure that a collective good is reached in a large group. In this way it is easier to be a free-rider compared to a small group. Because of this problem, Olson (1965) states,  diffuse majority interests will be overshadowed by concentrated minor interests since these concentrated actors are better able </w:t>
      </w:r>
      <w:r w:rsidRPr="003D624F">
        <w:lastRenderedPageBreak/>
        <w:t>to overcome the ‘collective action problem’. Thus, is it more easy for an economic actor whose interests and resources are concentrated, to make a strong stance in domestic preference formation. This leads to the expectation that the more organized societal actors are, and the more certain and unambiguous possible benefits are, the more likely economic preferences will dominate, vis-à-vis ideological preferences for example (Schimmelfennig, 2015, p. 179). Moravcsik (1993, p. 493) argued that producers are the societal actors that generally would be mobilized in policies that involved the direct regulation of goods and production processes; where the benefits would be unambiguous. Economic actors usually have very specific demands and hence are likely to better represented than other societal actors. The pressure on governments then results from producers: ‘’whose expected gains and losses reflect their competitive position on international markets, levels of intra industry trade, and the certainty of policy outcomes´´(Moravcsik, 1993, p. 495). With regards to the provision of socio-economic goods, their mobilization would be lower since the expected net benefits are less clear (Moravcsik,</w:t>
      </w:r>
      <w:r>
        <w:t xml:space="preserve"> 1993, p. 491-494).</w:t>
      </w:r>
      <w:r>
        <w:tab/>
      </w:r>
      <w:r>
        <w:tab/>
      </w:r>
      <w:r>
        <w:tab/>
      </w:r>
      <w:r>
        <w:tab/>
      </w:r>
      <w:r>
        <w:tab/>
      </w:r>
      <w:r>
        <w:tab/>
      </w:r>
      <w:r w:rsidR="0034411E">
        <w:tab/>
      </w:r>
      <w:r w:rsidR="0034411E">
        <w:tab/>
      </w:r>
      <w:r>
        <w:tab/>
      </w:r>
      <w:r w:rsidRPr="003D624F">
        <w:t xml:space="preserve">How can the process of preference formation be interpreted as to generate expectations with regards to disintegration? As with integration, disintegration is considered to be the result of domestic preference formation. As the mechanism of preference formation is grounded in the rationality assumption, disintegration can occur if this is in the interest of the dominant domestic societal actors. Similarly, pressure on governments stems directly from political mobilization or indirectly through voting. The expectation then, is that the domestic debate that results in domestic preferences determines disintegration. Preferences that are less ambiguous and which are highly organized have a comparative advantage to less intense preferences. Disintegration is then likely to happen if the outcomes of national debates favour disintegration. </w:t>
      </w:r>
    </w:p>
    <w:p w14:paraId="66ACBB2B" w14:textId="77777777" w:rsidR="0034411E" w:rsidRDefault="0034411E" w:rsidP="0034411E">
      <w:pPr>
        <w:spacing w:line="480" w:lineRule="auto"/>
        <w:ind w:left="360"/>
      </w:pPr>
    </w:p>
    <w:p w14:paraId="0B954B2C" w14:textId="77777777" w:rsidR="0034411E" w:rsidRPr="003D624F" w:rsidRDefault="0034411E" w:rsidP="0034411E">
      <w:pPr>
        <w:spacing w:line="480" w:lineRule="auto"/>
        <w:ind w:left="360"/>
      </w:pPr>
    </w:p>
    <w:p w14:paraId="797195B2" w14:textId="77777777" w:rsidR="00DD1574" w:rsidRPr="0034411E" w:rsidRDefault="00DD1574" w:rsidP="0034411E">
      <w:pPr>
        <w:pStyle w:val="ListParagraph"/>
        <w:numPr>
          <w:ilvl w:val="0"/>
          <w:numId w:val="6"/>
        </w:numPr>
        <w:spacing w:line="480" w:lineRule="auto"/>
      </w:pPr>
      <w:r w:rsidRPr="0034411E">
        <w:lastRenderedPageBreak/>
        <w:t>Substantive bargaining</w:t>
      </w:r>
    </w:p>
    <w:p w14:paraId="1588CF25" w14:textId="77777777" w:rsidR="00DD1574" w:rsidRPr="003D624F" w:rsidRDefault="00DD1574" w:rsidP="0034411E">
      <w:pPr>
        <w:spacing w:line="480" w:lineRule="auto"/>
        <w:ind w:left="360"/>
      </w:pPr>
      <w:r w:rsidRPr="003D624F">
        <w:t xml:space="preserve">The second part of the three-staged explanation of integration is the focus on the bargaining for substantive outcomes. It is unlikely that state preferences resulting from the first stage align. Outcomes of these negotiations are expected to be ‘pareto-efficient’; all states gain from an agreement (Schimmelfennig, 2015, p. 184). This is based on the assumption that decisions on treaties are taken on basis of unanimity and that no state will support an agreement if it does not reap benefit from it. In the case of OLP, the voting rule in the Council in case of Commission consent is by QM (if the Commission opposes a proposal under QMV, the Council votes by unanimity (Europa-nu.nl, 2017). Therefore the outcomes are not that easy to predict. Whereas integrative dynamics on treaties are directed by the governments that have a veto power, for other legislative decisions this is not the case. Therefore, the assumptions about how integration proceeds are different. </w:t>
      </w:r>
      <w:r>
        <w:tab/>
      </w:r>
      <w:r w:rsidR="0034411E">
        <w:tab/>
      </w:r>
      <w:r w:rsidR="0034411E">
        <w:tab/>
      </w:r>
      <w:r w:rsidR="0034411E">
        <w:tab/>
      </w:r>
      <w:r w:rsidR="0034411E">
        <w:tab/>
      </w:r>
      <w:r w:rsidR="0034411E">
        <w:tab/>
      </w:r>
      <w:r w:rsidR="0034411E">
        <w:tab/>
      </w:r>
      <w:r w:rsidR="0034411E">
        <w:tab/>
      </w:r>
      <w:r w:rsidR="0034411E">
        <w:tab/>
      </w:r>
      <w:r w:rsidRPr="003D624F">
        <w:t>Whereas for treaties, integration often hinged on the Franco-German accord that could credibly threaten Great-Britain with exclusion (Webber, 2012), for other legislative proposals the relevant governments or coalitions of governments are more diverse. The dominance of France, Germany, and also Great-Britain however, has not entirely faded with the increase of the EU to 28 MSs. Their governments still represent the largest shares of votes and inhabitants, and especially when these governments form ‘opposing poles’ around which others may rally, they can be decisive (Webber, 2012). Roughly, outcomes can thus be interpreted as a reflection of veto-power constellations.</w:t>
      </w:r>
      <w:r w:rsidR="0034411E">
        <w:tab/>
      </w:r>
      <w:r w:rsidR="0034411E">
        <w:tab/>
      </w:r>
      <w:r w:rsidR="0034411E">
        <w:tab/>
      </w:r>
      <w:r w:rsidR="0034411E">
        <w:tab/>
      </w:r>
      <w:r w:rsidR="0034411E">
        <w:tab/>
      </w:r>
      <w:r w:rsidR="0034411E">
        <w:tab/>
      </w:r>
      <w:r w:rsidR="0034411E">
        <w:tab/>
      </w:r>
      <w:r w:rsidR="0034411E">
        <w:tab/>
      </w:r>
      <w:r w:rsidR="0034411E">
        <w:tab/>
      </w:r>
      <w:r w:rsidR="0034411E">
        <w:tab/>
      </w:r>
      <w:r w:rsidRPr="003D624F">
        <w:t xml:space="preserve">However, the bargaining process encompasses more since the possible outcomes of bargaining processes are rarely clear and change during the process. The substantial outcomes of bargains then, are expected to reflect the constellation of states’ bargaining power (Schimmelfennig, 2015, p. 184). Bargaining power results from asymmetrical interdependence; the uneven distribution of benefits from a potential outcome as opposed to alternative options (Moravcsik and Schimmelfennig, 2009, p.71). In general, the expectation is: ‘’… that states who </w:t>
      </w:r>
      <w:r w:rsidRPr="003D624F">
        <w:lastRenderedPageBreak/>
        <w:t>are less vulnerable to interdependence gain less from integration’’ (Schimmelfennig, 20015, p. 184). Bargaining itself consists of ‘credible threats to veto proposals, to withhold financial side-payments, and to form alliances excluding recalcitrant governments’’ (Moravcsik, 1998, p. 3). For the European Union, more specifically, the expectation is that states that benefit the most economically, tend to compromise more in bargains, and states who benefit from the status quo have the important power of non-cooperation, giving them a position to compel others to concede more to their wishes (Moravcsik and Schimmelf</w:t>
      </w:r>
      <w:r w:rsidR="0034411E">
        <w:t xml:space="preserve">ennig, 2009, p. 71). </w:t>
      </w:r>
      <w:r w:rsidR="0034411E">
        <w:tab/>
      </w:r>
      <w:r w:rsidR="0034411E">
        <w:tab/>
      </w:r>
      <w:r w:rsidR="0034411E">
        <w:tab/>
      </w:r>
      <w:r w:rsidRPr="003D624F">
        <w:t>As is the case with integration, in order for disintegrative proposals to be adopted, a veto-coalition of MSs should be in favour of disintegration. It is expected that the most important MSs can function as ‘poles’ around which others can rally. The substantive bargaining process determines the more specific outcomes of the eventual bargaining result. As with integration, these outcomes reflect the constellation of states’ bargaining power resulting from the uneven distribution of benefits from a potential outcome as opposed to alternative options. This part of the theory does not formulate specific criteria as to when to expect that a bargaining process results in disintegration, safe for the expectation that governments with a low vulnerability to interdependence benefit less from integrative schemes and hence are less prone to protect these. Attempts to change former agreements however, may meet resistance: ‘’attempts to ‘evade or question’ previous integration might trigger institutional response and undermine the basis of previous or other decisions (Moravcsik, 1995, p. 621).’’. Therefore, we also need to look at the choice of institutions to fully understand why (dis)integration happens.</w:t>
      </w:r>
    </w:p>
    <w:p w14:paraId="3C7F6D1F" w14:textId="77777777" w:rsidR="00DD1574" w:rsidRPr="0034411E" w:rsidRDefault="00DD1574" w:rsidP="0034411E">
      <w:pPr>
        <w:pStyle w:val="ListParagraph"/>
        <w:numPr>
          <w:ilvl w:val="0"/>
          <w:numId w:val="6"/>
        </w:numPr>
        <w:spacing w:line="480" w:lineRule="auto"/>
      </w:pPr>
      <w:r w:rsidRPr="0034411E">
        <w:t>Cost benefit calculations</w:t>
      </w:r>
    </w:p>
    <w:p w14:paraId="7F8A1E51" w14:textId="77777777" w:rsidR="00DD1574" w:rsidRPr="003D624F" w:rsidRDefault="00DD1574" w:rsidP="0034411E">
      <w:pPr>
        <w:spacing w:line="480" w:lineRule="auto"/>
        <w:ind w:left="360"/>
        <w:rPr>
          <w:rFonts w:cs="Times New Roman"/>
          <w:i/>
        </w:rPr>
      </w:pPr>
      <w:r w:rsidRPr="003D624F">
        <w:t xml:space="preserve">The third and last part of Moravcsik’s theoretical framework is the institutional choice. Not only do states bargain for the substantive terms of integration, they also negotiate the institutional design if they consider an institution to be necessary. The expectation that states sometimes agree to pool discretionary competences, is based on the idea that states must cope with </w:t>
      </w:r>
      <w:r w:rsidRPr="003D624F">
        <w:lastRenderedPageBreak/>
        <w:t>‘unintended, unforeseen, and often unwanted consequences’ (Moravcsik and Schimmelfennig, 2009, p. 72). The possible costs and benefits of integration are presumably weighed vis-à-vis the relevant alternatives. The benefits stem from the reduction of transaction costs of future bargaining and the reduction of uncertainty about each other’s future preferences and behaviour by providing necessary information (Talberg, 2002, p. 26). The issue-specific variation of the institutional options preferred by governments then, is expected to reflect their concerns about other states’ future compliance (Moravcsik and Schimmelfennig, 2009, p. 72). In other words: governments try to shift the responsibility for the monitoring and sanctioning of compliance. Moreover, Vis-à-vis their domestic constituencies, these governments choose for the pooling of competences if they seek to circumvent domestic pressures to defect from an agreement (Moravcsik and Schimmelfennig, 2009, p. 72). It may be easier for them to avert responsibility if they are able to convincingly use a strategy of ‘tied hands’ to tackle their domestic pressure groups. States thus make a rational cost-benefit analysis of the benefits of integration vis-à-vis the alternative options to multilateral agreement. More generally, the relative success of MSs’ institutional choice reflects the institutional preferences of the MSs with the superior bargaining power (Schimmelfennig, 2015, p. 188). To summarize: it is expected that states opt for the pooling of discretionary competences when the substantive gains from integration are considered to outweigh the transaction costs of alternative options. The institutional choice then, is expected to reflect the institutional preferences of the mos</w:t>
      </w:r>
      <w:r w:rsidR="0034411E">
        <w:t>t powerful MSs’ governments.</w:t>
      </w:r>
      <w:r w:rsidR="0034411E">
        <w:tab/>
      </w:r>
      <w:r w:rsidRPr="003D624F">
        <w:t>In reverse, it should be expected that disintegration happens when the governments calculation of the gains from disintegration outweigh the costs of integration. Whereas for integration, the motivation for governments to create institutions is expected to stem from the reduction of the costs of future monitoring of compliance, for disintegration the expectation is that states opt for disintegration if the multilateral option of integration does not outweigh the costs of a disintegrated scheme. This can be a result of unexpected or changing costs of the integrative scheme relative to other options.</w:t>
      </w:r>
    </w:p>
    <w:p w14:paraId="70BA0461" w14:textId="77777777" w:rsidR="00DD1574" w:rsidRPr="006A1EFE" w:rsidRDefault="006A1EFE" w:rsidP="0034411E">
      <w:pPr>
        <w:pStyle w:val="Heading2"/>
        <w:rPr>
          <w:color w:val="44546A" w:themeColor="text2"/>
        </w:rPr>
      </w:pPr>
      <w:bookmarkStart w:id="9" w:name="_Toc490488036"/>
      <w:r>
        <w:rPr>
          <w:color w:val="44546A" w:themeColor="text2"/>
        </w:rPr>
        <w:lastRenderedPageBreak/>
        <w:t xml:space="preserve">2.3 </w:t>
      </w:r>
      <w:r w:rsidR="00DD1574" w:rsidRPr="006A1EFE">
        <w:rPr>
          <w:color w:val="44546A" w:themeColor="text2"/>
        </w:rPr>
        <w:t>Comparative synopsis</w:t>
      </w:r>
      <w:bookmarkEnd w:id="9"/>
    </w:p>
    <w:p w14:paraId="2B47004A" w14:textId="77777777" w:rsidR="00DD1574" w:rsidRPr="006A1EFE" w:rsidRDefault="00DD1574" w:rsidP="00DD1574">
      <w:pPr>
        <w:spacing w:line="480" w:lineRule="auto"/>
        <w:rPr>
          <w:rFonts w:cs="Times New Roman"/>
        </w:rPr>
      </w:pPr>
      <w:r>
        <w:rPr>
          <w:rFonts w:cs="Times New Roman"/>
        </w:rPr>
        <w:t>This section’s purpose is threefold. First, it will include a discussion on the theoretical possibility of disintegration. Secondly, the discussed theories’ similarities and differences will be discussed. Third, some criticisms will be included in this discussion in order to contextualise the proposed explanation of disintegration.</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006A1EFE">
        <w:rPr>
          <w:rFonts w:cs="Times New Roman"/>
        </w:rPr>
        <w:tab/>
      </w:r>
      <w:r w:rsidR="006A1EFE">
        <w:rPr>
          <w:rFonts w:cs="Times New Roman"/>
        </w:rPr>
        <w:tab/>
      </w:r>
      <w:r>
        <w:t xml:space="preserve">Both NF and LI have understood EI as a project that is likely to widen and deepen and very unlikely to reverse (Rosamond, 2016, p. 866; </w:t>
      </w:r>
      <w:r w:rsidRPr="002C511C">
        <w:rPr>
          <w:rFonts w:ascii="Calibri" w:eastAsia="Calibri" w:hAnsi="Calibri" w:cs="Times New Roman"/>
        </w:rPr>
        <w:t xml:space="preserve">Stone Sweet and </w:t>
      </w:r>
      <w:r>
        <w:rPr>
          <w:rFonts w:ascii="Calibri" w:eastAsia="Calibri" w:hAnsi="Calibri" w:cs="Times New Roman"/>
        </w:rPr>
        <w:t>Sandholtz, 1997, p. 310)</w:t>
      </w:r>
      <w:r>
        <w:t>.</w:t>
      </w:r>
      <w:r w:rsidRPr="00EF7FF0">
        <w:t xml:space="preserve"> </w:t>
      </w:r>
      <w:r>
        <w:t xml:space="preserve">This has led Webber (2012, p. 347) to classify these theories as  unequivocal optimistic. </w:t>
      </w:r>
      <w:r w:rsidRPr="00EF7FF0">
        <w:t>Although authors of EI have discussed the possibility disintegration in the 1970’s already (Lindberg and Scheingold, 1970, p. 137; Schmitter, 1971), these comments have been marginal and unaccompanie</w:t>
      </w:r>
      <w:r>
        <w:t>d by theoretical assumptions: ‘’</w:t>
      </w:r>
      <w:r w:rsidRPr="006A1DAA">
        <w:rPr>
          <w:lang w:val="en-US"/>
        </w:rPr>
        <w:t>Traditional theories of European integration are not particularly</w:t>
      </w:r>
      <w:r>
        <w:rPr>
          <w:lang w:val="en-US"/>
        </w:rPr>
        <w:t xml:space="preserve"> </w:t>
      </w:r>
      <w:r w:rsidRPr="006A1DAA">
        <w:rPr>
          <w:lang w:val="en-US"/>
        </w:rPr>
        <w:t>helpful with regard to determination of the mechanisms and conditions</w:t>
      </w:r>
      <w:r>
        <w:rPr>
          <w:lang w:val="en-US"/>
        </w:rPr>
        <w:t xml:space="preserve"> </w:t>
      </w:r>
      <w:r w:rsidRPr="006A1DAA">
        <w:rPr>
          <w:lang w:val="en-US"/>
        </w:rPr>
        <w:t>leading to disintegration</w:t>
      </w:r>
      <w:r>
        <w:rPr>
          <w:lang w:val="en-US"/>
        </w:rPr>
        <w:t xml:space="preserve"> (Cianciara, 2015, p. 56)</w:t>
      </w:r>
      <w:r w:rsidRPr="006A1DAA">
        <w:rPr>
          <w:lang w:val="en-US"/>
        </w:rPr>
        <w:t>.</w:t>
      </w:r>
      <w:r w:rsidRPr="006F3F78">
        <w:t xml:space="preserve"> </w:t>
      </w:r>
      <w:r>
        <w:tab/>
      </w:r>
      <w:r w:rsidRPr="00EF7FF0">
        <w:t xml:space="preserve">Rosamond (2016, p. 865) pointed at both scholars’ motivation for explaining EI, as well as a theoretical bias of LI and NF towards regarding the EU as institutionally resilient as possible explanations for this absence. For NF the irreversibility of integration lies in the functional and economic interdependence between states. Although LI’s success is linked to the explaining of the stagnation of EI (Hoffman, 1966, Moravcsik, 1991), LI also regards integration as irreversible. As is the case with NF, LI supposes that this is the consequence of economic factors. LI supposes that, since bargaining takes place in a setting that is geared towards producing absolute gains (Moravcsik as paraphrased by Rosamond, 2016, p. 866), this ensures </w:t>
      </w:r>
      <w:r>
        <w:t xml:space="preserve">MSs’ </w:t>
      </w:r>
      <w:r w:rsidRPr="00EF7FF0">
        <w:t xml:space="preserve">future commitment to integration. As Moravcsik (1998, p. 493) phrases it then: ‘’…the irreversibility of integration [ lies ] in the evolution and adaptation of national preferences and institutions…’’. The end-result of integration for NF is a lasting set of supra-national institutions. Haas (1958, p. 16) expects that: ‘’The end result of a process of political integration is a new political community, superimposed over the pre-existing ones.’’. How these institutions would be allocated precisely, and how they would relate to each other, NF is unclear about (Schmitter and Lefkofridi, 2016, p. 7). For LI on the contrary, the end-result of </w:t>
      </w:r>
      <w:r w:rsidRPr="00EF7FF0">
        <w:lastRenderedPageBreak/>
        <w:t>integration is no more than a ‘regime’ wherein states remain the decisive actors.</w:t>
      </w:r>
      <w:r>
        <w:rPr>
          <w:rFonts w:eastAsia="Calibri" w:cs="Times New Roman"/>
        </w:rPr>
        <w:tab/>
      </w:r>
      <w:r>
        <w:rPr>
          <w:rFonts w:eastAsia="Calibri" w:cs="Times New Roman"/>
        </w:rPr>
        <w:tab/>
      </w:r>
      <w:r>
        <w:rPr>
          <w:rFonts w:eastAsia="Calibri" w:cs="Times New Roman"/>
        </w:rPr>
        <w:tab/>
      </w:r>
      <w:r w:rsidRPr="00EF7FF0">
        <w:t xml:space="preserve">More recently however, attempts at a theoretical account of ED emerged </w:t>
      </w:r>
      <w:r>
        <w:t xml:space="preserve">especially on the possible morphology of such a process </w:t>
      </w:r>
      <w:r w:rsidRPr="00EF7FF0">
        <w:t xml:space="preserve">(Vollaard, 2008; Webber, 2012, Cianciara, 2015; Schmitter and Lefkofridi, 2016, Rosamond, 2016). </w:t>
      </w:r>
      <w:r>
        <w:t xml:space="preserve">Webber (2012, p. 359) argues that the European project is rather contingent upon domestic political backlashes stimulated by populism and the supporting role Germany plays in EI. Large crises such as economic and/or financial crises could therefore stimulate anti-EU sentiment and trigger large disintegrative stimuli. Cianciara (2015, p. 55) on the other hand acknowledges that disintegration can be a linear process whit differentiation as a consequence. Vollaard (2008, p. 21-22) points at the MSs cost of </w:t>
      </w:r>
      <w:r w:rsidRPr="00B93A07">
        <w:t xml:space="preserve">losing ‘voice’ as being too high, reaffirming LI expectations that institutions exist for the good of the MSs: </w:t>
      </w:r>
      <w:r w:rsidRPr="00B93A07">
        <w:rPr>
          <w:rFonts w:cs="Minion"/>
          <w:lang w:val="en-US"/>
        </w:rPr>
        <w:t>Member States’ governments have still kept a tight grip on the most influential European institutions – they nominate most of the European Central Bank’s board, the European Commission, expert agencies, and steer Europolicies through the European Council, the Council of the European Union, and its expert committees. The Members States have become so much involved in Euro-level politics, that an escape</w:t>
      </w:r>
      <w:r>
        <w:rPr>
          <w:rFonts w:cs="Minion"/>
          <w:lang w:val="en-US"/>
        </w:rPr>
        <w:t xml:space="preserve"> or exit would be too expensive</w:t>
      </w:r>
      <w:r w:rsidRPr="00B93A07">
        <w:rPr>
          <w:rFonts w:cs="Minion"/>
          <w:lang w:val="en-US"/>
        </w:rPr>
        <w:t>’’</w:t>
      </w:r>
      <w:r>
        <w:rPr>
          <w:rFonts w:cs="Minion"/>
          <w:lang w:val="en-US"/>
        </w:rPr>
        <w:t xml:space="preserve">. </w:t>
      </w:r>
      <w:r w:rsidRPr="00EF7FF0">
        <w:t xml:space="preserve">Not all authors interpret explanations of ED as explanations of EI in reverse. On the contrary, argues Vollaard (2008, p. 8) bearing in mind Haas’ (1986) definition of integration: ‘’It immediately appears that European disintegration is not the same as the process of European integration reversed, because political actors do not necessarily direct their loyalties, expectations and political activities back to the national states but could shift these instead to (trans-national) regional authorities.’’.  Although it may not necessarily be the case that political actors shift their focus back to the national states completely – indeed, it may be expected that once they have established transnational networks, the combined resources and shared goals guarantee the benefits of continued cooperation – , when discretionary competences are reallocated to the </w:t>
      </w:r>
      <w:r>
        <w:t>MS</w:t>
      </w:r>
      <w:r w:rsidRPr="00EF7FF0">
        <w:t xml:space="preserve">, political actors may be wise to continue to exert their influence on a lower level. </w:t>
      </w:r>
      <w:r>
        <w:tab/>
      </w:r>
      <w:r>
        <w:tab/>
      </w:r>
      <w:r>
        <w:tab/>
      </w:r>
      <w:r>
        <w:tab/>
      </w:r>
      <w:r w:rsidRPr="00EF7FF0">
        <w:t xml:space="preserve">Although the end-result of disintegration might be different, its driving mechanisms may resemble the logics of integration in the sense that it may be rational for actors to pursue </w:t>
      </w:r>
      <w:r w:rsidRPr="00EF7FF0">
        <w:lastRenderedPageBreak/>
        <w:t>d</w:t>
      </w:r>
      <w:r>
        <w:t>isintegration. Based on the</w:t>
      </w:r>
      <w:r w:rsidRPr="00EF7FF0">
        <w:t xml:space="preserve"> assumption of rationality, the possibility for disintegration would lie in it to outweigh the costs of alternative options. The implication of disintegration is thus present in theory, it has however never been made properly explicit: </w:t>
      </w:r>
      <w:r w:rsidRPr="00EF7FF0">
        <w:rPr>
          <w:rFonts w:ascii="Calibri" w:eastAsia="Calibri" w:hAnsi="Calibri" w:cs="Times New Roman"/>
        </w:rPr>
        <w:t xml:space="preserve">‘’Countervailing forces, which constitute the other side of the equation, were of course always implicit in the neo-functionalist writings, but they were never subjected to the same degree of scrutiny and their importance was underemphasised’’ (Tranholm-Mikkelsen 1991, 16). </w:t>
      </w:r>
      <w:r w:rsidRPr="00EF7FF0">
        <w:t>With regards to the underlying assumptions and mechanisms through which ED proceeds, these accounts draw from LI and NF nonetheless. As is the case for integration according to NF, some authors focus on the logics of disintegration: ‘’</w:t>
      </w:r>
      <w:r w:rsidRPr="00EF7FF0">
        <w:rPr>
          <w:rFonts w:ascii="Calibri" w:eastAsia="Calibri" w:hAnsi="Calibri" w:cs="Times New Roman"/>
        </w:rPr>
        <w:t xml:space="preserve">The ‘logic of disintegration’ consists of adherence to the symbols of sovereignty, the diversity of the </w:t>
      </w:r>
      <w:r>
        <w:rPr>
          <w:rFonts w:ascii="Calibri" w:eastAsia="Calibri" w:hAnsi="Calibri" w:cs="Times New Roman"/>
        </w:rPr>
        <w:t>MS</w:t>
      </w:r>
      <w:r w:rsidRPr="00EF7FF0">
        <w:rPr>
          <w:rFonts w:ascii="Calibri" w:eastAsia="Calibri" w:hAnsi="Calibri" w:cs="Times New Roman"/>
        </w:rPr>
        <w:t>s and other aspects of interdependence and security’’ (Tranholm-Mikkelsen 1991, 18).</w:t>
      </w:r>
      <w:r w:rsidRPr="00B93A07">
        <w:rPr>
          <w:rFonts w:ascii="Calibri" w:eastAsia="Calibri" w:hAnsi="Calibri" w:cs="Times New Roman"/>
        </w:rPr>
        <w:t xml:space="preserve"> </w:t>
      </w:r>
      <w:r>
        <w:rPr>
          <w:rFonts w:ascii="Calibri" w:eastAsia="Calibri" w:hAnsi="Calibri" w:cs="Times New Roman"/>
        </w:rPr>
        <w:t>Vollaard (2008, p. 7) focusses more on MSs motivation</w:t>
      </w:r>
      <w:r w:rsidRPr="00B93A07">
        <w:t>: ‘’… the only option in functionalism for disintegration (or failed integration) is the state’’ (Vollaard, 2008, p. 7).</w:t>
      </w:r>
      <w:r w:rsidRPr="00B93A07">
        <w:rPr>
          <w:rFonts w:ascii="Calibri" w:eastAsia="Calibri" w:hAnsi="Calibri" w:cs="Times New Roman"/>
        </w:rPr>
        <w:t xml:space="preserve"> </w:t>
      </w:r>
      <w:r w:rsidRPr="00EF7FF0">
        <w:rPr>
          <w:rFonts w:ascii="Calibri" w:eastAsia="Calibri" w:hAnsi="Calibri" w:cs="Times New Roman"/>
        </w:rPr>
        <w:t>The</w:t>
      </w:r>
      <w:r w:rsidRPr="00EF7FF0">
        <w:t xml:space="preserve"> LI approach on the other hand suggests that the preferences of the most powerful </w:t>
      </w:r>
      <w:r>
        <w:t>MS</w:t>
      </w:r>
      <w:r w:rsidRPr="00EF7FF0">
        <w:t>s should converge for integration to occur, which has led several authors (Cianciara, 2015; Webber, 2012) to argue that disintegration is the consequence of diverging preferences of these states.</w:t>
      </w:r>
      <w:r>
        <w:t xml:space="preserve"> The existing literature on disintegration does indeed draw from LI and NF to account for the possibility of ED. However, its expectations are not grounded in the core assumptions of both theories, blurring the distinction between NF and LI and thereby their value as rigor hypotheses generating theories. For the sake of parsimony then, the theories of NF and LI are explored and reinterpreted as to account for disintegration.</w:t>
      </w:r>
      <w:r>
        <w:rPr>
          <w:rFonts w:eastAsia="Calibri" w:cs="Times New Roman"/>
        </w:rPr>
        <w:tab/>
      </w:r>
      <w:r>
        <w:rPr>
          <w:rFonts w:eastAsia="Calibri" w:cs="Times New Roman"/>
        </w:rPr>
        <w:tab/>
      </w:r>
      <w:r>
        <w:rPr>
          <w:rFonts w:eastAsia="Calibri" w:cs="Times New Roman"/>
        </w:rPr>
        <w:tab/>
      </w:r>
      <w:r>
        <w:rPr>
          <w:rFonts w:eastAsia="Calibri" w:cs="Times New Roman"/>
        </w:rPr>
        <w:tab/>
      </w:r>
      <w:r>
        <w:rPr>
          <w:rFonts w:eastAsia="Calibri" w:cs="Times New Roman"/>
        </w:rPr>
        <w:tab/>
      </w:r>
      <w:r w:rsidR="006A1EFE">
        <w:rPr>
          <w:rFonts w:cs="Times New Roman"/>
        </w:rPr>
        <w:tab/>
      </w:r>
      <w:r>
        <w:rPr>
          <w:rFonts w:cs="Times New Roman"/>
        </w:rPr>
        <w:t>The most important similarity in the two theories for this thesis, is that they both can be used to explain a reallocation of discretionary competences. They treat the EU as an external environment vis-à-vis which the relevant actors are positioned. The EU provides for different opportunities such as economic cooperation from which each party benefits. An important distinction needs to be made here between the assumption that actors act in a rational manner, and that the outcome of integration is per definition rational. This thesis assumes the opposite, namely that it can be rational for actors to disintegrate the EU as well.</w:t>
      </w:r>
      <w:r w:rsidRPr="006F3F78">
        <w:t xml:space="preserve"> </w:t>
      </w:r>
      <w:r>
        <w:tab/>
      </w:r>
      <w:r>
        <w:tab/>
      </w:r>
      <w:r>
        <w:tab/>
      </w:r>
      <w:r>
        <w:tab/>
      </w:r>
      <w:r>
        <w:tab/>
      </w:r>
      <w:r>
        <w:tab/>
      </w:r>
      <w:r>
        <w:tab/>
      </w:r>
      <w:r>
        <w:rPr>
          <w:rFonts w:cs="Times New Roman"/>
        </w:rPr>
        <w:lastRenderedPageBreak/>
        <w:tab/>
        <w:t>Rationality is a micro-assumption about behaviour which is used to make inferences about the meso-level of the EU</w:t>
      </w:r>
      <w:r w:rsidRPr="003D624F">
        <w:rPr>
          <w:rFonts w:eastAsia="Calibri" w:cs="Times New Roman"/>
        </w:rPr>
        <w:t>. LI’s beginning was strongly motivated from an ambition to ground integration studies in a stronger theoretical foundation</w:t>
      </w:r>
      <w:r>
        <w:rPr>
          <w:rFonts w:eastAsia="Calibri" w:cs="Times New Roman"/>
        </w:rPr>
        <w:t xml:space="preserve"> including micro foundational assumptions (Moravcsik and Schimmelfennig, 2009, p. 67).</w:t>
      </w:r>
      <w:r w:rsidRPr="003D624F">
        <w:rPr>
          <w:rFonts w:eastAsia="Calibri" w:cs="Times New Roman"/>
        </w:rPr>
        <w:t xml:space="preserve"> Theory, according to Moravcsik (1993, p. 477), requires micro-foundational assumptions about the nature of actors. This is necessary to be able to generalize empirical findings, or at least to make credible the expectations which are derived from research on integration. Moravcsik (1993) in particular stresses the failure of NF to ground its claims in such assumptions about wh</w:t>
      </w:r>
      <w:r>
        <w:rPr>
          <w:rFonts w:eastAsia="Calibri" w:cs="Times New Roman"/>
        </w:rPr>
        <w:t>y actors act the way they act. This</w:t>
      </w:r>
      <w:r w:rsidRPr="003D624F">
        <w:rPr>
          <w:rFonts w:eastAsia="Calibri" w:cs="Times New Roman"/>
        </w:rPr>
        <w:t xml:space="preserve"> is why NF is unable to make credible generalizations about EI: ‘’In this regard, neo-functionalism is both oddly apolitical and lacking in any aspiration to generality, in that it advances long-term predictions about the future of the EC without underlying, more specific theories that identify the decisive determinants of politicians’ choices among competing alternatives’’ (Moravcsik, 1993, p. 477). </w:t>
      </w:r>
      <w:r>
        <w:rPr>
          <w:rFonts w:eastAsia="Calibri" w:cs="Times New Roman"/>
        </w:rPr>
        <w:t xml:space="preserve">Indeed, NF is not known for its theoretical explanation of preference formation. In this sense, NF perhaps benefits more than LI from institutionalist or governance work that differentiates between the differences between policy fields. </w:t>
      </w:r>
      <w:r>
        <w:rPr>
          <w:rFonts w:eastAsia="Calibri" w:cs="Times New Roman"/>
        </w:rPr>
        <w:tab/>
        <w:t xml:space="preserve">However, both theories are susceptible to the same criticism: that mechanisms from LI and NF do not occur separately. Hence, an approach that encompasses a more nuanced understanding of EU politics, including formal procedures, would be more fitting to problems of EI, most notably governance theory and policy networks theory (Peters and Pierre, 2009; Peterson, 2009). What is useful about these criticisms is that, in EU politics, specific procedures and policy networks may be of importance. However, for this thesis, these aspects may function merely as resources for the important actors in NF and LI which employ these in order to enhance their own position. </w:t>
      </w:r>
      <w:r>
        <w:rPr>
          <w:rFonts w:eastAsia="Calibri" w:cs="Times New Roman"/>
        </w:rPr>
        <w:tab/>
        <w:t>Ontologically speaking, the focus on agency has generated some criticism amongst social constructivists who state that this focus cannot properly address socio-economic currents which may be conducive to perpetuating economic systems.</w:t>
      </w:r>
      <w:r w:rsidRPr="00CD57D7">
        <w:rPr>
          <w:rFonts w:eastAsia="Calibri" w:cs="Times New Roman"/>
        </w:rPr>
        <w:t xml:space="preserve"> </w:t>
      </w:r>
      <w:r w:rsidRPr="00CD57D7">
        <w:rPr>
          <w:rFonts w:cs="Times New Roman"/>
        </w:rPr>
        <w:t xml:space="preserve">As Cafruny and Ryner (2009, p. 232) argue: ‘’[T]he emphasis on formal decision-making in these accounts does not adequately address the underlying socioeconomic content of EMU or conflicts and contradictions posed for European society’’. This </w:t>
      </w:r>
      <w:r w:rsidRPr="00CD57D7">
        <w:rPr>
          <w:rFonts w:cs="Times New Roman"/>
        </w:rPr>
        <w:lastRenderedPageBreak/>
        <w:t>choice of focus moreover, is argued to be obstructing a more ‘uneasy’ understanding of integration as proliferating an unequal economic system: ‘’[T]he concept of integration in the aforementioned sense is not entirely innocent. It implies that ‘’[E]conomic integration (the realm of economics) and social and political integration (the realm of international relations) are a priori idealized as the ‘rational’ and ‘general’, which can be distinguished from the ‘irrational’, ‘special interests’, and the realm of power politics that were associated with the old European interstate and inter-imperialist system’’ (Cox and Sinclair, 1996, p. 60-84 as paraphrased by Cafruny and Ryner, 2009, p. 222-223).</w:t>
      </w:r>
      <w:r>
        <w:rPr>
          <w:rFonts w:cs="Times New Roman"/>
        </w:rPr>
        <w:t xml:space="preserve"> This thesis is limited to this extent: it does not analyse the socio-economic relations in society. It rather focusses on agency, which has as the advantage that it can help allocate accountability. </w:t>
      </w:r>
      <w:r>
        <w:rPr>
          <w:rFonts w:cs="Times New Roman"/>
        </w:rPr>
        <w:tab/>
      </w:r>
      <w:r>
        <w:rPr>
          <w:rFonts w:cs="Times New Roman"/>
        </w:rPr>
        <w:tab/>
        <w:t xml:space="preserve">Both NF and LI are thus focused on the interplay between agency and structure. (dis)Integration is in this sense a function of the relevant actors’ interests, which are sometimes constraint or ‘upgraded’ at the EU level. Whereas for NF, the dividing line between MSs and the EU is blurred, and in the LI approach it is emphasised. </w:t>
      </w:r>
      <w:r>
        <w:rPr>
          <w:rFonts w:cs="Times New Roman"/>
        </w:rPr>
        <w:tab/>
      </w:r>
      <w:r>
        <w:rPr>
          <w:rFonts w:cs="Times New Roman"/>
        </w:rPr>
        <w:tab/>
      </w:r>
    </w:p>
    <w:p w14:paraId="5DE2E4E2" w14:textId="77777777" w:rsidR="00DD1574" w:rsidRDefault="00DD1574" w:rsidP="00DD1574">
      <w:pPr>
        <w:spacing w:after="200" w:line="480" w:lineRule="auto"/>
        <w:rPr>
          <w:rFonts w:eastAsia="Calibri" w:cs="Times New Roman"/>
        </w:rPr>
      </w:pPr>
    </w:p>
    <w:p w14:paraId="64738F4F" w14:textId="77777777" w:rsidR="00DD1574" w:rsidRPr="003D624F" w:rsidRDefault="00DD1574" w:rsidP="00DD1574">
      <w:pPr>
        <w:spacing w:after="200" w:line="480" w:lineRule="auto"/>
        <w:rPr>
          <w:rFonts w:eastAsia="Calibri" w:cs="Times New Roman"/>
          <w:lang w:val="en-US"/>
        </w:rPr>
      </w:pPr>
      <w:r w:rsidRPr="003D624F">
        <w:rPr>
          <w:rFonts w:eastAsia="Calibri" w:cs="Times New Roman"/>
          <w:i/>
        </w:rPr>
        <w:tab/>
      </w:r>
      <w:r w:rsidRPr="003D624F">
        <w:rPr>
          <w:rFonts w:eastAsia="Calibri" w:cs="Times New Roman"/>
          <w:i/>
        </w:rPr>
        <w:tab/>
      </w:r>
      <w:r w:rsidRPr="003D624F">
        <w:rPr>
          <w:rFonts w:eastAsia="Calibri" w:cs="Times New Roman"/>
          <w:i/>
        </w:rPr>
        <w:tab/>
      </w:r>
      <w:r w:rsidRPr="003D624F">
        <w:rPr>
          <w:rFonts w:eastAsia="Calibri" w:cs="Times New Roman"/>
          <w:i/>
        </w:rPr>
        <w:tab/>
      </w:r>
    </w:p>
    <w:p w14:paraId="404DC867" w14:textId="77777777" w:rsidR="00DD1574" w:rsidRDefault="00DD1574">
      <w:pPr>
        <w:rPr>
          <w:rFonts w:cs="Times New Roman"/>
          <w:lang w:val="en-US"/>
        </w:rPr>
      </w:pPr>
      <w:r>
        <w:rPr>
          <w:rFonts w:cs="Times New Roman"/>
          <w:lang w:val="en-US"/>
        </w:rPr>
        <w:br w:type="page"/>
      </w:r>
    </w:p>
    <w:p w14:paraId="030DF72E" w14:textId="77777777" w:rsidR="00DD1574" w:rsidRDefault="00DD1574" w:rsidP="00DD1574">
      <w:pPr>
        <w:pStyle w:val="Heading1"/>
      </w:pPr>
      <w:bookmarkStart w:id="10" w:name="_Toc490488037"/>
      <w:r>
        <w:lastRenderedPageBreak/>
        <w:t>Chapter 3: Methods and hypotheses</w:t>
      </w:r>
      <w:bookmarkEnd w:id="10"/>
      <w:r>
        <w:t xml:space="preserve"> </w:t>
      </w:r>
    </w:p>
    <w:p w14:paraId="49D0586E" w14:textId="77777777" w:rsidR="00DD1574" w:rsidRPr="00DD1574" w:rsidRDefault="00DD1574" w:rsidP="00DD1574"/>
    <w:p w14:paraId="58DD610F" w14:textId="77777777" w:rsidR="00DD1574" w:rsidRDefault="00DD1574" w:rsidP="00DD1574">
      <w:pPr>
        <w:spacing w:line="480" w:lineRule="auto"/>
      </w:pPr>
      <w:r>
        <w:t>The aim of this thesis is to explain why disintegration happens. In order to understand this, one specific event of disintegration is discussed: the reallocation of discretionary competences regarding the prohibition of specific GMCs for cultivation. In the previous chapter, theoretical presuppositions with regards to disintegration have been discussed. The purpose of this chapter then, is to provide the methodology with which the theoretical understanding of disintegration is linked to the empirical material that has been collected on this specific event. This methodology consist of a typology of the selected case and a discussion on its appropriate method of inquiry. In order to structure this line of inquiry, six hypotheses are introduced and operationalized. Furthermore, the choice and type of empirical material that is collected is discussed. Then, conclusively, a discussion on the advantages and disadvantages of the proposed method follows. A clear and disciplined presentation of the methodology is an important part of this thesis since, for a disciplined interpretive case study: ‘’The more explicit and systematic the use of theoretical concepts, the more powerful the application.’’ (Odell, 2001, p. 163).</w:t>
      </w:r>
    </w:p>
    <w:p w14:paraId="3FE158E9" w14:textId="77777777" w:rsidR="00DD1574" w:rsidRPr="006A1EFE" w:rsidRDefault="006A1EFE" w:rsidP="006A1EFE">
      <w:pPr>
        <w:pStyle w:val="Heading2"/>
        <w:rPr>
          <w:color w:val="44546A" w:themeColor="text2"/>
        </w:rPr>
      </w:pPr>
      <w:bookmarkStart w:id="11" w:name="_Toc490488038"/>
      <w:r>
        <w:rPr>
          <w:color w:val="44546A" w:themeColor="text2"/>
        </w:rPr>
        <w:t xml:space="preserve">3.1 </w:t>
      </w:r>
      <w:r w:rsidR="00DD1574" w:rsidRPr="006A1EFE">
        <w:rPr>
          <w:color w:val="44546A" w:themeColor="text2"/>
        </w:rPr>
        <w:t>Case selection</w:t>
      </w:r>
      <w:bookmarkEnd w:id="11"/>
    </w:p>
    <w:p w14:paraId="431CC207" w14:textId="77777777" w:rsidR="00DD1574" w:rsidRDefault="00DD1574" w:rsidP="00DD1574">
      <w:pPr>
        <w:spacing w:line="480" w:lineRule="auto"/>
      </w:pPr>
      <w:r>
        <w:t xml:space="preserve">In order to generate expectations about when we can expect disintegration to occur, the case of the reallocation of GMC competences has been chosen to study. George and Bennet (2005, p. 17-18) define a case study as ‘’the detailed examination of a historical episode to develop or test historical explanations that may be generalizable to other events’’ wherein ‘a case’ is understood as ‘’an instance or a class of events’’. The event of a reallocation of discretionary competences was considered to be a common object of debate for EU leaders and societal actors for the first time during the French presidency of the Council around 2008 (Council, 2009) and was discussed formally in the EU during the years 2010 until its ratification in 2015. It’s implementation still continues today as MSs and societal actors respond to its implications. It forms a breach to the internal market in the sense that it differentiates the competitiveness of different MSs vis-à-vis other MSs. The merits of different sorts of case studies analysing such crucial events, range from a defence and attempt of </w:t>
      </w:r>
      <w:r>
        <w:lastRenderedPageBreak/>
        <w:t xml:space="preserve">using it to test hypotheses and their reliability (Gerring, 2007), to an attempt to exploit its ability to enhance the understanding of a specific event and contribute to its theoretical understanding and its validity (Odell, 2001, p. 170). Whereas any good research attempts to combine both, it is important to understand that case studies always suffer from a trade-off between reliability and validity. Therefore, a case study design should address these limitations and discuss how these are mitigated through a disciplined approach. </w:t>
      </w:r>
      <w:r>
        <w:tab/>
      </w:r>
      <w:r>
        <w:tab/>
      </w:r>
      <w:r>
        <w:tab/>
      </w:r>
      <w:r>
        <w:tab/>
      </w:r>
      <w:r>
        <w:tab/>
      </w:r>
      <w:r>
        <w:tab/>
      </w:r>
      <w:r>
        <w:tab/>
      </w:r>
      <w:r>
        <w:tab/>
      </w:r>
      <w:r>
        <w:tab/>
        <w:t>A disciplined interpretive case study (Odell, 2001, p. 163) applies a well-studied theory to a new object of study in order to explain an event. As LI and NF have been tested extensively, the relevance of this thesis would not increase with yet another test of their reliability. Instead it aims at generating a high validity of the described case. Moreover, it seeks to generate new theoretical expectations with regards to disintegration and thereby enhances the theoretical scope of LI and NF. Since a single case study has a smaller focus compared to multiple-case studies or large-N studies, it: ‘’…can represent a significant contribution to knowledge and theory building by confirming, challenging, or extending the theory’’ (Yin, 2013, p. 51). In contrast with a case study design aimed at testing hypotheses for their reliability, the disciplined interpretative case study aims at applying tested theory at a new phenomenon and hence shows that: ‘’…one or more known theories can be extended to account for a new event.’’(Odell, 2001, p. 163).</w:t>
      </w:r>
    </w:p>
    <w:p w14:paraId="414C6926" w14:textId="77777777" w:rsidR="00DD1574" w:rsidRDefault="006A1EFE" w:rsidP="006A1EFE">
      <w:pPr>
        <w:pStyle w:val="Heading2"/>
      </w:pPr>
      <w:bookmarkStart w:id="12" w:name="_Toc490488039"/>
      <w:r>
        <w:t xml:space="preserve">3.2 </w:t>
      </w:r>
      <w:r w:rsidR="00DD1574">
        <w:t>Method of inquiry</w:t>
      </w:r>
      <w:bookmarkEnd w:id="12"/>
    </w:p>
    <w:p w14:paraId="2B6AB225" w14:textId="77777777" w:rsidR="00DD1574" w:rsidRDefault="00DD1574" w:rsidP="00DD1574">
      <w:pPr>
        <w:spacing w:line="480" w:lineRule="auto"/>
      </w:pPr>
      <w:r>
        <w:t xml:space="preserve">The method of inquiry in studying this crucial case is process tracing. Process tracing, the observance of consequential causal links in a process, is well suited for this thesis for a couple of reasons. It suits the theoretical framework since both theories assume causal processes. Whereas NF assumes an incremental process with small, sometimes unintended steps, LI considers disintegration to proceed via large decisions being made by governments. Both NF and LI use rational choice assumptions to make inferences to the international level, which gives process-tracing a comparative advantage over other methods on inquiry (Levy, 2008, p. 11). A condition for this is that the theory should provide relatively precise predictions and has a low measurement error (Eckstein, 1975, p. 113-123). </w:t>
      </w:r>
      <w:r>
        <w:lastRenderedPageBreak/>
        <w:t>Moreover, many qualitative methodologists consider one of the main tasks in case study research to be to generate as many testable implications of an hypothesis as possible (Levy, 2008, p. 3). The logic behind this method is implicitly based on the Bayesian assumption that the weight of the evidence is weighed relative to the prior set theoretical expectations (Levy, 2008, p. 12).</w:t>
      </w:r>
      <w:r w:rsidRPr="00786A3E">
        <w:t xml:space="preserve"> </w:t>
      </w:r>
      <w:r>
        <w:t>Moreover, with regards to causality a disciplined interpretative case study can make us understand which expectations are important relatively to each other: ‘’…qualitative methods provide lesser precision in their descriptions, claims about magnitudes of causal effects, and claims about the relative importance of different causes, than statistical methods’’ (Odell, 2001, p. 172). Therefore, the hypotheses’ expectations are to be assigned an expected valued influence for the hypothesis. Although assigning weight to different causes may be hard (Odell, 2001, p. 172), it gives more room for intra-theory comparison and provides for a more disciplined assessment of the theories.</w:t>
      </w:r>
    </w:p>
    <w:p w14:paraId="3740F907" w14:textId="77777777" w:rsidR="00DD1574" w:rsidRPr="002F4155" w:rsidRDefault="006A1EFE" w:rsidP="006A1EFE">
      <w:pPr>
        <w:pStyle w:val="Heading2"/>
      </w:pPr>
      <w:bookmarkStart w:id="13" w:name="_Toc490488040"/>
      <w:r>
        <w:t xml:space="preserve">3.3 </w:t>
      </w:r>
      <w:r w:rsidR="00DD1574" w:rsidRPr="002F4155">
        <w:t>Hypotheses and operationalisation</w:t>
      </w:r>
      <w:bookmarkEnd w:id="13"/>
    </w:p>
    <w:p w14:paraId="529E553D" w14:textId="77777777" w:rsidR="00DD1574" w:rsidRDefault="00DD1574" w:rsidP="00DD1574">
      <w:pPr>
        <w:spacing w:line="480" w:lineRule="auto"/>
      </w:pPr>
      <w:r>
        <w:t xml:space="preserve">All hypotheses discussed below generate expectations with regards to the same independent variable. The dependent variable is </w:t>
      </w:r>
      <w:r>
        <w:rPr>
          <w:i/>
        </w:rPr>
        <w:t>disintegration</w:t>
      </w:r>
      <w:r>
        <w:t>. The concept of disintegration refers to the reallocation of discretionary competences. The different independent variables are introduced and operationalized in the hypotheses section below. As both theories assume that integrative dynamics are the result of societal debates, these shall form the basis of the empirical material.</w:t>
      </w:r>
    </w:p>
    <w:p w14:paraId="1F38DAE1" w14:textId="77777777" w:rsidR="00DD1574" w:rsidRDefault="00DD1574" w:rsidP="00DD1574">
      <w:pPr>
        <w:pStyle w:val="ListParagraph"/>
        <w:numPr>
          <w:ilvl w:val="0"/>
          <w:numId w:val="1"/>
        </w:numPr>
        <w:spacing w:line="480" w:lineRule="auto"/>
        <w:rPr>
          <w:i/>
          <w:lang w:val="en-US"/>
        </w:rPr>
      </w:pPr>
      <w:r w:rsidRPr="000E2D9A">
        <w:rPr>
          <w:i/>
          <w:lang w:val="en-US"/>
        </w:rPr>
        <w:t xml:space="preserve">H.NF.1: Disintegration is likely to happen if practicalities speak in favor of diverging national approaches. </w:t>
      </w:r>
    </w:p>
    <w:p w14:paraId="6331BBC8" w14:textId="77777777" w:rsidR="00DD1574" w:rsidRPr="000E2D9A" w:rsidRDefault="00DD1574" w:rsidP="00DD1574">
      <w:pPr>
        <w:spacing w:line="480" w:lineRule="auto"/>
        <w:rPr>
          <w:lang w:val="en-US"/>
        </w:rPr>
      </w:pPr>
      <w:r w:rsidRPr="00FD703C">
        <w:rPr>
          <w:i/>
          <w:lang w:val="en-US"/>
        </w:rPr>
        <w:t>Practicalities</w:t>
      </w:r>
      <w:r>
        <w:rPr>
          <w:lang w:val="en-US"/>
        </w:rPr>
        <w:t xml:space="preserve"> that speak in favor of disintegration are understood as reasons for disintegration stemming from the perceived interdependency between certain policy fields across countries. Practicalities that dictate disintegration, or functional spillback-linkages, can either stem from a perceived presence of interdependency (positive spillback-linkages), or a perceived relative absence thereof (negative spillback-linkages). In order to confirm this hypothesis two expectations are raised. The first expectation is that there should be statements from decision-makers and/or societal actors, </w:t>
      </w:r>
      <w:r>
        <w:rPr>
          <w:lang w:val="en-US"/>
        </w:rPr>
        <w:lastRenderedPageBreak/>
        <w:t xml:space="preserve">which refer to the high interdependency between integrative schemes in the EU. Moreover, these comments should address the harmful effects the object of disintegration may have for another initial integrative scheme. The rivaling expectation is that there should be statements from decision-makers and/or societal actors, which refer to the low interdependency between integrative schemes in the EU. These comments should address that the current pooling of discretionary competences obstructs uni- or multilateral relations with other sectors outside the integrative scheme. </w:t>
      </w:r>
      <w:r>
        <w:rPr>
          <w:lang w:val="en-US"/>
        </w:rPr>
        <w:tab/>
      </w:r>
      <w:r>
        <w:rPr>
          <w:lang w:val="en-US"/>
        </w:rPr>
        <w:tab/>
        <w:t xml:space="preserve">In order to disconfirm this hypothesis, practicalities should speak in favor of pooling discretionary competences. In the empirical material, there should be statements from decision-makers and/or societal actors, which refer to the high interdependency between policy fields across countries. Moreover, these actors should express that solutions for problems arising from an initial integrative scheme can be solved through further integration. </w:t>
      </w:r>
    </w:p>
    <w:p w14:paraId="05FDE3E4" w14:textId="77777777" w:rsidR="00DD1574" w:rsidRDefault="00DD1574" w:rsidP="00DD1574">
      <w:pPr>
        <w:pStyle w:val="ListParagraph"/>
        <w:numPr>
          <w:ilvl w:val="0"/>
          <w:numId w:val="1"/>
        </w:numPr>
        <w:spacing w:line="480" w:lineRule="auto"/>
        <w:rPr>
          <w:i/>
          <w:lang w:val="en-US"/>
        </w:rPr>
      </w:pPr>
      <w:r w:rsidRPr="00220937">
        <w:rPr>
          <w:i/>
          <w:lang w:val="en-US"/>
        </w:rPr>
        <w:t xml:space="preserve">H.NF.2: Disintegration is likely to happen if societal actors </w:t>
      </w:r>
      <w:r>
        <w:rPr>
          <w:i/>
          <w:lang w:val="en-US"/>
        </w:rPr>
        <w:t>expect</w:t>
      </w:r>
      <w:r w:rsidRPr="00220937">
        <w:rPr>
          <w:i/>
          <w:lang w:val="en-US"/>
        </w:rPr>
        <w:t xml:space="preserve"> that a reallocation of competences better serves their interests.</w:t>
      </w:r>
    </w:p>
    <w:p w14:paraId="781C5B72" w14:textId="77777777" w:rsidR="00DD1574" w:rsidRDefault="00DD1574" w:rsidP="00DD1574">
      <w:pPr>
        <w:spacing w:line="480" w:lineRule="auto"/>
        <w:rPr>
          <w:lang w:val="en-US"/>
        </w:rPr>
      </w:pPr>
      <w:r>
        <w:rPr>
          <w:i/>
          <w:lang w:val="en-US"/>
        </w:rPr>
        <w:t>Societal actors</w:t>
      </w:r>
      <w:r>
        <w:rPr>
          <w:lang w:val="en-US"/>
        </w:rPr>
        <w:t xml:space="preserve"> are originally understood to be domestic interest groups that exerted pressure on MSs to promote their interest. As integration proceeds, they form international umbrella groups in which they align themselves with groups in other MSs with similar interests. Societal actors can here be understood as the transnational networks of societal actors who exert pressure domestically as well as internationally in order to promote their interests. </w:t>
      </w:r>
      <w:r>
        <w:rPr>
          <w:lang w:val="en-US"/>
        </w:rPr>
        <w:tab/>
      </w:r>
      <w:r>
        <w:rPr>
          <w:lang w:val="en-US"/>
        </w:rPr>
        <w:tab/>
      </w:r>
      <w:r>
        <w:rPr>
          <w:lang w:val="en-US"/>
        </w:rPr>
        <w:tab/>
      </w:r>
      <w:r>
        <w:rPr>
          <w:lang w:val="en-US"/>
        </w:rPr>
        <w:tab/>
      </w:r>
      <w:r>
        <w:rPr>
          <w:lang w:val="en-US"/>
        </w:rPr>
        <w:tab/>
      </w:r>
      <w:r>
        <w:rPr>
          <w:lang w:val="en-US"/>
        </w:rPr>
        <w:tab/>
        <w:t xml:space="preserve">NF expects that these societal actors have an influence in the (re)allocation of discretionary competences. To confirm this hypothesis it is expected that empirical results show that internationally organized societal actors express dissatisfaction with the current allocation of competences. Moreover, these statements should be accompanied with explicit statements by these actors in favor of a reallocation of GMC authorisation competences. In order for this hypothesis to be disconfirmed, there should be statements from internationally organized societal actors in favor of the current allocation, or in favor of increased integration. </w:t>
      </w:r>
    </w:p>
    <w:p w14:paraId="72ED1866" w14:textId="77777777" w:rsidR="00DD1574" w:rsidRDefault="00DD1574" w:rsidP="00DD1574">
      <w:pPr>
        <w:pStyle w:val="ListParagraph"/>
        <w:numPr>
          <w:ilvl w:val="0"/>
          <w:numId w:val="1"/>
        </w:numPr>
        <w:spacing w:line="480" w:lineRule="auto"/>
        <w:rPr>
          <w:i/>
          <w:lang w:val="en-US"/>
        </w:rPr>
      </w:pPr>
      <w:r w:rsidRPr="00C346BE">
        <w:rPr>
          <w:i/>
          <w:lang w:val="en-US"/>
        </w:rPr>
        <w:lastRenderedPageBreak/>
        <w:t>H.NF.3: Disintegration is likely to happen if supranational actors do not wish to assume responsibility for a certain issue.</w:t>
      </w:r>
    </w:p>
    <w:p w14:paraId="0CCE0827" w14:textId="77777777" w:rsidR="00DD1574" w:rsidRDefault="00DD1574" w:rsidP="00DD1574">
      <w:pPr>
        <w:spacing w:line="480" w:lineRule="auto"/>
        <w:rPr>
          <w:lang w:val="en-US"/>
        </w:rPr>
      </w:pPr>
      <w:r>
        <w:rPr>
          <w:i/>
          <w:lang w:val="en-US"/>
        </w:rPr>
        <w:t xml:space="preserve">The supranational actor </w:t>
      </w:r>
      <w:r>
        <w:rPr>
          <w:lang w:val="en-US"/>
        </w:rPr>
        <w:t xml:space="preserve">that has been regarded by NF as important in explaining EI, was initially the high authority within the ECSC, and later the Commission (Niemann and Schmitter, 2009, p. 50). As the Parliament was included more and more in the decision-making process, the EP was ascribed similar influence on the integrative process. Assuming </w:t>
      </w:r>
      <w:r>
        <w:rPr>
          <w:i/>
          <w:lang w:val="en-US"/>
        </w:rPr>
        <w:t>responsibility</w:t>
      </w:r>
      <w:r>
        <w:rPr>
          <w:lang w:val="en-US"/>
        </w:rPr>
        <w:t xml:space="preserve"> is related to the expected reputational gains or losses supranational actors take into account when making rational decisions. Reputation is a value judgement on the functioning of the institution as such, rather than merely on their policies. In order to confirm this hypothesis, empirical results should show statements by leaders in the Commission and/or the Parliament in favor a reallocation of discretionary competences. The second expectation that is necessary in order for this hypothesis to be confirmed, is that the supranational organizations’ reputations should be harmed because of the integrative scheme. Strong empirical evidence then consists of explicit claims made by these organizations that current regulation is harmful to their reputation. A weaker form of confirmation would be empirical evidence that criticism on EU institutions encompasses more than just criticism on executed policy but focusses on the functioning or relevance of these institutions themselves. </w:t>
      </w:r>
    </w:p>
    <w:p w14:paraId="571B86D3" w14:textId="77777777" w:rsidR="00DD1574" w:rsidRPr="00BB05E0" w:rsidRDefault="00DD1574" w:rsidP="00DD1574">
      <w:pPr>
        <w:pStyle w:val="ListParagraph"/>
        <w:numPr>
          <w:ilvl w:val="0"/>
          <w:numId w:val="1"/>
        </w:numPr>
        <w:spacing w:line="480" w:lineRule="auto"/>
        <w:rPr>
          <w:i/>
          <w:lang w:val="en-US"/>
        </w:rPr>
      </w:pPr>
      <w:r w:rsidRPr="00BB05E0">
        <w:rPr>
          <w:i/>
          <w:lang w:val="en-US"/>
        </w:rPr>
        <w:t>H.LI.1: Disintegration is likely to happen if the outcome of national debates speaks in favor of disintegration.</w:t>
      </w:r>
    </w:p>
    <w:p w14:paraId="56103181" w14:textId="77777777" w:rsidR="00DD1574" w:rsidRDefault="00DD1574" w:rsidP="00DD1574">
      <w:pPr>
        <w:spacing w:line="480" w:lineRule="auto"/>
        <w:rPr>
          <w:lang w:val="en-US"/>
        </w:rPr>
      </w:pPr>
      <w:r>
        <w:rPr>
          <w:lang w:val="en-US"/>
        </w:rPr>
        <w:t xml:space="preserve">The </w:t>
      </w:r>
      <w:r>
        <w:rPr>
          <w:i/>
          <w:lang w:val="en-US"/>
        </w:rPr>
        <w:t xml:space="preserve">outcome of national </w:t>
      </w:r>
      <w:r w:rsidRPr="007E1477">
        <w:rPr>
          <w:lang w:val="en-US"/>
        </w:rPr>
        <w:t>debates</w:t>
      </w:r>
      <w:r>
        <w:rPr>
          <w:lang w:val="en-US"/>
        </w:rPr>
        <w:t xml:space="preserve"> is synonymous to the preferences of MSs, except in that it emphasizes the process from which preferences originate.</w:t>
      </w:r>
      <w:r w:rsidRPr="007E1477">
        <w:rPr>
          <w:lang w:val="en-US"/>
        </w:rPr>
        <w:t xml:space="preserve"> </w:t>
      </w:r>
      <w:r>
        <w:rPr>
          <w:lang w:val="en-US"/>
        </w:rPr>
        <w:t xml:space="preserve">In order to confirm this hypothesis, empirical material should consist of statements made by governments in favor of disintegration. Furthermore, the formation of these preferences should confirm LI expectations regarding the high level of organization of domestic societal actors and low level of ambiguity of their goals. In order to disconfirm this hypothesis, governments of the most important member states should express statements that favor a supranational solution. Moreover, the formation of these preferences should </w:t>
      </w:r>
      <w:r>
        <w:rPr>
          <w:lang w:val="en-US"/>
        </w:rPr>
        <w:lastRenderedPageBreak/>
        <w:t xml:space="preserve">disconfirm LI expectations regarding the high level of organization of domestic societal actors and low levels of ambiguity of their goals. </w:t>
      </w:r>
    </w:p>
    <w:p w14:paraId="46480E6F" w14:textId="77777777" w:rsidR="00DD1574" w:rsidRDefault="00DD1574" w:rsidP="00DD1574">
      <w:pPr>
        <w:pStyle w:val="ListParagraph"/>
        <w:numPr>
          <w:ilvl w:val="0"/>
          <w:numId w:val="1"/>
        </w:numPr>
        <w:spacing w:line="480" w:lineRule="auto"/>
        <w:rPr>
          <w:i/>
          <w:lang w:val="en-US"/>
        </w:rPr>
      </w:pPr>
      <w:r w:rsidRPr="00153678">
        <w:rPr>
          <w:i/>
          <w:lang w:val="en-US"/>
        </w:rPr>
        <w:t xml:space="preserve">H.LI.2: Disintegration is likely to happen if the cost-benefit calculations of governments favored disintegration. </w:t>
      </w:r>
    </w:p>
    <w:p w14:paraId="555E99BB" w14:textId="77777777" w:rsidR="00DD1574" w:rsidRDefault="00DD1574" w:rsidP="00DD1574">
      <w:pPr>
        <w:spacing w:line="480" w:lineRule="auto"/>
        <w:rPr>
          <w:lang w:val="en-US"/>
        </w:rPr>
      </w:pPr>
      <w:r>
        <w:rPr>
          <w:lang w:val="en-US"/>
        </w:rPr>
        <w:t xml:space="preserve">MSs </w:t>
      </w:r>
      <w:r w:rsidRPr="00C960AB">
        <w:rPr>
          <w:i/>
          <w:lang w:val="en-US"/>
        </w:rPr>
        <w:t>calculations</w:t>
      </w:r>
      <w:r>
        <w:rPr>
          <w:lang w:val="en-US"/>
        </w:rPr>
        <w:t xml:space="preserve"> concern the reduction or increase of costs stemming from disintegration for the monitoring of future compliance, as well as the generations of expectations regarding future compliance from other MSs. In order to confirm this hypothesis, empirical evidence should show that the perceived expected net-benefits from disintegration, expressed in government statements, should be higher than those from supranational alternative solutions.</w:t>
      </w:r>
      <w:r w:rsidRPr="00886F00">
        <w:rPr>
          <w:lang w:val="en-US"/>
        </w:rPr>
        <w:t xml:space="preserve"> </w:t>
      </w:r>
      <w:r>
        <w:rPr>
          <w:lang w:val="en-US"/>
        </w:rPr>
        <w:t xml:space="preserve">In order to disconfirm this hypothesis these perceived expected net-benefits from disintegration should be lower than the expected than the net-benefits from supranational policy solutions. Note that this hypothesis is based on the LI notion that policy steps are consecutive and that hence governments are already expected to have generated their preferences. The expressions of governments about net-benefits than should mainly reflect a concern with the responsibility for monitoring and compliance with respect to the expectation of future compliance from the other governments. </w:t>
      </w:r>
    </w:p>
    <w:p w14:paraId="293C79DF" w14:textId="77777777" w:rsidR="00DD1574" w:rsidRDefault="00DD1574" w:rsidP="00DD1574">
      <w:pPr>
        <w:pStyle w:val="ListParagraph"/>
        <w:numPr>
          <w:ilvl w:val="0"/>
          <w:numId w:val="1"/>
        </w:numPr>
        <w:spacing w:line="480" w:lineRule="auto"/>
        <w:rPr>
          <w:i/>
          <w:lang w:val="en-US"/>
        </w:rPr>
      </w:pPr>
      <w:r w:rsidRPr="000F3FCE">
        <w:rPr>
          <w:i/>
          <w:lang w:val="en-US"/>
        </w:rPr>
        <w:t>H.LI.3: Disintegration is likely to happen if no veto-coalition speaks in favor of continued integration.</w:t>
      </w:r>
    </w:p>
    <w:p w14:paraId="101C18D0" w14:textId="77777777" w:rsidR="00DD1574" w:rsidRPr="007E0F52" w:rsidRDefault="00DD1574" w:rsidP="00DD1574">
      <w:pPr>
        <w:spacing w:line="480" w:lineRule="auto"/>
        <w:rPr>
          <w:lang w:val="en-US"/>
        </w:rPr>
      </w:pPr>
      <w:r>
        <w:rPr>
          <w:lang w:val="en-US"/>
        </w:rPr>
        <w:t xml:space="preserve">In order for this hypothesis to be confirmed empirical results should confirm that no veto-coalition could be accumulated that favored continued integration. It is expected that the governments of the most important MSs are Great Britain, France and Germany. Representing a big amount of the population and a large amount of the votes, they have the biggest power in the QMV system. Moreover, they should be able to function as poles around which other countries could rally. They are thus expected to be the ones who are most able to gather support for or against a proposal. A second expectation that confirms this hypothesis is that the asymmetrical interdependence between MSs favored the proponents of disintegration. Hence the more specific results of the bargaining </w:t>
      </w:r>
      <w:r>
        <w:rPr>
          <w:lang w:val="en-US"/>
        </w:rPr>
        <w:lastRenderedPageBreak/>
        <w:t xml:space="preserve">process can be explained as resulting from this asymmetry. In order to disconfirm the hypothesis, a veto-coalition should be in favor of continued integration. Moreover, the specific results of the bargaining process should be in contradiction with the asymmetrical interdependence between member states.  </w:t>
      </w:r>
    </w:p>
    <w:p w14:paraId="20F08AE7" w14:textId="77777777" w:rsidR="00DD1574" w:rsidRPr="006C3CC2" w:rsidRDefault="006A1EFE" w:rsidP="006A1EFE">
      <w:pPr>
        <w:pStyle w:val="Heading2"/>
      </w:pPr>
      <w:bookmarkStart w:id="14" w:name="_Toc490488041"/>
      <w:r>
        <w:t xml:space="preserve">3.4 </w:t>
      </w:r>
      <w:r w:rsidR="00DD1574">
        <w:t>Strengths and weaknesses</w:t>
      </w:r>
      <w:bookmarkEnd w:id="14"/>
      <w:r w:rsidR="00DD1574">
        <w:t xml:space="preserve"> </w:t>
      </w:r>
    </w:p>
    <w:p w14:paraId="470D8141" w14:textId="77777777" w:rsidR="00DD1574" w:rsidRPr="00E717CA" w:rsidRDefault="00DD1574" w:rsidP="00DD1574">
      <w:pPr>
        <w:spacing w:line="480" w:lineRule="auto"/>
      </w:pPr>
      <w:r>
        <w:t>As mentioned above, the main strength of the approach suggested here lies in the enhancement of the validity and the scope of the theories employed. The understanding of disintegration, which is very limited until now, is expected to increase in detail in its description through a case study design (Odell, 2001, p. 169). Moreover, the application of an existing theory may force the student of integration to rethink this theory (Odell, 2001, p. 169). In the theory chapter, new concepts and typologies already have been created in order to account for disintegration, such as political spillback. This thesis will assess their validity and will provide for a strong empirical grounding, relative to a quantitative study alone which is focussed more on the assessment of causal relations (Odell, 2001, p.170).</w:t>
      </w:r>
      <w:r>
        <w:tab/>
      </w:r>
      <w:r>
        <w:tab/>
      </w:r>
      <w:r>
        <w:tab/>
      </w:r>
      <w:r>
        <w:tab/>
      </w:r>
      <w:r>
        <w:tab/>
      </w:r>
      <w:r>
        <w:tab/>
      </w:r>
      <w:r>
        <w:tab/>
      </w:r>
      <w:r>
        <w:tab/>
      </w:r>
      <w:r>
        <w:tab/>
      </w:r>
      <w:r>
        <w:tab/>
      </w:r>
      <w:r>
        <w:tab/>
        <w:t xml:space="preserve">One of the fundamental problems for a single case study is the possibility to generalize the findings to other events that lie outside the territorial scale of the studied case, or that lay outside the time scope of the studied case; the future may always hold omitted variables that may change the driving forces of a social process. An example are the macro-level economic causes that may have an impact on disintegration, but which are omitted in any explicit way. Implicitly however, it is expected that societal actors themselves will try to coop with these circumstances and base their preferences and behaviour on them to some extent. A single case-study design is thus unable to stand as a reliable test for a theory (Odell, 2001, p. 170) in the sense that it does not provide a reliable judgement of the possibility of a repetition of a certain event. It cannot provide for law-like certainties about the social world. Although least-likely or most-likely case study designs remedy this problem (Gerring, 2007), these are less well equipped to confirm causal relations relatively to large-N studies (Odell, 2001, p. 172). Therefore, this thesis’ conclusions have to be modest about its </w:t>
      </w:r>
      <w:r>
        <w:lastRenderedPageBreak/>
        <w:t>conclusions on the causality of disintegrative forces. As ‘testing’ also implies challenging an idea with competing interpretations, its rigor may be increased by assessing which interpretation is inferior to the other (Odell, 2001, p. 171). Similar to Levy’s proposition discussed above (2008, p.3), Odell (2001, p. 172) proposed to introduce to increase the ‘implication space’ of tested theories. In this sense it provides the case study with more precision of descriptions of events, claims about the magnitude of events, and claims about the relative importance of different causes (Odell, 2001, p. 172).</w:t>
      </w:r>
    </w:p>
    <w:p w14:paraId="6C248370" w14:textId="77777777" w:rsidR="00DD1574" w:rsidRPr="008911E2" w:rsidRDefault="00DD1574" w:rsidP="00DD1574">
      <w:pPr>
        <w:spacing w:line="480" w:lineRule="auto"/>
      </w:pPr>
    </w:p>
    <w:p w14:paraId="4FD33DF2" w14:textId="77777777" w:rsidR="00DD1574" w:rsidRDefault="00DD1574">
      <w:pPr>
        <w:rPr>
          <w:rFonts w:asciiTheme="majorHAnsi" w:eastAsiaTheme="majorEastAsia" w:hAnsiTheme="majorHAnsi" w:cstheme="majorBidi"/>
          <w:color w:val="2F5496" w:themeColor="accent1" w:themeShade="BF"/>
          <w:sz w:val="32"/>
          <w:szCs w:val="32"/>
        </w:rPr>
      </w:pPr>
      <w:r>
        <w:br w:type="page"/>
      </w:r>
    </w:p>
    <w:p w14:paraId="75FC5A3B" w14:textId="77777777" w:rsidR="00DD1574" w:rsidRPr="00274EBB" w:rsidRDefault="00DD1574" w:rsidP="00DD1574">
      <w:pPr>
        <w:pStyle w:val="Heading1"/>
      </w:pPr>
      <w:bookmarkStart w:id="15" w:name="_Toc490488042"/>
      <w:r w:rsidRPr="00274EBB">
        <w:lastRenderedPageBreak/>
        <w:t xml:space="preserve">Chapter 4: </w:t>
      </w:r>
      <w:r>
        <w:t xml:space="preserve">Empirical </w:t>
      </w:r>
      <w:r w:rsidRPr="00274EBB">
        <w:t>analysis</w:t>
      </w:r>
      <w:bookmarkEnd w:id="15"/>
    </w:p>
    <w:p w14:paraId="6D1E8A28" w14:textId="77777777" w:rsidR="00DD1574" w:rsidRPr="00274EBB" w:rsidRDefault="00DD1574" w:rsidP="00DD1574"/>
    <w:p w14:paraId="47A72322" w14:textId="77777777" w:rsidR="00DD1574" w:rsidRPr="00274EBB" w:rsidRDefault="00DD1574" w:rsidP="00DD1574">
      <w:pPr>
        <w:spacing w:after="200" w:line="480" w:lineRule="auto"/>
      </w:pPr>
      <w:r w:rsidRPr="00274EBB">
        <w:t>This chapter provides an overview of the empirical material that has been collected in order to test the hypotheses. The following section first provi</w:t>
      </w:r>
      <w:r w:rsidR="00854CD2">
        <w:t>des a short overview of the EU regulatory framework</w:t>
      </w:r>
      <w:r w:rsidRPr="00274EBB">
        <w:t xml:space="preserve"> with regards to GMC cultivation previous to their reallocation. It then explains what Council Directive 2015/412/EC entails and how it is set out to reallocate these competences; an unprecedented disintegrative event in the EU. After that, an account of how this reallocation occurred will be described through three consecutive phases: agenda setting, decision making, and implementation. Consequently, it will be analysed to what extent the empirical findings for each of these phases match the theoretical expectations raised in the previous chapters.</w:t>
      </w:r>
    </w:p>
    <w:p w14:paraId="71FB99E7" w14:textId="77777777" w:rsidR="00DD1574" w:rsidRDefault="00DD1574" w:rsidP="006A1EFE">
      <w:pPr>
        <w:pStyle w:val="Heading2"/>
        <w:rPr>
          <w:color w:val="44546A" w:themeColor="text2"/>
        </w:rPr>
      </w:pPr>
      <w:bookmarkStart w:id="16" w:name="_Toc490488043"/>
      <w:r w:rsidRPr="006A1EFE">
        <w:rPr>
          <w:color w:val="44546A" w:themeColor="text2"/>
        </w:rPr>
        <w:t>4.1 Regulatory framework changes in the EU GMC regime</w:t>
      </w:r>
      <w:bookmarkEnd w:id="16"/>
    </w:p>
    <w:p w14:paraId="5C4C28DB" w14:textId="77777777" w:rsidR="006A1EFE" w:rsidRDefault="006A1EFE" w:rsidP="006A1EFE"/>
    <w:p w14:paraId="70C82FCC" w14:textId="77777777" w:rsidR="006A1EFE" w:rsidRPr="004F19C8" w:rsidRDefault="006A1EFE"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Legislative situation before 2015</w:t>
      </w:r>
    </w:p>
    <w:p w14:paraId="33291FF1" w14:textId="77777777" w:rsidR="002D013F" w:rsidRDefault="00DD1574" w:rsidP="00AB097A">
      <w:pPr>
        <w:spacing w:after="0" w:line="480" w:lineRule="auto"/>
      </w:pPr>
      <w:r w:rsidRPr="00274EBB">
        <w:rPr>
          <w:noProof/>
          <w:lang w:val="nl-NL" w:eastAsia="nl-NL"/>
        </w:rPr>
        <mc:AlternateContent>
          <mc:Choice Requires="wps">
            <w:drawing>
              <wp:anchor distT="0" distB="0" distL="114300" distR="114300" simplePos="0" relativeHeight="251661312" behindDoc="0" locked="0" layoutInCell="1" allowOverlap="1" wp14:anchorId="162B34E6" wp14:editId="12991B06">
                <wp:simplePos x="0" y="0"/>
                <wp:positionH relativeFrom="margin">
                  <wp:align>right</wp:align>
                </wp:positionH>
                <wp:positionV relativeFrom="paragraph">
                  <wp:posOffset>1772285</wp:posOffset>
                </wp:positionV>
                <wp:extent cx="3262630" cy="635"/>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3262630" cy="635"/>
                        </a:xfrm>
                        <a:prstGeom prst="rect">
                          <a:avLst/>
                        </a:prstGeom>
                        <a:solidFill>
                          <a:prstClr val="white"/>
                        </a:solidFill>
                        <a:ln>
                          <a:noFill/>
                        </a:ln>
                      </wps:spPr>
                      <wps:txbx>
                        <w:txbxContent>
                          <w:p w14:paraId="178245EF" w14:textId="40DFD608" w:rsidR="00FE3BB0" w:rsidRPr="006F7C08" w:rsidRDefault="00FE3BB0" w:rsidP="00DD1574">
                            <w:pPr>
                              <w:pStyle w:val="Caption"/>
                              <w:rPr>
                                <w:noProof/>
                              </w:rPr>
                            </w:pPr>
                            <w:r>
                              <w:t xml:space="preserve">Graph </w:t>
                            </w:r>
                            <w:r w:rsidR="005953CE">
                              <w:fldChar w:fldCharType="begin"/>
                            </w:r>
                            <w:r w:rsidR="005953CE">
                              <w:instrText xml:space="preserve"> SEQ Graph \* ARABIC </w:instrText>
                            </w:r>
                            <w:r w:rsidR="005953CE">
                              <w:fldChar w:fldCharType="separate"/>
                            </w:r>
                            <w:r w:rsidR="00543837">
                              <w:rPr>
                                <w:noProof/>
                              </w:rPr>
                              <w:t>1</w:t>
                            </w:r>
                            <w:r w:rsidR="005953CE">
                              <w:rPr>
                                <w:noProof/>
                              </w:rPr>
                              <w:fldChar w:fldCharType="end"/>
                            </w:r>
                            <w:r>
                              <w:t xml:space="preserve"> </w:t>
                            </w:r>
                            <w:r w:rsidRPr="006F7C08">
                              <w:t>(Eberhardt et al., 2016, p. 263)</w:t>
                            </w:r>
                            <w: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62B34E6" id="_x0000_t202" coordsize="21600,21600" o:spt="202" path="m,l,21600r21600,l21600,xe">
                <v:stroke joinstyle="miter"/>
                <v:path gradientshapeok="t" o:connecttype="rect"/>
              </v:shapetype>
              <v:shape id="Text Box 3" o:spid="_x0000_s1026" type="#_x0000_t202" style="position:absolute;margin-left:205.7pt;margin-top:139.55pt;width:256.9pt;height:.05pt;z-index:25166131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" stroked="f">
                <v:textbox style="mso-fit-shape-to-text:t" inset="0,0,0,0">
                  <w:txbxContent>
                    <w:p w14:paraId="178245EF" w14:textId="40DFD608" w:rsidR="00FE3BB0" w:rsidRPr="006F7C08" w:rsidRDefault="00FE3BB0" w:rsidP="00DD1574">
                      <w:pPr>
                        <w:pStyle w:val="Caption"/>
                        <w:rPr>
                          <w:noProof/>
                        </w:rPr>
                      </w:pPr>
                      <w:r>
                        <w:t xml:space="preserve">Graph </w:t>
                      </w:r>
                      <w:fldSimple w:instr=" SEQ Graph \* ARABIC ">
                        <w:r w:rsidR="00543837">
                          <w:rPr>
                            <w:noProof/>
                          </w:rPr>
                          <w:t>1</w:t>
                        </w:r>
                      </w:fldSimple>
                      <w:r>
                        <w:t xml:space="preserve"> </w:t>
                      </w:r>
                      <w:r w:rsidRPr="006F7C08">
                        <w:t>(Eberhardt et al., 2016, p. 263)</w:t>
                      </w:r>
                      <w:r>
                        <w:t>.</w:t>
                      </w:r>
                    </w:p>
                  </w:txbxContent>
                </v:textbox>
                <w10:wrap type="square" anchorx="margin"/>
              </v:shape>
            </w:pict>
          </mc:Fallback>
        </mc:AlternateContent>
      </w:r>
      <w:r w:rsidRPr="00274EBB">
        <w:rPr>
          <w:noProof/>
          <w:lang w:val="nl-NL" w:eastAsia="nl-NL"/>
        </w:rPr>
        <w:drawing>
          <wp:anchor distT="0" distB="0" distL="114300" distR="114300" simplePos="0" relativeHeight="251660288" behindDoc="0" locked="0" layoutInCell="1" allowOverlap="1" wp14:anchorId="16AE62E4" wp14:editId="3B1470A9">
            <wp:simplePos x="0" y="0"/>
            <wp:positionH relativeFrom="margin">
              <wp:align>right</wp:align>
            </wp:positionH>
            <wp:positionV relativeFrom="paragraph">
              <wp:posOffset>2056765</wp:posOffset>
            </wp:positionV>
            <wp:extent cx="3262630" cy="2937510"/>
            <wp:effectExtent l="0" t="0" r="0" b="0"/>
            <wp:wrapSquare wrapText="bothSides"/>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otification procedure graph (Eberhardt et al).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262630" cy="2937510"/>
                    </a:xfrm>
                    <a:prstGeom prst="rect">
                      <a:avLst/>
                    </a:prstGeom>
                  </pic:spPr>
                </pic:pic>
              </a:graphicData>
            </a:graphic>
            <wp14:sizeRelH relativeFrom="page">
              <wp14:pctWidth>0</wp14:pctWidth>
            </wp14:sizeRelH>
            <wp14:sizeRelV relativeFrom="page">
              <wp14:pctHeight>0</wp14:pctHeight>
            </wp14:sizeRelV>
          </wp:anchor>
        </w:drawing>
      </w:r>
      <w:r w:rsidRPr="00274EBB">
        <w:t xml:space="preserve">The </w:t>
      </w:r>
      <w:r w:rsidR="00854CD2">
        <w:t>authorisation</w:t>
      </w:r>
      <w:r w:rsidRPr="00274EBB">
        <w:t xml:space="preserve"> procedure for GMCs meant for cultivation within the EU is regulated largely by two legal instruments: Council Directive 2001/18/EC and Council Regulation 2003/1829/EC. Whereas the former sets out rules for the authorisation of GMCs meant for cultivation, the latter regulates the authorisation of these crops for their marketing in food and feed (food for animal consumption) (Weimer, 2010, p. 339). With the introduction of Council Directive 2001/18/EC, the legislation on GMC cultivation </w:t>
      </w:r>
      <w:r>
        <w:t>authorisation</w:t>
      </w:r>
      <w:r w:rsidRPr="00274EBB">
        <w:t xml:space="preserve">s </w:t>
      </w:r>
      <w:r w:rsidR="00854CD2">
        <w:t>is</w:t>
      </w:r>
      <w:r w:rsidRPr="00274EBB">
        <w:t xml:space="preserve"> largely harmonized within the EU (Weimer 2010, p. 346). It allocates the decision power for authorisations to the EU level where the OLP is combined with an important role for the European Food and Safety Authority (EFSA) (a graphical depiction of this procedure is shown in graph 1). The authorisation procedure for GMC </w:t>
      </w:r>
      <w:r w:rsidRPr="00274EBB">
        <w:lastRenderedPageBreak/>
        <w:t xml:space="preserve">cultivation under Council Directive 2001/18/EC starts with a so called ‘risk producer’ who applies for a specific GMC to be approved in the entire EU. Prominent risk producers that apply for these </w:t>
      </w:r>
      <w:r>
        <w:t>authorisation</w:t>
      </w:r>
      <w:r w:rsidRPr="00274EBB">
        <w:t>s are for example the companies Monsanto, Bayer, Syngenta seeds, Dow Agrosciences, and BASF. The company’s initial application must be made to the competent national authority in the MS where the company wishes to introduce the crop. It’s application must include a ‘technical dossier’ containing the necessary information to conduct an environmental risk assessment, as well as an environmental risk assessment itself. The MS receiving the application then notifies the Commission, the other MSs and the public. By sending the risk assessment report to the Commission the MS sets in motion the next step in the process where the European Food and Safety Authority (EFSA) prepares a risk assessment based opinion on the matter for the Commission. It considers both risks for the environment as for human health. The Commission then prepares a draft decision with regard to this opinion to accept or to refuse the cultivation of the GMC. This decision is forwarded to the MSs expert committee which decides with a Qualified Majority (QM) if it agrees or not. To obtain a qualified majority according to the Lisbon Treaty effective since 2014, fifty-five percent (16 out of 28 in 2017) of the MSs need to be in favour or against a draft decision, and the votes need to add up to at least sixty-five percent of the EU population. Before the Lisbon Treaty, the Treaty of Nice dictated the weighing of votes, necessitating as an extra a weighed vote share</w:t>
      </w:r>
      <w:r w:rsidR="00F0303F">
        <w:t xml:space="preserve"> larger than 74 % to reach a QM</w:t>
      </w:r>
      <w:r w:rsidRPr="00274EBB">
        <w:t>, much to the disadvantage of MSs with lower weighing votes. If the MSs fail to reach a QM, and the appeal committee later fails to reconcile them, the final decision lies with the Commission which according to its own rules, follows the EFSA’s opinion.</w:t>
      </w:r>
      <w:r w:rsidR="002D013F">
        <w:t xml:space="preserve"> </w:t>
      </w:r>
      <w:r w:rsidR="002D013F">
        <w:tab/>
      </w:r>
      <w:r w:rsidR="004F19C8">
        <w:tab/>
      </w:r>
      <w:r w:rsidR="004F19C8">
        <w:tab/>
      </w:r>
      <w:r w:rsidR="004F19C8">
        <w:tab/>
      </w:r>
      <w:r w:rsidRPr="00274EBB">
        <w:t xml:space="preserve">Under this authorisation scheme, there is an option for MSs to ban the cultivation of a GMC after its authorisation: article 23 of Council Directive 2001/18/EC provides for a ‘safeguard clause’. It determines that a MS may request to adjust the geographical scope of the application to (partially) exclude its territory from a GMC authorisation. A MS can only ban a GMC from being cultivated if the request is based on newly available information regarding environmental or human health considerations. The decision on the request is then made through the OLP. Again, the EFSA gives its </w:t>
      </w:r>
      <w:r w:rsidRPr="00274EBB">
        <w:lastRenderedPageBreak/>
        <w:t>opinion on this request, based on which the Commission drafts a decision. In practice, the Commission never deviates from this opin</w:t>
      </w:r>
      <w:r w:rsidR="002D013F">
        <w:t>ion.</w:t>
      </w:r>
      <w:r w:rsidRPr="00274EBB">
        <w:t xml:space="preserve"> The possibility to approve a safeguard clause thus remains within the supranational decision procedure, rather than it being a discretionary competence of the MS. </w:t>
      </w:r>
      <w:r w:rsidR="002D013F">
        <w:tab/>
      </w:r>
      <w:r w:rsidR="002D013F">
        <w:tab/>
      </w:r>
      <w:r w:rsidR="002D013F">
        <w:tab/>
      </w:r>
      <w:r w:rsidR="002D013F">
        <w:tab/>
      </w:r>
      <w:r w:rsidR="002D013F">
        <w:tab/>
      </w:r>
      <w:r w:rsidR="002D013F">
        <w:tab/>
      </w:r>
      <w:r w:rsidR="002D013F">
        <w:tab/>
      </w:r>
      <w:r w:rsidR="002D013F">
        <w:tab/>
      </w:r>
      <w:r w:rsidR="002D013F">
        <w:tab/>
      </w:r>
      <w:r w:rsidR="002D013F">
        <w:tab/>
      </w:r>
      <w:r w:rsidR="00854CD2">
        <w:t>This regulation combines a strong role for scientific evaluation (Eberhardt</w:t>
      </w:r>
      <w:r w:rsidR="00AB097A">
        <w:t>, 2016, p. 262) with a role for the MSs who have a voting power on each specific pending GMC request. In this sense the GMC authorisation scheme is fragmented. This fragmentation has been associated with the competing actors within the EU; ‘’On one side, the</w:t>
      </w:r>
      <w:r w:rsidR="002D013F">
        <w:t xml:space="preserve"> </w:t>
      </w:r>
      <w:r w:rsidR="00AB097A">
        <w:t>European Commission, some member states and biotech industrial groups are trying to use the background of thorough regulations to push research and production forward. […] On the other side, anti-GMO NGOs, the new horizontal network of GM-free regions and key states (including France)</w:t>
      </w:r>
      <w:r w:rsidR="002D013F">
        <w:t xml:space="preserve"> </w:t>
      </w:r>
      <w:r w:rsidR="00AB097A">
        <w:t xml:space="preserve">continue to push the frontier the other way’’ (Tiberghien, 2009, p. 405). </w:t>
      </w:r>
      <w:r w:rsidR="002D013F">
        <w:t>The allocation of discretionary competences has thus become a central target within the struggle for and against GMCs.</w:t>
      </w:r>
    </w:p>
    <w:p w14:paraId="0E98C10B" w14:textId="45B45B8E" w:rsidR="00DD1574" w:rsidRPr="00274EBB" w:rsidRDefault="00AB097A" w:rsidP="00AB097A">
      <w:pPr>
        <w:spacing w:after="0" w:line="480" w:lineRule="auto"/>
      </w:pPr>
      <w:r>
        <w:t xml:space="preserve"> </w:t>
      </w:r>
    </w:p>
    <w:p w14:paraId="15328769" w14:textId="77777777" w:rsidR="00DD1574" w:rsidRPr="004F19C8" w:rsidRDefault="006A1EFE"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The R</w:t>
      </w:r>
      <w:r w:rsidR="00DD1574" w:rsidRPr="004F19C8">
        <w:rPr>
          <w:rFonts w:asciiTheme="majorHAnsi" w:hAnsiTheme="majorHAnsi" w:cstheme="majorHAnsi"/>
          <w:color w:val="44546A" w:themeColor="text2"/>
          <w:sz w:val="26"/>
          <w:szCs w:val="26"/>
        </w:rPr>
        <w:t>egulation of 2015; the reallocation of GMC competences</w:t>
      </w:r>
    </w:p>
    <w:p w14:paraId="4E817467" w14:textId="327C8F78" w:rsidR="00F70F29" w:rsidRPr="00274EBB" w:rsidRDefault="00AB097A" w:rsidP="00F70F29">
      <w:pPr>
        <w:spacing w:before="240" w:after="0" w:line="480" w:lineRule="auto"/>
      </w:pPr>
      <w:r>
        <w:t>The</w:t>
      </w:r>
      <w:r w:rsidR="00DD1574" w:rsidRPr="00274EBB">
        <w:t xml:space="preserve"> common framework for deciding on GMC cultivation within the EU would however be altered in 2015 with the effect of limiting EU competences on the matter of GMC authorisations. The introduction of Council Directive 2015/412/EC limits the jurisdiction of the EU regarding GMC cultivation because it allocates the decision on cultivation to the national (and possibly regional) authorities (Poli, 2010, p. 339). It does so by amending Council Directive 2001/18/EC through the addition of an article 26b which states that: ‘’</w:t>
      </w:r>
      <w:r w:rsidR="00DD1574" w:rsidRPr="00274EBB">
        <w:rPr>
          <w:color w:val="444444"/>
          <w:sz w:val="27"/>
          <w:szCs w:val="27"/>
          <w:shd w:val="clear" w:color="auto" w:fill="FFFFFF"/>
        </w:rPr>
        <w:t xml:space="preserve"> </w:t>
      </w:r>
      <w:r w:rsidR="00DD1574" w:rsidRPr="00274EBB">
        <w:t xml:space="preserve">it appears appropriate to grant MSs, in accordance with the principle of subsidiarity, more flexibility to decide whether or not they wish to cultivate GMOs on their territory’’ (Council Directive 2015/412/EC, (8)). In contrast to the safeguard clause under the harmonized legislative framework, the provisions for prohibiting GMC cultivation in this amendment are regarded as limiting the scope of EU competences (Weimer, 2010; Poli, 2010). </w:t>
      </w:r>
      <w:r w:rsidR="00DD1574" w:rsidRPr="00274EBB">
        <w:tab/>
        <w:t xml:space="preserve">The main difference is that grounds for a restriction of GMC cultivation need not (and may </w:t>
      </w:r>
      <w:r w:rsidR="00DD1574" w:rsidRPr="00274EBB">
        <w:lastRenderedPageBreak/>
        <w:t xml:space="preserve">not) be based on new or additional information about health or safety concerns which remain the responsibility for the EFSA, but may be legally supported by a non-exhaustive list of (socioeconomic) considerations, including environmental policy objectives, town and country planning, land use, socioeconomic impacts, avoidance of GMC presence in other products, and agricultural policy objectives (Directive 2015/412). Whereas bans based on these considerations were previously contrary to EU law, after the reform MSs are allowed to invoke them to enact prohibitions or restrictions. The expected effect of the Directive is: ‘’…the Member States’ re-acquisition of regulatory autonomy in the concerned area’’ (Poli, 2010, p. 341). As bans were previously illegally based on socio-economic considerations, the provision of these new considerations as </w:t>
      </w:r>
      <w:r w:rsidR="006F5F11">
        <w:t xml:space="preserve">a </w:t>
      </w:r>
      <w:r w:rsidR="00DD1574" w:rsidRPr="00274EBB">
        <w:t xml:space="preserve">legal ground for bans should mean that MSs can more easily invoke a ban. </w:t>
      </w:r>
      <w:r w:rsidR="006F5F11">
        <w:t>In this way, a separation is created between the ‘scientific’ evaluation of GMCs’ risks out of the ‘political’ considerations to prohibit them. MSs are granted means to prohibit the cultivation of GMCs, but not on the grounds of the health and safety considerations, which remain the EU’s competence.</w:t>
      </w:r>
      <w:r w:rsidR="006F5F11">
        <w:tab/>
      </w:r>
      <w:r w:rsidR="006F5F11">
        <w:tab/>
      </w:r>
      <w:r w:rsidR="006F5F11">
        <w:tab/>
      </w:r>
      <w:r w:rsidR="006F5F11">
        <w:tab/>
      </w:r>
      <w:r w:rsidR="00DD1574" w:rsidRPr="00274EBB">
        <w:tab/>
        <w:t xml:space="preserve">A careful conclusion about the amendment with regards to disintegration is made by Weimer (2010, p. 348) who states that the new Directive’s purpose: ‘’is to provide for a further, more extensive option for MSs to deviate from EU authorizations on GMO cultivation on non-scientific grounds. This supports an understanding of the recent Commission proposal as aiming to reduce the scope of EU harmonization of the current legal framework on GMO cultivation’’. Sara Poli (2010, p. 339) </w:t>
      </w:r>
      <w:r w:rsidR="006F5F11">
        <w:t>puts</w:t>
      </w:r>
      <w:r w:rsidR="00DD1574" w:rsidRPr="00274EBB">
        <w:t xml:space="preserve"> it more boldly by stating that: ‘’[the amendment to directive 2001/18/EC] is particularly important as it allows for measures on the cultivation of GMOs to be treated as a matter of national competence, as if they were adopted before the EU harmonised legislation in this field’’ (Poli, 2010, 339). This statement, although the adopted Directive 2015/412/EC states it similarly a</w:t>
      </w:r>
      <w:r w:rsidR="006F5F11">
        <w:t xml:space="preserve">s mentioned above, is put too </w:t>
      </w:r>
      <w:r w:rsidR="00DD1574" w:rsidRPr="00274EBB">
        <w:t xml:space="preserve">boldly however as the EU still has the competence to approve or ban GMCs for cultivation based on health and environmental considerations. This means that MSs willing to </w:t>
      </w:r>
      <w:r>
        <w:t>authorise new GMCs for cultivation</w:t>
      </w:r>
      <w:r w:rsidR="00DD1574" w:rsidRPr="00274EBB">
        <w:t xml:space="preserve"> are not allowed t</w:t>
      </w:r>
      <w:r w:rsidR="006F5F11">
        <w:t>o do so if the Commission,</w:t>
      </w:r>
      <w:r w:rsidR="00DD1574" w:rsidRPr="00274EBB">
        <w:t xml:space="preserve"> based on EFSA’s opinion</w:t>
      </w:r>
      <w:r w:rsidR="006F5F11">
        <w:t xml:space="preserve"> and affirmed through the OLP, </w:t>
      </w:r>
      <w:r w:rsidR="00DD1574" w:rsidRPr="00274EBB">
        <w:t xml:space="preserve">refuses an application for cultivation. On the contrary, the </w:t>
      </w:r>
      <w:r w:rsidR="00DD1574" w:rsidRPr="00274EBB">
        <w:lastRenderedPageBreak/>
        <w:t>Commission has raised the expectation (Weimer, 2010, p. 347) that the new procedure might make new authorisation</w:t>
      </w:r>
      <w:r w:rsidR="006F5F11">
        <w:t>s easier as MSs will</w:t>
      </w:r>
      <w:r w:rsidR="00DD1574" w:rsidRPr="00274EBB">
        <w:t xml:space="preserve"> have no reason for blocking authorisations if they can opt out</w:t>
      </w:r>
      <w:r w:rsidR="006F5F11">
        <w:t xml:space="preserve"> of them</w:t>
      </w:r>
      <w:r w:rsidR="00DD1574" w:rsidRPr="00274EBB">
        <w:t xml:space="preserve">. </w:t>
      </w:r>
      <w:r w:rsidR="00DD1574">
        <w:tab/>
      </w:r>
      <w:r w:rsidR="006F5F11">
        <w:tab/>
      </w:r>
      <w:r w:rsidR="006F5F11">
        <w:tab/>
      </w:r>
      <w:r w:rsidR="006F5F11">
        <w:tab/>
      </w:r>
      <w:r w:rsidR="006F5F11">
        <w:tab/>
      </w:r>
      <w:r w:rsidR="006F5F11">
        <w:tab/>
      </w:r>
      <w:r w:rsidR="006F5F11">
        <w:tab/>
      </w:r>
      <w:r w:rsidR="006F5F11">
        <w:tab/>
      </w:r>
      <w:r w:rsidR="006F5F11">
        <w:tab/>
      </w:r>
      <w:r w:rsidR="006F5F11">
        <w:tab/>
      </w:r>
      <w:r w:rsidR="006F5F11">
        <w:tab/>
      </w:r>
      <w:r w:rsidR="006F5F11">
        <w:tab/>
      </w:r>
      <w:r w:rsidR="00DD1574" w:rsidRPr="00274EBB">
        <w:t xml:space="preserve">What at least seems to be the case, is that with the adoption of Directive 2015/412, MSs that wish to ban GMCs for cultivation, have increased competences to do so: ‘’Decisions on whether a given GMC meets the EU’s cultivation conditions are a matter of EU law, whereas decisions concerning the socio-economic aspects of cultivation are entrusted to authorities on a national level’’ (Poli, 2010, p. 341). As a consequence of this amendment, the legal and political responsibility of banning GMCs for cultivation is reallocated to the national level: ‘’[MSs] can go on prohibiting GMO cultivation, but they are ‘’on their own’’ when it comes to carrying the legal responsibility for their action before the (national and European) courts, and the political responsibility towards their own national constituencies’’ (Weimer, 2010, p. 348). The Directive thus re-nationalizes the legal authority </w:t>
      </w:r>
      <w:r w:rsidR="00F70F29">
        <w:t>and responsibility to ban GMC for</w:t>
      </w:r>
      <w:r w:rsidR="00DD1574" w:rsidRPr="00274EBB">
        <w:t xml:space="preserve">. In this sense, there is a reallocation of discretionary competences regarding GMC cultivation. Whereas the ‘Brexit’ aims at disintegrating the EU by excluding an entire country from the EU’s jurisdiction, the </w:t>
      </w:r>
      <w:r w:rsidR="00DD1574">
        <w:t>opt-out</w:t>
      </w:r>
      <w:r w:rsidR="00DD1574" w:rsidRPr="00274EBB">
        <w:t xml:space="preserve"> aims at disintegration by reducing the scope of EU competences in one policy area for all MSs.  </w:t>
      </w:r>
    </w:p>
    <w:p w14:paraId="575B622B" w14:textId="77777777" w:rsidR="00DD1574" w:rsidRPr="006A1EFE" w:rsidRDefault="00DD1574" w:rsidP="00F70F29">
      <w:pPr>
        <w:pStyle w:val="Heading2"/>
        <w:spacing w:before="240"/>
        <w:rPr>
          <w:color w:val="44546A" w:themeColor="text2"/>
        </w:rPr>
      </w:pPr>
      <w:bookmarkStart w:id="17" w:name="_Toc490488044"/>
      <w:r w:rsidRPr="006A1EFE">
        <w:rPr>
          <w:color w:val="44546A" w:themeColor="text2"/>
        </w:rPr>
        <w:t>4.2 Agenda setting phase</w:t>
      </w:r>
      <w:bookmarkEnd w:id="17"/>
    </w:p>
    <w:p w14:paraId="67D1E1C9" w14:textId="77777777" w:rsidR="006A1EFE" w:rsidRPr="006A1EFE" w:rsidRDefault="006A1EFE" w:rsidP="006A1EFE"/>
    <w:p w14:paraId="79CFD7DF" w14:textId="77777777" w:rsidR="00DD1574" w:rsidRPr="004F19C8" w:rsidRDefault="00DD1574"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Case description</w:t>
      </w:r>
    </w:p>
    <w:p w14:paraId="35998FE1" w14:textId="302D70DB" w:rsidR="00DD1574" w:rsidRPr="00274EBB" w:rsidRDefault="00DD1574" w:rsidP="004F19C8">
      <w:pPr>
        <w:spacing w:after="0" w:line="480" w:lineRule="auto"/>
      </w:pPr>
      <w:r w:rsidRPr="00274EBB">
        <w:t xml:space="preserve">What the paragraphs under section 4.1 have shown, is that the formal legislation on GMC cultivation </w:t>
      </w:r>
      <w:r>
        <w:t>authorisation</w:t>
      </w:r>
      <w:r w:rsidRPr="00274EBB">
        <w:t>s, mainly covered by</w:t>
      </w:r>
      <w:r w:rsidR="00F70F29">
        <w:t xml:space="preserve"> Directive 2001/18, combines an</w:t>
      </w:r>
      <w:r w:rsidRPr="00274EBB">
        <w:t xml:space="preserve"> application procedure based on a risk assessment made by the EFSA, with the OLP for each specific crop where, if no qualified decision is made, the Commission makes decisions based on the EFSA’s opinions. The paragraphs under the following sections describe an account of the agenda setting phase, based on comments made by the relevant actors. As will be made clear below, the Commission’s efforts to strictly follow the formal EU procedures, and the MSs intentions to deviate from them, result in a political limbo with regards to GMC cultivation</w:t>
      </w:r>
      <w:r w:rsidR="00A26B03">
        <w:t>.</w:t>
      </w:r>
      <w:r w:rsidRPr="00274EBB">
        <w:t xml:space="preserve"> </w:t>
      </w:r>
      <w:r w:rsidR="00A26B03">
        <w:t>T</w:t>
      </w:r>
      <w:r w:rsidRPr="00274EBB">
        <w:t>wo important conflicts</w:t>
      </w:r>
      <w:r w:rsidR="00A26B03">
        <w:t xml:space="preserve"> arise which</w:t>
      </w:r>
      <w:r w:rsidRPr="00274EBB">
        <w:t xml:space="preserve"> precede the formal decision making phase. </w:t>
      </w:r>
      <w:r w:rsidRPr="00274EBB">
        <w:lastRenderedPageBreak/>
        <w:tab/>
        <w:t xml:space="preserve">The first conflict revolves around the </w:t>
      </w:r>
      <w:r>
        <w:t>authorisation</w:t>
      </w:r>
      <w:r w:rsidRPr="00274EBB">
        <w:t xml:space="preserve"> procedure itself which generally fails to result in any author</w:t>
      </w:r>
      <w:r w:rsidR="00F70F29">
        <w:t>isations of GMCs for cultivation</w:t>
      </w:r>
      <w:r w:rsidRPr="00274EBB">
        <w:t xml:space="preserve">. It fails to do so in spite of the EFSA’s risk assessments, which generally speak in favour of </w:t>
      </w:r>
      <w:r>
        <w:t>authorisation</w:t>
      </w:r>
      <w:r w:rsidRPr="00274EBB">
        <w:t>. In spite of this recurrence, the Council repeatedly fails to reach a QM either to approve or refuse the Commission’s proposals. According to the procedure, in those cases, the Commission may decide and follows EFSA’s opinion</w:t>
      </w:r>
      <w:r>
        <w:t xml:space="preserve">. </w:t>
      </w:r>
      <w:r w:rsidRPr="00274EBB">
        <w:t xml:space="preserve">It then approves a GMC for cultivation regardless to the Council’s opinion. </w:t>
      </w:r>
      <w:r w:rsidR="00F70F29">
        <w:t>In case of such</w:t>
      </w:r>
      <w:r w:rsidRPr="00274EBB">
        <w:t xml:space="preserve"> so called ‘rubberstamp authorisations’</w:t>
      </w:r>
      <w:r w:rsidR="00F70F29">
        <w:t xml:space="preserve">, </w:t>
      </w:r>
      <w:r w:rsidRPr="00274EBB">
        <w:t>the Commission authorises a GMC in spite of a possible majority of MSs</w:t>
      </w:r>
      <w:r w:rsidR="00F70F29">
        <w:t xml:space="preserve"> opposing such an authorisation</w:t>
      </w:r>
      <w:r w:rsidRPr="00274EBB">
        <w:t>.</w:t>
      </w:r>
      <w:r w:rsidR="00F70F29">
        <w:t xml:space="preserve"> </w:t>
      </w:r>
      <w:r w:rsidR="00F70F29">
        <w:tab/>
      </w:r>
      <w:r w:rsidR="00F70F29">
        <w:tab/>
      </w:r>
      <w:r w:rsidR="00F70F29">
        <w:tab/>
      </w:r>
      <w:r w:rsidR="00F70F29">
        <w:tab/>
      </w:r>
      <w:r w:rsidR="00F70F29">
        <w:tab/>
      </w:r>
      <w:r w:rsidR="00F70F29">
        <w:tab/>
      </w:r>
      <w:r w:rsidRPr="00274EBB">
        <w:tab/>
      </w:r>
      <w:r w:rsidR="00F70F29">
        <w:tab/>
      </w:r>
      <w:r w:rsidRPr="00274EBB">
        <w:tab/>
        <w:t>The second conflict revolves around the bans which several MSs impose</w:t>
      </w:r>
      <w:r w:rsidR="00B67FD6">
        <w:t xml:space="preserve">d on the cultivation of MON810: </w:t>
      </w:r>
      <w:r w:rsidRPr="00274EBB">
        <w:t>the only GMC allowed for cultivation in the EU. In spite of legal challenges b</w:t>
      </w:r>
      <w:r w:rsidR="00E00043">
        <w:t>y the Commission, who considers</w:t>
      </w:r>
      <w:r w:rsidRPr="00274EBB">
        <w:t xml:space="preserve"> these bans to be in conflict with EU </w:t>
      </w:r>
      <w:r w:rsidR="00E00043">
        <w:t>law, the MSs generally sustain</w:t>
      </w:r>
      <w:r w:rsidRPr="00274EBB">
        <w:t xml:space="preserve"> these b</w:t>
      </w:r>
      <w:r w:rsidR="00E00043">
        <w:t>ans one way or the other and ar</w:t>
      </w:r>
      <w:r w:rsidRPr="00274EBB">
        <w:t>e backed by the Council in their effort</w:t>
      </w:r>
      <w:r w:rsidR="00F70F29">
        <w:t>s</w:t>
      </w:r>
      <w:r w:rsidRPr="00274EBB">
        <w:t xml:space="preserve"> to do so. </w:t>
      </w:r>
      <w:r w:rsidRPr="00274EBB">
        <w:tab/>
      </w:r>
      <w:r w:rsidR="00E00043">
        <w:tab/>
      </w:r>
      <w:r w:rsidRPr="00274EBB">
        <w:tab/>
        <w:t>These two issues have existed since the authorisation of MON810 in 1998. The legislation which was revised in 2001 and 2003 partially addressed these issues. Simultaneously, the debate on GMC cultivation increased at the prospect of new authorisations. This section focusses on this period under Council Directive 2001/18/EC (and Council Regulation 2003/1829/EC) as th</w:t>
      </w:r>
      <w:r w:rsidR="005D612B">
        <w:t>e emendations to this Directive effectuate</w:t>
      </w:r>
      <w:r w:rsidRPr="00274EBB">
        <w:t xml:space="preserve"> the reallocation of discretionary competences. Especially the years 2008 and 2009 will be examined more closely as the intensity of the debate on GMC cultivation reach a peak just before the time when the reallocation is put on the agenda definitely. This moment is marked by the official motives listed in the Commission’s first proposal of the amendment, namely: the Dutch request and the request made by thirteen MSs (Austria, Belgium, Ireland, Cyprus, Greece, Latvia, Lithuania, Hungary, Malta, Poland and Slovenia)</w:t>
      </w:r>
      <w:r w:rsidRPr="00274EBB">
        <w:rPr>
          <w:rFonts w:cs="TimesNewRoman"/>
        </w:rPr>
        <w:t>,</w:t>
      </w:r>
      <w:r w:rsidRPr="00274EBB">
        <w:t xml:space="preserve"> to give them more freedom to decide on the cultivation of GMCs (Directive 2015/412/EC; Council of the European Union, 2009). </w:t>
      </w:r>
      <w:r>
        <w:tab/>
      </w:r>
      <w:r>
        <w:tab/>
      </w:r>
      <w:r>
        <w:tab/>
      </w:r>
      <w:r w:rsidRPr="00274EBB">
        <w:t xml:space="preserve">The next paragraphs regarding the two central conflicts will illustrate how the inability to resolve these matters results in a political limbo where the Council is unable to reach a common </w:t>
      </w:r>
      <w:r w:rsidR="005D612B">
        <w:lastRenderedPageBreak/>
        <w:t>position</w:t>
      </w:r>
      <w:r w:rsidRPr="00274EBB">
        <w:t xml:space="preserve"> and</w:t>
      </w:r>
      <w:r w:rsidR="005D612B">
        <w:t xml:space="preserve"> later</w:t>
      </w:r>
      <w:r w:rsidRPr="00274EBB">
        <w:t xml:space="preserve"> where the Commission is refusing to take responsibility for the consequences of its own procedures. </w:t>
      </w:r>
    </w:p>
    <w:p w14:paraId="5F318CF8" w14:textId="77777777" w:rsidR="00DD1574" w:rsidRPr="00A87903" w:rsidRDefault="00A87903" w:rsidP="006A1EFE">
      <w:pPr>
        <w:pStyle w:val="Heading2"/>
        <w:rPr>
          <w:color w:val="44546A" w:themeColor="text2"/>
        </w:rPr>
      </w:pPr>
      <w:bookmarkStart w:id="18" w:name="_Toc490488045"/>
      <w:r w:rsidRPr="00A87903">
        <w:rPr>
          <w:color w:val="44546A" w:themeColor="text2"/>
        </w:rPr>
        <w:t xml:space="preserve">4.2.1 </w:t>
      </w:r>
      <w:r w:rsidR="00DD1574" w:rsidRPr="00A87903">
        <w:rPr>
          <w:color w:val="44546A" w:themeColor="text2"/>
        </w:rPr>
        <w:t>Analysis</w:t>
      </w:r>
      <w:bookmarkEnd w:id="18"/>
    </w:p>
    <w:p w14:paraId="0AF9E4F5" w14:textId="0744B8DB" w:rsidR="00532550" w:rsidRDefault="00DD1574" w:rsidP="00532550">
      <w:pPr>
        <w:spacing w:line="480" w:lineRule="auto"/>
      </w:pPr>
      <w:r w:rsidRPr="00274EBB">
        <w:t xml:space="preserve">The safeguard clause counts as the most important means to a GMC ban in the EU during the period under Council Directive 2001/18/EC. The possibility to invoke a ban on GMCs, and the (legal) feasibility of such a </w:t>
      </w:r>
      <w:r w:rsidR="005D612B">
        <w:t>ban, divides actors</w:t>
      </w:r>
      <w:r w:rsidRPr="00274EBB">
        <w:t xml:space="preserve"> into two mutually exclusive positions: GMCs should be cultivated or not. </w:t>
      </w:r>
      <w:r w:rsidRPr="00274EBB">
        <w:tab/>
      </w:r>
      <w:r w:rsidRPr="00274EBB">
        <w:tab/>
      </w:r>
      <w:r w:rsidRPr="00274EBB">
        <w:tab/>
      </w:r>
      <w:r w:rsidR="005D612B">
        <w:tab/>
      </w:r>
      <w:r w:rsidR="005D612B">
        <w:tab/>
      </w:r>
      <w:r w:rsidR="005D612B">
        <w:tab/>
      </w:r>
      <w:r w:rsidR="005D612B">
        <w:tab/>
      </w:r>
      <w:r w:rsidRPr="00274EBB">
        <w:tab/>
      </w:r>
      <w:r w:rsidRPr="00274EBB">
        <w:tab/>
      </w:r>
      <w:r w:rsidRPr="00274EBB">
        <w:tab/>
      </w:r>
      <w:r w:rsidRPr="00274EBB">
        <w:tab/>
        <w:t>One GMC has been allowed for cultivation consistently in the EU, and has been grown on a commercial scale: MON810 (or YieldGard). The maize resistant to certain insects was approved for cultivation in 1998 after Monsanto made an application in France. Its authorisation however, did not mean that its seeds were sown all over the EU in the following years. In 1999, Austria becomes the first country to explicitly ban the cultivation of MON810. It justifies the ban as a measure against potential harmful effects to human health and to the environment (Eberhardt et al., 2016, p. 265). After the introduction of Council Directive 2001/18/EC (and the establishment of the EFSA), Austria invokes the safeguard clause to sustain its ban. The new information regarding adverse health or environmental effects required to ban a GMC by means of the safeguard clause is then examined by the EFSA. In response to this request, the EFSA declares that its own risk assessment of MON810 is still valid as Austria does not provide new scientific insights. As a consequence, Commissioner for the environment Margot Wallström concludes that the ban should be lifted:</w:t>
      </w:r>
      <w:r w:rsidRPr="00274EBB">
        <w:rPr>
          <w:color w:val="000000"/>
          <w:shd w:val="clear" w:color="auto" w:fill="FFFFFF"/>
        </w:rPr>
        <w:t xml:space="preserve"> “We have analysed the Austrian measures in great detail, and, legally speaking, this seems a clear-cut case. The Treaty requirements allowing for a derogation from EU legislation are not met and, in its role of guardian of the Treaty, the Commission can only reject the Austrian request. I have, of course, full respect for the concerns of the Austrian authorities for the protection of the environment and human health, and have no problem to recognise that co-existence is an important issue to be addressed. However, I would like to point out that these are common concerns, shared by many regions across Europe, for which is it possible to find a viable response within the existing legal framework” (</w:t>
      </w:r>
      <w:r w:rsidRPr="00274EBB">
        <w:rPr>
          <w:bCs/>
          <w:color w:val="000000"/>
          <w:shd w:val="clear" w:color="auto" w:fill="FFFFFF"/>
        </w:rPr>
        <w:t xml:space="preserve">European </w:t>
      </w:r>
      <w:r w:rsidRPr="00274EBB">
        <w:rPr>
          <w:bCs/>
          <w:color w:val="000000"/>
          <w:shd w:val="clear" w:color="auto" w:fill="FFFFFF"/>
        </w:rPr>
        <w:lastRenderedPageBreak/>
        <w:t>Commission, 2003</w:t>
      </w:r>
      <w:r w:rsidRPr="00274EBB">
        <w:rPr>
          <w:color w:val="000000"/>
          <w:shd w:val="clear" w:color="auto" w:fill="FFFFFF"/>
        </w:rPr>
        <w:t xml:space="preserve">). </w:t>
      </w:r>
      <w:r w:rsidRPr="00274EBB">
        <w:rPr>
          <w:color w:val="000000"/>
          <w:shd w:val="clear" w:color="auto" w:fill="FFFFFF"/>
        </w:rPr>
        <w:tab/>
      </w:r>
      <w:r w:rsidRPr="00274EBB">
        <w:rPr>
          <w:color w:val="000000"/>
          <w:shd w:val="clear" w:color="auto" w:fill="FFFFFF"/>
        </w:rPr>
        <w:tab/>
      </w:r>
      <w:r w:rsidRPr="00274EBB">
        <w:rPr>
          <w:color w:val="000000"/>
          <w:shd w:val="clear" w:color="auto" w:fill="FFFFFF"/>
        </w:rPr>
        <w:tab/>
      </w:r>
      <w:r w:rsidRPr="00274EBB">
        <w:rPr>
          <w:color w:val="000000"/>
          <w:shd w:val="clear" w:color="auto" w:fill="FFFFFF"/>
        </w:rPr>
        <w:tab/>
      </w:r>
      <w:r w:rsidRPr="00274EBB">
        <w:rPr>
          <w:color w:val="000000"/>
          <w:shd w:val="clear" w:color="auto" w:fill="FFFFFF"/>
        </w:rPr>
        <w:tab/>
      </w:r>
      <w:r w:rsidRPr="00274EBB">
        <w:rPr>
          <w:color w:val="000000"/>
          <w:shd w:val="clear" w:color="auto" w:fill="FFFFFF"/>
        </w:rPr>
        <w:tab/>
      </w:r>
      <w:r w:rsidRPr="00274EBB">
        <w:rPr>
          <w:color w:val="000000"/>
          <w:shd w:val="clear" w:color="auto" w:fill="FFFFFF"/>
        </w:rPr>
        <w:tab/>
      </w:r>
      <w:r w:rsidRPr="00274EBB">
        <w:rPr>
          <w:color w:val="000000"/>
          <w:shd w:val="clear" w:color="auto" w:fill="FFFFFF"/>
        </w:rPr>
        <w:tab/>
      </w:r>
      <w:r w:rsidRPr="00274EBB">
        <w:rPr>
          <w:color w:val="000000"/>
          <w:shd w:val="clear" w:color="auto" w:fill="FFFFFF"/>
        </w:rPr>
        <w:tab/>
      </w:r>
      <w:r w:rsidRPr="00274EBB">
        <w:rPr>
          <w:color w:val="000000"/>
          <w:shd w:val="clear" w:color="auto" w:fill="FFFFFF"/>
        </w:rPr>
        <w:tab/>
      </w:r>
      <w:r w:rsidRPr="00274EBB">
        <w:rPr>
          <w:color w:val="000000"/>
          <w:shd w:val="clear" w:color="auto" w:fill="FFFFFF"/>
        </w:rPr>
        <w:tab/>
      </w:r>
      <w:r w:rsidRPr="00274EBB">
        <w:t>With regards to the possibility of banning GMCs for cultivation, the Commission states that GMC free zones can be created under current legislation on a voluntary basis, leaving to the MSs the option to create such zones in circumstances when farmers in a given area agree to do this (European Report, 2003). A proposal by the Commission to lift the Austrian ban (and others), is rejected by the Council however in</w:t>
      </w:r>
      <w:r w:rsidR="00F70F29">
        <w:t xml:space="preserve"> 2005 (European Council</w:t>
      </w:r>
      <w:r w:rsidR="00532550">
        <w:t>, 2009</w:t>
      </w:r>
      <w:r w:rsidRPr="00274EBB">
        <w:t xml:space="preserve">). The Austrian ban of MON810 is the first time that a MS collides with the Commission’s in its role as ‘guardian of the Treaty’ on the matter of GMC cultivation. More similar collisions would follow, resulting in a political limbo in which the Commission and the MSs would not agree for years to come on the interpretation of the safeguard clause. During these years, MON810 is cultivated on a commercial scale predominantly in Spain, and increasingly in France. In other countries GMC cultivation is </w:t>
      </w:r>
      <w:r w:rsidR="00FE3BB0">
        <w:t>low</w:t>
      </w:r>
      <w:r w:rsidRPr="00274EBB">
        <w:t xml:space="preserve"> </w:t>
      </w:r>
      <w:r>
        <w:t>and mostly meant for research.</w:t>
      </w:r>
      <w:r>
        <w:tab/>
      </w:r>
      <w:r w:rsidR="00532550">
        <w:tab/>
      </w:r>
      <w:r w:rsidR="00532550">
        <w:tab/>
      </w:r>
      <w:r w:rsidR="00532550">
        <w:tab/>
      </w:r>
      <w:r w:rsidR="00532550">
        <w:tab/>
      </w:r>
      <w:r w:rsidR="00532550">
        <w:tab/>
      </w:r>
      <w:r w:rsidR="00532550">
        <w:tab/>
      </w:r>
      <w:r w:rsidR="00532550">
        <w:tab/>
      </w:r>
      <w:r w:rsidR="00532550">
        <w:tab/>
      </w:r>
      <w:r w:rsidR="00532550">
        <w:tab/>
      </w:r>
      <w:r w:rsidR="00532550">
        <w:tab/>
      </w:r>
      <w:r w:rsidR="00532550">
        <w:tab/>
      </w:r>
      <w:r w:rsidRPr="00274EBB">
        <w:t xml:space="preserve">Alongside the limbo revolving the safeguard measures on MON810, proponents and opponents of GMC cultivation stand opposed each other with regards to possible new authorisations as well. In June 1999, after the authorisation of MON810, a coalition of MSs consisting of France, Greece, Denmark, Italy and Luxembourg, declare that they will block new authorisations of GMOs (in general) until the Commission proposes additional, stricter legislation considering the labelling, traceability and risk assessment of GMCs (Wesseler, 2010, p. 105; Eberhardt et al., 2016, p. 265-266). As these countries form a blocking majority, during these years no GMCs are approved, either for cultivation nor for their use in food and feed. Therefore, this period has been named the ‘moratorium’ on GMOs (Eberhardt et al., 2016, p. 266; Wesseler, 2010, p. 105). </w:t>
      </w:r>
      <w:r>
        <w:tab/>
      </w:r>
      <w:r>
        <w:tab/>
      </w:r>
      <w:r>
        <w:tab/>
      </w:r>
      <w:r w:rsidRPr="00274EBB">
        <w:t xml:space="preserve">Partially addressing the opposition to GMCs by the MSs, the Commission proposes stricter labelling and tracing regulations for GMOs in 2001 and 2003. It also issues new guidelines on the co-existence of GMCs alongside organic or conventional crops. The effectuation of Council Regulation 1829/2003/EC, and Council Directive 2001/18/EC and the consequential establishment of the EFSA, lifts the moratorium (Eberhardt et al., 2016, p. 266). The moratorium however only ends for products </w:t>
      </w:r>
      <w:r w:rsidRPr="00274EBB">
        <w:lastRenderedPageBreak/>
        <w:t>meant for the use in food and feed rather than for those meant for cultivation. For cultivation, no new GMCs would be approved for another seven years. Much to the discontent of the Commissioner for Agriculture Franz Fischler who states that the continuous debate on the co-existence of GMCS alongside other crops should not stand in the way of new authorisations: ‘’There is no justification for using this issue as a pretext for seeking to place barriers in the path of GM authorization’’</w:t>
      </w:r>
      <w:r>
        <w:t xml:space="preserve"> (</w:t>
      </w:r>
      <w:r w:rsidR="00532550">
        <w:t xml:space="preserve">European </w:t>
      </w:r>
      <w:r>
        <w:t>Commission</w:t>
      </w:r>
      <w:r w:rsidRPr="00274EBB">
        <w:t>, 2003</w:t>
      </w:r>
      <w:r>
        <w:t>a</w:t>
      </w:r>
      <w:r w:rsidRPr="00274EBB">
        <w:t>). In April 2004, whit the new legislation in effect, the import of Syngenta’s Bt-11 Maize gets rubberstamp authorisation by the Commission as MSs do not reach a QM. With regards to authorisations for marketing of GMCs for food an feed purposes, more new crops would get rubberstamp authorisation the next years, such as Monsanto’s NK603 maize in 2004, and another six different GMCs in 2005 (Financial Times, 2006). With regards to the authorisation of GMCs meant for cultivation however, no new GMCs would be authorised until ‘Amflora’</w:t>
      </w:r>
      <w:r w:rsidR="00B30CDA">
        <w:t xml:space="preserve"> in 2010</w:t>
      </w:r>
      <w:r>
        <w:tab/>
      </w:r>
    </w:p>
    <w:p w14:paraId="2FD13CD5" w14:textId="77777777" w:rsidR="00532550" w:rsidRDefault="006A1EFE" w:rsidP="00532550">
      <w:pPr>
        <w:spacing w:after="0" w:line="480" w:lineRule="auto"/>
      </w:pPr>
      <w:r w:rsidRPr="004F19C8">
        <w:rPr>
          <w:rFonts w:asciiTheme="majorHAnsi" w:hAnsiTheme="majorHAnsi" w:cstheme="majorHAnsi"/>
          <w:color w:val="44546A" w:themeColor="text2"/>
          <w:sz w:val="26"/>
          <w:szCs w:val="26"/>
        </w:rPr>
        <w:t>Domestic situation</w:t>
      </w:r>
      <w:r w:rsidR="00A87903" w:rsidRPr="004F19C8">
        <w:rPr>
          <w:rFonts w:asciiTheme="majorHAnsi" w:hAnsiTheme="majorHAnsi" w:cstheme="majorHAnsi"/>
          <w:color w:val="44546A" w:themeColor="text2"/>
          <w:sz w:val="26"/>
          <w:szCs w:val="26"/>
        </w:rPr>
        <w:t>; pressure to deflect rises</w:t>
      </w:r>
      <w:r w:rsidR="00532550">
        <w:tab/>
      </w:r>
      <w:r w:rsidR="00532550">
        <w:tab/>
      </w:r>
      <w:r w:rsidR="00532550">
        <w:tab/>
      </w:r>
      <w:r w:rsidR="00532550">
        <w:tab/>
      </w:r>
      <w:r w:rsidR="00532550">
        <w:tab/>
      </w:r>
      <w:r w:rsidR="00532550">
        <w:tab/>
      </w:r>
    </w:p>
    <w:p w14:paraId="09178934" w14:textId="77777777" w:rsidR="00DD1574" w:rsidRPr="00274EBB" w:rsidRDefault="00DD1574" w:rsidP="00532550">
      <w:pPr>
        <w:spacing w:after="0" w:line="480" w:lineRule="auto"/>
      </w:pPr>
      <w:r w:rsidRPr="00274EBB">
        <w:t xml:space="preserve">As the Commission continues to defend its position on GMCs, domestic pressure in the MSs to defect from EU practices rises. On the one hand, proponents of GMC cultivation argue for the lifting of bans on MON810 and demand more support in their endeavour to cultivate GMCs on a commercial scale. On the other hand, demands for a full moratorium on all GMOs remain persistent. </w:t>
      </w:r>
      <w:r w:rsidRPr="008651B4">
        <w:t xml:space="preserve">How this will play out in MSs is illustrated below.  </w:t>
      </w:r>
    </w:p>
    <w:p w14:paraId="66F750DA" w14:textId="77777777" w:rsidR="00DD1574" w:rsidRPr="00AD29F3" w:rsidRDefault="00DD1574" w:rsidP="00DD1574">
      <w:pPr>
        <w:pStyle w:val="ListParagraph"/>
        <w:numPr>
          <w:ilvl w:val="0"/>
          <w:numId w:val="5"/>
        </w:numPr>
        <w:spacing w:before="240" w:after="160" w:line="480" w:lineRule="auto"/>
        <w:rPr>
          <w:lang w:val="en-GB"/>
        </w:rPr>
      </w:pPr>
      <w:r w:rsidRPr="00AD29F3">
        <w:rPr>
          <w:lang w:val="en-GB"/>
        </w:rPr>
        <w:t xml:space="preserve">In France, following MON810’s authorisation, its cultivation left its experimental phase and is cultivated on a bigger commercial scale each year. In 2006, around 5.200 hectares are cultivated (Reuters, </w:t>
      </w:r>
      <w:r>
        <w:rPr>
          <w:lang w:val="en-GB"/>
        </w:rPr>
        <w:t>2007</w:t>
      </w:r>
      <w:r w:rsidRPr="00AD29F3">
        <w:rPr>
          <w:lang w:val="en-GB"/>
        </w:rPr>
        <w:t xml:space="preserve">), and the next year this rises to around </w:t>
      </w:r>
      <w:r>
        <w:rPr>
          <w:lang w:val="en-GB"/>
        </w:rPr>
        <w:t>22.000 hectares (AFP, 2008</w:t>
      </w:r>
      <w:r w:rsidRPr="00AD29F3">
        <w:rPr>
          <w:lang w:val="en-GB"/>
        </w:rPr>
        <w:t xml:space="preserve">). By the year of 2008, expectations are that around 100.000 hectares of MON810 will be sown in the spring of 2009 (TheGuardian, 2012). As the cultivation of MON810 is growing exponentially in France, societal actors increase their efforts either to stop, or protect and stimulate the rise of GMCs. Although environmental organizations were not able to prevent </w:t>
      </w:r>
      <w:r w:rsidRPr="00AD29F3">
        <w:rPr>
          <w:lang w:val="en-GB"/>
        </w:rPr>
        <w:lastRenderedPageBreak/>
        <w:t xml:space="preserve">the commercial cultivation of MON810, they are determined in their endeavours to stop GMC cultivation. And in the beginning of 2008, its cultivation comes to a halt. In the first week of January, José Bové, French politician and founder of the French farmers association </w:t>
      </w:r>
      <w:r w:rsidRPr="00AD29F3">
        <w:rPr>
          <w:i/>
          <w:lang w:val="en-GB"/>
        </w:rPr>
        <w:t>Confédération Paysanne</w:t>
      </w:r>
      <w:r w:rsidRPr="00AD29F3">
        <w:rPr>
          <w:lang w:val="en-GB"/>
        </w:rPr>
        <w:t xml:space="preserve"> goes into hunger strike, demanding a ban on the cultivation of GMCs. José Bové is a high-profile person by then, known as the foreman of numerous actions where he and followers would destroy GMC cultivation fields across France, calling themselves ‘</w:t>
      </w:r>
      <w:r w:rsidRPr="00AD29F3">
        <w:rPr>
          <w:i/>
          <w:lang w:val="en-GB"/>
        </w:rPr>
        <w:t>Les Faucheurs Volontaires’</w:t>
      </w:r>
      <w:r w:rsidRPr="00AD29F3">
        <w:rPr>
          <w:lang w:val="en-GB"/>
        </w:rPr>
        <w:t>. This organisation has around 5000 members in 2007, and managed to get 70.000 signatures for an initiative to ban GMOs completely: ‘</w:t>
      </w:r>
      <w:r w:rsidRPr="00AD29F3">
        <w:rPr>
          <w:i/>
          <w:lang w:val="en-GB"/>
        </w:rPr>
        <w:t>l’Appel d’Orléans’.</w:t>
      </w:r>
      <w:r w:rsidRPr="00AD29F3">
        <w:rPr>
          <w:lang w:val="en-GB"/>
        </w:rPr>
        <w:t xml:space="preserve"> This initiative is later adopted by government officials such as Alain Juppé, minister for the environment, energy and transport under the government of François Fillon. Responding to the governments intentions to ban MON810, French producers organizations (such as AGPM, AGPB and FOP) united under Orama, declare that they will challenge a safeguard ban in court, and that they still expect to sow MON810 coming spring 2009 (The Guardian, 2012). In respons</w:t>
      </w:r>
      <w:r>
        <w:rPr>
          <w:lang w:val="en-GB"/>
        </w:rPr>
        <w:t>e</w:t>
      </w:r>
      <w:r w:rsidRPr="00AD29F3">
        <w:rPr>
          <w:lang w:val="en-GB"/>
        </w:rPr>
        <w:t xml:space="preserve"> to a French farmer committing suicide two days after he was warned that the </w:t>
      </w:r>
      <w:r w:rsidRPr="00AD29F3">
        <w:rPr>
          <w:i/>
          <w:lang w:val="en-GB"/>
        </w:rPr>
        <w:t>Faucheurs Volontaires</w:t>
      </w:r>
      <w:r w:rsidRPr="00AD29F3">
        <w:rPr>
          <w:lang w:val="en-GB"/>
        </w:rPr>
        <w:t xml:space="preserve"> would occupy its field of MON810, the president of the EuropeBio Nathalie Moll linked this case to anti-GMO activism, calling it a ‘Witch hunt’ (</w:t>
      </w:r>
      <w:r>
        <w:rPr>
          <w:lang w:val="en-GB"/>
        </w:rPr>
        <w:t>Sample</w:t>
      </w:r>
      <w:r w:rsidRPr="00AD29F3">
        <w:rPr>
          <w:lang w:val="en-GB"/>
        </w:rPr>
        <w:t>, 2008).</w:t>
      </w:r>
    </w:p>
    <w:p w14:paraId="38E5A78B" w14:textId="77777777" w:rsidR="00DD1574" w:rsidRPr="00AD29F3" w:rsidRDefault="00DD1574" w:rsidP="00DD1574">
      <w:pPr>
        <w:pStyle w:val="ListParagraph"/>
        <w:numPr>
          <w:ilvl w:val="0"/>
          <w:numId w:val="5"/>
        </w:numPr>
        <w:spacing w:after="160" w:line="480" w:lineRule="auto"/>
        <w:rPr>
          <w:u w:val="single"/>
          <w:lang w:val="en-GB"/>
        </w:rPr>
      </w:pPr>
      <w:r w:rsidRPr="00AD29F3">
        <w:rPr>
          <w:lang w:val="en-GB"/>
        </w:rPr>
        <w:t xml:space="preserve">By the time that France is growing MON810 on a commercial scale, the U.K. still grows GMC on an experimental level. MON810 does not yield as many advantages in the U.K. as it does in other MSs as the insect and pest resistances developed are less relevant for its climate. Moreover, domestic resistance to GMC cultivation is very active as well. As in France, the U.K. has known a history of activism against GMC cultivation which makes it difficult for producers to grow GMCs, even for research purposes. Since 2000, almost all of the fifty-four GMC trial sites have been vandalized (The Independent, 2017). The anti-GMO groups in the U.K. have linked up with other groups in Europe, organizing ‘field liberation camps’ to train activists and to discuss possible strategies. U.K. activists boast themselves as being at the </w:t>
      </w:r>
      <w:r w:rsidRPr="00AD29F3">
        <w:rPr>
          <w:lang w:val="en-GB"/>
        </w:rPr>
        <w:lastRenderedPageBreak/>
        <w:t>forefront of this battle. Gerald Miles, head of GM-free Cymru claims: ‘’There is a movement now. We’ve all got similar actions and campaigns going on and we can help each other out. The U.K. has been at the forefront of this, so Europe has been looking to the U.K. as experienced campaigners. More and more of us see this as a European issue and creating a GM free Europe is our main goal. We are a network now, we work togethe</w:t>
      </w:r>
      <w:r>
        <w:rPr>
          <w:lang w:val="en-GB"/>
        </w:rPr>
        <w:t>r.’’ (Sample</w:t>
      </w:r>
      <w:r w:rsidRPr="00AD29F3">
        <w:rPr>
          <w:lang w:val="en-GB"/>
        </w:rPr>
        <w:t>, 2008). The strict way in which the U.K. has transposed Council Directive 2001/18/EC which states that there should be a register on GMC cultivation sites, has made it possible for activists to easily find and target GMC sites. Over the years, less trials were planned. In 2008 only a few attempts were made. One of the two trials by BASF planned for 2008 was annulated as a farmer pulled out after its location was enclo</w:t>
      </w:r>
      <w:r>
        <w:rPr>
          <w:lang w:val="en-GB"/>
        </w:rPr>
        <w:t>sed to the public register (Sample</w:t>
      </w:r>
      <w:r w:rsidRPr="00AD29F3">
        <w:rPr>
          <w:lang w:val="en-GB"/>
        </w:rPr>
        <w:t>, 2008).</w:t>
      </w:r>
      <w:r w:rsidRPr="00AD29F3">
        <w:rPr>
          <w:lang w:val="en-GB"/>
        </w:rPr>
        <w:tab/>
      </w:r>
      <w:r>
        <w:rPr>
          <w:lang w:val="en-GB"/>
        </w:rPr>
        <w:tab/>
      </w:r>
      <w:r w:rsidRPr="00AD29F3">
        <w:rPr>
          <w:lang w:val="en-GB"/>
        </w:rPr>
        <w:t xml:space="preserve">On the contrary, the government’s chief scientific advisor Sir David King indicates that the U.K. should press ahead with GMC cultivation </w:t>
      </w:r>
      <w:r>
        <w:rPr>
          <w:lang w:val="en-GB"/>
        </w:rPr>
        <w:t>(Williams, 2007</w:t>
      </w:r>
      <w:r w:rsidRPr="00AD29F3">
        <w:rPr>
          <w:lang w:val="en-GB"/>
        </w:rPr>
        <w:t>). Although Scotland and Wales try to keep their countries free of GMOs, the U.K. as a whole supports the Commission’s calls for lifting the GMO bans in Europe in support of EFSA’s safety assessment (The</w:t>
      </w:r>
      <w:r>
        <w:rPr>
          <w:lang w:val="en-GB"/>
        </w:rPr>
        <w:t xml:space="preserve"> </w:t>
      </w:r>
      <w:r w:rsidRPr="00AD29F3">
        <w:rPr>
          <w:lang w:val="en-GB"/>
        </w:rPr>
        <w:t>Guardian</w:t>
      </w:r>
      <w:r>
        <w:rPr>
          <w:lang w:val="en-GB"/>
        </w:rPr>
        <w:t>,</w:t>
      </w:r>
      <w:r w:rsidRPr="00AD29F3">
        <w:rPr>
          <w:lang w:val="en-GB"/>
        </w:rPr>
        <w:t xml:space="preserve"> 2009). The U.K.´s stance on GMOs is that it does not think GMC free zones are necessary. Earlier, the United Kingdom has expressed its preference for maximum flexibility regarding co-existence measures (European Report 2003). The government’s positive attitude towards GMOs seems to support producers to regain hope at cultivating GMC in the U.K. after years of set-backs. Mike Mack, head of Syngenta says: ‘’We don’t conduct any research in Europe. We took all our GM research to the U.S. years ago. Our financial ambitions are not underpinned by the EU because we cannot see that happening any time soon.’’ (</w:t>
      </w:r>
      <w:r>
        <w:rPr>
          <w:lang w:val="en-GB"/>
        </w:rPr>
        <w:t>Mortished, 2008</w:t>
      </w:r>
      <w:r w:rsidRPr="00AD29F3">
        <w:rPr>
          <w:lang w:val="en-GB"/>
        </w:rPr>
        <w:t>). In the beginning of 2008, BASF initiates new trials – be it under twenty-four hour guard and behind fences - for a GMC that would later be named ‘Amflora’, a potato resilient to potato blight (</w:t>
      </w:r>
      <w:r>
        <w:rPr>
          <w:lang w:val="en-GB"/>
        </w:rPr>
        <w:t>Sample, 2008</w:t>
      </w:r>
      <w:r w:rsidRPr="00AD29F3">
        <w:rPr>
          <w:lang w:val="en-GB"/>
        </w:rPr>
        <w:t xml:space="preserve">). </w:t>
      </w:r>
    </w:p>
    <w:p w14:paraId="5D594BFF" w14:textId="77777777" w:rsidR="00DD1574" w:rsidRPr="00AD29F3" w:rsidRDefault="00DD1574" w:rsidP="00DD1574">
      <w:pPr>
        <w:pStyle w:val="ListParagraph"/>
        <w:numPr>
          <w:ilvl w:val="0"/>
          <w:numId w:val="5"/>
        </w:numPr>
        <w:spacing w:after="160" w:line="480" w:lineRule="auto"/>
        <w:rPr>
          <w:lang w:val="en-GB"/>
        </w:rPr>
      </w:pPr>
      <w:r w:rsidRPr="00AD29F3">
        <w:rPr>
          <w:lang w:val="en-GB"/>
        </w:rPr>
        <w:t xml:space="preserve">In Germany, the cultivation of MON810 is permitted since 2005 with a brief ban in 2007 which was lifted after Monsanto introduced new monitoring plans (Spiegel, 2008). In 2008, </w:t>
      </w:r>
      <w:r w:rsidRPr="00AD29F3">
        <w:rPr>
          <w:lang w:val="en-GB"/>
        </w:rPr>
        <w:lastRenderedPageBreak/>
        <w:t xml:space="preserve">the </w:t>
      </w:r>
      <w:r w:rsidRPr="00AD29F3">
        <w:rPr>
          <w:i/>
          <w:lang w:val="en-GB"/>
        </w:rPr>
        <w:t>Bundestag</w:t>
      </w:r>
      <w:r w:rsidRPr="00AD29F3">
        <w:rPr>
          <w:lang w:val="en-GB"/>
        </w:rPr>
        <w:t xml:space="preserve"> voted against a proposal by </w:t>
      </w:r>
      <w:r w:rsidRPr="00AD29F3">
        <w:rPr>
          <w:i/>
          <w:lang w:val="en-GB"/>
        </w:rPr>
        <w:t>Die Grünen</w:t>
      </w:r>
      <w:r w:rsidRPr="00AD29F3">
        <w:rPr>
          <w:lang w:val="en-GB"/>
        </w:rPr>
        <w:t xml:space="preserve"> that opt-outs should be a competence of the </w:t>
      </w:r>
      <w:r w:rsidRPr="00AD29F3">
        <w:rPr>
          <w:i/>
          <w:lang w:val="en-GB"/>
        </w:rPr>
        <w:t>Länder (</w:t>
      </w:r>
      <w:r>
        <w:rPr>
          <w:lang w:val="en-GB"/>
        </w:rPr>
        <w:t>L</w:t>
      </w:r>
      <w:r w:rsidRPr="002D2997">
        <w:rPr>
          <w:lang w:val="en-US"/>
        </w:rPr>
        <w:t>ö</w:t>
      </w:r>
      <w:r>
        <w:rPr>
          <w:lang w:val="en-GB"/>
        </w:rPr>
        <w:t>hr,</w:t>
      </w:r>
      <w:r w:rsidRPr="00AD29F3">
        <w:rPr>
          <w:i/>
          <w:lang w:val="en-GB"/>
        </w:rPr>
        <w:t xml:space="preserve"> 2008)</w:t>
      </w:r>
      <w:r w:rsidRPr="00AD29F3">
        <w:rPr>
          <w:lang w:val="en-GB"/>
        </w:rPr>
        <w:t xml:space="preserve">. With regards to the allocation of discretionary competences, Germany expresses several times that there should be an option to opt-out of the authorisation of a GMC. Sigmar Gabriel, Germany’s </w:t>
      </w:r>
      <w:r w:rsidRPr="00AD29F3">
        <w:rPr>
          <w:i/>
          <w:lang w:val="en-GB"/>
        </w:rPr>
        <w:t xml:space="preserve">Bundesminister </w:t>
      </w:r>
      <w:r w:rsidRPr="00AD29F3">
        <w:rPr>
          <w:lang w:val="en-GB"/>
        </w:rPr>
        <w:t xml:space="preserve">for the environment, Horst Seehofer as </w:t>
      </w:r>
      <w:r w:rsidRPr="00AD29F3">
        <w:rPr>
          <w:i/>
          <w:lang w:val="en-GB"/>
        </w:rPr>
        <w:t>Bundesminister for</w:t>
      </w:r>
      <w:r w:rsidRPr="00AD29F3">
        <w:rPr>
          <w:lang w:val="en-GB"/>
        </w:rPr>
        <w:t xml:space="preserve"> agriculture</w:t>
      </w:r>
      <w:r w:rsidRPr="00AD29F3">
        <w:rPr>
          <w:i/>
          <w:lang w:val="en-GB"/>
        </w:rPr>
        <w:t xml:space="preserve"> </w:t>
      </w:r>
      <w:r w:rsidRPr="00AD29F3">
        <w:rPr>
          <w:lang w:val="en-GB"/>
        </w:rPr>
        <w:t>and his successor Ilse Aigner</w:t>
      </w:r>
      <w:r w:rsidRPr="00AD29F3">
        <w:rPr>
          <w:i/>
          <w:lang w:val="en-GB"/>
        </w:rPr>
        <w:t xml:space="preserve"> </w:t>
      </w:r>
      <w:r w:rsidRPr="00AD29F3">
        <w:rPr>
          <w:lang w:val="en-GB"/>
        </w:rPr>
        <w:t xml:space="preserve">all express this view during the period </w:t>
      </w:r>
      <w:r>
        <w:rPr>
          <w:lang w:val="en-GB"/>
        </w:rPr>
        <w:t>from 2008 to 2009 (DPA-AFX 2008</w:t>
      </w:r>
      <w:r w:rsidRPr="00AD29F3">
        <w:rPr>
          <w:lang w:val="en-GB"/>
        </w:rPr>
        <w:t>; Berliner Morgenpost 2008). Different reasons are given for supporting an opt-out. Gabriel attacks the practices by the EFSA, stating that it should leave room for GMO critical opinions to be voiced. He considers practices of the EFSA not transparent, vague and to be leading to a state of ‘</w:t>
      </w:r>
      <w:r w:rsidRPr="00AD29F3">
        <w:rPr>
          <w:i/>
          <w:lang w:val="en-GB"/>
        </w:rPr>
        <w:t xml:space="preserve">organisierted unverantwortlichkeit’ </w:t>
      </w:r>
      <w:r w:rsidRPr="00AD29F3">
        <w:rPr>
          <w:lang w:val="en-GB"/>
        </w:rPr>
        <w:t>(DPA-AFX 2008)</w:t>
      </w:r>
      <w:r w:rsidRPr="00AD29F3">
        <w:rPr>
          <w:i/>
          <w:lang w:val="en-GB"/>
        </w:rPr>
        <w:t>.</w:t>
      </w:r>
      <w:r w:rsidRPr="00AD29F3">
        <w:rPr>
          <w:lang w:val="en-GB"/>
        </w:rPr>
        <w:t xml:space="preserve"> Seehofer, who is elected as minister-president of Bavaria in September 2008, expresses that the cultivation of GMCs should not be regulated at the European level: ‘’Man sollte den Mitgliedsstaaten mehr Kompetenzen geben, den das hat nichts mit dem Binnenmarkt zu tun’’ (Rheinische Post Duesseldorf, 2008). Seehofer and his CSU has been exerting pressure on Aigner to ban MON810 and other GMOs. This pressure was enough to cause friction and evoke a response from CDU’s chair Katherina Reiche, who criticizes the : ‘’</w:t>
      </w:r>
      <w:r w:rsidRPr="00AD29F3">
        <w:rPr>
          <w:rFonts w:ascii="Calibri" w:hAnsi="Calibri" w:cs="Calibri"/>
          <w:shd w:val="clear" w:color="auto" w:fill="FFFFFF"/>
          <w:lang w:val="en-GB"/>
        </w:rPr>
        <w:t xml:space="preserve"> unverantwortliche Stimmungsmache der CSU’’ (Spiegel, 2009). Within the government thus, there is discord considering the cultivation of GMCs. Moreover, similar anti-GMO activists such as FOEE and Greenpeace, or the local ‘Gendreck weg!’ are active in Germany, undertaking similar actions as in France and in the U.K., although unlike in these countries, in Germany the amount of regions and farmers who declare themselves GMC free as a result of voluntary agreement is considerably higher.  </w:t>
      </w:r>
    </w:p>
    <w:p w14:paraId="45C560EF" w14:textId="77777777" w:rsidR="00A87903" w:rsidRPr="004F19C8" w:rsidRDefault="004F19C8"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 xml:space="preserve">The Commission attempts to </w:t>
      </w:r>
      <w:r w:rsidR="00A87903" w:rsidRPr="004F19C8">
        <w:rPr>
          <w:rFonts w:asciiTheme="majorHAnsi" w:hAnsiTheme="majorHAnsi" w:cstheme="majorHAnsi"/>
          <w:color w:val="44546A" w:themeColor="text2"/>
          <w:sz w:val="26"/>
          <w:szCs w:val="26"/>
        </w:rPr>
        <w:t>enforce EU rules</w:t>
      </w:r>
    </w:p>
    <w:p w14:paraId="40248EDC" w14:textId="77777777" w:rsidR="00DD1574" w:rsidRDefault="00DD1574" w:rsidP="004F19C8">
      <w:pPr>
        <w:spacing w:after="0" w:line="480" w:lineRule="auto"/>
      </w:pPr>
      <w:r>
        <w:t xml:space="preserve">The Commission thus faces MSs who wish to deviate from its policies by banning the cultivation of approved GMCs on their territory. </w:t>
      </w:r>
      <w:r w:rsidRPr="00274EBB">
        <w:t>With regards to the future of GM</w:t>
      </w:r>
      <w:r>
        <w:t>C</w:t>
      </w:r>
      <w:r w:rsidRPr="00274EBB">
        <w:t xml:space="preserve"> cultivation, Franz Fisch</w:t>
      </w:r>
      <w:r>
        <w:t>l</w:t>
      </w:r>
      <w:r w:rsidR="00532550">
        <w:t>er indicates</w:t>
      </w:r>
      <w:r w:rsidRPr="00274EBB">
        <w:t xml:space="preserve"> that he would support GM</w:t>
      </w:r>
      <w:r>
        <w:t>C</w:t>
      </w:r>
      <w:r w:rsidRPr="00274EBB">
        <w:t>-free region</w:t>
      </w:r>
      <w:r>
        <w:t>s on a voluntary basis (European Commission</w:t>
      </w:r>
      <w:r w:rsidRPr="00274EBB">
        <w:t>, 2003</w:t>
      </w:r>
      <w:r>
        <w:t>a</w:t>
      </w:r>
      <w:r w:rsidRPr="00274EBB">
        <w:t xml:space="preserve">), an already existing option but proven to be difficult as all farmers in a given region should </w:t>
      </w:r>
      <w:r w:rsidRPr="00274EBB">
        <w:lastRenderedPageBreak/>
        <w:t>support such a ban. With regards to the saf</w:t>
      </w:r>
      <w:r>
        <w:t>eguard bans, the Commission will</w:t>
      </w:r>
      <w:r w:rsidRPr="00274EBB">
        <w:t xml:space="preserve"> undertake steps aiming at lifting them. After the EFSA judged Austria, and other MSs’ safeguard bans to be invalid, the Commission demanded these countries to lift their bans. In 2005, a proposal by the Commission to lift these bans, was refused by a majority of the Council. Proposals to lift the bans would be refused by the Council three times more in the following years in December 2006, in February 2007, and in March 2009. Countries that supported the Commission were the U.K., Finland, Sweden and the Netherlands (</w:t>
      </w:r>
      <w:r>
        <w:t>European Council, 2009</w:t>
      </w:r>
      <w:r w:rsidRPr="00274EBB">
        <w:t>). During these years however, more MSs joined in banning the cultivation of MON810, namely: Greece, Hung</w:t>
      </w:r>
      <w:r>
        <w:t>ary and Romania (Gmo-free-regions, 2017</w:t>
      </w:r>
      <w:r w:rsidRPr="00274EBB">
        <w:t>).</w:t>
      </w:r>
      <w:r>
        <w:t xml:space="preserve"> </w:t>
      </w:r>
    </w:p>
    <w:p w14:paraId="55896630" w14:textId="77777777" w:rsidR="00532550" w:rsidRPr="00274EBB" w:rsidRDefault="00532550" w:rsidP="004F19C8">
      <w:pPr>
        <w:spacing w:after="0" w:line="480" w:lineRule="auto"/>
      </w:pPr>
    </w:p>
    <w:p w14:paraId="1322183B" w14:textId="77777777" w:rsidR="00DD1574" w:rsidRPr="004F19C8" w:rsidRDefault="00A87903"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Domestic situation; MSs</w:t>
      </w:r>
      <w:r w:rsidR="00DD1574" w:rsidRPr="004F19C8">
        <w:rPr>
          <w:rFonts w:asciiTheme="majorHAnsi" w:hAnsiTheme="majorHAnsi" w:cstheme="majorHAnsi"/>
          <w:color w:val="44546A" w:themeColor="text2"/>
          <w:sz w:val="26"/>
          <w:szCs w:val="26"/>
        </w:rPr>
        <w:t xml:space="preserve"> get creative in handling the Commission</w:t>
      </w:r>
    </w:p>
    <w:p w14:paraId="1E084C47" w14:textId="77777777" w:rsidR="00DD1574" w:rsidRDefault="00DD1574" w:rsidP="004F19C8">
      <w:pPr>
        <w:spacing w:after="0" w:line="480" w:lineRule="auto"/>
      </w:pPr>
      <w:r>
        <w:t xml:space="preserve">Although the Commission’s attempts to lift the bans are not supported by the Council, the Commission does not altogether stand weak vis-à-vis the MSs in enforcing its rules. </w:t>
      </w:r>
      <w:r w:rsidRPr="00274EBB">
        <w:t xml:space="preserve">Within the MSs it proves to be a difficult task to circumvent the EU authorisation of MON810. In order to impose bans anyway, MSs come up with different solutions. </w:t>
      </w:r>
    </w:p>
    <w:p w14:paraId="3F630627" w14:textId="77777777" w:rsidR="00DD1574" w:rsidRPr="00AD29F3" w:rsidRDefault="00DD1574" w:rsidP="00DD1574">
      <w:pPr>
        <w:pStyle w:val="ListParagraph"/>
        <w:numPr>
          <w:ilvl w:val="0"/>
          <w:numId w:val="5"/>
        </w:numPr>
        <w:spacing w:after="160" w:line="480" w:lineRule="auto"/>
        <w:rPr>
          <w:lang w:val="en-GB"/>
        </w:rPr>
      </w:pPr>
      <w:r w:rsidRPr="00AD29F3">
        <w:rPr>
          <w:lang w:val="en-GB"/>
        </w:rPr>
        <w:t xml:space="preserve">In France, the debate revolving GMC cultivation is given priority with the creation of the </w:t>
      </w:r>
      <w:r w:rsidRPr="00AD29F3">
        <w:rPr>
          <w:i/>
          <w:lang w:val="en-GB"/>
        </w:rPr>
        <w:t>Grennelle de l’environment</w:t>
      </w:r>
      <w:r w:rsidRPr="00AD29F3">
        <w:rPr>
          <w:lang w:val="en-GB"/>
        </w:rPr>
        <w:t xml:space="preserve">, a discussion panel for ecological issues. It was an initiative by the Sarkozy administration that took office in 2007 and can be considered as an example of the stricter environmental policy that would be adopted in France. The appointment of the Sarkozy government was considered by the U.S. to be a set-back for GMC cultivation in comparison with the former government; whereas France had previously voted in favour of new GMC applications in the EU, under Sarkozy it voted against applications or it abstained (USDA, 2008).  </w:t>
      </w:r>
      <w:r w:rsidRPr="00AD29F3">
        <w:rPr>
          <w:lang w:val="en-GB"/>
        </w:rPr>
        <w:tab/>
      </w:r>
      <w:r w:rsidRPr="00AD29F3">
        <w:rPr>
          <w:lang w:val="en-GB"/>
        </w:rPr>
        <w:tab/>
      </w:r>
      <w:r w:rsidRPr="00AD29F3">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sidRPr="00AD29F3">
        <w:rPr>
          <w:lang w:val="en-GB"/>
        </w:rPr>
        <w:t xml:space="preserve">France indicates in the fall of 2007 that it will ban MON810. The ban is announced by Sarkozy as a temporary measure in expectancy of a debate and a French risk assessment of MON810. The competent authority making this risk assessment (Le </w:t>
      </w:r>
      <w:r w:rsidRPr="00AD29F3">
        <w:rPr>
          <w:i/>
          <w:lang w:val="en-GB"/>
        </w:rPr>
        <w:t>C</w:t>
      </w:r>
      <w:r w:rsidRPr="00AD29F3">
        <w:rPr>
          <w:rFonts w:cs="Open Sans"/>
          <w:i/>
          <w:lang w:val="en-GB"/>
        </w:rPr>
        <w:t>omité de préfiguration d’une haute autorité sur les organismes génétiquement modifies</w:t>
      </w:r>
      <w:r w:rsidRPr="00AD29F3">
        <w:rPr>
          <w:rFonts w:cs="Open Sans"/>
          <w:lang w:val="en-GB"/>
        </w:rPr>
        <w:t>)</w:t>
      </w:r>
      <w:r w:rsidRPr="00AD29F3">
        <w:rPr>
          <w:lang w:val="en-GB"/>
        </w:rPr>
        <w:t xml:space="preserve">, had been reorganized </w:t>
      </w:r>
      <w:r w:rsidRPr="00AD29F3">
        <w:rPr>
          <w:lang w:val="en-GB"/>
        </w:rPr>
        <w:lastRenderedPageBreak/>
        <w:t xml:space="preserve">shortly before as to include socio-economic representatives alongside those who would assess health and environmental issues. Austria in the meantime, remains adamant in its ban based on the safeguard clause as it shifts its defence from precautionary measures in the light of the uncertainty of scientific evidence on health and environmental hazards, to socio-economic concerns (Eberhardt, 2016, p. 273). The head of the French committee Jean-Francois le Grand comments in January 2008 that there are serious doubts regarding the cultivation of MON810 as the study reveals new negative scientific facts regarding its environmental impact. Twelve of the fifteen members of the committee respond that this draft report does not contain the words ‘serious doubts’, nor does it qualify new evidence as ‘negative’ with regards to the cultivation of MON810, and issues a statement complaining that le Grand misrepresents their findings (AFP, 2008). The conclusions are nevertheless used by Sarkozy as motivation to impose a safeguard ban on the cultivation of MON810, preventing its cultivation for the season of 2008 (Morris and Spillane, 2010, p. 363-364). In reaction to the ban, Monsanto sends a letter arguing that effects presented by the French government were well known at the time and should not be a ground for banning cultivation. Producer organizations such as AGPM, AGPB and FOP, united under Orama have consequently challenged the decision at the </w:t>
      </w:r>
      <w:r w:rsidRPr="00AD29F3">
        <w:rPr>
          <w:i/>
          <w:lang w:val="en-GB"/>
        </w:rPr>
        <w:t>Conseil d’Etat</w:t>
      </w:r>
      <w:r w:rsidRPr="00AD29F3">
        <w:rPr>
          <w:lang w:val="en-GB"/>
        </w:rPr>
        <w:t>, the highest judicial branch for adminis</w:t>
      </w:r>
      <w:r>
        <w:rPr>
          <w:lang w:val="en-GB"/>
        </w:rPr>
        <w:t>trative issues (Cougard, 2008</w:t>
      </w:r>
      <w:r w:rsidRPr="00AD29F3">
        <w:rPr>
          <w:lang w:val="en-GB"/>
        </w:rPr>
        <w:t xml:space="preserve">). This would be one of the many instances where French government decisions would be taken to court by producers, and these cases would mostly be won by these producers, ruling the French ban illegal. </w:t>
      </w:r>
      <w:r w:rsidRPr="00AD29F3">
        <w:rPr>
          <w:lang w:val="en-GB"/>
        </w:rPr>
        <w:tab/>
      </w:r>
      <w:r w:rsidRPr="00AD29F3">
        <w:rPr>
          <w:lang w:val="en-GB"/>
        </w:rPr>
        <w:tab/>
      </w:r>
      <w:r w:rsidRPr="00AD29F3">
        <w:rPr>
          <w:lang w:val="en-GB"/>
        </w:rPr>
        <w:tab/>
      </w:r>
      <w:r w:rsidRPr="00AD29F3">
        <w:rPr>
          <w:lang w:val="en-GB"/>
        </w:rPr>
        <w:tab/>
        <w:t xml:space="preserve">Within Sarkozy’s UMP, there is discord on GMC cultivation as shown by the difficulty in passing legislation transposing Directive 2001/18, where the UMP failed to reach a majority despite its majority of seats in the French lower house. </w:t>
      </w:r>
      <w:r w:rsidRPr="00AD29F3">
        <w:rPr>
          <w:rFonts w:ascii="Calibri" w:eastAsia="Calibri" w:hAnsi="Calibri" w:cs="Times New Roman"/>
          <w:lang w:val="en-GB"/>
        </w:rPr>
        <w:t xml:space="preserve">Coinciding the safeguard clause, </w:t>
      </w:r>
      <w:r w:rsidRPr="00AD29F3">
        <w:rPr>
          <w:rFonts w:ascii="Calibri" w:eastAsia="Calibri" w:hAnsi="Calibri" w:cs="Times New Roman"/>
          <w:i/>
          <w:lang w:val="en-GB"/>
        </w:rPr>
        <w:t>premier</w:t>
      </w:r>
      <w:r w:rsidRPr="00AD29F3">
        <w:rPr>
          <w:rFonts w:ascii="Calibri" w:eastAsia="Calibri" w:hAnsi="Calibri" w:cs="Times New Roman"/>
          <w:lang w:val="en-GB"/>
        </w:rPr>
        <w:t xml:space="preserve"> François Fillon announced an investment plan of 45 million euros to stimulate biotechnologies, an eightfold increase of its former budget (SDA-Basisdienst Deutsch, 2008). The ban is thus not to be mistaken for a general disposition of the French </w:t>
      </w:r>
      <w:r w:rsidRPr="00AD29F3">
        <w:rPr>
          <w:rFonts w:ascii="Calibri" w:eastAsia="Calibri" w:hAnsi="Calibri" w:cs="Times New Roman"/>
          <w:lang w:val="en-GB"/>
        </w:rPr>
        <w:lastRenderedPageBreak/>
        <w:t xml:space="preserve">government against GMCs, there is discord within the government’s leading party. Nevertheless, a shift from a country that is commercially cultivating MON810 to a country that is fighting the EU to ban MON810 has occurred. </w:t>
      </w:r>
    </w:p>
    <w:p w14:paraId="54EFCF26" w14:textId="77777777" w:rsidR="00DD1574" w:rsidRPr="00AD29F3" w:rsidRDefault="00DD1574" w:rsidP="00DD1574">
      <w:pPr>
        <w:pStyle w:val="ListParagraph"/>
        <w:spacing w:line="480" w:lineRule="auto"/>
        <w:rPr>
          <w:lang w:val="en-GB"/>
        </w:rPr>
      </w:pPr>
    </w:p>
    <w:p w14:paraId="0EEABB80" w14:textId="77777777" w:rsidR="00DD1574" w:rsidRPr="00AD29F3" w:rsidRDefault="00DD1574" w:rsidP="00DD1574">
      <w:pPr>
        <w:pStyle w:val="ListParagraph"/>
        <w:numPr>
          <w:ilvl w:val="0"/>
          <w:numId w:val="5"/>
        </w:numPr>
        <w:spacing w:after="160" w:line="480" w:lineRule="auto"/>
        <w:rPr>
          <w:u w:val="single"/>
          <w:lang w:val="en-GB"/>
        </w:rPr>
      </w:pPr>
      <w:r w:rsidRPr="00AD29F3">
        <w:rPr>
          <w:lang w:val="en-GB"/>
        </w:rPr>
        <w:t>The U.K. does not have a ban in place, and the government and producers are striving for a more GMC-friendly climate. The Labour government has transposed transparency rules in Council Directive 2001/18/EC with the result of making GMC trial field locations In the U.K. publicly available: "In the UK, transparency of locations is a real problem. Many farmers are not growing</w:t>
      </w:r>
      <w:bookmarkStart w:id="19" w:name="ORIGHIT_53"/>
      <w:bookmarkStart w:id="20" w:name="HIT_53"/>
      <w:bookmarkEnd w:id="19"/>
      <w:bookmarkEnd w:id="20"/>
      <w:r w:rsidRPr="00AD29F3">
        <w:rPr>
          <w:bCs/>
          <w:lang w:val="en-GB"/>
        </w:rPr>
        <w:t xml:space="preserve"> GM</w:t>
      </w:r>
      <w:r w:rsidRPr="00AD29F3">
        <w:rPr>
          <w:lang w:val="en-GB"/>
        </w:rPr>
        <w:t> because they're afraid people will come and trash their fields," said EuropaBio’s representative Nathalie Moll (The Guardian, 2008). the current Conservative government is striving to loosen these rules by making a law that makes the register no longer publicly available, but only to farmers neighbouring GMC fields for example (</w:t>
      </w:r>
      <w:r>
        <w:rPr>
          <w:lang w:val="en-GB"/>
        </w:rPr>
        <w:t xml:space="preserve">Grice, 2008). </w:t>
      </w:r>
      <w:r w:rsidRPr="00AD29F3">
        <w:rPr>
          <w:lang w:val="en-GB"/>
        </w:rPr>
        <w:t xml:space="preserve">With regards to new authorisations and the lifting of bans, the U.K. sides with the Commission, in spite of the opposition from environmentalists and the countries of Wales, Scotland, and Northern Ireland. </w:t>
      </w:r>
    </w:p>
    <w:p w14:paraId="5E27D70B" w14:textId="77777777" w:rsidR="00DD1574" w:rsidRPr="00AD29F3" w:rsidRDefault="00DD1574" w:rsidP="00DD1574">
      <w:pPr>
        <w:pStyle w:val="ListParagraph"/>
        <w:rPr>
          <w:lang w:val="en-GB"/>
        </w:rPr>
      </w:pPr>
    </w:p>
    <w:p w14:paraId="3971AE04" w14:textId="77777777" w:rsidR="00A87903" w:rsidRPr="00532550" w:rsidRDefault="00DD1574" w:rsidP="00DD1574">
      <w:pPr>
        <w:pStyle w:val="ListParagraph"/>
        <w:numPr>
          <w:ilvl w:val="0"/>
          <w:numId w:val="5"/>
        </w:numPr>
        <w:spacing w:after="160" w:line="480" w:lineRule="auto"/>
        <w:rPr>
          <w:lang w:val="en-GB"/>
        </w:rPr>
      </w:pPr>
      <w:r w:rsidRPr="00AD29F3">
        <w:rPr>
          <w:lang w:val="en-GB"/>
        </w:rPr>
        <w:t>In April 2009, CDU’s Ilse Aigner announces to ban the cultivation of MON810, explicitly stating that it is not politically motivated and that the ban should be interpreted as an individual case (Spiegel</w:t>
      </w:r>
      <w:r>
        <w:rPr>
          <w:lang w:val="en-GB"/>
        </w:rPr>
        <w:t xml:space="preserve"> Online,</w:t>
      </w:r>
      <w:r w:rsidRPr="00AD29F3">
        <w:rPr>
          <w:lang w:val="en-GB"/>
        </w:rPr>
        <w:t xml:space="preserve"> 2009). To do this, she stated that she will invoke a safeguard clause to ban the cultivation of MON810 altogether (Spiegel</w:t>
      </w:r>
      <w:r>
        <w:rPr>
          <w:lang w:val="en-GB"/>
        </w:rPr>
        <w:t xml:space="preserve"> Online</w:t>
      </w:r>
      <w:r w:rsidRPr="00AD29F3">
        <w:rPr>
          <w:lang w:val="en-GB"/>
        </w:rPr>
        <w:t>, 2009). Later in May however, Aigner</w:t>
      </w:r>
      <w:r w:rsidRPr="00AD29F3">
        <w:rPr>
          <w:i/>
          <w:lang w:val="en-GB"/>
        </w:rPr>
        <w:t xml:space="preserve"> </w:t>
      </w:r>
      <w:r w:rsidRPr="00AD29F3">
        <w:rPr>
          <w:lang w:val="en-GB"/>
        </w:rPr>
        <w:t xml:space="preserve">enacts a </w:t>
      </w:r>
      <w:r w:rsidRPr="00AD29F3">
        <w:rPr>
          <w:i/>
          <w:lang w:val="en-GB"/>
        </w:rPr>
        <w:t>de facto</w:t>
      </w:r>
      <w:r w:rsidRPr="00AD29F3">
        <w:rPr>
          <w:lang w:val="en-GB"/>
        </w:rPr>
        <w:t xml:space="preserve"> ban on MON810 by ordering Monsanto to provide new monitoring plans on the possible environmental impacts if it is to sell MON810 as seed, as Germany had also done in 2007. This made it nearly impossible for MON810 to be planted that season, as sowing was bound to spring time. Some farmers had already sown by then (Spiegel, 2009). Although Germany enacted measures against cultivating MON810, it did not invoke the safeguard clause as to impose a general ban on MON810. However, it did express </w:t>
      </w:r>
      <w:r w:rsidRPr="00AD29F3">
        <w:rPr>
          <w:lang w:val="en-GB"/>
        </w:rPr>
        <w:lastRenderedPageBreak/>
        <w:t>the preference for the possibility to do so. The decision not to invoke the safeguard clause was supported by Ilse Aigner’s staff, who commented on the legal uncertainty of such a ban. Since it is hard to proof the hazardous nature of MON810, the German government would be vulnerable to legal claims made by Monsanto for example. Monsanto already announced by then that they would take legal steps in case of a ban; a court decision could result in compensation up to seven or eight million eu</w:t>
      </w:r>
      <w:r>
        <w:rPr>
          <w:lang w:val="en-GB"/>
        </w:rPr>
        <w:t>ros for Monsanto (Spiegel, 2009</w:t>
      </w:r>
      <w:r w:rsidRPr="00AD29F3">
        <w:rPr>
          <w:i/>
          <w:lang w:val="en-GB"/>
        </w:rPr>
        <w:t xml:space="preserve">). </w:t>
      </w:r>
      <w:r w:rsidRPr="00AD29F3">
        <w:rPr>
          <w:lang w:val="en-GB"/>
        </w:rPr>
        <w:t xml:space="preserve">The expectation of legal uncertainty was further reaffirmed by the German Central </w:t>
      </w:r>
      <w:r>
        <w:rPr>
          <w:lang w:val="en-GB"/>
        </w:rPr>
        <w:t xml:space="preserve">Committee on Biological Safety </w:t>
      </w:r>
      <w:r w:rsidRPr="00AD29F3">
        <w:rPr>
          <w:lang w:val="en-GB"/>
        </w:rPr>
        <w:t xml:space="preserve">that concluded in July 2009 that, based on all available material on MON810, it did not pose a risk to the environment (Morris and Spillane, 2010, p. 363). With Aigner’s </w:t>
      </w:r>
      <w:r w:rsidRPr="00AD29F3">
        <w:rPr>
          <w:i/>
          <w:lang w:val="en-GB"/>
        </w:rPr>
        <w:t>de facto</w:t>
      </w:r>
      <w:r w:rsidRPr="00AD29F3">
        <w:rPr>
          <w:lang w:val="en-GB"/>
        </w:rPr>
        <w:t xml:space="preserve"> ban, Germany thus circumvents directly addressing both the Commission’s as the producers’  demands.</w:t>
      </w:r>
    </w:p>
    <w:p w14:paraId="592DB44E" w14:textId="77777777" w:rsidR="00DD1574" w:rsidRPr="004F19C8" w:rsidRDefault="00DD1574"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 xml:space="preserve">The </w:t>
      </w:r>
      <w:r w:rsidR="00A87903" w:rsidRPr="004F19C8">
        <w:rPr>
          <w:rFonts w:asciiTheme="majorHAnsi" w:hAnsiTheme="majorHAnsi" w:cstheme="majorHAnsi"/>
          <w:color w:val="44546A" w:themeColor="text2"/>
          <w:sz w:val="26"/>
          <w:szCs w:val="26"/>
        </w:rPr>
        <w:t xml:space="preserve">political </w:t>
      </w:r>
      <w:r w:rsidRPr="004F19C8">
        <w:rPr>
          <w:rFonts w:asciiTheme="majorHAnsi" w:hAnsiTheme="majorHAnsi" w:cstheme="majorHAnsi"/>
          <w:color w:val="44546A" w:themeColor="text2"/>
          <w:sz w:val="26"/>
          <w:szCs w:val="26"/>
        </w:rPr>
        <w:t>limbo complete</w:t>
      </w:r>
    </w:p>
    <w:p w14:paraId="496B00E8" w14:textId="77777777" w:rsidR="00DD1574" w:rsidRDefault="00DD1574" w:rsidP="004F19C8">
      <w:pPr>
        <w:spacing w:after="0" w:line="480" w:lineRule="auto"/>
      </w:pPr>
      <w:r>
        <w:t xml:space="preserve">As 2008 </w:t>
      </w:r>
      <w:r w:rsidRPr="00274EBB">
        <w:t>passes away, the limbo revolving GM</w:t>
      </w:r>
      <w:r>
        <w:t>C</w:t>
      </w:r>
      <w:r w:rsidRPr="00274EBB">
        <w:t xml:space="preserve"> cultivation appears complete as the Commission frustrates its own </w:t>
      </w:r>
      <w:r>
        <w:t>authorisation process by referring applications back to the EFSA repeatedly.</w:t>
      </w:r>
      <w:r w:rsidRPr="00D663B2">
        <w:t xml:space="preserve"> </w:t>
      </w:r>
      <w:r w:rsidRPr="00274EBB">
        <w:t>In the spring of 2008, the Commission refers three pending applications (two for GM maize by Monsanto and one for a GM potato by BASF called ‘amflora’) back to the EFSA for extra scrutiny after delaying it</w:t>
      </w:r>
      <w:r>
        <w:t xml:space="preserve">s decision in February already. This new approach by the Commission is </w:t>
      </w:r>
      <w:r w:rsidRPr="00274EBB">
        <w:t xml:space="preserve">generating a lot of questions regarding its trust in its own institution the EFSA. For example </w:t>
      </w:r>
      <w:r w:rsidRPr="00274EBB">
        <w:rPr>
          <w:bCs/>
        </w:rPr>
        <w:t>Marco Contiero, Greenpeace's</w:t>
      </w:r>
      <w:r w:rsidRPr="00274EBB">
        <w:t> EU GMO campaign director said that: ‘’If the Commission has no qualms with EFSA, then why is it asking it to review three products for the third time? EFSA has always found in favour of GMOs and relies entirely on data from the agro-chemical industry. By sending back the three GM plants today, the Commission has found that its food safety authority cannot be fully trusted although it does not dare to say so’’ (</w:t>
      </w:r>
      <w:r>
        <w:t>Euractiv</w:t>
      </w:r>
      <w:r w:rsidRPr="00274EBB">
        <w:t>, 2008). Another interpretation by MEP Caroline Lucas (Greens) is that the Commission is avoiding its responsibility: ‘’The Commission can no longer hide behind EFSA and delay important decisions on GMOs. Sending back these files for reconsideration is a farce and weakens the standing of the Commission itself’’ (</w:t>
      </w:r>
      <w:r>
        <w:t xml:space="preserve">Euractiv, 2008). </w:t>
      </w:r>
      <w:r w:rsidRPr="00274EBB">
        <w:t xml:space="preserve">The Commission accepts </w:t>
      </w:r>
      <w:r w:rsidRPr="00274EBB">
        <w:lastRenderedPageBreak/>
        <w:t>this position somewhat but shifts the blame to the MSs as it announce</w:t>
      </w:r>
      <w:r>
        <w:t>s</w:t>
      </w:r>
      <w:r w:rsidRPr="00274EBB">
        <w:t xml:space="preserve"> that it refuses to take responsibility on the matter any longer </w:t>
      </w:r>
      <w:r>
        <w:t>in face of</w:t>
      </w:r>
      <w:r w:rsidRPr="00274EBB">
        <w:t xml:space="preserve"> the Council’s indecisiveness. It comment</w:t>
      </w:r>
      <w:r>
        <w:t>s</w:t>
      </w:r>
      <w:r w:rsidRPr="00274EBB">
        <w:t xml:space="preserve"> that the Council should be able to reach a </w:t>
      </w:r>
      <w:r>
        <w:t xml:space="preserve">QM </w:t>
      </w:r>
      <w:r w:rsidRPr="00274EBB">
        <w:t>in favour or against proposals, instead of referring the matter automatically to the Commissio</w:t>
      </w:r>
      <w:r>
        <w:t>n over and over again.</w:t>
      </w:r>
      <w:r>
        <w:tab/>
      </w:r>
      <w:r>
        <w:tab/>
      </w:r>
      <w:r>
        <w:tab/>
      </w:r>
      <w:r>
        <w:tab/>
      </w:r>
      <w:r>
        <w:tab/>
      </w:r>
      <w:r>
        <w:tab/>
      </w:r>
      <w:r>
        <w:tab/>
      </w:r>
      <w:r w:rsidRPr="00274EBB">
        <w:t>With regards to the illegal bans on cultivating MON810, the Commission propose</w:t>
      </w:r>
      <w:r>
        <w:t>s</w:t>
      </w:r>
      <w:r w:rsidRPr="00274EBB">
        <w:t xml:space="preserve"> for the fourth time </w:t>
      </w:r>
      <w:r>
        <w:t>to</w:t>
      </w:r>
      <w:r w:rsidRPr="00274EBB">
        <w:t xml:space="preserve"> the Council that these bans should be lifted and, for the fourth time, the Commission </w:t>
      </w:r>
      <w:r>
        <w:t xml:space="preserve">is </w:t>
      </w:r>
      <w:r w:rsidRPr="00274EBB">
        <w:t>not give</w:t>
      </w:r>
      <w:r>
        <w:t xml:space="preserve">n the support from the Council it </w:t>
      </w:r>
      <w:r w:rsidRPr="00274EBB">
        <w:t>ask</w:t>
      </w:r>
      <w:r>
        <w:t xml:space="preserve">s for. The inability to agree on the banning of GMCs, and the political unwillingness to take decisions on new authorisations render the limbo revolving GMC cultivation complete at this moment. </w:t>
      </w:r>
      <w:r w:rsidRPr="00274EBB">
        <w:t xml:space="preserve">These </w:t>
      </w:r>
      <w:r>
        <w:t>considerations eventually become</w:t>
      </w:r>
      <w:r w:rsidRPr="00274EBB">
        <w:t xml:space="preserve"> the motivation for new </w:t>
      </w:r>
      <w:r>
        <w:t>proposals</w:t>
      </w:r>
      <w:r w:rsidRPr="00274EBB">
        <w:t xml:space="preserve"> by MSs and the Commission to </w:t>
      </w:r>
      <w:r>
        <w:t xml:space="preserve">change </w:t>
      </w:r>
      <w:r w:rsidRPr="00274EBB">
        <w:t>the legislation on GM</w:t>
      </w:r>
      <w:r>
        <w:t>C</w:t>
      </w:r>
      <w:r w:rsidRPr="00274EBB">
        <w:t xml:space="preserve"> cultivation.</w:t>
      </w:r>
      <w:r>
        <w:tab/>
      </w:r>
      <w:r>
        <w:tab/>
      </w:r>
      <w:r w:rsidRPr="00274EBB">
        <w:t xml:space="preserve">The agenda setting phase introduces two conflicts as central to the proposals for new legislation on GMCs. These concern the authorisation of new GMCs and the cultivation of the EU-approved maize MON810. </w:t>
      </w:r>
      <w:r>
        <w:t>Some preliminary analysis</w:t>
      </w:r>
      <w:r w:rsidRPr="00274EBB">
        <w:t xml:space="preserve"> with regards to the hypotheses can be</w:t>
      </w:r>
      <w:r>
        <w:t xml:space="preserve"> given,</w:t>
      </w:r>
      <w:r w:rsidRPr="00274EBB">
        <w:t xml:space="preserve"> based on the debates revolving around these conflicts in the agenda setting phase.</w:t>
      </w:r>
      <w:r>
        <w:tab/>
      </w:r>
      <w:r>
        <w:tab/>
      </w:r>
      <w:r w:rsidRPr="00274EBB">
        <w:tab/>
        <w:t xml:space="preserve">The substantial positions of the respective governments do not advocate a reallocation of competences. All countries still struggle with achieving domestic policy targets with regards to the cultivation or prohibition of GMCs. The U.K. government is a proponent of cultivation, but GMCs are not yet cultivated on a commercial scale there, France faces legal claims by producers when it announces to ban the on a commercial scale cultivated MON810, alongside with promising funds for research on biotechnology. In Germany, commercial cultivation of GMCs is difficult due to strict transposition of EU regulations, its government however defends the cultivation of </w:t>
      </w:r>
      <w:r>
        <w:t>GMCs</w:t>
      </w:r>
      <w:r w:rsidRPr="00274EBB">
        <w:t xml:space="preserve"> in the face of strong opposition from the CSU and votes against a proposal to give Länder the power to ban GMCs</w:t>
      </w:r>
      <w:r>
        <w:t xml:space="preserve">, indicating moreover that the </w:t>
      </w:r>
      <w:r>
        <w:rPr>
          <w:i/>
        </w:rPr>
        <w:t>de facto</w:t>
      </w:r>
      <w:r>
        <w:t xml:space="preserve"> ban on MON810 is to be considered an individual case</w:t>
      </w:r>
      <w:r w:rsidRPr="00274EBB">
        <w:t xml:space="preserve">. Remarkable is that the debates leading up to the formal decision making phase are about substantial considerations with regards to the possibility to ban or to cultivate GMCs, rather than procedural considerations with regards to the allocation of discretionary competences. Societal actors are </w:t>
      </w:r>
      <w:r w:rsidRPr="00274EBB">
        <w:lastRenderedPageBreak/>
        <w:t xml:space="preserve">concerned with the cultivation of GMCs or obstructing it, rather than </w:t>
      </w:r>
      <w:r>
        <w:t>advocating a</w:t>
      </w:r>
      <w:r w:rsidRPr="00274EBB">
        <w:t xml:space="preserve"> reall</w:t>
      </w:r>
      <w:r>
        <w:t>ocation of</w:t>
      </w:r>
      <w:r w:rsidRPr="00274EBB">
        <w:t xml:space="preserve"> the GMC authorisation system.  </w:t>
      </w:r>
    </w:p>
    <w:p w14:paraId="290EA5B1" w14:textId="77777777" w:rsidR="00DD1574" w:rsidRDefault="00A87903" w:rsidP="00A87903">
      <w:pPr>
        <w:pStyle w:val="Heading2"/>
      </w:pPr>
      <w:bookmarkStart w:id="21" w:name="_Toc490488046"/>
      <w:r>
        <w:rPr>
          <w:color w:val="44546A" w:themeColor="text2"/>
        </w:rPr>
        <w:t>4.2.2 Evaluation of the</w:t>
      </w:r>
      <w:r w:rsidR="00DD1574" w:rsidRPr="00A87903">
        <w:rPr>
          <w:color w:val="44546A" w:themeColor="text2"/>
        </w:rPr>
        <w:t xml:space="preserve"> </w:t>
      </w:r>
      <w:r>
        <w:rPr>
          <w:color w:val="44546A" w:themeColor="text2"/>
        </w:rPr>
        <w:t>hypothese</w:t>
      </w:r>
      <w:r w:rsidR="00DD1574" w:rsidRPr="00A87903">
        <w:rPr>
          <w:color w:val="44546A" w:themeColor="text2"/>
        </w:rPr>
        <w:t>s</w:t>
      </w:r>
      <w:bookmarkEnd w:id="21"/>
      <w:r w:rsidR="00DD1574" w:rsidRPr="00A87903">
        <w:tab/>
      </w:r>
      <w:r w:rsidR="00532550">
        <w:tab/>
      </w:r>
      <w:r w:rsidR="00532550">
        <w:tab/>
      </w:r>
      <w:r w:rsidR="00532550">
        <w:tab/>
      </w:r>
      <w:r w:rsidR="00532550">
        <w:tab/>
      </w:r>
      <w:r w:rsidR="00532550">
        <w:tab/>
      </w:r>
      <w:r w:rsidR="00DD1574">
        <w:tab/>
      </w:r>
    </w:p>
    <w:p w14:paraId="12EC6AF4" w14:textId="77777777" w:rsidR="00662BE8" w:rsidRDefault="00DD1574" w:rsidP="00A87903">
      <w:pPr>
        <w:spacing w:after="0" w:line="480" w:lineRule="auto"/>
      </w:pPr>
      <w:r w:rsidRPr="00274EBB">
        <w:t>There is no convincing evidence supporting the first hypothesis H.NF.1. The empirical material does not confirm that the proposal for reallocation is a result of functional spillback pressures. Whereas functional spillback happens in the absence of specific ideological purposes pursued by decision makers, the issue of GMC cultivation is highly salient across the EU. The proposal to reallocate competences is instead a way to address the incompatibility of the MSs desires either to ban or to cultivate GMCs.</w:t>
      </w:r>
      <w:r w:rsidR="00B30CDA">
        <w:tab/>
      </w:r>
      <w:r w:rsidR="00B30CDA">
        <w:tab/>
      </w:r>
      <w:r w:rsidR="00B30CDA">
        <w:tab/>
      </w:r>
      <w:r w:rsidR="00B30CDA">
        <w:tab/>
      </w:r>
      <w:r w:rsidR="00B30CDA">
        <w:tab/>
      </w:r>
      <w:r>
        <w:tab/>
      </w:r>
      <w:r>
        <w:tab/>
      </w:r>
      <w:r w:rsidRPr="00274EBB">
        <w:tab/>
      </w:r>
      <w:r w:rsidRPr="00274EBB">
        <w:tab/>
      </w:r>
      <w:r w:rsidRPr="00274EBB">
        <w:tab/>
      </w:r>
      <w:r w:rsidRPr="00274EBB">
        <w:tab/>
      </w:r>
      <w:r>
        <w:tab/>
      </w:r>
      <w:r w:rsidRPr="00274EBB">
        <w:t xml:space="preserve">There are numerous reasons to be imagined why societal actors would like to reallocate discretionary competences with regards to GMC cultivation. The most </w:t>
      </w:r>
      <w:r>
        <w:t>important</w:t>
      </w:r>
      <w:r w:rsidRPr="00274EBB">
        <w:t xml:space="preserve"> one, which is a concern for environmental organisations, is that producers </w:t>
      </w:r>
      <w:r>
        <w:t xml:space="preserve">are expected to </w:t>
      </w:r>
      <w:r w:rsidRPr="00274EBB">
        <w:t xml:space="preserve">have a stronger position </w:t>
      </w:r>
      <w:r>
        <w:t xml:space="preserve">in </w:t>
      </w:r>
      <w:r w:rsidRPr="00274EBB">
        <w:t>challenging nationally invoked bans than challenging EU-wide bans. Although the estimation of these concerns depends on the actual legal certainties provided by possible legislation, the concern remains irrelevant for confirming the second hypothesis H.NF.2</w:t>
      </w:r>
      <w:r>
        <w:t>,</w:t>
      </w:r>
      <w:r w:rsidRPr="00274EBB">
        <w:t xml:space="preserve"> as there is no evidence that the endeavours of societal actors are focussed on a reallocation of GMC competences. Instead they are similarly geared towards the obstruction or the promotion of GMC cultivation. </w:t>
      </w:r>
      <w:r>
        <w:tab/>
      </w:r>
      <w:r>
        <w:tab/>
      </w:r>
      <w:r>
        <w:tab/>
      </w:r>
      <w:r w:rsidRPr="00274EBB">
        <w:tab/>
        <w:t xml:space="preserve">With regards to the third hypothesis H.NF.3, the empirical material provides supporting evidence. The most convincing support for this hypothesis is that, as the agenda setting phase is approaching the proposal to reallocate competences, the Commission is refusing to take responsibility any longer for the authorisation of GMCs. This </w:t>
      </w:r>
      <w:r w:rsidR="00662BE8">
        <w:t>becomes</w:t>
      </w:r>
      <w:r w:rsidRPr="00274EBB">
        <w:t xml:space="preserve"> apparent as the Commission refers applications back to the EFSA repeate</w:t>
      </w:r>
      <w:r w:rsidR="00662BE8">
        <w:t>dly. The EFSA and</w:t>
      </w:r>
      <w:r w:rsidRPr="00274EBB">
        <w:t xml:space="preserve"> the Commission face constant criticism made by societal actors and MSs alike. The move by the Commission to refer applications back to the EFSA directly discredits the EFSA’s credibility as the authorisation process’ scientific authority. This however, does not underpin any calls for disintegration. Nor does it relate to the Commission’s intentions to distance itself from the EFSA or to discard the EFSA’s role in the authorisation process </w:t>
      </w:r>
      <w:r w:rsidRPr="00274EBB">
        <w:lastRenderedPageBreak/>
        <w:t>completely. In contrast, the following years the EFSA’s role in the authorisation scheme is successfully sustained. What is relevant to this hypothesis however, is that the Commission urges the MSs to take responsibility on the matter of GMC cultivation decisions, while avoiding to rubberstamp</w:t>
      </w:r>
      <w:r>
        <w:t>-</w:t>
      </w:r>
      <w:r w:rsidRPr="00274EBB">
        <w:t>approve new applications itself. This creates an incentive for MSs who are in favour of cultivating GMCs as no more crops are approved when the Commission does no</w:t>
      </w:r>
      <w:r w:rsidR="00662BE8">
        <w:t>t enforce its own legislation. T</w:t>
      </w:r>
      <w:r w:rsidRPr="00274EBB">
        <w:t>hese actors now have less interest in the status quo and hence are more eager to come to an agreement. While the Commission is becoming rather reactive on the</w:t>
      </w:r>
      <w:r>
        <w:t xml:space="preserve"> matter of</w:t>
      </w:r>
      <w:r w:rsidRPr="00274EBB">
        <w:t xml:space="preserve"> GMC applications, the MSs in turn propose to reallocate competences. This confirms the hypothesis that disintegration is likely to happen if supranational actors refuse to take responsibility for a certain issue.</w:t>
      </w:r>
      <w:r w:rsidRPr="00274EBB">
        <w:tab/>
      </w:r>
      <w:r w:rsidRPr="00274EBB">
        <w:tab/>
      </w:r>
      <w:r w:rsidRPr="00274EBB">
        <w:tab/>
      </w:r>
      <w:r>
        <w:tab/>
      </w:r>
      <w:r>
        <w:tab/>
      </w:r>
      <w:r>
        <w:tab/>
      </w:r>
      <w:r>
        <w:tab/>
      </w:r>
      <w:r>
        <w:tab/>
      </w:r>
      <w:r>
        <w:tab/>
      </w:r>
      <w:r>
        <w:tab/>
      </w:r>
      <w:r>
        <w:tab/>
      </w:r>
      <w:r>
        <w:tab/>
      </w:r>
      <w:r>
        <w:tab/>
        <w:t>The</w:t>
      </w:r>
      <w:r w:rsidRPr="00274EBB">
        <w:t xml:space="preserve"> national debates revolving GMC cultivation do not concern the reallocation of competences on the matter. This excludes the fourth hypothesis H.LI.1. Domestic mobilisation and organisation is high and illustrated by the coordinated attacks on GMC fields, law suits against governments by producer organizations, and the involvement of the highest government officials in discussions revolving the two important conflicts. It is an understatement to say that there are no problems in overcoming the collective action problem. However, the focus of the domestic debates revolves around the unambiguous issue of the desirability of GMCs rather than the allocation of competences regarding their authorisation, therefore this hypothesis is refuted.  </w:t>
      </w:r>
      <w:r>
        <w:tab/>
      </w:r>
      <w:r w:rsidR="00662BE8">
        <w:tab/>
      </w:r>
      <w:r>
        <w:tab/>
      </w:r>
      <w:r w:rsidRPr="00274EBB">
        <w:t>The events and comments described in the agenda setting phase confirm H.LI.2. in the sense that the proposal to reallocate competences can be explained as a result of MSs interest anticipated and negated through international bargaining circumstances. The preferences of the three most important MSs as described above do not align and hence, result in bargaining. As MSs fail in reconciling on the cultivation of GMCs, the timing of the shifting of preferences can be explained as a resul</w:t>
      </w:r>
      <w:r>
        <w:t>t of cost-benefit-calculations.</w:t>
      </w:r>
      <w:r>
        <w:tab/>
      </w:r>
    </w:p>
    <w:p w14:paraId="53094350" w14:textId="77777777" w:rsidR="00662BE8" w:rsidRDefault="00662BE8" w:rsidP="00A87903">
      <w:pPr>
        <w:spacing w:after="0" w:line="480" w:lineRule="auto"/>
      </w:pPr>
    </w:p>
    <w:p w14:paraId="3A8520B3" w14:textId="77777777" w:rsidR="00662BE8" w:rsidRDefault="00DD1574" w:rsidP="00A87903">
      <w:pPr>
        <w:spacing w:after="0" w:line="480" w:lineRule="auto"/>
      </w:pPr>
      <w:r w:rsidRPr="00274EBB">
        <w:tab/>
      </w:r>
    </w:p>
    <w:p w14:paraId="31F72FDF" w14:textId="441025C0" w:rsidR="00DD1574" w:rsidRPr="00274EBB" w:rsidRDefault="00DD1574" w:rsidP="00662BE8">
      <w:pPr>
        <w:spacing w:after="0" w:line="480" w:lineRule="auto"/>
        <w:ind w:firstLine="708"/>
      </w:pPr>
      <w:r w:rsidRPr="00274EBB">
        <w:lastRenderedPageBreak/>
        <w:t xml:space="preserve">The last hypothesis H.LI.3 is refuted as there is no evidence supporting the formation of a </w:t>
      </w:r>
    </w:p>
    <w:tbl>
      <w:tblPr>
        <w:tblStyle w:val="GridTable1Light-Accent11"/>
        <w:tblpPr w:leftFromText="141" w:rightFromText="141" w:vertAnchor="text" w:horzAnchor="margin" w:tblpY="813"/>
        <w:tblW w:w="0" w:type="auto"/>
        <w:tblLook w:val="04A0" w:firstRow="1" w:lastRow="0" w:firstColumn="1" w:lastColumn="0" w:noHBand="0" w:noVBand="1"/>
      </w:tblPr>
      <w:tblGrid>
        <w:gridCol w:w="4531"/>
        <w:gridCol w:w="4531"/>
      </w:tblGrid>
      <w:tr w:rsidR="00DD1574" w:rsidRPr="004062F7" w14:paraId="5FB6D759" w14:textId="77777777" w:rsidTr="002503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72F45D2B" w14:textId="77777777" w:rsidR="00DD1574" w:rsidRPr="00274EBB" w:rsidRDefault="00DD1574" w:rsidP="00A87903">
            <w:pPr>
              <w:spacing w:line="480" w:lineRule="auto"/>
            </w:pPr>
            <w:r w:rsidRPr="00274EBB">
              <w:t>H.NF.1 (Functional Spillback): Refuted</w:t>
            </w:r>
          </w:p>
        </w:tc>
        <w:tc>
          <w:tcPr>
            <w:tcW w:w="4531" w:type="dxa"/>
          </w:tcPr>
          <w:p w14:paraId="23A72EB0" w14:textId="77777777" w:rsidR="00DD1574" w:rsidRPr="00274EBB" w:rsidRDefault="00DD1574" w:rsidP="00A87903">
            <w:pPr>
              <w:spacing w:line="480" w:lineRule="auto"/>
              <w:cnfStyle w:val="100000000000" w:firstRow="1" w:lastRow="0" w:firstColumn="0" w:lastColumn="0" w:oddVBand="0" w:evenVBand="0" w:oddHBand="0" w:evenHBand="0" w:firstRowFirstColumn="0" w:firstRowLastColumn="0" w:lastRowFirstColumn="0" w:lastRowLastColumn="0"/>
            </w:pPr>
            <w:r w:rsidRPr="00274EBB">
              <w:t>H.LI.1 (National debates): Refuted</w:t>
            </w:r>
          </w:p>
        </w:tc>
      </w:tr>
      <w:tr w:rsidR="00DD1574" w:rsidRPr="004062F7" w14:paraId="61EA4062" w14:textId="77777777" w:rsidTr="00250391">
        <w:tc>
          <w:tcPr>
            <w:cnfStyle w:val="001000000000" w:firstRow="0" w:lastRow="0" w:firstColumn="1" w:lastColumn="0" w:oddVBand="0" w:evenVBand="0" w:oddHBand="0" w:evenHBand="0" w:firstRowFirstColumn="0" w:firstRowLastColumn="0" w:lastRowFirstColumn="0" w:lastRowLastColumn="0"/>
            <w:tcW w:w="4531" w:type="dxa"/>
          </w:tcPr>
          <w:p w14:paraId="04706121" w14:textId="77777777" w:rsidR="00DD1574" w:rsidRPr="00274EBB" w:rsidRDefault="00DD1574" w:rsidP="00A87903">
            <w:pPr>
              <w:spacing w:line="480" w:lineRule="auto"/>
            </w:pPr>
            <w:r w:rsidRPr="00274EBB">
              <w:t>H.NF.2 (Political Spillback): Refuted</w:t>
            </w:r>
          </w:p>
        </w:tc>
        <w:tc>
          <w:tcPr>
            <w:tcW w:w="4531" w:type="dxa"/>
          </w:tcPr>
          <w:p w14:paraId="664AE2C3" w14:textId="77777777" w:rsidR="00DD1574" w:rsidRPr="00274EBB" w:rsidRDefault="00DD1574" w:rsidP="00A87903">
            <w:pPr>
              <w:spacing w:line="480" w:lineRule="auto"/>
              <w:cnfStyle w:val="000000000000" w:firstRow="0" w:lastRow="0" w:firstColumn="0" w:lastColumn="0" w:oddVBand="0" w:evenVBand="0" w:oddHBand="0" w:evenHBand="0" w:firstRowFirstColumn="0" w:firstRowLastColumn="0" w:lastRowFirstColumn="0" w:lastRowLastColumn="0"/>
              <w:rPr>
                <w:b/>
              </w:rPr>
            </w:pPr>
            <w:r w:rsidRPr="00274EBB">
              <w:rPr>
                <w:b/>
              </w:rPr>
              <w:t>H.LI.2 (Cost-benefit analysis): Confirmed</w:t>
            </w:r>
          </w:p>
        </w:tc>
      </w:tr>
      <w:tr w:rsidR="00DD1574" w:rsidRPr="00274EBB" w14:paraId="11787054" w14:textId="77777777" w:rsidTr="00250391">
        <w:tc>
          <w:tcPr>
            <w:cnfStyle w:val="001000000000" w:firstRow="0" w:lastRow="0" w:firstColumn="1" w:lastColumn="0" w:oddVBand="0" w:evenVBand="0" w:oddHBand="0" w:evenHBand="0" w:firstRowFirstColumn="0" w:firstRowLastColumn="0" w:lastRowFirstColumn="0" w:lastRowLastColumn="0"/>
            <w:tcW w:w="4531" w:type="dxa"/>
          </w:tcPr>
          <w:p w14:paraId="72B4DEDE" w14:textId="77777777" w:rsidR="00DD1574" w:rsidRPr="00274EBB" w:rsidRDefault="00DD1574" w:rsidP="00A87903">
            <w:pPr>
              <w:spacing w:line="480" w:lineRule="auto"/>
            </w:pPr>
            <w:r w:rsidRPr="00274EBB">
              <w:t>H.NF.3 (Cultivated Spillback): Confirmed</w:t>
            </w:r>
          </w:p>
        </w:tc>
        <w:tc>
          <w:tcPr>
            <w:tcW w:w="4531" w:type="dxa"/>
          </w:tcPr>
          <w:p w14:paraId="1FD6E0BD" w14:textId="77777777" w:rsidR="00DD1574" w:rsidRPr="00274EBB" w:rsidRDefault="00DD1574" w:rsidP="00A87903">
            <w:pPr>
              <w:spacing w:line="480" w:lineRule="auto"/>
              <w:cnfStyle w:val="000000000000" w:firstRow="0" w:lastRow="0" w:firstColumn="0" w:lastColumn="0" w:oddVBand="0" w:evenVBand="0" w:oddHBand="0" w:evenHBand="0" w:firstRowFirstColumn="0" w:firstRowLastColumn="0" w:lastRowFirstColumn="0" w:lastRowLastColumn="0"/>
              <w:rPr>
                <w:b/>
              </w:rPr>
            </w:pPr>
            <w:r w:rsidRPr="00274EBB">
              <w:rPr>
                <w:b/>
              </w:rPr>
              <w:t>H.LI.3</w:t>
            </w:r>
            <w:r>
              <w:rPr>
                <w:b/>
              </w:rPr>
              <w:t xml:space="preserve"> (Coalitions)</w:t>
            </w:r>
            <w:r w:rsidRPr="00274EBB">
              <w:rPr>
                <w:b/>
              </w:rPr>
              <w:t>: Refuted</w:t>
            </w:r>
          </w:p>
        </w:tc>
      </w:tr>
    </w:tbl>
    <w:p w14:paraId="547A0CCC" w14:textId="77777777" w:rsidR="00DD1574" w:rsidRPr="00AD29F3" w:rsidRDefault="00DD1574" w:rsidP="00A87903">
      <w:pPr>
        <w:spacing w:after="0" w:line="480" w:lineRule="auto"/>
      </w:pPr>
      <w:r w:rsidRPr="00274EBB">
        <w:t xml:space="preserve">coalition that does not support continued integration on the matter of GMC cultivation. </w:t>
      </w:r>
    </w:p>
    <w:p w14:paraId="6949D67B" w14:textId="77777777" w:rsidR="00DD1574" w:rsidRPr="00274EBB" w:rsidRDefault="00DD1574" w:rsidP="00DD1574">
      <w:pPr>
        <w:spacing w:line="480" w:lineRule="auto"/>
      </w:pPr>
    </w:p>
    <w:p w14:paraId="50B62DDC" w14:textId="77777777" w:rsidR="00A87903" w:rsidRDefault="00A87903">
      <w:pPr>
        <w:rPr>
          <w:b/>
        </w:rPr>
      </w:pPr>
      <w:r>
        <w:rPr>
          <w:b/>
        </w:rPr>
        <w:br w:type="page"/>
      </w:r>
    </w:p>
    <w:p w14:paraId="780A3074" w14:textId="77777777" w:rsidR="00DD1574" w:rsidRPr="00A87903" w:rsidRDefault="00DD1574" w:rsidP="00A87903">
      <w:pPr>
        <w:pStyle w:val="Heading2"/>
        <w:rPr>
          <w:color w:val="44546A" w:themeColor="text2"/>
        </w:rPr>
      </w:pPr>
      <w:bookmarkStart w:id="22" w:name="_Toc490488047"/>
      <w:r w:rsidRPr="00A87903">
        <w:rPr>
          <w:color w:val="44546A" w:themeColor="text2"/>
        </w:rPr>
        <w:lastRenderedPageBreak/>
        <w:t>4.3 Decision making phase</w:t>
      </w:r>
      <w:bookmarkEnd w:id="22"/>
    </w:p>
    <w:p w14:paraId="39F1C2AF" w14:textId="77777777" w:rsidR="00A87903" w:rsidRPr="00A87903" w:rsidRDefault="00A87903" w:rsidP="00A87903"/>
    <w:p w14:paraId="0AC686D3" w14:textId="77777777" w:rsidR="00DD1574" w:rsidRPr="004F19C8" w:rsidRDefault="00DD1574"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Case description</w:t>
      </w:r>
    </w:p>
    <w:p w14:paraId="7D2EF88F" w14:textId="6340AE38" w:rsidR="00DD1574" w:rsidRDefault="00DD1574" w:rsidP="004F19C8">
      <w:pPr>
        <w:spacing w:after="0" w:line="480" w:lineRule="auto"/>
      </w:pPr>
      <w:r w:rsidRPr="00274EBB">
        <w:t>Although the Commission proposes to enable MSs to ban the cultivation of GMCs in 2010, it w</w:t>
      </w:r>
      <w:r>
        <w:t>ill</w:t>
      </w:r>
      <w:r w:rsidRPr="00274EBB">
        <w:t xml:space="preserve"> take another five years to reach an agreement on this proposal. Below, it will be explained that the Commission’s proposal </w:t>
      </w:r>
      <w:r>
        <w:t>is</w:t>
      </w:r>
      <w:r w:rsidRPr="00274EBB">
        <w:t xml:space="preserve"> initially received as an attempt to reallocate competences, against the wishes of the strongest MSs. Eventually, these MSs will shift their positions as to agree upon terms of a reallocation.</w:t>
      </w:r>
      <w:r>
        <w:t xml:space="preserve"> Below, an account of how this decision is made will be given. The negotiations begin with a ‘minimal’ proposal b</w:t>
      </w:r>
      <w:r w:rsidR="00662BE8">
        <w:t>y the Commission to reallocate</w:t>
      </w:r>
      <w:r>
        <w:t xml:space="preserve"> competences, and ends with the legislation determining the specific terms of the reallocation.</w:t>
      </w:r>
      <w:r>
        <w:tab/>
      </w:r>
      <w:r>
        <w:tab/>
      </w:r>
      <w:r>
        <w:tab/>
      </w:r>
      <w:r>
        <w:tab/>
      </w:r>
      <w:r>
        <w:tab/>
      </w:r>
      <w:r>
        <w:tab/>
      </w:r>
      <w:r w:rsidRPr="00274EBB">
        <w:t xml:space="preserve">The Commission’s proposal for a Regulation amending </w:t>
      </w:r>
      <w:r>
        <w:t xml:space="preserve">Council </w:t>
      </w:r>
      <w:r w:rsidRPr="00274EBB">
        <w:t>Directive 2001/18</w:t>
      </w:r>
      <w:r>
        <w:t>/EC</w:t>
      </w:r>
      <w:r w:rsidRPr="00274EBB">
        <w:t xml:space="preserve"> can be understood as a reaction to MS demands for a solution to the limbo. The Council under new leadership from the French in 2008 made it a priority to resolve GM</w:t>
      </w:r>
      <w:r>
        <w:t>C</w:t>
      </w:r>
      <w:r w:rsidRPr="00274EBB">
        <w:t xml:space="preserve"> cultivation matters. In order to do so, French secretary of state for ecology Nathalie Kosciusko-Morizet, announced the creation of an ad-hoc working group </w:t>
      </w:r>
      <w:r>
        <w:t>to</w:t>
      </w:r>
      <w:r w:rsidRPr="00274EBB">
        <w:t xml:space="preserve"> come up with concrete solutions to the limbo revolving GM</w:t>
      </w:r>
      <w:r>
        <w:t>C</w:t>
      </w:r>
      <w:r w:rsidRPr="00274EBB">
        <w:t xml:space="preserve"> cultivation. The evaluation process for authorizations was not transparent enough according to Kosciusko-Morizet and it did not take into account sufficiently enough the long-term effects of GM</w:t>
      </w:r>
      <w:r>
        <w:t>C</w:t>
      </w:r>
      <w:r w:rsidRPr="00274EBB">
        <w:t xml:space="preserve"> cultivation. Moreover, she argued, the group should find out how to deal with a country that wishes to declare itsel</w:t>
      </w:r>
      <w:r w:rsidR="00787F6C">
        <w:t>f GMO-free (Euractiv, 2008</w:t>
      </w:r>
      <w:r w:rsidR="00A964C1">
        <w:t>a</w:t>
      </w:r>
      <w:r w:rsidRPr="00274EBB">
        <w:t>). Its findings</w:t>
      </w:r>
      <w:r>
        <w:t>, presented in December 2008,</w:t>
      </w:r>
      <w:r w:rsidRPr="00274EBB">
        <w:t xml:space="preserve"> </w:t>
      </w:r>
      <w:r>
        <w:t>are</w:t>
      </w:r>
      <w:r w:rsidRPr="00274EBB">
        <w:t xml:space="preserve"> amongst others that another panel should consider and define the socio-economic impacts of GM</w:t>
      </w:r>
      <w:r>
        <w:t>C</w:t>
      </w:r>
      <w:r w:rsidRPr="00274EBB">
        <w:t xml:space="preserve"> cultivation. Moreover, it conclude</w:t>
      </w:r>
      <w:r>
        <w:t>s</w:t>
      </w:r>
      <w:r w:rsidRPr="00274EBB">
        <w:t xml:space="preserve"> that it should be possible to protect sensitive areas (for example small islands with a unique ecology) on a case-by-case basis with GMO-free zones (Euractiv, 2008</w:t>
      </w:r>
      <w:r w:rsidR="00A964C1">
        <w:t>b</w:t>
      </w:r>
      <w:r w:rsidRPr="00274EBB">
        <w:t>). In March 2009, the Dutch government propose</w:t>
      </w:r>
      <w:r>
        <w:t>s</w:t>
      </w:r>
      <w:r w:rsidRPr="00274EBB">
        <w:t xml:space="preserve"> to split the authorisation system between food and feed authorisations on the one hand and cultivation authorisations on the other, leaving the latter up to the MSs. Later that year in June, Austria proposes ‘The way forward’. Through minor amendments to the legal framework, the right to restrict or prohibit the cultivation of EU-authorised GMCs should be given to the MS</w:t>
      </w:r>
      <w:r>
        <w:t>s</w:t>
      </w:r>
      <w:r w:rsidRPr="00274EBB">
        <w:t xml:space="preserve">, based on the principle of subsidiarity (TeEC Art. 5) or on the principle of unanimity for </w:t>
      </w:r>
      <w:r w:rsidRPr="00274EBB">
        <w:lastRenderedPageBreak/>
        <w:t xml:space="preserve">decision on land use (TeEC Art. 175). Together with the Dutch proposal, and the Austrian proposal backed by Belgium, Ireland, Cyprus, Greece, Latvia, Lithuania, Hungary, Malta, Poland and Slovenia, as well as the conclusions of the French working group, these were considered the motivation for the Commission’s initial proposal to amend </w:t>
      </w:r>
      <w:r>
        <w:t xml:space="preserve">Council </w:t>
      </w:r>
      <w:r w:rsidRPr="00274EBB">
        <w:t>Directive 2001/18</w:t>
      </w:r>
      <w:r>
        <w:t>/EC</w:t>
      </w:r>
      <w:r w:rsidRPr="00274EBB">
        <w:t xml:space="preserve"> in July 2010</w:t>
      </w:r>
      <w:r w:rsidR="00FD6C6B">
        <w:t xml:space="preserve"> (European Commission, 2010).</w:t>
      </w:r>
      <w:r w:rsidR="00FD6C6B">
        <w:tab/>
      </w:r>
      <w:r w:rsidR="00FD6C6B">
        <w:tab/>
      </w:r>
      <w:r w:rsidR="00FD6C6B">
        <w:tab/>
      </w:r>
      <w:r w:rsidR="00FD6C6B">
        <w:tab/>
      </w:r>
      <w:r w:rsidR="00FD6C6B">
        <w:tab/>
      </w:r>
      <w:r w:rsidR="00FD6C6B">
        <w:tab/>
      </w:r>
      <w:r w:rsidR="00FD6C6B">
        <w:tab/>
      </w:r>
      <w:r w:rsidR="00FD6C6B">
        <w:tab/>
      </w:r>
      <w:r w:rsidR="00FD6C6B">
        <w:tab/>
      </w:r>
      <w:r w:rsidR="00FD6C6B">
        <w:tab/>
      </w:r>
      <w:r>
        <w:tab/>
        <w:t>In</w:t>
      </w:r>
      <w:r w:rsidRPr="00274EBB">
        <w:t xml:space="preserve"> this phase of the decision making process, the most important points of debate are </w:t>
      </w:r>
      <w:r>
        <w:t>official object of debate</w:t>
      </w:r>
      <w:r w:rsidRPr="00274EBB">
        <w:t>, namely: the creation of GMO-free zones</w:t>
      </w:r>
      <w:r>
        <w:t>, the strengthening of the risk assessment procedure,</w:t>
      </w:r>
      <w:r w:rsidRPr="00274EBB">
        <w:t xml:space="preserve"> and the inclusion of socio-economic impacts in the assessment of GMCs for cultivation. However, the</w:t>
      </w:r>
      <w:r>
        <w:t>ir</w:t>
      </w:r>
      <w:r w:rsidRPr="00274EBB">
        <w:t xml:space="preserve"> sub</w:t>
      </w:r>
      <w:r>
        <w:t xml:space="preserve">stantial impact </w:t>
      </w:r>
      <w:r w:rsidRPr="00274EBB">
        <w:t>is s</w:t>
      </w:r>
      <w:r>
        <w:t>till completely unclear as these can</w:t>
      </w:r>
      <w:r w:rsidRPr="00274EBB">
        <w:t xml:space="preserve"> be interpreted in various ways</w:t>
      </w:r>
      <w:r w:rsidR="00E803BC">
        <w:t>;</w:t>
      </w:r>
      <w:r>
        <w:t xml:space="preserve"> </w:t>
      </w:r>
      <w:r w:rsidR="00E803BC">
        <w:t>it is</w:t>
      </w:r>
      <w:r>
        <w:t xml:space="preserve"> left open for interpretation by the Commission</w:t>
      </w:r>
      <w:r w:rsidRPr="00274EBB">
        <w:t>. A socio-economic consideration may favour GM</w:t>
      </w:r>
      <w:r>
        <w:t>C</w:t>
      </w:r>
      <w:r w:rsidRPr="00274EBB">
        <w:t xml:space="preserve"> cultivation as a result of a cost-benefit analysis regarding the development of a competitive agricultural sect</w:t>
      </w:r>
      <w:r>
        <w:t>or in the EU, but may oppose it</w:t>
      </w:r>
      <w:r w:rsidRPr="00274EBB">
        <w:t xml:space="preserve"> if these considerations are defined as those circumstances relevant to local planning or tradition</w:t>
      </w:r>
      <w:r>
        <w:t xml:space="preserve"> (many fear the cross-pollination of GMCs and characteristic crops which are used in traditional products e.g. Scottish whiskey)</w:t>
      </w:r>
      <w:r w:rsidRPr="00274EBB">
        <w:t xml:space="preserve">. </w:t>
      </w:r>
      <w:r w:rsidRPr="00FD24B0">
        <w:t>As a consequence of the minima</w:t>
      </w:r>
      <w:r>
        <w:t xml:space="preserve">list definition of the proposal </w:t>
      </w:r>
      <w:r w:rsidRPr="00FD24B0">
        <w:t>the initi</w:t>
      </w:r>
      <w:r w:rsidR="00E803BC">
        <w:t xml:space="preserve">ative </w:t>
      </w:r>
      <w:r w:rsidR="00E803BC" w:rsidRPr="00FD24B0">
        <w:t>to move forward on the dossier</w:t>
      </w:r>
      <w:r w:rsidR="00E803BC">
        <w:t xml:space="preserve"> lies</w:t>
      </w:r>
      <w:r w:rsidRPr="00FD24B0">
        <w:t xml:space="preserve"> with the MSs. M</w:t>
      </w:r>
      <w:r w:rsidR="00E803BC">
        <w:t>oreover, the role of the EP beco</w:t>
      </w:r>
      <w:r w:rsidRPr="00FD24B0">
        <w:t>me</w:t>
      </w:r>
      <w:r w:rsidR="00E803BC">
        <w:t>s</w:t>
      </w:r>
      <w:r w:rsidRPr="00FD24B0">
        <w:t xml:space="preserve"> more important </w:t>
      </w:r>
      <w:r w:rsidR="00E803BC">
        <w:t>as it has</w:t>
      </w:r>
      <w:r w:rsidRPr="00FD24B0">
        <w:t xml:space="preserve"> to agree on a proposal as well for it to pass. </w:t>
      </w:r>
      <w:r w:rsidRPr="00FD24B0">
        <w:tab/>
      </w:r>
      <w:r>
        <w:tab/>
      </w:r>
      <w:r w:rsidR="00E803BC">
        <w:tab/>
      </w:r>
      <w:r>
        <w:tab/>
      </w:r>
      <w:r>
        <w:tab/>
      </w:r>
      <w:r>
        <w:tab/>
      </w:r>
      <w:r>
        <w:tab/>
      </w:r>
      <w:r>
        <w:tab/>
      </w:r>
      <w:r w:rsidRPr="00274EBB">
        <w:t>Moreover the Council’s conclusions state that it: ‘’EMPHASISES THE NEED to improve harmonisation of the Member States' assessment practices while ensuring that each GMP should be analysed on a case-by-case basis taking account of the characteristics of ecosystems/environments and of the specific</w:t>
      </w:r>
      <w:r>
        <w:t xml:space="preserve"> geographical areas in which GMo</w:t>
      </w:r>
      <w:r w:rsidRPr="00274EBB">
        <w:t>s may be cultivated in accordance with existing legislation’’ (Council, 2008). This citation emphasizes the substantial character of the debate as opposed to a debate revolving the reallocation of discretionary competences. This intention however will shift during the decision making phase as the MSs, the Commission, the EP and the other relevant actors will battle in a tug-of-war where each actor will try to draw the ‘centre</w:t>
      </w:r>
      <w:r>
        <w:t xml:space="preserve"> line’ over to its own side.</w:t>
      </w:r>
      <w:r>
        <w:tab/>
      </w:r>
      <w:r>
        <w:tab/>
      </w:r>
      <w:r w:rsidRPr="00274EBB">
        <w:tab/>
      </w:r>
      <w:r>
        <w:tab/>
      </w:r>
      <w:r>
        <w:tab/>
      </w:r>
      <w:r>
        <w:tab/>
      </w:r>
      <w:r>
        <w:tab/>
      </w:r>
      <w:r>
        <w:tab/>
      </w:r>
      <w:r>
        <w:tab/>
      </w:r>
      <w:r>
        <w:tab/>
      </w:r>
      <w:r>
        <w:tab/>
      </w:r>
      <w:r>
        <w:lastRenderedPageBreak/>
        <w:tab/>
      </w:r>
      <w:r w:rsidRPr="00274EBB">
        <w:t>In May 2010, the Commission in response to the MSs demands, plans to resolve the matter by enabling a change ‘</w:t>
      </w:r>
      <w:bookmarkStart w:id="23" w:name="_Hlk488087542"/>
      <w:r w:rsidRPr="00274EBB">
        <w:t xml:space="preserve">within the existing framework, if possible’ </w:t>
      </w:r>
      <w:bookmarkEnd w:id="23"/>
      <w:r w:rsidRPr="00274EBB">
        <w:t>(</w:t>
      </w:r>
      <w:r w:rsidR="00447B61">
        <w:t>Dunmore</w:t>
      </w:r>
      <w:r w:rsidRPr="00274EBB">
        <w:t>, 2010). As these plans were leaked, they sparked angry reactions by environmentalist organisations that it would enhance the power of GM</w:t>
      </w:r>
      <w:r w:rsidR="00447B61">
        <w:t>C</w:t>
      </w:r>
      <w:r w:rsidRPr="00274EBB">
        <w:t xml:space="preserve"> producers. Moreover, such a plan would circumvent the GM</w:t>
      </w:r>
      <w:r w:rsidR="00447B61">
        <w:t>O</w:t>
      </w:r>
      <w:r w:rsidRPr="00274EBB">
        <w:t xml:space="preserve"> critical EP that would have an important role if legislation would be altered. On July the thirteenth of 2010 however, the Commission proposes in the context of the aforementioned circumstances, as well as on the basis of the principle of subsidiarity: ‘’…a Regulation amending Directive 2001/18 as regards the possibility for the MSs to restrict or prohibit the cultivation of GMOs in their territory’’ (European Commission</w:t>
      </w:r>
      <w:r w:rsidR="00447B61">
        <w:t>, 2010</w:t>
      </w:r>
      <w:r w:rsidRPr="00274EBB">
        <w:t>). According to the Commission, the Regulation aimed at giving the MSs the option to restrict or prohibit the cultivation of GMCs on their territory, while keeping the science based authorisation procedure (considering health and environmental issues) in place. The initial proposal consisted of an amendment by the introduction of two articles in the Directive: one regarding the entry of date, and one substantial article.</w:t>
      </w:r>
    </w:p>
    <w:p w14:paraId="0E0270BA" w14:textId="77777777" w:rsidR="00532550" w:rsidRPr="00FD24B0" w:rsidRDefault="00532550" w:rsidP="004F19C8">
      <w:pPr>
        <w:spacing w:after="0" w:line="480" w:lineRule="auto"/>
      </w:pPr>
    </w:p>
    <w:p w14:paraId="0EAB3CE8" w14:textId="77777777" w:rsidR="00DD1574" w:rsidRPr="00250391" w:rsidRDefault="00250391" w:rsidP="00250391">
      <w:pPr>
        <w:pStyle w:val="Heading2"/>
        <w:spacing w:before="0"/>
        <w:rPr>
          <w:color w:val="44546A" w:themeColor="text2"/>
        </w:rPr>
      </w:pPr>
      <w:bookmarkStart w:id="24" w:name="_Toc490488048"/>
      <w:r w:rsidRPr="00250391">
        <w:rPr>
          <w:color w:val="44546A" w:themeColor="text2"/>
        </w:rPr>
        <w:t>4.3.1 Analysis</w:t>
      </w:r>
      <w:bookmarkEnd w:id="24"/>
    </w:p>
    <w:p w14:paraId="5A4C3FA2" w14:textId="238D061F" w:rsidR="00DD1574" w:rsidRPr="00274EBB" w:rsidRDefault="00DD1574" w:rsidP="00250391">
      <w:pPr>
        <w:pStyle w:val="NormalWeb"/>
        <w:shd w:val="clear" w:color="auto" w:fill="FFFFFF"/>
        <w:spacing w:before="0" w:beforeAutospacing="0" w:after="150" w:afterAutospacing="0" w:line="480" w:lineRule="auto"/>
        <w:ind w:right="525"/>
        <w:textAlignment w:val="baseline"/>
        <w:rPr>
          <w:rFonts w:asciiTheme="minorHAnsi" w:hAnsiTheme="minorHAnsi" w:cs="Open Sans"/>
          <w:sz w:val="22"/>
          <w:szCs w:val="22"/>
          <w:lang w:val="en-GB"/>
        </w:rPr>
      </w:pPr>
      <w:r w:rsidRPr="00274EBB">
        <w:rPr>
          <w:rFonts w:asciiTheme="minorHAnsi" w:hAnsiTheme="minorHAnsi" w:cs="Tahoma"/>
          <w:sz w:val="22"/>
          <w:szCs w:val="22"/>
          <w:lang w:val="en-GB"/>
        </w:rPr>
        <w:t xml:space="preserve">The Commission’s proposal was not met with much support. At </w:t>
      </w:r>
      <w:r w:rsidR="00E803BC">
        <w:rPr>
          <w:rFonts w:asciiTheme="minorHAnsi" w:hAnsiTheme="minorHAnsi" w:cs="Tahoma"/>
          <w:sz w:val="22"/>
          <w:szCs w:val="22"/>
          <w:lang w:val="en-GB"/>
        </w:rPr>
        <w:t>this moment, criticism consists</w:t>
      </w:r>
      <w:r w:rsidRPr="00274EBB">
        <w:rPr>
          <w:rFonts w:asciiTheme="minorHAnsi" w:hAnsiTheme="minorHAnsi" w:cs="Tahoma"/>
          <w:sz w:val="22"/>
          <w:szCs w:val="22"/>
          <w:lang w:val="en-GB"/>
        </w:rPr>
        <w:t xml:space="preserve"> of a rejection of a reallocation of competences, as well as a rejection of the proposal’s substantial implications for the future of GM cultivation. Although the Netherlands</w:t>
      </w:r>
      <w:r w:rsidR="00E803BC">
        <w:rPr>
          <w:rFonts w:asciiTheme="minorHAnsi" w:hAnsiTheme="minorHAnsi" w:cs="Tahoma"/>
          <w:sz w:val="22"/>
          <w:szCs w:val="22"/>
          <w:lang w:val="en-GB"/>
        </w:rPr>
        <w:t>’ and Austria’s proposals call</w:t>
      </w:r>
      <w:r w:rsidRPr="00274EBB">
        <w:rPr>
          <w:rFonts w:asciiTheme="minorHAnsi" w:hAnsiTheme="minorHAnsi" w:cs="Tahoma"/>
          <w:sz w:val="22"/>
          <w:szCs w:val="22"/>
          <w:lang w:val="en-GB"/>
        </w:rPr>
        <w:t xml:space="preserve"> for a reallocation, the most important MSs Fra</w:t>
      </w:r>
      <w:r w:rsidR="00E803BC">
        <w:rPr>
          <w:rFonts w:asciiTheme="minorHAnsi" w:hAnsiTheme="minorHAnsi" w:cs="Tahoma"/>
          <w:sz w:val="22"/>
          <w:szCs w:val="22"/>
          <w:lang w:val="en-GB"/>
        </w:rPr>
        <w:t>nce, Germany and the U.K. fear that the internal market will</w:t>
      </w:r>
      <w:r w:rsidRPr="00274EBB">
        <w:rPr>
          <w:rFonts w:asciiTheme="minorHAnsi" w:hAnsiTheme="minorHAnsi" w:cs="Tahoma"/>
          <w:sz w:val="22"/>
          <w:szCs w:val="22"/>
          <w:lang w:val="en-GB"/>
        </w:rPr>
        <w:t xml:space="preserve"> be undermined. Moreover, concerns regarding the strength of the authorisation procedure </w:t>
      </w:r>
      <w:r w:rsidR="00E803BC">
        <w:rPr>
          <w:rFonts w:asciiTheme="minorHAnsi" w:hAnsiTheme="minorHAnsi" w:cs="Tahoma"/>
          <w:sz w:val="22"/>
          <w:szCs w:val="22"/>
          <w:lang w:val="en-GB"/>
        </w:rPr>
        <w:t>are</w:t>
      </w:r>
      <w:r w:rsidRPr="00274EBB">
        <w:rPr>
          <w:rFonts w:asciiTheme="minorHAnsi" w:hAnsiTheme="minorHAnsi" w:cs="Tahoma"/>
          <w:sz w:val="22"/>
          <w:szCs w:val="22"/>
          <w:lang w:val="en-GB"/>
        </w:rPr>
        <w:t xml:space="preserve"> shared amongst opponents and proponents of a possible reallocation. The Council’s shared message to the Commission, arduously voiced by the French, </w:t>
      </w:r>
      <w:r w:rsidR="00E803BC">
        <w:rPr>
          <w:rFonts w:asciiTheme="minorHAnsi" w:hAnsiTheme="minorHAnsi" w:cs="Tahoma"/>
          <w:sz w:val="22"/>
          <w:szCs w:val="22"/>
          <w:lang w:val="en-GB"/>
        </w:rPr>
        <w:t>is</w:t>
      </w:r>
      <w:r w:rsidRPr="00274EBB">
        <w:rPr>
          <w:rFonts w:asciiTheme="minorHAnsi" w:hAnsiTheme="minorHAnsi" w:cs="Tahoma"/>
          <w:sz w:val="22"/>
          <w:szCs w:val="22"/>
          <w:lang w:val="en-GB"/>
        </w:rPr>
        <w:t xml:space="preserve"> that there </w:t>
      </w:r>
      <w:r w:rsidR="00E803BC">
        <w:rPr>
          <w:rFonts w:asciiTheme="minorHAnsi" w:hAnsiTheme="minorHAnsi" w:cs="Tahoma"/>
          <w:sz w:val="22"/>
          <w:szCs w:val="22"/>
          <w:lang w:val="en-GB"/>
        </w:rPr>
        <w:t>will</w:t>
      </w:r>
      <w:r w:rsidRPr="00274EBB">
        <w:rPr>
          <w:rFonts w:asciiTheme="minorHAnsi" w:hAnsiTheme="minorHAnsi" w:cs="Tahoma"/>
          <w:sz w:val="22"/>
          <w:szCs w:val="22"/>
          <w:lang w:val="en-GB"/>
        </w:rPr>
        <w:t xml:space="preserve"> be no discussion on the proposal as long as the conclusions of the Council’s ad-hoc working group</w:t>
      </w:r>
      <w:r w:rsidR="00E803BC">
        <w:rPr>
          <w:rFonts w:asciiTheme="minorHAnsi" w:hAnsiTheme="minorHAnsi" w:cs="Tahoma"/>
          <w:sz w:val="22"/>
          <w:szCs w:val="22"/>
          <w:lang w:val="en-GB"/>
        </w:rPr>
        <w:t xml:space="preserve"> </w:t>
      </w:r>
      <w:r w:rsidR="00E803BC" w:rsidRPr="00274EBB">
        <w:rPr>
          <w:rFonts w:asciiTheme="minorHAnsi" w:hAnsiTheme="minorHAnsi" w:cs="Tahoma"/>
          <w:sz w:val="22"/>
          <w:szCs w:val="22"/>
          <w:lang w:val="en-GB"/>
        </w:rPr>
        <w:t xml:space="preserve">of December 2008 </w:t>
      </w:r>
      <w:r w:rsidR="00E803BC">
        <w:rPr>
          <w:rFonts w:asciiTheme="minorHAnsi" w:hAnsiTheme="minorHAnsi" w:cs="Tahoma"/>
          <w:sz w:val="22"/>
          <w:szCs w:val="22"/>
          <w:lang w:val="en-GB"/>
        </w:rPr>
        <w:t>will</w:t>
      </w:r>
      <w:r w:rsidRPr="00274EBB">
        <w:rPr>
          <w:rFonts w:asciiTheme="minorHAnsi" w:hAnsiTheme="minorHAnsi" w:cs="Tahoma"/>
          <w:sz w:val="22"/>
          <w:szCs w:val="22"/>
          <w:lang w:val="en-GB"/>
        </w:rPr>
        <w:t xml:space="preserve"> be properly addressed. MSs have different </w:t>
      </w:r>
      <w:r w:rsidR="00E803BC">
        <w:rPr>
          <w:rFonts w:asciiTheme="minorHAnsi" w:hAnsiTheme="minorHAnsi" w:cs="Tahoma"/>
          <w:sz w:val="22"/>
          <w:szCs w:val="22"/>
          <w:lang w:val="en-GB"/>
        </w:rPr>
        <w:t>motivation</w:t>
      </w:r>
      <w:r w:rsidRPr="00274EBB">
        <w:rPr>
          <w:rFonts w:asciiTheme="minorHAnsi" w:hAnsiTheme="minorHAnsi" w:cs="Tahoma"/>
          <w:sz w:val="22"/>
          <w:szCs w:val="22"/>
          <w:lang w:val="en-GB"/>
        </w:rPr>
        <w:t>, but they all reject a reallocation. French minister for agriculture Bruno Le Maire argues that ‘’…</w:t>
      </w:r>
      <w:r w:rsidRPr="00274EBB">
        <w:rPr>
          <w:rFonts w:asciiTheme="minorHAnsi" w:hAnsiTheme="minorHAnsi" w:cs="Tahoma"/>
          <w:i/>
          <w:sz w:val="22"/>
          <w:szCs w:val="22"/>
          <w:lang w:val="en-GB"/>
        </w:rPr>
        <w:t xml:space="preserve">la décision en matière d’OGM reste communautaire’’ </w:t>
      </w:r>
      <w:r w:rsidRPr="00274EBB">
        <w:rPr>
          <w:rFonts w:asciiTheme="minorHAnsi" w:hAnsiTheme="minorHAnsi" w:cs="Tahoma"/>
          <w:sz w:val="22"/>
          <w:szCs w:val="22"/>
          <w:lang w:val="en-GB"/>
        </w:rPr>
        <w:t xml:space="preserve">and secretary of </w:t>
      </w:r>
      <w:r w:rsidRPr="00274EBB">
        <w:rPr>
          <w:rFonts w:asciiTheme="minorHAnsi" w:hAnsiTheme="minorHAnsi" w:cs="Tahoma"/>
          <w:sz w:val="22"/>
          <w:szCs w:val="22"/>
          <w:lang w:val="en-GB"/>
        </w:rPr>
        <w:lastRenderedPageBreak/>
        <w:t>state for ecology adds: ‘’</w:t>
      </w:r>
      <w:r w:rsidRPr="00274EBB">
        <w:rPr>
          <w:rFonts w:asciiTheme="minorHAnsi" w:hAnsiTheme="minorHAnsi" w:cs="Tahoma"/>
          <w:i/>
          <w:sz w:val="22"/>
          <w:szCs w:val="22"/>
          <w:lang w:val="en-GB"/>
        </w:rPr>
        <w:t xml:space="preserve">il n’y aura pas de discussions tant que les conclusions de 2008, unanimes, ne seront pas appliquées’’, </w:t>
      </w:r>
      <w:r w:rsidRPr="00274EBB">
        <w:rPr>
          <w:rFonts w:asciiTheme="minorHAnsi" w:hAnsiTheme="minorHAnsi" w:cs="Tahoma"/>
          <w:sz w:val="22"/>
          <w:szCs w:val="22"/>
          <w:lang w:val="en-GB"/>
        </w:rPr>
        <w:t>indicating French resistance to the proposal based on substantial concerns about the future of GM</w:t>
      </w:r>
      <w:r w:rsidR="00394AFD">
        <w:rPr>
          <w:rFonts w:asciiTheme="minorHAnsi" w:hAnsiTheme="minorHAnsi" w:cs="Tahoma"/>
          <w:sz w:val="22"/>
          <w:szCs w:val="22"/>
          <w:lang w:val="en-GB"/>
        </w:rPr>
        <w:t>C</w:t>
      </w:r>
      <w:r w:rsidRPr="00274EBB">
        <w:rPr>
          <w:rFonts w:asciiTheme="minorHAnsi" w:hAnsiTheme="minorHAnsi" w:cs="Tahoma"/>
          <w:sz w:val="22"/>
          <w:szCs w:val="22"/>
          <w:lang w:val="en-GB"/>
        </w:rPr>
        <w:t xml:space="preserve"> cultiv</w:t>
      </w:r>
      <w:r w:rsidR="00394AFD">
        <w:rPr>
          <w:rFonts w:asciiTheme="minorHAnsi" w:hAnsiTheme="minorHAnsi" w:cs="Tahoma"/>
          <w:sz w:val="22"/>
          <w:szCs w:val="22"/>
          <w:lang w:val="en-GB"/>
        </w:rPr>
        <w:t>ation. Germany discards</w:t>
      </w:r>
      <w:r w:rsidRPr="00274EBB">
        <w:rPr>
          <w:rFonts w:asciiTheme="minorHAnsi" w:hAnsiTheme="minorHAnsi" w:cs="Tahoma"/>
          <w:sz w:val="22"/>
          <w:szCs w:val="22"/>
          <w:lang w:val="en-GB"/>
        </w:rPr>
        <w:t xml:space="preserve"> the reallocation based on concerns </w:t>
      </w:r>
      <w:r w:rsidR="00394AFD">
        <w:rPr>
          <w:rFonts w:asciiTheme="minorHAnsi" w:hAnsiTheme="minorHAnsi" w:cs="Tahoma"/>
          <w:sz w:val="22"/>
          <w:szCs w:val="22"/>
          <w:lang w:val="en-GB"/>
        </w:rPr>
        <w:t>for</w:t>
      </w:r>
      <w:r w:rsidRPr="00274EBB">
        <w:rPr>
          <w:rFonts w:asciiTheme="minorHAnsi" w:hAnsiTheme="minorHAnsi" w:cs="Tahoma"/>
          <w:sz w:val="22"/>
          <w:szCs w:val="22"/>
          <w:lang w:val="en-GB"/>
        </w:rPr>
        <w:t xml:space="preserve"> the inter</w:t>
      </w:r>
      <w:r w:rsidR="00394AFD">
        <w:rPr>
          <w:rFonts w:asciiTheme="minorHAnsi" w:hAnsiTheme="minorHAnsi" w:cs="Tahoma"/>
          <w:sz w:val="22"/>
          <w:szCs w:val="22"/>
          <w:lang w:val="en-GB"/>
        </w:rPr>
        <w:t>nal market which it fears will</w:t>
      </w:r>
      <w:r w:rsidRPr="00274EBB">
        <w:rPr>
          <w:rFonts w:asciiTheme="minorHAnsi" w:hAnsiTheme="minorHAnsi" w:cs="Tahoma"/>
          <w:sz w:val="22"/>
          <w:szCs w:val="22"/>
          <w:lang w:val="en-GB"/>
        </w:rPr>
        <w:t xml:space="preserve"> be ‘’destroyed’’ by the proposal (</w:t>
      </w:r>
      <w:r w:rsidR="00447B61">
        <w:rPr>
          <w:rFonts w:asciiTheme="minorHAnsi" w:hAnsiTheme="minorHAnsi" w:cs="Tahoma"/>
          <w:sz w:val="22"/>
          <w:szCs w:val="22"/>
          <w:lang w:val="en-GB"/>
        </w:rPr>
        <w:t>Eckstein</w:t>
      </w:r>
      <w:r w:rsidRPr="00274EBB">
        <w:rPr>
          <w:rFonts w:asciiTheme="minorHAnsi" w:hAnsiTheme="minorHAnsi" w:cs="Tahoma"/>
          <w:sz w:val="22"/>
          <w:szCs w:val="22"/>
          <w:lang w:val="en-GB"/>
        </w:rPr>
        <w:t xml:space="preserve">, 2010). The interest groups, corporate and environmentalist alike, united against the Commission with the MSs at this moment with regards to the reallocation. </w:t>
      </w:r>
      <w:r w:rsidRPr="00274EBB">
        <w:rPr>
          <w:rFonts w:asciiTheme="minorHAnsi" w:hAnsiTheme="minorHAnsi" w:cs="Open Sans"/>
          <w:sz w:val="22"/>
          <w:szCs w:val="22"/>
          <w:lang w:val="en-GB"/>
        </w:rPr>
        <w:t>FOEE and Greenpeace argued that ‘’Today’s proposal would be the reverse of what EU environment ministers unanimously called for in 2008 – a strengthening of the authorisation procedure’’ (Euractiv, 2010). CopaCogeca criticises the Commission’s proposal for its possible effects on the internal market, which could be that it create</w:t>
      </w:r>
      <w:r w:rsidR="00394AFD">
        <w:rPr>
          <w:rFonts w:asciiTheme="minorHAnsi" w:hAnsiTheme="minorHAnsi" w:cs="Open Sans"/>
          <w:sz w:val="22"/>
          <w:szCs w:val="22"/>
          <w:lang w:val="en-GB"/>
        </w:rPr>
        <w:t>s</w:t>
      </w:r>
      <w:r w:rsidRPr="00274EBB">
        <w:rPr>
          <w:rFonts w:asciiTheme="minorHAnsi" w:hAnsiTheme="minorHAnsi" w:cs="Open Sans"/>
          <w:sz w:val="22"/>
          <w:szCs w:val="22"/>
          <w:lang w:val="en-GB"/>
        </w:rPr>
        <w:t xml:space="preserve"> distortions of competition among EU farmers. Therefore it urges that the Commission protects the risk assessment process by the EFSA (CopaCogeca, 2010). </w:t>
      </w:r>
      <w:r>
        <w:rPr>
          <w:rFonts w:asciiTheme="minorHAnsi" w:hAnsiTheme="minorHAnsi" w:cs="Open Sans"/>
          <w:sz w:val="22"/>
          <w:szCs w:val="22"/>
          <w:lang w:val="en-GB"/>
        </w:rPr>
        <w:tab/>
      </w:r>
      <w:r>
        <w:rPr>
          <w:rFonts w:asciiTheme="minorHAnsi" w:hAnsiTheme="minorHAnsi" w:cs="Open Sans"/>
          <w:sz w:val="22"/>
          <w:szCs w:val="22"/>
          <w:lang w:val="en-GB"/>
        </w:rPr>
        <w:tab/>
      </w:r>
      <w:r>
        <w:rPr>
          <w:rFonts w:asciiTheme="minorHAnsi" w:hAnsiTheme="minorHAnsi" w:cs="Open Sans"/>
          <w:sz w:val="22"/>
          <w:szCs w:val="22"/>
          <w:lang w:val="en-GB"/>
        </w:rPr>
        <w:tab/>
      </w:r>
      <w:r w:rsidR="00997766">
        <w:rPr>
          <w:rFonts w:asciiTheme="minorHAnsi" w:hAnsiTheme="minorHAnsi" w:cs="Open Sans"/>
          <w:sz w:val="22"/>
          <w:szCs w:val="22"/>
          <w:lang w:val="en-GB"/>
        </w:rPr>
        <w:tab/>
      </w:r>
      <w:r w:rsidR="00394AFD">
        <w:rPr>
          <w:rFonts w:asciiTheme="minorHAnsi" w:hAnsiTheme="minorHAnsi" w:cs="Open Sans"/>
          <w:sz w:val="22"/>
          <w:szCs w:val="22"/>
          <w:lang w:val="en-GB"/>
        </w:rPr>
        <w:tab/>
      </w:r>
      <w:r w:rsidR="00997766">
        <w:rPr>
          <w:rFonts w:asciiTheme="minorHAnsi" w:hAnsiTheme="minorHAnsi" w:cs="Open Sans"/>
          <w:sz w:val="22"/>
          <w:szCs w:val="22"/>
          <w:lang w:val="en-GB"/>
        </w:rPr>
        <w:tab/>
      </w:r>
      <w:r w:rsidR="00997766">
        <w:rPr>
          <w:rFonts w:asciiTheme="minorHAnsi" w:hAnsiTheme="minorHAnsi" w:cs="Open Sans"/>
          <w:sz w:val="22"/>
          <w:szCs w:val="22"/>
          <w:lang w:val="en-GB"/>
        </w:rPr>
        <w:tab/>
      </w:r>
      <w:r w:rsidR="00997766">
        <w:rPr>
          <w:rFonts w:asciiTheme="minorHAnsi" w:hAnsiTheme="minorHAnsi" w:cs="Open Sans"/>
          <w:sz w:val="22"/>
          <w:szCs w:val="22"/>
          <w:lang w:val="en-GB"/>
        </w:rPr>
        <w:tab/>
      </w:r>
      <w:r>
        <w:rPr>
          <w:rFonts w:asciiTheme="minorHAnsi" w:hAnsiTheme="minorHAnsi" w:cs="Open Sans"/>
          <w:sz w:val="22"/>
          <w:szCs w:val="22"/>
          <w:lang w:val="en-GB"/>
        </w:rPr>
        <w:tab/>
      </w:r>
      <w:r>
        <w:rPr>
          <w:rFonts w:asciiTheme="minorHAnsi" w:hAnsiTheme="minorHAnsi" w:cs="Open Sans"/>
          <w:sz w:val="22"/>
          <w:szCs w:val="22"/>
          <w:lang w:val="en-GB"/>
        </w:rPr>
        <w:tab/>
      </w:r>
      <w:r w:rsidRPr="00274EBB">
        <w:rPr>
          <w:rFonts w:asciiTheme="minorHAnsi" w:hAnsiTheme="minorHAnsi" w:cs="Open Sans"/>
          <w:sz w:val="22"/>
          <w:szCs w:val="22"/>
          <w:lang w:val="en-GB"/>
        </w:rPr>
        <w:t>As a consequence of the MSs aversion to the Commission’s proposal, the limbo had returned while it had never really gone. Meanwhile the EP had agreed on a position in first reading. The European Parliament (with Corinne Lepage f</w:t>
      </w:r>
      <w:r w:rsidR="00394AFD">
        <w:rPr>
          <w:rFonts w:asciiTheme="minorHAnsi" w:hAnsiTheme="minorHAnsi" w:cs="Open Sans"/>
          <w:sz w:val="22"/>
          <w:szCs w:val="22"/>
          <w:lang w:val="en-GB"/>
        </w:rPr>
        <w:t>rom ALDE as rapporteur) proposes</w:t>
      </w:r>
      <w:r w:rsidRPr="00274EBB">
        <w:rPr>
          <w:rFonts w:asciiTheme="minorHAnsi" w:hAnsiTheme="minorHAnsi" w:cs="Open Sans"/>
          <w:sz w:val="22"/>
          <w:szCs w:val="22"/>
          <w:lang w:val="en-GB"/>
        </w:rPr>
        <w:t xml:space="preserve"> to amend the proposal on a number of different items, including an amendment to change the legal foundation of the document from Art. 114 TFE</w:t>
      </w:r>
      <w:r w:rsidR="00215C4E">
        <w:rPr>
          <w:rFonts w:asciiTheme="minorHAnsi" w:hAnsiTheme="minorHAnsi" w:cs="Open Sans"/>
          <w:sz w:val="22"/>
          <w:szCs w:val="22"/>
          <w:lang w:val="en-GB"/>
        </w:rPr>
        <w:t>U</w:t>
      </w:r>
      <w:r w:rsidRPr="00274EBB">
        <w:rPr>
          <w:rFonts w:asciiTheme="minorHAnsi" w:hAnsiTheme="minorHAnsi" w:cs="Open Sans"/>
          <w:sz w:val="22"/>
          <w:szCs w:val="22"/>
          <w:lang w:val="en-GB"/>
        </w:rPr>
        <w:t xml:space="preserve"> considering the internal market to Art. 192(1) considering the environment, which was rejected by the Commission in first reading. More generally, the EP sought to give MSs a stronger legal basis to invoke measures preventing the cultivation of GMCs. One of the most important points to ensure this is that the provision of co-existence rules should be made obligatory in the MSs. Such rules could </w:t>
      </w:r>
      <w:r w:rsidRPr="00274EBB">
        <w:rPr>
          <w:rFonts w:asciiTheme="minorHAnsi" w:hAnsiTheme="minorHAnsi" w:cs="Open Sans"/>
          <w:i/>
          <w:sz w:val="22"/>
          <w:szCs w:val="22"/>
          <w:lang w:val="en-GB"/>
        </w:rPr>
        <w:t>de facto</w:t>
      </w:r>
      <w:r w:rsidRPr="00274EBB">
        <w:rPr>
          <w:rFonts w:asciiTheme="minorHAnsi" w:hAnsiTheme="minorHAnsi" w:cs="Open Sans"/>
          <w:sz w:val="22"/>
          <w:szCs w:val="22"/>
          <w:lang w:val="en-GB"/>
        </w:rPr>
        <w:t xml:space="preserve"> mean that cultivation is banned in the case that GM-free zones established to ensure co-existence cover wide areas of land. Note that co-existence here means that GM-crops are not allowed in areas where conventional or organic crops are cultivated. Although the EP could relatively easily agree on its position, mainly united in its disposition towards banning GM</w:t>
      </w:r>
      <w:r w:rsidR="00394AFD">
        <w:rPr>
          <w:rFonts w:asciiTheme="minorHAnsi" w:hAnsiTheme="minorHAnsi" w:cs="Open Sans"/>
          <w:sz w:val="22"/>
          <w:szCs w:val="22"/>
          <w:lang w:val="en-GB"/>
        </w:rPr>
        <w:t>C</w:t>
      </w:r>
      <w:r w:rsidRPr="00274EBB">
        <w:rPr>
          <w:rFonts w:asciiTheme="minorHAnsi" w:hAnsiTheme="minorHAnsi" w:cs="Open Sans"/>
          <w:sz w:val="22"/>
          <w:szCs w:val="22"/>
          <w:lang w:val="en-GB"/>
        </w:rPr>
        <w:t xml:space="preserve"> cultivation, the MSs could not. Following an adoption of a position in first reading by the Council, a process </w:t>
      </w:r>
      <w:r w:rsidRPr="00274EBB">
        <w:rPr>
          <w:rFonts w:asciiTheme="minorHAnsi" w:hAnsiTheme="minorHAnsi" w:cs="Open Sans"/>
          <w:sz w:val="22"/>
          <w:szCs w:val="22"/>
          <w:lang w:val="en-GB"/>
        </w:rPr>
        <w:lastRenderedPageBreak/>
        <w:t xml:space="preserve">would be put in motion that would be hard to reverse. If the Council would adopt such a position, it is for the Commission and the EP to amend and adopt it further. If the Council thereafter has any concerns, it may only accept or reject the proposal in its totality. </w:t>
      </w:r>
      <w:r w:rsidR="00215C4E">
        <w:rPr>
          <w:rFonts w:asciiTheme="minorHAnsi" w:hAnsiTheme="minorHAnsi" w:cs="Open Sans"/>
          <w:sz w:val="22"/>
          <w:szCs w:val="22"/>
          <w:lang w:val="en-GB"/>
        </w:rPr>
        <w:tab/>
      </w:r>
      <w:r w:rsidR="00215C4E">
        <w:rPr>
          <w:rFonts w:asciiTheme="minorHAnsi" w:hAnsiTheme="minorHAnsi" w:cs="Open Sans"/>
          <w:sz w:val="22"/>
          <w:szCs w:val="22"/>
          <w:lang w:val="en-GB"/>
        </w:rPr>
        <w:tab/>
      </w:r>
      <w:r>
        <w:rPr>
          <w:rFonts w:asciiTheme="minorHAnsi" w:hAnsiTheme="minorHAnsi" w:cs="Open Sans"/>
          <w:sz w:val="22"/>
          <w:szCs w:val="22"/>
          <w:lang w:val="en-GB"/>
        </w:rPr>
        <w:tab/>
      </w:r>
      <w:r w:rsidRPr="00274EBB">
        <w:rPr>
          <w:rFonts w:asciiTheme="minorHAnsi" w:hAnsiTheme="minorHAnsi" w:cs="Open Sans"/>
          <w:sz w:val="22"/>
          <w:szCs w:val="22"/>
          <w:lang w:val="en-GB"/>
        </w:rPr>
        <w:t>In the next four years, although the EP is able to adopt a position at first reading in 2011, the Council is unable to come to an agreement. By the time of 2012, the Council is still unable to agree on a compromise proposal under Danish presidency: ‘</w:t>
      </w:r>
      <w:bookmarkStart w:id="25" w:name="_Hlk488089594"/>
      <w:r w:rsidRPr="00274EBB">
        <w:rPr>
          <w:rFonts w:asciiTheme="minorHAnsi" w:hAnsiTheme="minorHAnsi" w:cs="Open Sans"/>
          <w:sz w:val="22"/>
          <w:szCs w:val="22"/>
          <w:lang w:val="en-GB"/>
        </w:rPr>
        <w:t>’DE, FR, UK, and BE as they found the proposal in conflict with the single market, concerns on the compatibility with WTO, renationalization, and implementation of the 2008 Council conclusions</w:t>
      </w:r>
      <w:bookmarkEnd w:id="25"/>
      <w:r w:rsidR="00215C4E">
        <w:rPr>
          <w:rFonts w:asciiTheme="minorHAnsi" w:hAnsiTheme="minorHAnsi" w:cs="Open Sans"/>
          <w:sz w:val="22"/>
          <w:szCs w:val="22"/>
          <w:lang w:val="en-GB"/>
        </w:rPr>
        <w:t>’’</w:t>
      </w:r>
      <w:r w:rsidRPr="00274EBB">
        <w:rPr>
          <w:rFonts w:asciiTheme="minorHAnsi" w:hAnsiTheme="minorHAnsi" w:cs="Open Sans"/>
          <w:sz w:val="22"/>
          <w:szCs w:val="22"/>
          <w:lang w:val="en-GB"/>
        </w:rPr>
        <w:t xml:space="preserve"> (</w:t>
      </w:r>
      <w:r w:rsidR="00215C4E">
        <w:rPr>
          <w:rFonts w:asciiTheme="minorHAnsi" w:hAnsiTheme="minorHAnsi" w:cs="Open Sans"/>
          <w:sz w:val="22"/>
          <w:szCs w:val="22"/>
          <w:lang w:val="en-GB"/>
        </w:rPr>
        <w:t xml:space="preserve">European </w:t>
      </w:r>
      <w:r w:rsidRPr="00274EBB">
        <w:rPr>
          <w:rFonts w:asciiTheme="minorHAnsi" w:hAnsiTheme="minorHAnsi" w:cs="Open Sans"/>
          <w:sz w:val="22"/>
          <w:szCs w:val="22"/>
          <w:lang w:val="en-GB"/>
        </w:rPr>
        <w:t xml:space="preserve">Council, 2012). Nonetheless, two years later the Council, the EP and the Commission would agree on a reallocation of GMC cultivation competences. The previous paragraphs have shown that the Council’s inability to agree on the Commission’s proposal sustain </w:t>
      </w:r>
      <w:r w:rsidR="00394AFD">
        <w:rPr>
          <w:rFonts w:asciiTheme="minorHAnsi" w:hAnsiTheme="minorHAnsi" w:cs="Open Sans"/>
          <w:sz w:val="22"/>
          <w:szCs w:val="22"/>
          <w:lang w:val="en-GB"/>
        </w:rPr>
        <w:t>the limbo. As the initiative lie</w:t>
      </w:r>
      <w:r w:rsidRPr="00274EBB">
        <w:rPr>
          <w:rFonts w:asciiTheme="minorHAnsi" w:hAnsiTheme="minorHAnsi" w:cs="Open Sans"/>
          <w:sz w:val="22"/>
          <w:szCs w:val="22"/>
          <w:lang w:val="en-GB"/>
        </w:rPr>
        <w:t xml:space="preserve">s with the MSs on this matter now, the following paragraphs will try to show how their positions shifted. </w:t>
      </w:r>
    </w:p>
    <w:p w14:paraId="3A322243" w14:textId="77777777" w:rsidR="00DD1574" w:rsidRPr="004F19C8" w:rsidRDefault="00250391"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Withdrawal of pending authorisations</w:t>
      </w:r>
    </w:p>
    <w:p w14:paraId="7AAF0292" w14:textId="64E229DD" w:rsidR="006E176A" w:rsidRDefault="00DD1574" w:rsidP="006E176A">
      <w:pPr>
        <w:pStyle w:val="NormalWeb"/>
        <w:shd w:val="clear" w:color="auto" w:fill="FFFFFF"/>
        <w:spacing w:before="150" w:beforeAutospacing="0" w:after="240" w:afterAutospacing="0" w:line="480" w:lineRule="auto"/>
        <w:ind w:right="525"/>
        <w:textAlignment w:val="baseline"/>
        <w:rPr>
          <w:rFonts w:asciiTheme="minorHAnsi" w:hAnsiTheme="minorHAnsi" w:cs="Open Sans"/>
          <w:sz w:val="22"/>
          <w:szCs w:val="22"/>
          <w:lang w:val="en-GB"/>
        </w:rPr>
      </w:pPr>
      <w:r w:rsidRPr="00274EBB">
        <w:rPr>
          <w:rFonts w:asciiTheme="minorHAnsi" w:hAnsiTheme="minorHAnsi" w:cs="Open Sans"/>
          <w:sz w:val="22"/>
          <w:szCs w:val="22"/>
          <w:lang w:val="en-GB"/>
        </w:rPr>
        <w:t xml:space="preserve">In the aftermath of the Commission’s proposal, the MSs seem irreconcilable. What follows are four years wherein relevant actors voice their concern on the future of GM cultivation. During these times, the initiative lies with the Council as it has to agree on its position in first reading for the proposal to proceed. Moreover, the pressure to </w:t>
      </w:r>
      <w:r w:rsidR="00BD4FE2">
        <w:rPr>
          <w:rFonts w:asciiTheme="minorHAnsi" w:hAnsiTheme="minorHAnsi" w:cs="Open Sans"/>
          <w:sz w:val="22"/>
          <w:szCs w:val="22"/>
          <w:lang w:val="en-GB"/>
        </w:rPr>
        <w:t>reach an agreement still exists</w:t>
      </w:r>
      <w:r w:rsidRPr="00274EBB">
        <w:rPr>
          <w:rFonts w:asciiTheme="minorHAnsi" w:hAnsiTheme="minorHAnsi" w:cs="Open Sans"/>
          <w:sz w:val="22"/>
          <w:szCs w:val="22"/>
          <w:lang w:val="en-GB"/>
        </w:rPr>
        <w:t xml:space="preserve"> for anti-GM actors: the Commission </w:t>
      </w:r>
      <w:r w:rsidR="00BD4FE2">
        <w:rPr>
          <w:rFonts w:asciiTheme="minorHAnsi" w:hAnsiTheme="minorHAnsi" w:cs="Open Sans"/>
          <w:sz w:val="22"/>
          <w:szCs w:val="22"/>
          <w:lang w:val="en-GB"/>
        </w:rPr>
        <w:t>can</w:t>
      </w:r>
      <w:r w:rsidRPr="00274EBB">
        <w:rPr>
          <w:rFonts w:asciiTheme="minorHAnsi" w:hAnsiTheme="minorHAnsi" w:cs="Open Sans"/>
          <w:sz w:val="22"/>
          <w:szCs w:val="22"/>
          <w:lang w:val="en-GB"/>
        </w:rPr>
        <w:t xml:space="preserve"> still rubber-stamp-approve GMCs for cultivation in theory and the MSs still had to find, and </w:t>
      </w:r>
      <w:r w:rsidR="00BD4FE2">
        <w:rPr>
          <w:rFonts w:asciiTheme="minorHAnsi" w:hAnsiTheme="minorHAnsi" w:cs="Open Sans"/>
          <w:sz w:val="22"/>
          <w:szCs w:val="22"/>
          <w:lang w:val="en-GB"/>
        </w:rPr>
        <w:t>finds</w:t>
      </w:r>
      <w:r w:rsidRPr="00274EBB">
        <w:rPr>
          <w:rFonts w:asciiTheme="minorHAnsi" w:hAnsiTheme="minorHAnsi" w:cs="Open Sans"/>
          <w:sz w:val="22"/>
          <w:szCs w:val="22"/>
          <w:lang w:val="en-GB"/>
        </w:rPr>
        <w:t xml:space="preserve"> creative ways to ban the cultivation of MON810. On the other hand, MSs wishing to press ahead wit</w:t>
      </w:r>
      <w:r w:rsidR="00BD4FE2">
        <w:rPr>
          <w:rFonts w:asciiTheme="minorHAnsi" w:hAnsiTheme="minorHAnsi" w:cs="Open Sans"/>
          <w:sz w:val="22"/>
          <w:szCs w:val="22"/>
          <w:lang w:val="en-GB"/>
        </w:rPr>
        <w:t>h the cultivation of GMCs, face</w:t>
      </w:r>
      <w:r w:rsidRPr="00274EBB">
        <w:rPr>
          <w:rFonts w:asciiTheme="minorHAnsi" w:hAnsiTheme="minorHAnsi" w:cs="Open Sans"/>
          <w:sz w:val="22"/>
          <w:szCs w:val="22"/>
          <w:lang w:val="en-GB"/>
        </w:rPr>
        <w:t xml:space="preserve"> difficulties as well as applications </w:t>
      </w:r>
      <w:r w:rsidR="00BD4FE2">
        <w:rPr>
          <w:rFonts w:asciiTheme="minorHAnsi" w:hAnsiTheme="minorHAnsi" w:cs="Open Sans"/>
          <w:sz w:val="22"/>
          <w:szCs w:val="22"/>
          <w:lang w:val="en-GB"/>
        </w:rPr>
        <w:t>will</w:t>
      </w:r>
      <w:r w:rsidRPr="00274EBB">
        <w:rPr>
          <w:rFonts w:asciiTheme="minorHAnsi" w:hAnsiTheme="minorHAnsi" w:cs="Open Sans"/>
          <w:sz w:val="22"/>
          <w:szCs w:val="22"/>
          <w:lang w:val="en-GB"/>
        </w:rPr>
        <w:t xml:space="preserve"> not become successful these years. </w:t>
      </w:r>
      <w:r w:rsidRPr="00274EBB">
        <w:rPr>
          <w:rFonts w:asciiTheme="minorHAnsi" w:hAnsiTheme="minorHAnsi" w:cs="Open Sans"/>
          <w:sz w:val="22"/>
          <w:szCs w:val="22"/>
          <w:lang w:val="en-GB"/>
        </w:rPr>
        <w:tab/>
      </w:r>
      <w:r w:rsidRPr="00274EBB">
        <w:rPr>
          <w:rFonts w:asciiTheme="minorHAnsi" w:hAnsiTheme="minorHAnsi" w:cs="Open Sans"/>
          <w:sz w:val="22"/>
          <w:szCs w:val="22"/>
          <w:lang w:val="en-GB"/>
        </w:rPr>
        <w:tab/>
      </w:r>
      <w:r w:rsidRPr="00274EBB">
        <w:rPr>
          <w:rFonts w:asciiTheme="minorHAnsi" w:hAnsiTheme="minorHAnsi" w:cs="Open Sans"/>
          <w:sz w:val="22"/>
          <w:szCs w:val="22"/>
          <w:lang w:val="en-GB"/>
        </w:rPr>
        <w:tab/>
      </w:r>
      <w:r w:rsidR="00BD4FE2">
        <w:rPr>
          <w:rFonts w:asciiTheme="minorHAnsi" w:hAnsiTheme="minorHAnsi" w:cs="Open Sans"/>
          <w:sz w:val="22"/>
          <w:szCs w:val="22"/>
          <w:lang w:val="en-GB"/>
        </w:rPr>
        <w:tab/>
      </w:r>
      <w:r w:rsidRPr="00274EBB">
        <w:rPr>
          <w:rFonts w:asciiTheme="minorHAnsi" w:hAnsiTheme="minorHAnsi" w:cs="Open Sans"/>
          <w:sz w:val="22"/>
          <w:szCs w:val="22"/>
          <w:lang w:val="en-GB"/>
        </w:rPr>
        <w:tab/>
        <w:t xml:space="preserve">Meanwhile, those who oppose the cultivation of GMCs seem relentless in their endeavour to ban all GMOs. </w:t>
      </w:r>
      <w:r w:rsidRPr="00274EBB">
        <w:rPr>
          <w:rFonts w:asciiTheme="minorHAnsi" w:hAnsiTheme="minorHAnsi"/>
          <w:sz w:val="22"/>
          <w:szCs w:val="22"/>
          <w:lang w:val="en-GB"/>
        </w:rPr>
        <w:t xml:space="preserve">As soon as the Commission </w:t>
      </w:r>
      <w:r w:rsidR="00BD4FE2">
        <w:rPr>
          <w:rFonts w:asciiTheme="minorHAnsi" w:hAnsiTheme="minorHAnsi"/>
          <w:sz w:val="22"/>
          <w:szCs w:val="22"/>
          <w:lang w:val="en-GB"/>
        </w:rPr>
        <w:t>announces</w:t>
      </w:r>
      <w:r w:rsidRPr="00274EBB">
        <w:rPr>
          <w:rFonts w:asciiTheme="minorHAnsi" w:hAnsiTheme="minorHAnsi"/>
          <w:sz w:val="22"/>
          <w:szCs w:val="22"/>
          <w:lang w:val="en-GB"/>
        </w:rPr>
        <w:t xml:space="preserve"> its proposal, the environmental organizations put pressure on the Commission to stop all authorizations of GMOs. </w:t>
      </w:r>
      <w:r w:rsidRPr="00274EBB">
        <w:rPr>
          <w:rFonts w:asciiTheme="minorHAnsi" w:hAnsiTheme="minorHAnsi" w:cs="Open Sans"/>
          <w:sz w:val="22"/>
          <w:szCs w:val="22"/>
          <w:lang w:val="en-GB"/>
        </w:rPr>
        <w:t xml:space="preserve">In November, a first ever citizen’s initiative in the EU (be it before the entry of force of </w:t>
      </w:r>
      <w:r w:rsidRPr="00274EBB">
        <w:rPr>
          <w:rFonts w:asciiTheme="minorHAnsi" w:hAnsiTheme="minorHAnsi" w:cs="Open Sans"/>
          <w:sz w:val="22"/>
          <w:szCs w:val="22"/>
          <w:lang w:val="en-GB"/>
        </w:rPr>
        <w:lastRenderedPageBreak/>
        <w:t>the formal possibility of such an initiative), signed by over a million EU citizens who asked for a hold on all further authorisations of GMOs, was presented to Barroso by Greenpeace. This initiative was especially well timed as a refusal of the Commission’s proposal would give the Commission: ‘’…free reign to authorize a plethora of new GM crops for cultivation’’ (</w:t>
      </w:r>
      <w:r w:rsidR="00433BA9">
        <w:rPr>
          <w:rFonts w:asciiTheme="minorHAnsi" w:hAnsiTheme="minorHAnsi" w:cs="Open Sans"/>
          <w:sz w:val="22"/>
          <w:szCs w:val="22"/>
          <w:lang w:val="en-GB"/>
        </w:rPr>
        <w:t>Vidal</w:t>
      </w:r>
      <w:r w:rsidRPr="00274EBB">
        <w:rPr>
          <w:rFonts w:asciiTheme="minorHAnsi" w:hAnsiTheme="minorHAnsi" w:cs="Open Sans"/>
          <w:sz w:val="22"/>
          <w:szCs w:val="22"/>
          <w:lang w:val="en-GB"/>
        </w:rPr>
        <w:t xml:space="preserve">, 2010). The initiative thus counterbalanced the Commission’s possible intentions to press ahead with rubberstamp authorisations. As the MSs </w:t>
      </w:r>
      <w:r w:rsidR="00BD4FE2">
        <w:rPr>
          <w:rFonts w:asciiTheme="minorHAnsi" w:hAnsiTheme="minorHAnsi" w:cs="Open Sans"/>
          <w:sz w:val="22"/>
          <w:szCs w:val="22"/>
          <w:lang w:val="en-GB"/>
        </w:rPr>
        <w:t>are</w:t>
      </w:r>
      <w:r w:rsidRPr="00274EBB">
        <w:rPr>
          <w:rFonts w:asciiTheme="minorHAnsi" w:hAnsiTheme="minorHAnsi" w:cs="Open Sans"/>
          <w:sz w:val="22"/>
          <w:szCs w:val="22"/>
          <w:lang w:val="en-GB"/>
        </w:rPr>
        <w:t xml:space="preserve"> in a conflict over the substantial and procedural implications of the proposal, the relevant interest groups </w:t>
      </w:r>
      <w:r w:rsidR="00BD4FE2">
        <w:rPr>
          <w:rFonts w:asciiTheme="minorHAnsi" w:hAnsiTheme="minorHAnsi" w:cs="Open Sans"/>
          <w:sz w:val="22"/>
          <w:szCs w:val="22"/>
          <w:lang w:val="en-GB"/>
        </w:rPr>
        <w:t>are</w:t>
      </w:r>
      <w:r w:rsidRPr="00274EBB">
        <w:rPr>
          <w:rFonts w:asciiTheme="minorHAnsi" w:hAnsiTheme="minorHAnsi" w:cs="Open Sans"/>
          <w:sz w:val="22"/>
          <w:szCs w:val="22"/>
          <w:lang w:val="en-GB"/>
        </w:rPr>
        <w:t xml:space="preserve"> mainly pressing for a </w:t>
      </w:r>
      <w:r w:rsidR="00BD4FE2">
        <w:rPr>
          <w:rFonts w:asciiTheme="minorHAnsi" w:hAnsiTheme="minorHAnsi" w:cs="Open Sans"/>
          <w:sz w:val="22"/>
          <w:szCs w:val="22"/>
          <w:lang w:val="en-GB"/>
        </w:rPr>
        <w:t>‘</w:t>
      </w:r>
      <w:r w:rsidRPr="00274EBB">
        <w:rPr>
          <w:rFonts w:asciiTheme="minorHAnsi" w:hAnsiTheme="minorHAnsi" w:cs="Open Sans"/>
          <w:sz w:val="22"/>
          <w:szCs w:val="22"/>
          <w:lang w:val="en-GB"/>
        </w:rPr>
        <w:t>cultivation</w:t>
      </w:r>
      <w:r w:rsidR="00BD4FE2">
        <w:rPr>
          <w:rFonts w:asciiTheme="minorHAnsi" w:hAnsiTheme="minorHAnsi" w:cs="Open Sans"/>
          <w:sz w:val="22"/>
          <w:szCs w:val="22"/>
          <w:lang w:val="en-GB"/>
        </w:rPr>
        <w:t>’</w:t>
      </w:r>
      <w:r w:rsidRPr="00274EBB">
        <w:rPr>
          <w:rFonts w:asciiTheme="minorHAnsi" w:hAnsiTheme="minorHAnsi" w:cs="Open Sans"/>
          <w:sz w:val="22"/>
          <w:szCs w:val="22"/>
          <w:lang w:val="en-GB"/>
        </w:rPr>
        <w:t xml:space="preserve"> or </w:t>
      </w:r>
      <w:r w:rsidR="00BD4FE2">
        <w:rPr>
          <w:rFonts w:asciiTheme="minorHAnsi" w:hAnsiTheme="minorHAnsi" w:cs="Open Sans"/>
          <w:sz w:val="22"/>
          <w:szCs w:val="22"/>
          <w:lang w:val="en-GB"/>
        </w:rPr>
        <w:t>‘</w:t>
      </w:r>
      <w:r w:rsidRPr="00274EBB">
        <w:rPr>
          <w:rFonts w:asciiTheme="minorHAnsi" w:hAnsiTheme="minorHAnsi" w:cs="Open Sans"/>
          <w:sz w:val="22"/>
          <w:szCs w:val="22"/>
          <w:lang w:val="en-GB"/>
        </w:rPr>
        <w:t>non-cultivation</w:t>
      </w:r>
      <w:r w:rsidR="00BD4FE2">
        <w:rPr>
          <w:rFonts w:asciiTheme="minorHAnsi" w:hAnsiTheme="minorHAnsi" w:cs="Open Sans"/>
          <w:sz w:val="22"/>
          <w:szCs w:val="22"/>
          <w:lang w:val="en-GB"/>
        </w:rPr>
        <w:t>’ accord. Although b</w:t>
      </w:r>
      <w:r w:rsidRPr="00274EBB">
        <w:rPr>
          <w:rFonts w:asciiTheme="minorHAnsi" w:hAnsiTheme="minorHAnsi" w:cs="Open Sans"/>
          <w:sz w:val="22"/>
          <w:szCs w:val="22"/>
          <w:lang w:val="en-GB"/>
        </w:rPr>
        <w:t xml:space="preserve">oth interest groups </w:t>
      </w:r>
      <w:r w:rsidR="00BD4FE2">
        <w:rPr>
          <w:rFonts w:asciiTheme="minorHAnsi" w:hAnsiTheme="minorHAnsi" w:cs="Open Sans"/>
          <w:sz w:val="22"/>
          <w:szCs w:val="22"/>
          <w:lang w:val="en-GB"/>
        </w:rPr>
        <w:t>are</w:t>
      </w:r>
      <w:r w:rsidRPr="00274EBB">
        <w:rPr>
          <w:rFonts w:asciiTheme="minorHAnsi" w:hAnsiTheme="minorHAnsi" w:cs="Open Sans"/>
          <w:sz w:val="22"/>
          <w:szCs w:val="22"/>
          <w:lang w:val="en-GB"/>
        </w:rPr>
        <w:t xml:space="preserve"> involved at the discussions on possible socio-economic considerations, for example at a stake holder conference (including representatives of 27 MSs) in the Netherlands, </w:t>
      </w:r>
      <w:r w:rsidR="00BD4FE2">
        <w:rPr>
          <w:rFonts w:asciiTheme="minorHAnsi" w:hAnsiTheme="minorHAnsi" w:cs="Open Sans"/>
          <w:sz w:val="22"/>
          <w:szCs w:val="22"/>
          <w:lang w:val="en-GB"/>
        </w:rPr>
        <w:t>they do</w:t>
      </w:r>
      <w:r w:rsidRPr="00274EBB">
        <w:rPr>
          <w:rFonts w:asciiTheme="minorHAnsi" w:hAnsiTheme="minorHAnsi" w:cs="Open Sans"/>
          <w:sz w:val="22"/>
          <w:szCs w:val="22"/>
          <w:lang w:val="en-GB"/>
        </w:rPr>
        <w:t xml:space="preserve"> not agree on the </w:t>
      </w:r>
      <w:r w:rsidR="00BD4FE2">
        <w:rPr>
          <w:rFonts w:asciiTheme="minorHAnsi" w:hAnsiTheme="minorHAnsi" w:cs="Open Sans"/>
          <w:sz w:val="22"/>
          <w:szCs w:val="22"/>
          <w:lang w:val="en-GB"/>
        </w:rPr>
        <w:t>desirability</w:t>
      </w:r>
      <w:r w:rsidRPr="00274EBB">
        <w:rPr>
          <w:rFonts w:asciiTheme="minorHAnsi" w:hAnsiTheme="minorHAnsi" w:cs="Open Sans"/>
          <w:sz w:val="22"/>
          <w:szCs w:val="22"/>
          <w:lang w:val="en-GB"/>
        </w:rPr>
        <w:t xml:space="preserve"> of GMCs; the debate </w:t>
      </w:r>
      <w:r w:rsidR="00BD4FE2">
        <w:rPr>
          <w:rFonts w:asciiTheme="minorHAnsi" w:hAnsiTheme="minorHAnsi" w:cs="Open Sans"/>
          <w:sz w:val="22"/>
          <w:szCs w:val="22"/>
          <w:lang w:val="en-GB"/>
        </w:rPr>
        <w:t xml:space="preserve">is as ever polarized. </w:t>
      </w:r>
      <w:r w:rsidRPr="00274EBB">
        <w:rPr>
          <w:rFonts w:asciiTheme="minorHAnsi" w:hAnsiTheme="minorHAnsi" w:cs="Open Sans"/>
          <w:sz w:val="22"/>
          <w:szCs w:val="22"/>
          <w:lang w:val="en-GB"/>
        </w:rPr>
        <w:tab/>
      </w:r>
      <w:r w:rsidRPr="00274EBB">
        <w:rPr>
          <w:rFonts w:asciiTheme="minorHAnsi" w:hAnsiTheme="minorHAnsi" w:cs="Open Sans"/>
          <w:sz w:val="22"/>
          <w:szCs w:val="22"/>
          <w:lang w:val="en-GB"/>
        </w:rPr>
        <w:tab/>
      </w:r>
      <w:r w:rsidRPr="00274EBB">
        <w:rPr>
          <w:rFonts w:asciiTheme="minorHAnsi" w:hAnsiTheme="minorHAnsi" w:cs="Open Sans"/>
          <w:sz w:val="22"/>
          <w:szCs w:val="22"/>
          <w:lang w:val="en-GB"/>
        </w:rPr>
        <w:tab/>
      </w:r>
      <w:r w:rsidRPr="00274EBB">
        <w:rPr>
          <w:rFonts w:asciiTheme="minorHAnsi" w:hAnsiTheme="minorHAnsi" w:cs="Open Sans"/>
          <w:sz w:val="22"/>
          <w:szCs w:val="22"/>
          <w:lang w:val="en-GB"/>
        </w:rPr>
        <w:tab/>
      </w:r>
      <w:r w:rsidRPr="00274EBB">
        <w:rPr>
          <w:rFonts w:asciiTheme="minorHAnsi" w:hAnsiTheme="minorHAnsi" w:cs="Open Sans"/>
          <w:sz w:val="22"/>
          <w:szCs w:val="22"/>
          <w:lang w:val="en-GB"/>
        </w:rPr>
        <w:tab/>
      </w:r>
      <w:r w:rsidR="00BD4FE2">
        <w:rPr>
          <w:rFonts w:asciiTheme="minorHAnsi" w:hAnsiTheme="minorHAnsi" w:cs="Open Sans"/>
          <w:sz w:val="22"/>
          <w:szCs w:val="22"/>
          <w:lang w:val="en-GB"/>
        </w:rPr>
        <w:tab/>
      </w:r>
      <w:r w:rsidRPr="00274EBB">
        <w:rPr>
          <w:rFonts w:asciiTheme="minorHAnsi" w:hAnsiTheme="minorHAnsi" w:cs="Open Sans"/>
          <w:sz w:val="22"/>
          <w:szCs w:val="22"/>
          <w:lang w:val="en-GB"/>
        </w:rPr>
        <w:t>Gradually, the</w:t>
      </w:r>
      <w:r w:rsidR="00BD4FE2">
        <w:rPr>
          <w:rFonts w:asciiTheme="minorHAnsi" w:hAnsiTheme="minorHAnsi" w:cs="Open Sans"/>
          <w:sz w:val="22"/>
          <w:szCs w:val="22"/>
          <w:lang w:val="en-GB"/>
        </w:rPr>
        <w:t xml:space="preserve"> tug-of-war </w:t>
      </w:r>
      <w:r w:rsidRPr="00274EBB">
        <w:rPr>
          <w:rFonts w:asciiTheme="minorHAnsi" w:hAnsiTheme="minorHAnsi" w:cs="Open Sans"/>
          <w:sz w:val="22"/>
          <w:szCs w:val="22"/>
          <w:lang w:val="en-GB"/>
        </w:rPr>
        <w:t xml:space="preserve">between the Commission and MSs revolving the cultivation of GMCs, </w:t>
      </w:r>
      <w:r w:rsidR="00BD4FE2">
        <w:rPr>
          <w:rFonts w:asciiTheme="minorHAnsi" w:hAnsiTheme="minorHAnsi" w:cs="Open Sans"/>
          <w:sz w:val="22"/>
          <w:szCs w:val="22"/>
          <w:lang w:val="en-GB"/>
        </w:rPr>
        <w:t xml:space="preserve">becomes </w:t>
      </w:r>
      <w:r w:rsidRPr="00274EBB">
        <w:rPr>
          <w:rFonts w:asciiTheme="minorHAnsi" w:hAnsiTheme="minorHAnsi" w:cs="Open Sans"/>
          <w:sz w:val="22"/>
          <w:szCs w:val="22"/>
          <w:lang w:val="en-GB"/>
        </w:rPr>
        <w:t xml:space="preserve">increasingly problematic for the producers as they </w:t>
      </w:r>
      <w:r w:rsidR="00BD4FE2">
        <w:rPr>
          <w:rFonts w:asciiTheme="minorHAnsi" w:hAnsiTheme="minorHAnsi" w:cs="Open Sans"/>
          <w:sz w:val="22"/>
          <w:szCs w:val="22"/>
          <w:lang w:val="en-GB"/>
        </w:rPr>
        <w:t>find that</w:t>
      </w:r>
      <w:r w:rsidRPr="00274EBB">
        <w:rPr>
          <w:rFonts w:asciiTheme="minorHAnsi" w:hAnsiTheme="minorHAnsi" w:cs="Open Sans"/>
          <w:sz w:val="22"/>
          <w:szCs w:val="22"/>
          <w:lang w:val="en-GB"/>
        </w:rPr>
        <w:t xml:space="preserve"> their </w:t>
      </w:r>
      <w:r w:rsidR="00BD4FE2">
        <w:rPr>
          <w:rFonts w:asciiTheme="minorHAnsi" w:hAnsiTheme="minorHAnsi" w:cs="Open Sans"/>
          <w:sz w:val="22"/>
          <w:szCs w:val="22"/>
          <w:lang w:val="en-GB"/>
        </w:rPr>
        <w:t>chance of</w:t>
      </w:r>
      <w:r w:rsidRPr="00274EBB">
        <w:rPr>
          <w:rFonts w:asciiTheme="minorHAnsi" w:hAnsiTheme="minorHAnsi" w:cs="Open Sans"/>
          <w:sz w:val="22"/>
          <w:szCs w:val="22"/>
          <w:lang w:val="en-GB"/>
        </w:rPr>
        <w:t xml:space="preserve"> GM</w:t>
      </w:r>
      <w:r w:rsidR="00250391">
        <w:rPr>
          <w:rFonts w:asciiTheme="minorHAnsi" w:hAnsiTheme="minorHAnsi" w:cs="Open Sans"/>
          <w:sz w:val="22"/>
          <w:szCs w:val="22"/>
          <w:lang w:val="en-GB"/>
        </w:rPr>
        <w:t>C</w:t>
      </w:r>
      <w:r w:rsidRPr="00274EBB">
        <w:rPr>
          <w:rFonts w:asciiTheme="minorHAnsi" w:hAnsiTheme="minorHAnsi" w:cs="Open Sans"/>
          <w:sz w:val="22"/>
          <w:szCs w:val="22"/>
          <w:lang w:val="en-GB"/>
        </w:rPr>
        <w:t xml:space="preserve"> cultivation decrease</w:t>
      </w:r>
      <w:r w:rsidR="00BD4FE2">
        <w:rPr>
          <w:rFonts w:asciiTheme="minorHAnsi" w:hAnsiTheme="minorHAnsi" w:cs="Open Sans"/>
          <w:sz w:val="22"/>
          <w:szCs w:val="22"/>
          <w:lang w:val="en-GB"/>
        </w:rPr>
        <w:t>s</w:t>
      </w:r>
      <w:r w:rsidRPr="00274EBB">
        <w:rPr>
          <w:rFonts w:asciiTheme="minorHAnsi" w:hAnsiTheme="minorHAnsi" w:cs="Open Sans"/>
          <w:sz w:val="22"/>
          <w:szCs w:val="22"/>
          <w:lang w:val="en-GB"/>
        </w:rPr>
        <w:t>. Whereas the Commission could continue to give rubberstamp authorisations to new GMCs in the midst of the new impasse in the Council, over the course of five years, less GMCs would be cultivated in the whole of the EU. This was a result of the relative success of MSs, notably France, to ban MON810 despi</w:t>
      </w:r>
      <w:r w:rsidR="00BD4FE2">
        <w:rPr>
          <w:rFonts w:asciiTheme="minorHAnsi" w:hAnsiTheme="minorHAnsi" w:cs="Open Sans"/>
          <w:sz w:val="22"/>
          <w:szCs w:val="22"/>
          <w:lang w:val="en-GB"/>
        </w:rPr>
        <w:t>te legal challenges domestically</w:t>
      </w:r>
      <w:r w:rsidR="006E176A">
        <w:rPr>
          <w:rFonts w:asciiTheme="minorHAnsi" w:hAnsiTheme="minorHAnsi" w:cs="Open Sans"/>
          <w:sz w:val="22"/>
          <w:szCs w:val="22"/>
          <w:lang w:val="en-GB"/>
        </w:rPr>
        <w:t>,</w:t>
      </w:r>
      <w:r w:rsidRPr="00274EBB">
        <w:rPr>
          <w:rFonts w:asciiTheme="minorHAnsi" w:hAnsiTheme="minorHAnsi" w:cs="Open Sans"/>
          <w:sz w:val="22"/>
          <w:szCs w:val="22"/>
          <w:lang w:val="en-GB"/>
        </w:rPr>
        <w:t xml:space="preserve"> as well as at the ECJ that resulted in negative judgements on these bans. Moreover, the authorisation of Amflora did not lead to its commercial success. Although it took a long time to authorise BASF’s Amflora, it was not cultivated for more than two years in the EU. In January 2012, BASF announced that it would stop the sale and cultivation of Amflora seeds, cutting 140 jobs in Germany. BASF’s board member Stefan Marcinowski commented that, due to lack of acceptance of GMOs in the EU, it does not make ‘business sense’ to continue</w:t>
      </w:r>
      <w:r w:rsidR="00433BA9">
        <w:rPr>
          <w:rFonts w:asciiTheme="minorHAnsi" w:hAnsiTheme="minorHAnsi" w:cs="Open Sans"/>
          <w:sz w:val="22"/>
          <w:szCs w:val="22"/>
          <w:lang w:val="en-GB"/>
        </w:rPr>
        <w:t xml:space="preserve"> to invest in the market (Kanter</w:t>
      </w:r>
      <w:r w:rsidRPr="00274EBB">
        <w:rPr>
          <w:rFonts w:asciiTheme="minorHAnsi" w:hAnsiTheme="minorHAnsi" w:cs="Open Sans"/>
          <w:sz w:val="22"/>
          <w:szCs w:val="22"/>
          <w:lang w:val="en-GB"/>
        </w:rPr>
        <w:t xml:space="preserve">, 2012). It would however remain to seek authorizations to sell its products in the EU. EuropaBio’s Carel du Marchie Sarvaas commented that: ‘’The sad irony is that we import biotechnology products into Europe, and that means we’re probably paying more for </w:t>
      </w:r>
      <w:r w:rsidRPr="00274EBB">
        <w:rPr>
          <w:rFonts w:asciiTheme="minorHAnsi" w:hAnsiTheme="minorHAnsi" w:cs="Open Sans"/>
          <w:sz w:val="22"/>
          <w:szCs w:val="22"/>
          <w:lang w:val="en-GB"/>
        </w:rPr>
        <w:lastRenderedPageBreak/>
        <w:t>them than we need to, and we’re losing research jobs to the places where th</w:t>
      </w:r>
      <w:r w:rsidR="00433BA9">
        <w:rPr>
          <w:rFonts w:asciiTheme="minorHAnsi" w:hAnsiTheme="minorHAnsi" w:cs="Open Sans"/>
          <w:sz w:val="22"/>
          <w:szCs w:val="22"/>
          <w:lang w:val="en-GB"/>
        </w:rPr>
        <w:t>ey’re being produced’’ (Kanter</w:t>
      </w:r>
      <w:r w:rsidRPr="00274EBB">
        <w:rPr>
          <w:rFonts w:asciiTheme="minorHAnsi" w:hAnsiTheme="minorHAnsi" w:cs="Open Sans"/>
          <w:sz w:val="22"/>
          <w:szCs w:val="22"/>
          <w:lang w:val="en-GB"/>
        </w:rPr>
        <w:t>, 2012). This cas</w:t>
      </w:r>
      <w:r w:rsidR="006E176A">
        <w:rPr>
          <w:rFonts w:asciiTheme="minorHAnsi" w:hAnsiTheme="minorHAnsi" w:cs="Open Sans"/>
          <w:sz w:val="22"/>
          <w:szCs w:val="22"/>
          <w:lang w:val="en-GB"/>
        </w:rPr>
        <w:t>e of ‘market disappointment’ does</w:t>
      </w:r>
      <w:r w:rsidRPr="00274EBB">
        <w:rPr>
          <w:rFonts w:asciiTheme="minorHAnsi" w:hAnsiTheme="minorHAnsi" w:cs="Open Sans"/>
          <w:sz w:val="22"/>
          <w:szCs w:val="22"/>
          <w:lang w:val="en-GB"/>
        </w:rPr>
        <w:t xml:space="preserve"> not stand on its own, but </w:t>
      </w:r>
      <w:r w:rsidR="006E176A">
        <w:rPr>
          <w:rFonts w:asciiTheme="minorHAnsi" w:hAnsiTheme="minorHAnsi" w:cs="Open Sans"/>
          <w:sz w:val="22"/>
          <w:szCs w:val="22"/>
          <w:lang w:val="en-GB"/>
        </w:rPr>
        <w:t>is</w:t>
      </w:r>
      <w:r w:rsidRPr="00274EBB">
        <w:rPr>
          <w:rFonts w:asciiTheme="minorHAnsi" w:hAnsiTheme="minorHAnsi" w:cs="Open Sans"/>
          <w:sz w:val="22"/>
          <w:szCs w:val="22"/>
          <w:lang w:val="en-GB"/>
        </w:rPr>
        <w:t xml:space="preserve"> accompanied by others such as Monsanto which </w:t>
      </w:r>
      <w:r w:rsidR="006E176A">
        <w:rPr>
          <w:rFonts w:asciiTheme="minorHAnsi" w:hAnsiTheme="minorHAnsi" w:cs="Open Sans"/>
          <w:sz w:val="22"/>
          <w:szCs w:val="22"/>
          <w:lang w:val="en-GB"/>
        </w:rPr>
        <w:t>takes</w:t>
      </w:r>
      <w:r w:rsidRPr="00274EBB">
        <w:rPr>
          <w:rFonts w:asciiTheme="minorHAnsi" w:hAnsiTheme="minorHAnsi" w:cs="Open Sans"/>
          <w:sz w:val="22"/>
          <w:szCs w:val="22"/>
          <w:lang w:val="en-GB"/>
        </w:rPr>
        <w:t xml:space="preserve"> similar measure</w:t>
      </w:r>
      <w:r w:rsidR="006E176A">
        <w:rPr>
          <w:rFonts w:asciiTheme="minorHAnsi" w:hAnsiTheme="minorHAnsi" w:cs="Open Sans"/>
          <w:sz w:val="22"/>
          <w:szCs w:val="22"/>
          <w:lang w:val="en-GB"/>
        </w:rPr>
        <w:t>s. In January 2012, it announces that it will</w:t>
      </w:r>
      <w:r w:rsidRPr="00274EBB">
        <w:rPr>
          <w:rFonts w:asciiTheme="minorHAnsi" w:hAnsiTheme="minorHAnsi" w:cs="Open Sans"/>
          <w:sz w:val="22"/>
          <w:szCs w:val="22"/>
          <w:lang w:val="en-GB"/>
        </w:rPr>
        <w:t xml:space="preserve"> no longer</w:t>
      </w:r>
      <w:r w:rsidR="006E176A">
        <w:rPr>
          <w:rFonts w:asciiTheme="minorHAnsi" w:hAnsiTheme="minorHAnsi" w:cs="Open Sans"/>
          <w:sz w:val="22"/>
          <w:szCs w:val="22"/>
          <w:lang w:val="en-GB"/>
        </w:rPr>
        <w:t xml:space="preserve"> sell MON810 in as it considers</w:t>
      </w:r>
      <w:r w:rsidRPr="00274EBB">
        <w:rPr>
          <w:rFonts w:asciiTheme="minorHAnsi" w:hAnsiTheme="minorHAnsi" w:cs="Open Sans"/>
          <w:sz w:val="22"/>
          <w:szCs w:val="22"/>
          <w:lang w:val="en-GB"/>
        </w:rPr>
        <w:t xml:space="preserve">: ‘’…that favourable conditions for the sale of the MON810 in France in 2012 and beyond are not in place’’ (Reuters, 2012). The announcement confirms what had been practice in France since 2008. In 2013, this announcement </w:t>
      </w:r>
      <w:r w:rsidR="006E176A">
        <w:rPr>
          <w:rFonts w:asciiTheme="minorHAnsi" w:hAnsiTheme="minorHAnsi" w:cs="Open Sans"/>
          <w:sz w:val="22"/>
          <w:szCs w:val="22"/>
          <w:lang w:val="en-GB"/>
        </w:rPr>
        <w:t>is</w:t>
      </w:r>
      <w:r w:rsidRPr="00274EBB">
        <w:rPr>
          <w:rFonts w:asciiTheme="minorHAnsi" w:hAnsiTheme="minorHAnsi" w:cs="Open Sans"/>
          <w:sz w:val="22"/>
          <w:szCs w:val="22"/>
          <w:lang w:val="en-GB"/>
        </w:rPr>
        <w:t xml:space="preserve"> followed by a more general announcement by the managing director of Monsanto for Europe Jose Manuel Madero to withdraw all pending authorisation requests in the EU (Euractiv, 2013</w:t>
      </w:r>
      <w:r w:rsidR="00380CBB">
        <w:rPr>
          <w:rFonts w:asciiTheme="minorHAnsi" w:hAnsiTheme="minorHAnsi" w:cs="Open Sans"/>
          <w:sz w:val="22"/>
          <w:szCs w:val="22"/>
          <w:lang w:val="en-GB"/>
        </w:rPr>
        <w:t>a</w:t>
      </w:r>
      <w:r w:rsidRPr="00274EBB">
        <w:rPr>
          <w:rFonts w:asciiTheme="minorHAnsi" w:hAnsiTheme="minorHAnsi" w:cs="Open Sans"/>
          <w:sz w:val="22"/>
          <w:szCs w:val="22"/>
          <w:lang w:val="en-GB"/>
        </w:rPr>
        <w:t xml:space="preserve">). Following France and Austria, other MSs had in the meantime invoked measures (mostly safe-guard clauses) to ban the cultivation of MON810, and later Amflora. </w:t>
      </w:r>
    </w:p>
    <w:p w14:paraId="6A1AE33C" w14:textId="77777777" w:rsidR="00250391" w:rsidRPr="004F19C8" w:rsidRDefault="00250391" w:rsidP="006E176A">
      <w:pPr>
        <w:spacing w:after="24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Domestic situation; shifting positions</w:t>
      </w:r>
    </w:p>
    <w:p w14:paraId="248C68CA" w14:textId="77777777" w:rsidR="00DD1574" w:rsidRDefault="00DD1574" w:rsidP="00DD1574">
      <w:pPr>
        <w:pStyle w:val="ListParagraph"/>
        <w:numPr>
          <w:ilvl w:val="0"/>
          <w:numId w:val="5"/>
        </w:numPr>
        <w:spacing w:after="160" w:line="480" w:lineRule="auto"/>
        <w:rPr>
          <w:rFonts w:cs="Open Sans"/>
          <w:lang w:val="en-GB"/>
        </w:rPr>
      </w:pPr>
      <w:r w:rsidRPr="00AD29F3">
        <w:rPr>
          <w:rFonts w:cs="Open Sans"/>
          <w:lang w:val="en-GB"/>
        </w:rPr>
        <w:t>As the Commission was referring the case of 1507 to the Council for authorisation, France vehemently sought to prevent a repetition of the rubberstamp authorisation of Amflora, indicating that 19 of the 28 MSs opposed its authorisation. In 2012 it had achieved victories such as the annulment of Amflora’s authorisation as well as Monsanto’s announcement that it would halt the marketing of MON810 for cultivation in France. This however did not lessen French opposition to DuPont and Dow Chemical’s 1507. Moreover, it did not reassure French anti-GM sentiments: France still sought a legally sound way to ban MON810 as a safeguard clause was annulled by the Conseil d’Etat in 2013 again. The illegality of the MSs bans was reconfirmed in 2012 as the ECJ ruled (Case c-36/11) that MSs cannot subject GMCs for cultivation to an additional authorisation procedure if they are authorised by the EU already. Adamant in its position against GM cultivation, France however shifted its position regarding the allocation of GM</w:t>
      </w:r>
      <w:r w:rsidR="00250391">
        <w:rPr>
          <w:rFonts w:cs="Open Sans"/>
          <w:lang w:val="en-GB"/>
        </w:rPr>
        <w:t>C</w:t>
      </w:r>
      <w:r w:rsidRPr="00AD29F3">
        <w:rPr>
          <w:rFonts w:cs="Open Sans"/>
          <w:lang w:val="en-GB"/>
        </w:rPr>
        <w:t xml:space="preserve"> competences, which should now be nationalized according to France. In an attempt to reconcile the Council, Stéphane le Foll proposes a new system where producers should: ‘’…request an authorisation to each state’’ (Euractiv, 2014). This proposal was not given the required support and France supported in turn the Greek lead proposal.</w:t>
      </w:r>
    </w:p>
    <w:p w14:paraId="399CC7C1" w14:textId="77777777" w:rsidR="00DD1574" w:rsidRPr="00AD29F3" w:rsidRDefault="00DD1574" w:rsidP="00DD1574">
      <w:pPr>
        <w:pStyle w:val="ListParagraph"/>
        <w:spacing w:line="480" w:lineRule="auto"/>
        <w:rPr>
          <w:rFonts w:cs="Open Sans"/>
          <w:lang w:val="en-GB"/>
        </w:rPr>
      </w:pPr>
    </w:p>
    <w:p w14:paraId="4EA7FDB2" w14:textId="77777777" w:rsidR="00DD1574" w:rsidRPr="00AD29F3" w:rsidRDefault="00DD1574" w:rsidP="00DD1574">
      <w:pPr>
        <w:pStyle w:val="ListParagraph"/>
        <w:numPr>
          <w:ilvl w:val="0"/>
          <w:numId w:val="5"/>
        </w:numPr>
        <w:spacing w:after="160" w:line="480" w:lineRule="auto"/>
        <w:rPr>
          <w:rFonts w:cs="Open Sans"/>
          <w:i/>
          <w:lang w:val="en-GB"/>
        </w:rPr>
      </w:pPr>
      <w:r w:rsidRPr="00AD29F3">
        <w:rPr>
          <w:rFonts w:cs="Open Sans"/>
          <w:lang w:val="en-GB"/>
        </w:rPr>
        <w:t>The United Kingdom in the meantime remained a proponent of GM cultivation. It voted in favour of approving 1507. Its positive stance towards GM-cultivation can be illustrated with prime minister Cameron’s comment that: ‘’Some of the poorest people had been dismissed by the European Union’s failure to support genetically modified food’’ (</w:t>
      </w:r>
      <w:r w:rsidR="00D01FC0">
        <w:rPr>
          <w:rFonts w:cs="Open Sans"/>
          <w:lang w:val="en-GB"/>
        </w:rPr>
        <w:t>Swinford, 2014</w:t>
      </w:r>
      <w:r w:rsidRPr="00AD29F3">
        <w:rPr>
          <w:rFonts w:cs="Open Sans"/>
          <w:lang w:val="en-GB"/>
        </w:rPr>
        <w:t xml:space="preserve">). </w:t>
      </w:r>
    </w:p>
    <w:p w14:paraId="1DBC738D" w14:textId="77777777" w:rsidR="00DD1574" w:rsidRPr="00AD29F3" w:rsidRDefault="00DD1574" w:rsidP="00DD1574">
      <w:pPr>
        <w:pStyle w:val="ListParagraph"/>
        <w:rPr>
          <w:rFonts w:cs="Open Sans"/>
          <w:lang w:val="en-GB"/>
        </w:rPr>
      </w:pPr>
    </w:p>
    <w:p w14:paraId="61A9B28D" w14:textId="77777777" w:rsidR="00DD1574" w:rsidRPr="00AD29F3" w:rsidRDefault="00DD1574" w:rsidP="00DD1574">
      <w:pPr>
        <w:pStyle w:val="ListParagraph"/>
        <w:numPr>
          <w:ilvl w:val="0"/>
          <w:numId w:val="5"/>
        </w:numPr>
        <w:spacing w:after="160" w:line="480" w:lineRule="auto"/>
        <w:rPr>
          <w:rFonts w:cs="Open Sans"/>
          <w:lang w:val="en-GB"/>
        </w:rPr>
      </w:pPr>
      <w:r w:rsidRPr="00AD29F3">
        <w:rPr>
          <w:rFonts w:cs="Open Sans"/>
          <w:lang w:val="en-GB"/>
        </w:rPr>
        <w:t xml:space="preserve">Whereas the German government initially expressed its concern for the preservation of the internal market, a shift in this position would occur following the 2013 elections. Although Merkel’s CDU had reached a major victory in these elections, it formed a coalition with the GM-critical SPD (and CSU as well, who were a coalition partner in the previous government). This seems to have shifted its position as Germany would later agree to the Greek presidency’s terms for a reallocation. </w:t>
      </w:r>
      <w:r w:rsidRPr="00AD29F3">
        <w:rPr>
          <w:rFonts w:cs="Open Sans"/>
        </w:rPr>
        <w:t xml:space="preserve">SPD’s Barabara Hendricks meets with enthusiasm the: ‘’…seit Langem fälligen Kursweschel in der Haltung der Bundesregierung’’ (Die Welt, 2014). </w:t>
      </w:r>
      <w:r w:rsidRPr="00AD29F3">
        <w:rPr>
          <w:rFonts w:cs="Open Sans"/>
          <w:lang w:val="en-GB"/>
        </w:rPr>
        <w:t>With regards to its abstention to vote in the 1507 case however, Germany commented, by words of government spokesman Steffen Seibert that: ‘’It is normal procedure to abstain on a dossier where there are different opinions within the government on the matter’’ (</w:t>
      </w:r>
      <w:r w:rsidR="004608B6">
        <w:rPr>
          <w:rFonts w:cs="Open Sans"/>
          <w:lang w:val="en-GB"/>
        </w:rPr>
        <w:t>Hogan and Brown</w:t>
      </w:r>
      <w:r w:rsidRPr="00AD29F3">
        <w:rPr>
          <w:rFonts w:cs="Open Sans"/>
          <w:lang w:val="en-GB"/>
        </w:rPr>
        <w:t>, 2014), indicating the difficulty and salience of the dossier in Germany.</w:t>
      </w:r>
    </w:p>
    <w:p w14:paraId="4633AC41" w14:textId="77777777" w:rsidR="00DD1574" w:rsidRPr="004F19C8" w:rsidRDefault="00250391"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 xml:space="preserve">Increased urgency of a pending authorisation? </w:t>
      </w:r>
    </w:p>
    <w:p w14:paraId="47641C12" w14:textId="628A9CA9" w:rsidR="004F19C8" w:rsidRPr="00131052" w:rsidRDefault="00DD1574" w:rsidP="00131052">
      <w:pPr>
        <w:spacing w:line="480" w:lineRule="auto"/>
      </w:pPr>
      <w:r w:rsidRPr="00274EBB">
        <w:rPr>
          <w:rFonts w:cs="Open Sans"/>
        </w:rPr>
        <w:t xml:space="preserve">The Commission, self-proclaimed guardian of the treaty and considered to be pro-GM cultivation, apparently tosses the ball to the MSs in this phase. </w:t>
      </w:r>
      <w:r w:rsidRPr="00274EBB">
        <w:t>As the Commission trie</w:t>
      </w:r>
      <w:r w:rsidR="006E176A">
        <w:t>s</w:t>
      </w:r>
      <w:r w:rsidRPr="00274EBB">
        <w:t xml:space="preserve"> to reopen negotiations on the proposal by discussing it with MSs Germany, France and the U.K. in January 2013 (Euractiv, 2013</w:t>
      </w:r>
      <w:r w:rsidR="00380CBB">
        <w:t>a</w:t>
      </w:r>
      <w:r w:rsidRPr="00274EBB">
        <w:t>), it put</w:t>
      </w:r>
      <w:r w:rsidR="006E176A">
        <w:t>s</w:t>
      </w:r>
      <w:r w:rsidRPr="00274EBB">
        <w:t xml:space="preserve"> a temporary hold on moving forward with authorisations. Although seven varieties for cultivation </w:t>
      </w:r>
      <w:r w:rsidR="006E176A">
        <w:t>are</w:t>
      </w:r>
      <w:r w:rsidRPr="00274EBB">
        <w:t xml:space="preserve"> up for authorization, Frederic Vincent, spokesperson for Tonio Borg who</w:t>
      </w:r>
      <w:r w:rsidR="006E176A">
        <w:t xml:space="preserve"> succeeded John Dalli, comments</w:t>
      </w:r>
      <w:r w:rsidRPr="00274EBB">
        <w:t xml:space="preserve"> that the Commission </w:t>
      </w:r>
      <w:r w:rsidR="006E176A">
        <w:t>is</w:t>
      </w:r>
      <w:r w:rsidRPr="00274EBB">
        <w:t xml:space="preserve"> unlikely to propose to approve these varieties (Euractiv, 2013). A few months later however, in N</w:t>
      </w:r>
      <w:r w:rsidR="006E176A">
        <w:t>ovember, the Commission reopenes</w:t>
      </w:r>
      <w:r w:rsidRPr="00274EBB">
        <w:t xml:space="preserve"> a twelve year old request by Pioneer-DuPont as it </w:t>
      </w:r>
      <w:r w:rsidR="006E176A">
        <w:t>is</w:t>
      </w:r>
      <w:r w:rsidRPr="00274EBB">
        <w:t xml:space="preserve"> obliged to do by law, ordered the EU General Court (</w:t>
      </w:r>
      <w:r w:rsidR="00380CBB">
        <w:t>Hall</w:t>
      </w:r>
      <w:r w:rsidRPr="00274EBB">
        <w:t xml:space="preserve">, 2013). In anticipation of the Council vote on the application for Pioneer’s so called 1507 maize, Germany </w:t>
      </w:r>
      <w:r w:rsidRPr="00274EBB">
        <w:lastRenderedPageBreak/>
        <w:t>indicate</w:t>
      </w:r>
      <w:r w:rsidR="006E176A">
        <w:t>s</w:t>
      </w:r>
      <w:r w:rsidRPr="00274EBB">
        <w:t xml:space="preserve"> that it </w:t>
      </w:r>
      <w:r w:rsidR="006E176A">
        <w:t>will</w:t>
      </w:r>
      <w:r w:rsidRPr="00274EBB">
        <w:t xml:space="preserve"> abstain from voting (</w:t>
      </w:r>
      <w:r w:rsidR="00131052">
        <w:t>Pop</w:t>
      </w:r>
      <w:r w:rsidRPr="00274EBB">
        <w:t>, 2014). This make</w:t>
      </w:r>
      <w:r w:rsidR="006E176A">
        <w:t>s</w:t>
      </w:r>
      <w:r w:rsidRPr="00274EBB">
        <w:t xml:space="preserve"> it considerably hard for France to prevent Pioneer 1507 from authorisation as it </w:t>
      </w:r>
      <w:r w:rsidR="006E176A">
        <w:t>could not</w:t>
      </w:r>
      <w:r w:rsidRPr="00274EBB">
        <w:t xml:space="preserve"> reach a QM without the support of Germany. So, although the Commission had left it up to the latest moment to resume authorisations, ‘the Treaty’ as such proved to be an important means of leverage in the sense that it forced an authorisation decision on a majority of MSs who were against, apparently regardless of the Commission’s own intentions. </w:t>
      </w:r>
      <w:r w:rsidRPr="00274EBB">
        <w:tab/>
      </w:r>
      <w:r w:rsidRPr="00274EBB">
        <w:tab/>
      </w:r>
      <w:r w:rsidRPr="00274EBB">
        <w:tab/>
      </w:r>
      <w:r w:rsidRPr="00274EBB">
        <w:tab/>
      </w:r>
      <w:r w:rsidRPr="00274EBB">
        <w:tab/>
      </w:r>
      <w:r w:rsidRPr="00274EBB">
        <w:tab/>
      </w:r>
      <w:r w:rsidR="00131052">
        <w:tab/>
      </w:r>
      <w:r w:rsidR="00131052">
        <w:tab/>
      </w:r>
      <w:r w:rsidR="00131052">
        <w:tab/>
      </w:r>
      <w:r w:rsidRPr="00274EBB">
        <w:tab/>
        <w:t>The Commission also notes that: ‘’The Court’s decision on maize 1507 confirms the urgency of reconciling strict and predictable European authorisation rules for GMO cultivation, with fair consideration of national contexts.’’ (</w:t>
      </w:r>
      <w:r w:rsidR="00131052">
        <w:t>Hall</w:t>
      </w:r>
      <w:r w:rsidRPr="00274EBB">
        <w:t>, 2013), stressing t</w:t>
      </w:r>
      <w:r w:rsidR="006E176A">
        <w:t>he connection to the legislation</w:t>
      </w:r>
      <w:r w:rsidRPr="00274EBB">
        <w:t xml:space="preserve"> discussions. Pending the authorisation, 12 opposing MSs, in a last attempt, send an open letter urging the Commission not to approve Pioneer 1507 in spite of the lacking QM (Euractiv, 2014). The decision however, will not be made under the Barroso administration as Jean-Claude Juncker succeeds him in July 2014. Juncker makes the authorisation of new GMCs more unlikely as one of his spearheads is to no longer take responsibility for decisions the Council cannot make, as he comments in his State of the Union: ‘’It is not right that when EU countries cannot decide among themselves … the Commission is forced by Parliament and Council to take a decision … so we will change those rules – because that is not democracy’’ (Politico,</w:t>
      </w:r>
      <w:r w:rsidR="006E176A">
        <w:t xml:space="preserve"> 2015). Juncker highlights</w:t>
      </w:r>
      <w:r w:rsidRPr="00274EBB">
        <w:t xml:space="preserve"> the German abstention in the TC1507 case as an example of such malpractices, stating that Germany knows full</w:t>
      </w:r>
      <w:r w:rsidR="006E176A">
        <w:t>y</w:t>
      </w:r>
      <w:r w:rsidRPr="00274EBB">
        <w:t xml:space="preserve"> well that abstaining in this vote would put the pressure for a final decision on</w:t>
      </w:r>
      <w:r w:rsidR="006E176A">
        <w:t xml:space="preserve"> the Commission (Politico, 2015</w:t>
      </w:r>
      <w:r w:rsidRPr="00274EBB">
        <w:t>). The expectation at this stage is that the Commission will not press ahea</w:t>
      </w:r>
      <w:r w:rsidR="00131052">
        <w:t>d with new authorisations.</w:t>
      </w:r>
    </w:p>
    <w:p w14:paraId="6695ABF0" w14:textId="77777777" w:rsidR="00DD1574" w:rsidRPr="004F19C8" w:rsidRDefault="00250391"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An agreement is reached</w:t>
      </w:r>
    </w:p>
    <w:p w14:paraId="2F9C9BD6" w14:textId="0973A76D" w:rsidR="00DD1574" w:rsidRPr="00726D0F" w:rsidRDefault="00DD1574" w:rsidP="00DD1574">
      <w:pPr>
        <w:spacing w:line="480" w:lineRule="auto"/>
        <w:rPr>
          <w:rFonts w:cs="Open Sans"/>
          <w:i/>
        </w:rPr>
      </w:pPr>
      <w:r w:rsidRPr="00274EBB">
        <w:t>Following shortly after the Council vote on Pioneer 1507 in February 2014, the M</w:t>
      </w:r>
      <w:r w:rsidR="00726D0F">
        <w:t>inisters of the Council reopen</w:t>
      </w:r>
      <w:r w:rsidRPr="00274EBB">
        <w:t xml:space="preserve"> discussions on the legislative proposal: ''On 3 March 2014, the exchange of views held by the Environment Council confirmed the willingness of MSs to re-open discussions on this legislative proposal on the basis of the presidency compromise text. Since then, the Hellen</w:t>
      </w:r>
      <w:r w:rsidR="00726D0F">
        <w:t>ic presidency</w:t>
      </w:r>
      <w:r w:rsidRPr="00274EBB">
        <w:t xml:space="preserve"> convened several meetings of the ad hoc working party on GMOs, which showed that a </w:t>
      </w:r>
      <w:r w:rsidRPr="00274EBB">
        <w:lastRenderedPageBreak/>
        <w:t>new revised proposal could gather broad support.'' (Council, 2014). Later that year in July, the Council adopts a position in first reading in which it agr</w:t>
      </w:r>
      <w:r w:rsidR="00726D0F">
        <w:t>ees</w:t>
      </w:r>
      <w:r w:rsidRPr="00274EBB">
        <w:t xml:space="preserve"> to introduce a two-step consecutive approach to give MSs the option to restrict or prohibit the cultivation of GMCs on their territory.</w:t>
      </w:r>
      <w:r>
        <w:tab/>
      </w:r>
      <w:r w:rsidRPr="00274EBB">
        <w:t>The proposed amendment consist of the introduction of article 26 b (1), (2) and (3) (Commission, 2014). The first two determine that a MS, in the first step, can request the applicant (producer) via the Commission to exclude their territory from the scope of the application. The third determines the second step in case of a refusal of the producer to exclude the territory from the scope of application. In this case the MS may adopt opt-out measures on the basis of a non-exhaustive list of grounds distinct from the criteria judged by EFSA. A provision in line with the Commission’s proposal</w:t>
      </w:r>
      <w:r w:rsidR="00726D0F">
        <w:t>. Whereas the Commission adopts</w:t>
      </w:r>
      <w:r w:rsidRPr="00274EBB">
        <w:t xml:space="preserve"> the amendments pr</w:t>
      </w:r>
      <w:r w:rsidR="00726D0F">
        <w:t>oposed by the Council, it ignores</w:t>
      </w:r>
      <w:r w:rsidRPr="00274EBB">
        <w:t xml:space="preserve"> most of the EP amen</w:t>
      </w:r>
      <w:r w:rsidR="00726D0F">
        <w:t>dments. Environmentalists fear</w:t>
      </w:r>
      <w:r w:rsidRPr="00274EBB">
        <w:t xml:space="preserve"> that the proposal in this form </w:t>
      </w:r>
      <w:r w:rsidR="00726D0F">
        <w:t>will</w:t>
      </w:r>
      <w:r w:rsidRPr="00274EBB">
        <w:t xml:space="preserve"> greatly benefit the producers as they </w:t>
      </w:r>
      <w:r w:rsidR="00726D0F">
        <w:t>ar</w:t>
      </w:r>
      <w:r w:rsidRPr="00274EBB">
        <w:t>e granted a role in the two-step approach for opting out. Moreover, it does not give MSs the option to opt-out on the basis of environmental grounds, a major concern for the environmentalists who argue that this is one of the main threats of GM cultivation (Greenpeace, 2014).</w:t>
      </w:r>
      <w:r w:rsidRPr="00274EBB">
        <w:rPr>
          <w:rFonts w:cs="Open Sans"/>
          <w:i/>
        </w:rPr>
        <w:t xml:space="preserve"> </w:t>
      </w:r>
      <w:r w:rsidR="00726D0F">
        <w:rPr>
          <w:rFonts w:cs="Open Sans"/>
          <w:i/>
        </w:rPr>
        <w:tab/>
      </w:r>
      <w:r w:rsidR="00726D0F">
        <w:rPr>
          <w:rFonts w:cs="Open Sans"/>
          <w:i/>
        </w:rPr>
        <w:tab/>
      </w:r>
      <w:r w:rsidR="00726D0F">
        <w:rPr>
          <w:rFonts w:cs="Open Sans"/>
          <w:i/>
        </w:rPr>
        <w:tab/>
      </w:r>
      <w:r w:rsidR="00726D0F">
        <w:rPr>
          <w:rFonts w:cs="Open Sans"/>
          <w:i/>
        </w:rPr>
        <w:tab/>
      </w:r>
      <w:r w:rsidR="00726D0F">
        <w:rPr>
          <w:rFonts w:cs="Open Sans"/>
          <w:i/>
        </w:rPr>
        <w:tab/>
      </w:r>
      <w:r w:rsidR="00726D0F">
        <w:rPr>
          <w:rFonts w:cs="Open Sans"/>
          <w:i/>
        </w:rPr>
        <w:tab/>
      </w:r>
      <w:r w:rsidR="00726D0F">
        <w:rPr>
          <w:rFonts w:cs="Open Sans"/>
          <w:i/>
        </w:rPr>
        <w:tab/>
      </w:r>
      <w:r w:rsidR="00726D0F">
        <w:rPr>
          <w:rFonts w:cs="Open Sans"/>
          <w:i/>
        </w:rPr>
        <w:tab/>
      </w:r>
      <w:r w:rsidR="00726D0F">
        <w:rPr>
          <w:rFonts w:cs="Open Sans"/>
          <w:i/>
        </w:rPr>
        <w:tab/>
      </w:r>
      <w:r w:rsidR="00726D0F">
        <w:rPr>
          <w:rFonts w:cs="Open Sans"/>
          <w:i/>
        </w:rPr>
        <w:tab/>
      </w:r>
      <w:r w:rsidR="00726D0F">
        <w:rPr>
          <w:rFonts w:cs="Open Sans"/>
          <w:i/>
        </w:rPr>
        <w:tab/>
      </w:r>
      <w:r w:rsidRPr="00274EBB">
        <w:t>The environmentalists remain critical of the proposal, even in its final version as amended by the EP in se</w:t>
      </w:r>
      <w:r>
        <w:t>cond reading. In second reading</w:t>
      </w:r>
      <w:r w:rsidRPr="00274EBB">
        <w:t xml:space="preserve"> the EP adopts a proposal</w:t>
      </w:r>
      <w:r>
        <w:t xml:space="preserve"> with 51 amendments, although with</w:t>
      </w:r>
      <w:r w:rsidRPr="00274EBB">
        <w:t xml:space="preserve"> less support than the proposal at first reading, losing votes from the Greens, NI, GUE-NGL and EFDD. The EP especially sought to add more legal certainty for bans by specifying the grounds for opt-outs. It did however sustain the role of the EFSA as risk assesso</w:t>
      </w:r>
      <w:r w:rsidR="00726D0F">
        <w:t>r. The amendments are accepted by the Commission and Council and the proposal is agreed upon.</w:t>
      </w:r>
      <w:r w:rsidRPr="00274EBB">
        <w:t xml:space="preserve"> </w:t>
      </w:r>
    </w:p>
    <w:p w14:paraId="261335A3" w14:textId="77777777" w:rsidR="00DD1574" w:rsidRPr="00250391" w:rsidRDefault="00250391" w:rsidP="00250391">
      <w:pPr>
        <w:pStyle w:val="Heading2"/>
        <w:rPr>
          <w:color w:val="44546A" w:themeColor="text2"/>
        </w:rPr>
      </w:pPr>
      <w:bookmarkStart w:id="26" w:name="_Toc490488049"/>
      <w:r w:rsidRPr="00250391">
        <w:rPr>
          <w:color w:val="44546A" w:themeColor="text2"/>
        </w:rPr>
        <w:t>4.3.2 Evaluation of the hypotheses</w:t>
      </w:r>
      <w:bookmarkEnd w:id="26"/>
    </w:p>
    <w:p w14:paraId="49FD8056" w14:textId="414BC078" w:rsidR="00DD1574" w:rsidRPr="00274EBB" w:rsidRDefault="00DD1574" w:rsidP="00DD1574">
      <w:pPr>
        <w:spacing w:line="480" w:lineRule="auto"/>
      </w:pPr>
      <w:r w:rsidRPr="00274EBB">
        <w:t xml:space="preserve">Throughout the decision making phase, a possible reallocation becomes an official object of discussion. This reallocation is proposed in the form of giving MSs the possibility to restrict or prohibit GMCs on their territory, based on considerations other than risks. At first, MSs such as Germany are unwilling to discuss such a breach of the internal market, but eventually they shift their </w:t>
      </w:r>
      <w:r w:rsidRPr="00274EBB">
        <w:lastRenderedPageBreak/>
        <w:t>position towards enabling diverse approaches in the MSs. Although the d</w:t>
      </w:r>
      <w:r w:rsidR="00726D0F">
        <w:t>ebates on the proposal are o</w:t>
      </w:r>
      <w:r w:rsidRPr="00274EBB">
        <w:t xml:space="preserve">f </w:t>
      </w:r>
      <w:r w:rsidR="00726D0F">
        <w:t>a very substantial nature, concerning</w:t>
      </w:r>
      <w:r w:rsidRPr="00274EBB">
        <w:t xml:space="preserve"> the ability or not to cultivate GMCs, the connection of this discussion with a resulting reallocation of competences becomes apparent.</w:t>
      </w:r>
      <w:r w:rsidR="00527FAD">
        <w:tab/>
      </w:r>
      <w:r w:rsidRPr="00274EBB">
        <w:tab/>
      </w:r>
      <w:r w:rsidRPr="00274EBB">
        <w:tab/>
      </w:r>
      <w:r w:rsidRPr="00274EBB">
        <w:tab/>
        <w:t xml:space="preserve">Still, the decision making phase does not confirm the first hypothesis H.NF.1’s expectations. Practicalities, related to the interdependency of the EU, do not play a role in the discussions revolving the reallocation. Neither is there a shared policy goal for which </w:t>
      </w:r>
      <w:r w:rsidR="00527FAD">
        <w:t xml:space="preserve">disintegration is a condition, </w:t>
      </w:r>
      <w:r w:rsidRPr="00274EBB">
        <w:t xml:space="preserve">or are there negative spillback linkages which are relevant to the reallocation discussion. Instead, the Commission’s initial proposal is received as a proposal that makes it more easy to cultivate GMCs, as MS bans are vulnerable to legal challenges. There is no evidence that political spillback pressures have played an important role in the decision making phase. Therefore H.NF.1 and H.NF.2 are both refuted. The third hypothesis H.NF.3 remains the most convincing account of disintegration based on the decision making phase as the Commission’s proposal is so minimal that the substantial completion is in the hand of the EP and the MSs. In other words, the Commission leaves it </w:t>
      </w:r>
      <w:r w:rsidR="00527FAD">
        <w:t xml:space="preserve">up </w:t>
      </w:r>
      <w:r w:rsidRPr="00274EBB">
        <w:t>to other</w:t>
      </w:r>
      <w:r w:rsidR="00527FAD">
        <w:t>s</w:t>
      </w:r>
      <w:r w:rsidRPr="00274EBB">
        <w:t xml:space="preserve"> to take the responsibility for new legislation. Moreover, it continues to act </w:t>
      </w:r>
      <w:r w:rsidR="00527FAD" w:rsidRPr="00274EBB">
        <w:t xml:space="preserve">hesitantly </w:t>
      </w:r>
      <w:r w:rsidRPr="00274EBB">
        <w:t>on new authorisations, sometimes under pressure of the ECJ. This in turn creates room for MSs to sculpt the proposal, leaving them in disco</w:t>
      </w:r>
      <w:r w:rsidR="00527FAD">
        <w:t xml:space="preserve">rd for four years however. </w:t>
      </w:r>
      <w:r w:rsidR="00527FAD">
        <w:tab/>
      </w:r>
      <w:r w:rsidR="00527FAD">
        <w:tab/>
      </w:r>
      <w:r w:rsidR="00527FAD">
        <w:tab/>
      </w:r>
      <w:r w:rsidR="00527FAD">
        <w:tab/>
      </w:r>
      <w:r w:rsidRPr="00274EBB">
        <w:t xml:space="preserve">With regards to the LI hypotheses, the findings resemble the agenda setting phase. National debates still revolve largely around the desirability of GMC cultivation. This means that there is no evidence for the fourth hypothesis H.LI.1. The narrative in this part of the chapter largely confirms the understanding of disintegration as a consequence of MSs making cost-benefit analyses hypothesized as H.LI.2. As the proposal results in yet another deadlock in the Council, new authorisations pending authorisation in the EU again become reminders that the status quo does not give MSs anything but legal challenges by producers, or a lack of authorisations of GMCs. This is especially relevant to the MSs as they are under great pressure to prohibit the cultivation of GMCs. As Pioneer 1507 is pending authorisation, the legal trouble of banning GMCs may be doubled in comparison to efforts to ban MON810. Evidence however, does not support that this is essential for </w:t>
      </w:r>
      <w:r w:rsidRPr="00274EBB">
        <w:lastRenderedPageBreak/>
        <w:t>a breakthrough in MS negotiations. Still, both Germany and France are in favour of a reallocation by the summer of 2014. Evidence points out that, in Germany, the inclusion of the anti-GMC SPD in the government has resulted in a change of attitude. For France, it is more unclear how its position shifted. Moreover, France proposes its own solutions to the deadlock which remain largely ignored. This seems to indicate that France, although it prefers another solution, is choosing the least worst outcome. France has consistently been opposed to GMC cultivation during this phase, the choice for a specific means to achieve its goals then shifts in the political bargaining process.</w:t>
      </w:r>
      <w:r w:rsidR="00CA75D5">
        <w:t xml:space="preserve"> Not France, or Germany and</w:t>
      </w:r>
      <w:r w:rsidRPr="00274EBB">
        <w:t xml:space="preserve"> the U.K. seem to be able to form a stable coalition revolving their own policy objectives. Therefore, the last hypothesis is refuted as well.</w:t>
      </w:r>
    </w:p>
    <w:tbl>
      <w:tblPr>
        <w:tblStyle w:val="GridTable1Light-Accent11"/>
        <w:tblpPr w:leftFromText="141" w:rightFromText="141" w:vertAnchor="text" w:horzAnchor="margin" w:tblpY="2"/>
        <w:tblW w:w="0" w:type="auto"/>
        <w:tblLook w:val="04A0" w:firstRow="1" w:lastRow="0" w:firstColumn="1" w:lastColumn="0" w:noHBand="0" w:noVBand="1"/>
      </w:tblPr>
      <w:tblGrid>
        <w:gridCol w:w="4531"/>
        <w:gridCol w:w="4531"/>
      </w:tblGrid>
      <w:tr w:rsidR="00DD1574" w:rsidRPr="004062F7" w14:paraId="52418EFD" w14:textId="77777777" w:rsidTr="002503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1D314015" w14:textId="77777777" w:rsidR="00DD1574" w:rsidRPr="00274EBB" w:rsidRDefault="00DD1574" w:rsidP="00250391">
            <w:pPr>
              <w:spacing w:line="480" w:lineRule="auto"/>
            </w:pPr>
            <w:r w:rsidRPr="00274EBB">
              <w:t>H.NF.1 (Functional Spillback): Refuted</w:t>
            </w:r>
          </w:p>
        </w:tc>
        <w:tc>
          <w:tcPr>
            <w:tcW w:w="4531" w:type="dxa"/>
          </w:tcPr>
          <w:p w14:paraId="05741B22" w14:textId="77777777" w:rsidR="00DD1574" w:rsidRPr="00274EBB" w:rsidRDefault="00DD1574" w:rsidP="00250391">
            <w:pPr>
              <w:spacing w:line="480" w:lineRule="auto"/>
              <w:cnfStyle w:val="100000000000" w:firstRow="1" w:lastRow="0" w:firstColumn="0" w:lastColumn="0" w:oddVBand="0" w:evenVBand="0" w:oddHBand="0" w:evenHBand="0" w:firstRowFirstColumn="0" w:firstRowLastColumn="0" w:lastRowFirstColumn="0" w:lastRowLastColumn="0"/>
            </w:pPr>
            <w:r w:rsidRPr="00274EBB">
              <w:t>H.LI.1 (National debates): Refuted</w:t>
            </w:r>
          </w:p>
        </w:tc>
      </w:tr>
      <w:tr w:rsidR="00DD1574" w:rsidRPr="004062F7" w14:paraId="360D61B4" w14:textId="77777777" w:rsidTr="00250391">
        <w:tc>
          <w:tcPr>
            <w:cnfStyle w:val="001000000000" w:firstRow="0" w:lastRow="0" w:firstColumn="1" w:lastColumn="0" w:oddVBand="0" w:evenVBand="0" w:oddHBand="0" w:evenHBand="0" w:firstRowFirstColumn="0" w:firstRowLastColumn="0" w:lastRowFirstColumn="0" w:lastRowLastColumn="0"/>
            <w:tcW w:w="4531" w:type="dxa"/>
          </w:tcPr>
          <w:p w14:paraId="38175D1F" w14:textId="77777777" w:rsidR="00DD1574" w:rsidRPr="00274EBB" w:rsidRDefault="00DD1574" w:rsidP="00250391">
            <w:pPr>
              <w:spacing w:line="480" w:lineRule="auto"/>
            </w:pPr>
            <w:r w:rsidRPr="00274EBB">
              <w:t>H.NF.2 (Political Spillback): Refuted</w:t>
            </w:r>
          </w:p>
        </w:tc>
        <w:tc>
          <w:tcPr>
            <w:tcW w:w="4531" w:type="dxa"/>
          </w:tcPr>
          <w:p w14:paraId="735C4699" w14:textId="77777777" w:rsidR="00DD1574" w:rsidRPr="00274EBB" w:rsidRDefault="00DD1574" w:rsidP="00250391">
            <w:pPr>
              <w:spacing w:line="480" w:lineRule="auto"/>
              <w:cnfStyle w:val="000000000000" w:firstRow="0" w:lastRow="0" w:firstColumn="0" w:lastColumn="0" w:oddVBand="0" w:evenVBand="0" w:oddHBand="0" w:evenHBand="0" w:firstRowFirstColumn="0" w:firstRowLastColumn="0" w:lastRowFirstColumn="0" w:lastRowLastColumn="0"/>
              <w:rPr>
                <w:b/>
              </w:rPr>
            </w:pPr>
            <w:r w:rsidRPr="00274EBB">
              <w:rPr>
                <w:b/>
              </w:rPr>
              <w:t>H.LI.2 (Cost-benefit analysis): Confirmed</w:t>
            </w:r>
          </w:p>
        </w:tc>
      </w:tr>
      <w:tr w:rsidR="00DD1574" w:rsidRPr="00274EBB" w14:paraId="47E9A253" w14:textId="77777777" w:rsidTr="00250391">
        <w:tc>
          <w:tcPr>
            <w:cnfStyle w:val="001000000000" w:firstRow="0" w:lastRow="0" w:firstColumn="1" w:lastColumn="0" w:oddVBand="0" w:evenVBand="0" w:oddHBand="0" w:evenHBand="0" w:firstRowFirstColumn="0" w:firstRowLastColumn="0" w:lastRowFirstColumn="0" w:lastRowLastColumn="0"/>
            <w:tcW w:w="4531" w:type="dxa"/>
          </w:tcPr>
          <w:p w14:paraId="3A6A15A0" w14:textId="77777777" w:rsidR="00DD1574" w:rsidRPr="00274EBB" w:rsidRDefault="00DD1574" w:rsidP="00250391">
            <w:pPr>
              <w:spacing w:line="480" w:lineRule="auto"/>
            </w:pPr>
            <w:r w:rsidRPr="00274EBB">
              <w:t>H.NF.3 (Cultivated Spillback): Confirmed</w:t>
            </w:r>
          </w:p>
        </w:tc>
        <w:tc>
          <w:tcPr>
            <w:tcW w:w="4531" w:type="dxa"/>
          </w:tcPr>
          <w:p w14:paraId="12CC6FCC" w14:textId="77777777" w:rsidR="00DD1574" w:rsidRPr="00274EBB" w:rsidRDefault="00DD1574" w:rsidP="00250391">
            <w:pPr>
              <w:spacing w:line="480" w:lineRule="auto"/>
              <w:cnfStyle w:val="000000000000" w:firstRow="0" w:lastRow="0" w:firstColumn="0" w:lastColumn="0" w:oddVBand="0" w:evenVBand="0" w:oddHBand="0" w:evenHBand="0" w:firstRowFirstColumn="0" w:firstRowLastColumn="0" w:lastRowFirstColumn="0" w:lastRowLastColumn="0"/>
              <w:rPr>
                <w:b/>
              </w:rPr>
            </w:pPr>
            <w:r w:rsidRPr="00274EBB">
              <w:rPr>
                <w:b/>
              </w:rPr>
              <w:t>H.LI.3 (Coalitions): Refuted</w:t>
            </w:r>
          </w:p>
        </w:tc>
      </w:tr>
    </w:tbl>
    <w:p w14:paraId="355520E4" w14:textId="59BC9945" w:rsidR="00CA75D5" w:rsidRDefault="00CA75D5" w:rsidP="00DD1574">
      <w:pPr>
        <w:spacing w:line="480" w:lineRule="auto"/>
        <w:rPr>
          <w:u w:val="single"/>
        </w:rPr>
      </w:pPr>
    </w:p>
    <w:p w14:paraId="3350CCF3" w14:textId="77777777" w:rsidR="00CA75D5" w:rsidRDefault="00CA75D5">
      <w:pPr>
        <w:rPr>
          <w:u w:val="single"/>
        </w:rPr>
      </w:pPr>
      <w:r>
        <w:rPr>
          <w:u w:val="single"/>
        </w:rPr>
        <w:br w:type="page"/>
      </w:r>
    </w:p>
    <w:p w14:paraId="1DDB9921" w14:textId="77777777" w:rsidR="00DD1574" w:rsidRDefault="00DD1574" w:rsidP="00250391">
      <w:pPr>
        <w:pStyle w:val="Heading2"/>
        <w:rPr>
          <w:color w:val="44546A" w:themeColor="text2"/>
        </w:rPr>
      </w:pPr>
      <w:bookmarkStart w:id="27" w:name="_Toc490488050"/>
      <w:r w:rsidRPr="00250391">
        <w:rPr>
          <w:color w:val="44546A" w:themeColor="text2"/>
        </w:rPr>
        <w:lastRenderedPageBreak/>
        <w:t>4.4 Implementation phase</w:t>
      </w:r>
      <w:bookmarkEnd w:id="27"/>
    </w:p>
    <w:p w14:paraId="0C8E59B6" w14:textId="77777777" w:rsidR="004F19C8" w:rsidRDefault="004F19C8" w:rsidP="004F19C8"/>
    <w:p w14:paraId="4C1462F9" w14:textId="77777777" w:rsidR="004F19C8" w:rsidRPr="004F19C8" w:rsidRDefault="004F19C8" w:rsidP="004F19C8">
      <w:pPr>
        <w:spacing w:after="0"/>
        <w:rPr>
          <w:rFonts w:asciiTheme="majorHAnsi" w:hAnsiTheme="majorHAnsi" w:cstheme="majorHAnsi"/>
          <w:color w:val="44546A" w:themeColor="text2"/>
          <w:sz w:val="26"/>
          <w:szCs w:val="26"/>
        </w:rPr>
      </w:pPr>
      <w:r w:rsidRPr="004F19C8">
        <w:rPr>
          <w:rFonts w:asciiTheme="majorHAnsi" w:hAnsiTheme="majorHAnsi" w:cstheme="majorHAnsi"/>
          <w:color w:val="44546A" w:themeColor="text2"/>
          <w:sz w:val="26"/>
          <w:szCs w:val="26"/>
        </w:rPr>
        <w:t>Case description</w:t>
      </w:r>
    </w:p>
    <w:p w14:paraId="4525CBB7" w14:textId="686B4EBC" w:rsidR="004F19C8" w:rsidRDefault="00DD1574" w:rsidP="00DD1574">
      <w:pPr>
        <w:spacing w:line="480" w:lineRule="auto"/>
      </w:pPr>
      <w:r w:rsidRPr="00274EBB">
        <w:t xml:space="preserve">The formally expected effects of the compromise proposal </w:t>
      </w:r>
      <w:r w:rsidR="00CA75D5">
        <w:t>are</w:t>
      </w:r>
      <w:r w:rsidRPr="00274EBB">
        <w:t xml:space="preserve"> that MSs </w:t>
      </w:r>
      <w:r w:rsidR="00CA75D5">
        <w:t>will</w:t>
      </w:r>
      <w:r w:rsidRPr="00274EBB">
        <w:t xml:space="preserve"> be able to ban the cultivation of GMCs on their territory on the one hand, and that the EU-level authorisation procedure based on risk assessments made by the EFSA </w:t>
      </w:r>
      <w:r w:rsidR="00CA75D5">
        <w:t>will</w:t>
      </w:r>
      <w:r w:rsidRPr="00274EBB">
        <w:t xml:space="preserve"> be sustained and accelerated on the other. Are these expectation met? </w:t>
      </w:r>
      <w:r w:rsidR="00CA75D5">
        <w:t>How</w:t>
      </w:r>
      <w:r w:rsidRPr="00274EBB">
        <w:t xml:space="preserve"> do the relevant actors respond to the changes? These questions will be answered by examining the implementation phase of the legislative p</w:t>
      </w:r>
      <w:r w:rsidR="00CA75D5">
        <w:t xml:space="preserve">rocess of Directive 2015/412. </w:t>
      </w:r>
    </w:p>
    <w:p w14:paraId="5604FC7A" w14:textId="77777777" w:rsidR="004F19C8" w:rsidRPr="004F19C8" w:rsidRDefault="004F19C8" w:rsidP="004F19C8">
      <w:pPr>
        <w:pStyle w:val="Heading2"/>
        <w:rPr>
          <w:color w:val="44546A" w:themeColor="text2"/>
        </w:rPr>
      </w:pPr>
      <w:bookmarkStart w:id="28" w:name="_Toc490488051"/>
      <w:r w:rsidRPr="00250391">
        <w:rPr>
          <w:color w:val="44546A" w:themeColor="text2"/>
        </w:rPr>
        <w:t>4.4.1 Analysis</w:t>
      </w:r>
      <w:bookmarkEnd w:id="28"/>
    </w:p>
    <w:p w14:paraId="526C7528" w14:textId="14566787" w:rsidR="009030BD" w:rsidRDefault="00DD1574" w:rsidP="00215C4E">
      <w:pPr>
        <w:spacing w:line="480" w:lineRule="auto"/>
      </w:pPr>
      <w:r w:rsidRPr="00274EBB">
        <w:t xml:space="preserve">The deadline for requesting the first ever </w:t>
      </w:r>
      <w:r>
        <w:t>opt-out</w:t>
      </w:r>
      <w:r w:rsidRPr="00274EBB">
        <w:t xml:space="preserve">s under the amended directive is set </w:t>
      </w:r>
      <w:r w:rsidR="00CA75D5">
        <w:t>on October, six months after signing</w:t>
      </w:r>
      <w:r w:rsidRPr="00274EBB">
        <w:t xml:space="preserve"> the directive. Some MSs indicate well before that time that they intent to ban all GMCs pending authorisation. France is one of the first MSs to comment on the possibility of an </w:t>
      </w:r>
      <w:r>
        <w:t>opt-out</w:t>
      </w:r>
      <w:r w:rsidRPr="00274EBB">
        <w:t>. Stéphane le Foll responds to the pending authorisation of TC1507: ‘’all GM maize is banned for cultivation in France and we will not change this’’ (</w:t>
      </w:r>
      <w:r w:rsidR="00077177">
        <w:t>Lewis, 2015</w:t>
      </w:r>
      <w:r w:rsidRPr="00274EBB">
        <w:t xml:space="preserve">). In Germany, such a move is not yet set in stone at this moment. Christian Schmidt (CDU) who is </w:t>
      </w:r>
      <w:r w:rsidRPr="00274EBB">
        <w:rPr>
          <w:i/>
        </w:rPr>
        <w:t>bundesminister</w:t>
      </w:r>
      <w:r w:rsidRPr="00274EBB">
        <w:t xml:space="preserve"> for agriculture, first has to confront opposition from his colleague the </w:t>
      </w:r>
      <w:r w:rsidRPr="00274EBB">
        <w:rPr>
          <w:i/>
        </w:rPr>
        <w:t xml:space="preserve">bundesminister </w:t>
      </w:r>
      <w:r w:rsidRPr="00274EBB">
        <w:t xml:space="preserve">for the environment Barbara Hendricks (SPD) when he proposes to give the competence to ban GMCs to the </w:t>
      </w:r>
      <w:r w:rsidRPr="00274EBB">
        <w:rPr>
          <w:i/>
        </w:rPr>
        <w:t>Länder</w:t>
      </w:r>
      <w:r w:rsidRPr="00274EBB">
        <w:t>. This</w:t>
      </w:r>
      <w:r w:rsidR="00CA75D5">
        <w:t>,</w:t>
      </w:r>
      <w:r w:rsidRPr="00274EBB">
        <w:t xml:space="preserve"> he argues, is more in line with the principle of proportionality and should therefore give more legal certainty to ban GMCs, the </w:t>
      </w:r>
      <w:r w:rsidRPr="00274EBB">
        <w:rPr>
          <w:i/>
        </w:rPr>
        <w:t xml:space="preserve">Länder </w:t>
      </w:r>
      <w:r w:rsidRPr="00274EBB">
        <w:t>can then act in a: ‘’considerably more appropriate people-oriented way’’ (</w:t>
      </w:r>
      <w:r w:rsidR="001F0F79">
        <w:t>Tost, 2015</w:t>
      </w:r>
      <w:r w:rsidRPr="00274EBB">
        <w:t>). As with the EU debate on the reallocation, opposition in Germany fears that reallocation is a means to fragment and weaken the legal position of bans and hence to open the door to GMC cultivation, as Hendricks argues: ‘’If we have a fragmented cultivation ban, we would have an incredibly high amount of legal disputes’’ (</w:t>
      </w:r>
      <w:r w:rsidR="001F0F79">
        <w:t>Tost, 2015</w:t>
      </w:r>
      <w:r w:rsidRPr="00274EBB">
        <w:t xml:space="preserve">). Hendricks is joined by Greenpeace, the CSU and five Länder as well in July in her strife for a national ban. This struggle would cause a long delay in the implementation of the </w:t>
      </w:r>
      <w:r>
        <w:t>opt-out</w:t>
      </w:r>
      <w:r w:rsidRPr="00274EBB">
        <w:t>, and although Germany does initiate the first step of opting out of GMC cultivation, it would take until September 2016 for Germany to agree to implement the two-step approach nationally, rather th</w:t>
      </w:r>
      <w:r w:rsidR="00CA75D5">
        <w:t>an regionally (Reuters, 2016).</w:t>
      </w:r>
      <w:r w:rsidR="001F0F79">
        <w:tab/>
      </w:r>
      <w:r w:rsidR="001F0F79">
        <w:lastRenderedPageBreak/>
        <w:tab/>
      </w:r>
      <w:r w:rsidRPr="00274EBB">
        <w:t>In August</w:t>
      </w:r>
      <w:r w:rsidR="00CA75D5">
        <w:t xml:space="preserve"> 2015,</w:t>
      </w:r>
      <w:r w:rsidRPr="00274EBB">
        <w:t xml:space="preserve"> the two-step approach undergoes a first test as Latvia and Greece request Monsanto to re</w:t>
      </w:r>
      <w:r w:rsidR="00CA75D5">
        <w:t>fr</w:t>
      </w:r>
      <w:r w:rsidRPr="00274EBB">
        <w:t>ain from cultivating MON810 on their territories (Euractiv, 2015, 15/8). The relevance of this test is however to be appreciated as it does not represent a large business interest for Monsanto. Fears for legal claims may be less relevant in this respect. As Monsanto states, these opt-outs would have no impact on its business. Although the opt-outs most likely have an impact on future business – Monsanto operates in all countries that have favourable laws vis-à-vis GMCs – these opt-outs cannot serve as a perfect example of the company’s strategy for other countries as circumstances may be different, or if Monsanto chooses to focus it</w:t>
      </w:r>
      <w:r w:rsidR="009030BD">
        <w:t xml:space="preserve">s attention on fewer countries. </w:t>
      </w:r>
      <w:r w:rsidRPr="00274EBB">
        <w:t xml:space="preserve">Monsanto accepts the requests and announces not to cultivate MON810 on their territories. Moreover, it reaffirms that it has no intention to request any new GMCs for cultivation authorisation (Euractiv, 2015, 15/8). What is especially remarkable about this case, is that is does not result in any information about the legal strength in practice of the opt-outs in the first step, and in the second.  For now, the producers seem to be disgruntled with the EU market for GMCs and not intend on forcing their way in. This is reconfirmed as all producers with pending authorisations announce in November to pull out of Germany, namely: Syngenta, Monsanto, DuPont Pioneer, and Dow Agroscience (Euractiv, 2015, 3/11). </w:t>
      </w:r>
      <w:r w:rsidRPr="00274EBB">
        <w:tab/>
      </w:r>
      <w:r w:rsidRPr="00274EBB">
        <w:tab/>
      </w:r>
      <w:r w:rsidRPr="00274EBB">
        <w:tab/>
      </w:r>
      <w:r w:rsidRPr="00274EBB">
        <w:tab/>
      </w:r>
      <w:r w:rsidRPr="00274EBB">
        <w:tab/>
      </w:r>
      <w:r w:rsidRPr="00274EBB">
        <w:tab/>
      </w:r>
      <w:r w:rsidRPr="00274EBB">
        <w:tab/>
      </w:r>
      <w:r w:rsidR="009030BD">
        <w:tab/>
      </w:r>
      <w:r w:rsidRPr="00274EBB">
        <w:tab/>
        <w:t xml:space="preserve">The pending authorisations for which an </w:t>
      </w:r>
      <w:r>
        <w:t>opt-out</w:t>
      </w:r>
      <w:r w:rsidRPr="00274EBB">
        <w:t xml:space="preserve"> can be requested in the first step, by asking the producer to exempt your territory from the authorisation area, are eight maize variants. TC1507’s authorisation is amongst the most imminent candidates for authorisation as the Commission has already exceeded the time limit for its authorisation. Pending cases are made up of applications from Syngenta and DuPont/Dow, save for the reauthorisation of Monsanto’s MON810 (Politico, 2015, 3/5). Two applications made by Syngenta (MIR601 and Bt11xMIR604xGA21, maize variations with pesticide and herbicide resistances) are withdrawn in October because of a re-evaluation of their commercial perspective (Reuters, 2015, 13/10). At the deadline for the first </w:t>
      </w:r>
      <w:r>
        <w:t>opt-out</w:t>
      </w:r>
      <w:r w:rsidRPr="00274EBB">
        <w:t xml:space="preserve">s, a majority of the MSs has chosen to initiate bans on the cultivation of pending or already authorised GMCs. Nineteen MSs take the first step by requesting the relevant companies not to </w:t>
      </w:r>
      <w:r w:rsidRPr="00274EBB">
        <w:lastRenderedPageBreak/>
        <w:t>cultivate GMCs on their territories: Austria, Belgium (for the Wallonia region), the U.K. (for Scotland, Wales and Northern Ireland), Bulgaria, Croatia, Cyprus, Denmark, France, Germany, Greece, Hungary, Italy, Latvia, Lithuania, Luxembourg, Malta, the Netherlands, Poland and Slovenia (Reuters, 2015, 4/10).</w:t>
      </w:r>
      <w:r w:rsidR="004F19C8">
        <w:t xml:space="preserve">   </w:t>
      </w:r>
      <w:r w:rsidR="004F19C8">
        <w:tab/>
      </w:r>
      <w:r w:rsidR="004F19C8">
        <w:tab/>
      </w:r>
      <w:r w:rsidR="00532550">
        <w:tab/>
      </w:r>
      <w:r w:rsidR="00532550">
        <w:tab/>
      </w:r>
      <w:r w:rsidR="00532550">
        <w:tab/>
      </w:r>
      <w:r w:rsidR="00532550">
        <w:tab/>
      </w:r>
      <w:r w:rsidR="00532550">
        <w:tab/>
      </w:r>
      <w:r w:rsidR="00532550">
        <w:tab/>
      </w:r>
      <w:r w:rsidR="00532550">
        <w:tab/>
      </w:r>
      <w:r w:rsidR="00532550">
        <w:tab/>
      </w:r>
      <w:r w:rsidR="00532550">
        <w:tab/>
      </w:r>
      <w:r w:rsidR="00532550">
        <w:tab/>
      </w:r>
      <w:r w:rsidR="00532550">
        <w:tab/>
      </w:r>
      <w:r w:rsidRPr="00274EBB">
        <w:t>In July, the Commission initiates authorisation talks for TC1507, Bt11 and for the reauthorisation of MON810 (Euractiv, 2015, 8/7). Around two years after signing of the new law, the Council votes on the possible authorisation of events TC1507 and Bt11 and the possible reauthorisation of MON810 in March 2017. It does not reach a QM for or against their authorisation and the case is thus referred back to the Commission. In April the cooperating environmentalists urged Juncker to reject authorisation and reminded him of his intention to acknowledge majority wishes in the EU: ‘’In relation to the authorisations of genetically modified organisms (GMOs), you said that you "</w:t>
      </w:r>
      <w:r w:rsidRPr="00274EBB">
        <w:rPr>
          <w:i/>
        </w:rPr>
        <w:t>would not want the Commission to be able to take a decision when a majority of Member States has not encouraged it to do so."</w:t>
      </w:r>
      <w:r w:rsidRPr="00274EBB">
        <w:t xml:space="preserve"> Until now, the Commission has not yet approved either GMC for cultivation. … Given the strong opposition from EU governments, MEPs and citizens, the only option is for the Commission to reject the applications for authorisation’’ (FOTEE et al., 2016) </w:t>
      </w:r>
      <w:r w:rsidRPr="00274EBB">
        <w:tab/>
      </w:r>
      <w:r w:rsidRPr="00274EBB">
        <w:tab/>
      </w:r>
      <w:r w:rsidRPr="00274EBB">
        <w:tab/>
      </w:r>
      <w:r w:rsidRPr="00274EBB">
        <w:tab/>
      </w:r>
      <w:r w:rsidRPr="00274EBB">
        <w:tab/>
      </w:r>
      <w:r w:rsidRPr="00274EBB">
        <w:tab/>
      </w:r>
      <w:r w:rsidRPr="00274EBB">
        <w:tab/>
      </w:r>
      <w:r w:rsidRPr="00274EBB">
        <w:tab/>
      </w:r>
      <w:r w:rsidRPr="00274EBB">
        <w:tab/>
      </w:r>
      <w:r w:rsidRPr="00274EBB">
        <w:tab/>
      </w:r>
      <w:r w:rsidRPr="00274EBB">
        <w:tab/>
      </w:r>
      <w:r w:rsidRPr="00274EBB">
        <w:tab/>
      </w:r>
      <w:r w:rsidRPr="00274EBB">
        <w:tab/>
        <w:t>So far, one of the two expectations has become reality: MSs have been successful in their ‘first-step’ bans, or ‘prohibitions of s</w:t>
      </w:r>
      <w:r w:rsidR="009030BD">
        <w:t xml:space="preserve">cope’. However, </w:t>
      </w:r>
      <w:r w:rsidRPr="00274EBB">
        <w:t>the legal certainty of the two-step approach is not yet tested in full. Since the produces have honoured requests for prohibitions of scope, the ‘second-step’ ban, or ‘</w:t>
      </w:r>
      <w:r>
        <w:t>opt-out</w:t>
      </w:r>
      <w:r w:rsidRPr="00274EBB">
        <w:t xml:space="preserve">’ has not been invoked. </w:t>
      </w:r>
      <w:r w:rsidR="009030BD">
        <w:t xml:space="preserve">Furthermore, the expected acceleration of authorisations has not occurred. MSs remain divided on the authorisation of GMCs for cultivation. </w:t>
      </w:r>
    </w:p>
    <w:p w14:paraId="51CE661B" w14:textId="77777777" w:rsidR="009030BD" w:rsidRDefault="009030BD">
      <w:r>
        <w:br w:type="page"/>
      </w:r>
    </w:p>
    <w:p w14:paraId="25D76E47" w14:textId="77777777" w:rsidR="004F19C8" w:rsidRPr="00274EBB" w:rsidRDefault="004F19C8" w:rsidP="004F19C8">
      <w:pPr>
        <w:pStyle w:val="Heading2"/>
      </w:pPr>
      <w:bookmarkStart w:id="29" w:name="_Toc490488052"/>
      <w:r>
        <w:lastRenderedPageBreak/>
        <w:t>4.4.2 Evaluation of the hypotheses</w:t>
      </w:r>
      <w:bookmarkEnd w:id="29"/>
    </w:p>
    <w:p w14:paraId="32D01EC8" w14:textId="3AA8B1A0" w:rsidR="00344A87" w:rsidRPr="00274EBB" w:rsidRDefault="00DD1574" w:rsidP="00DD1574">
      <w:pPr>
        <w:spacing w:line="480" w:lineRule="auto"/>
      </w:pPr>
      <w:r w:rsidRPr="00274EBB">
        <w:t xml:space="preserve">The implementation phase is not relevant to the </w:t>
      </w:r>
      <w:r w:rsidR="009030BD">
        <w:t>creation</w:t>
      </w:r>
      <w:r w:rsidRPr="00274EBB">
        <w:t xml:space="preserve"> of the legal document enacting the reallocation. It however shows the practical implications of the Directive for the relevant stakeholders, and it enables an analysis of the extent to which an actual reallocation has been established. It enables the analysis of </w:t>
      </w:r>
      <w:r w:rsidR="00344A87">
        <w:t>the reallocation in retrospect and shows how the mechanisms of the theories may continue to operate after the disintegrative event.</w:t>
      </w:r>
      <w:r w:rsidR="00344A87">
        <w:tab/>
      </w:r>
      <w:r w:rsidR="001955DA">
        <w:tab/>
      </w:r>
      <w:r w:rsidR="001955DA">
        <w:tab/>
      </w:r>
      <w:r w:rsidR="001955DA">
        <w:tab/>
      </w:r>
      <w:r w:rsidR="001955DA">
        <w:tab/>
        <w:t>As only a few of the mechanisms have been reported to have effects in this disintegrative event, undocumented ones are not discussed here. With regards to the role of the Commission (H.NF.3), it continues to refuse to make rubber-stamp-approvals. Even though a scheme has been created which allows for MSs to prohibit GMCs for cultivation after they are authorised on EU level, the Commissi</w:t>
      </w:r>
      <w:r w:rsidR="00A40322">
        <w:t xml:space="preserve">on hesitates to authorise them. </w:t>
      </w:r>
      <w:r w:rsidR="001955DA">
        <w:t>With regards to H.LI.2, it seems to be the case that MS are conten</w:t>
      </w:r>
      <w:r w:rsidR="00A40322">
        <w:t>t with the current legislation as t</w:t>
      </w:r>
      <w:r w:rsidR="001955DA">
        <w:t>hey make</w:t>
      </w:r>
      <w:r w:rsidR="001955DA" w:rsidRPr="001955DA">
        <w:t xml:space="preserve"> </w:t>
      </w:r>
      <w:r w:rsidR="001955DA">
        <w:t xml:space="preserve">precautionary use of the new provisions to prohibit the cultivation of GMCs. </w:t>
      </w:r>
      <w:r w:rsidR="00A40322">
        <w:t xml:space="preserve">In the theoretical sense, </w:t>
      </w:r>
      <w:r w:rsidR="00344A87">
        <w:tab/>
      </w:r>
      <w:r w:rsidR="00344A87">
        <w:tab/>
      </w:r>
      <w:r w:rsidR="00344A87">
        <w:tab/>
      </w:r>
      <w:r w:rsidR="00344A87">
        <w:tab/>
      </w:r>
    </w:p>
    <w:p w14:paraId="06AC9B08" w14:textId="77777777" w:rsidR="00DD1574" w:rsidRPr="008338B4" w:rsidRDefault="00DD1574" w:rsidP="00DD1574">
      <w:pPr>
        <w:rPr>
          <w:b/>
          <w:noProof/>
          <w:lang w:eastAsia="nl-NL"/>
        </w:rPr>
      </w:pPr>
    </w:p>
    <w:p w14:paraId="26C43635" w14:textId="77777777" w:rsidR="00250391" w:rsidRDefault="00250391">
      <w:r>
        <w:br w:type="page"/>
      </w:r>
    </w:p>
    <w:p w14:paraId="506060DA" w14:textId="77777777" w:rsidR="000719C5" w:rsidRDefault="0034411E" w:rsidP="0034411E">
      <w:pPr>
        <w:pStyle w:val="Heading1"/>
      </w:pPr>
      <w:bookmarkStart w:id="30" w:name="_Toc490488053"/>
      <w:r>
        <w:lastRenderedPageBreak/>
        <w:t xml:space="preserve">Chapter 5: </w:t>
      </w:r>
      <w:r w:rsidR="000719C5">
        <w:t>Conclusion</w:t>
      </w:r>
      <w:bookmarkEnd w:id="30"/>
      <w:r w:rsidR="000719C5">
        <w:t xml:space="preserve"> </w:t>
      </w:r>
    </w:p>
    <w:p w14:paraId="1C705D9E" w14:textId="77777777" w:rsidR="000719C5" w:rsidRDefault="000719C5" w:rsidP="000719C5"/>
    <w:p w14:paraId="1DC448BF" w14:textId="1A743B18" w:rsidR="000719C5" w:rsidRDefault="000719C5" w:rsidP="000719C5">
      <w:pPr>
        <w:spacing w:line="480" w:lineRule="auto"/>
      </w:pPr>
      <w:r>
        <w:t xml:space="preserve">This study aimed at testing the applicability of NF and LI </w:t>
      </w:r>
      <w:r w:rsidR="00485A13">
        <w:t>to</w:t>
      </w:r>
      <w:r>
        <w:t xml:space="preserve"> ED by answering the question how we can explain the reallocation </w:t>
      </w:r>
      <w:r w:rsidR="00485A13">
        <w:t xml:space="preserve">of </w:t>
      </w:r>
      <w:r>
        <w:t xml:space="preserve">discretionary competences concerning the authorisation of GMCs. It set out to do so by discussing the current available literature on EI and by reinterpreting the NF and LI theories as to generate expectations about when disintegration will happen. A disciplined interpretative case study was conducted for this crucial case of ED. Below it will be discussed how this thesis has contributed to our understanding of current theories of EI, and how it has expanded them to include disintegrative dynamics as well. </w:t>
      </w:r>
      <w:r>
        <w:tab/>
      </w:r>
      <w:r>
        <w:tab/>
      </w:r>
      <w:r>
        <w:tab/>
      </w:r>
      <w:r>
        <w:tab/>
      </w:r>
      <w:r>
        <w:tab/>
      </w:r>
      <w:r>
        <w:tab/>
      </w:r>
      <w:r>
        <w:tab/>
        <w:t xml:space="preserve">In general it may be repeated that both NF and LI fail to address the possibility of disintegration. In spite of their expectations that EI is irreversible, this instance disconfirms the idea that the institutions serve as safe-proof barriers against renationalisation of policies or competences. </w:t>
      </w:r>
      <w:r w:rsidR="005C2A45">
        <w:t>However, LI and NF are also flexible and are helpful in offering explanations about disintegration as well. This thesis indicates</w:t>
      </w:r>
      <w:r>
        <w:t xml:space="preserve"> that there</w:t>
      </w:r>
      <w:r w:rsidR="005C2A45">
        <w:t xml:space="preserve"> can be</w:t>
      </w:r>
      <w:r>
        <w:t xml:space="preserve"> certain spillback pressures or state motivations that dictate disintegration.</w:t>
      </w:r>
      <w:r w:rsidR="005C2A45">
        <w:t xml:space="preserve"> </w:t>
      </w:r>
      <w:r>
        <w:tab/>
      </w:r>
      <w:r>
        <w:tab/>
      </w:r>
      <w:r w:rsidR="005C2A45">
        <w:tab/>
      </w:r>
      <w:r w:rsidR="005C2A45">
        <w:tab/>
      </w:r>
      <w:r w:rsidR="005C2A45">
        <w:tab/>
      </w:r>
      <w:r w:rsidR="005C2A45">
        <w:tab/>
      </w:r>
      <w:r w:rsidR="005C2A45">
        <w:tab/>
      </w:r>
      <w:r w:rsidR="005C2A45">
        <w:tab/>
      </w:r>
      <w:r w:rsidR="005C2A45">
        <w:tab/>
      </w:r>
      <w:r w:rsidR="005C2A45">
        <w:tab/>
      </w:r>
      <w:r w:rsidR="005C2A45">
        <w:tab/>
      </w:r>
      <w:r w:rsidR="00A85150">
        <w:t xml:space="preserve">Following the NF hypothesis that economic integration necessitates political integration the picture of an ´unstoppable train´ towards integration can be conjured up. </w:t>
      </w:r>
      <w:r w:rsidR="00B91CAC">
        <w:t xml:space="preserve">The initial setting of the GMC authorisation scheme confirms the NF view of a supranational EU which has capacities over national governments. This is an empirical statement that will not </w:t>
      </w:r>
      <w:r w:rsidR="007C57E0">
        <w:t>surprise many, and is the case for many examples in the EU. It is however completely  misguided to interpret the situation as one where the nature of politics has changed. Although political activities may have been merged, national political motivations dictate the disintegrative event here. MS motivate the decision to disintegrate GMC authorisation competences based on their distinctive national settings. National identities have not gradually disappeared but are still significant as actors vehemently defend their unique products which are allegedly under threat from GMC cultivation. The threat in this case comes from the EU that takes a pro-GMC stance initially.</w:t>
      </w:r>
      <w:r w:rsidR="00DC3100">
        <w:t xml:space="preserve"> The image of NF that integration is a result </w:t>
      </w:r>
      <w:r w:rsidR="00DC3100">
        <w:lastRenderedPageBreak/>
        <w:t xml:space="preserve">of deliberate design for the efficient functioning of specific functions is confirmed in this thesis. Especially the Commission plays an important role in promoting integration and preventing disintegration. </w:t>
      </w:r>
      <w:r w:rsidR="00B91CAC">
        <w:t xml:space="preserve"> </w:t>
      </w:r>
      <w:r w:rsidR="007C57E0">
        <w:tab/>
      </w:r>
      <w:r w:rsidR="007C57E0">
        <w:tab/>
      </w:r>
      <w:r w:rsidR="007C57E0">
        <w:tab/>
      </w:r>
      <w:r w:rsidR="007C57E0">
        <w:tab/>
      </w:r>
      <w:r w:rsidR="007C57E0">
        <w:tab/>
      </w:r>
      <w:r w:rsidR="007C57E0">
        <w:tab/>
      </w:r>
      <w:r w:rsidR="00DC3100">
        <w:tab/>
      </w:r>
      <w:r w:rsidR="00DC3100">
        <w:tab/>
      </w:r>
      <w:r w:rsidR="00DC3100">
        <w:tab/>
      </w:r>
      <w:r w:rsidR="00DC3100">
        <w:tab/>
      </w:r>
      <w:r w:rsidR="00DC3100">
        <w:tab/>
      </w:r>
      <w:r w:rsidR="00A85150">
        <w:t xml:space="preserve">Although the case </w:t>
      </w:r>
      <w:r w:rsidR="002F658A">
        <w:t xml:space="preserve">of GMC cultivation can easily be considered as a part of the internal market, and there is thus the strong alleged incentive to integrate political competences in order to address these pressures, the empirical reality disconfirms that this has occurred. On the contrary, disintegration took place. This cannot entirely disconfirm that the functional pressures which dictate EI have become less real. One can easily argue that it is more efficient or practical to integrate authorisation decisions. It may be the case that ED happened in spite of such pressures, or that actors who usually interpret and translate such pressures have not done so now. The latter seems to be the case here. Although the GMC cultivation framework can easily be interpreted as part of the internal market, the Commission did not persistently take such a stance. On the contrary, it supported the view that decisions on the cultivation of GMCs cannot be generalised across the EU and hence should be the competence of the MSs. </w:t>
      </w:r>
      <w:r w:rsidR="002F658A">
        <w:tab/>
      </w:r>
      <w:r w:rsidR="002F658A">
        <w:tab/>
      </w:r>
      <w:r w:rsidR="002F658A">
        <w:tab/>
      </w:r>
      <w:r w:rsidR="002F658A">
        <w:tab/>
      </w:r>
      <w:r>
        <w:tab/>
      </w:r>
      <w:r>
        <w:tab/>
      </w:r>
      <w:r>
        <w:tab/>
        <w:t>The crucial case studied in this thesis is the reallocation o</w:t>
      </w:r>
      <w:r w:rsidR="0016182A">
        <w:t xml:space="preserve">f GMC authorisation competences: </w:t>
      </w:r>
      <w:r>
        <w:t xml:space="preserve">an example of the hardly undocumented phenomenon of ED. What this </w:t>
      </w:r>
      <w:r w:rsidR="0016182A">
        <w:t>thesis shows</w:t>
      </w:r>
      <w:r>
        <w:t xml:space="preserve">, is that with regards to integrative dynamics, NF overestimates the role of societal actors. Although governments have shown to be susceptible for pressures by societal actors, these did not focus on a reallocation of competences, nor did they voice any concerns for the practical necessity thereof. This holds the implication that disintegrative dynamics cannot be explained by functional pressures in this case. The Commission on the other hand has an important role in the disintegrative process as it is one of the main factors in the establishment of the political limbo. Through its role as guardian of the treaty, it could effectively pressure the MSs to come up with a solution. As the Commission refused to take responsibility for future authorisations, it was left up to the MSs to take the dossier forward. This enhanced the bargaining position of the MSs who were against the cultivation of GMCs; the pressure of possible authorisations was taken away. Hence, the role of the Commission was important in the </w:t>
      </w:r>
      <w:r>
        <w:lastRenderedPageBreak/>
        <w:t xml:space="preserve">reallocation of GMC competences. </w:t>
      </w:r>
      <w:r>
        <w:tab/>
      </w:r>
      <w:r>
        <w:tab/>
      </w:r>
      <w:r>
        <w:tab/>
      </w:r>
      <w:r>
        <w:tab/>
      </w:r>
      <w:r w:rsidR="0016182A">
        <w:tab/>
      </w:r>
      <w:r w:rsidR="0016182A">
        <w:tab/>
      </w:r>
      <w:r w:rsidR="0016182A">
        <w:tab/>
      </w:r>
      <w:r w:rsidR="0016182A">
        <w:tab/>
      </w:r>
      <w:r>
        <w:tab/>
        <w:t xml:space="preserve">This holds of course also that LI underestimates the role of the Commission. Although it appears to play a rather reactive role, this thesis shows that by not acting, the Commission can create circumstances where MSs are forced to take up responsibility themselves. As a result of this dodging of responsibility, discord between the MSs has led to disintegration. What LI can explain correctly, is that MSs cost-benefit calculations are important for disintegration. It seems that governments have traded their support for disintegrative measures for political support to establish a government or to gain enough votes in elections. The goal of the internal market has drawn the short straw in this calculation. The MSs acted as proactive in this case, trying to propose new solutions to the problems in face of the Commissions’ refusal to take responsibility. </w:t>
      </w:r>
      <w:r w:rsidR="004D6163">
        <w:tab/>
      </w:r>
      <w:r w:rsidR="006208A5">
        <w:tab/>
      </w:r>
      <w:r w:rsidR="006208A5">
        <w:tab/>
      </w:r>
      <w:r w:rsidR="006208A5">
        <w:tab/>
      </w:r>
      <w:r w:rsidR="006208A5">
        <w:tab/>
      </w:r>
      <w:r w:rsidR="006208A5">
        <w:tab/>
        <w:t xml:space="preserve">This thesis has shown that theories of integration can be employed to address disintegration as well. Disintegration seems to be promoted especially by the MSs who are motivated by specific national </w:t>
      </w:r>
      <w:r w:rsidR="000C70E2">
        <w:t>needs. Although they may first seek to find a European solution in which a common interest is pursued, some differences cannot be overcome. The strict distinction between actors operating at different levels has helped to assign accountability for the choices made in this process. However, if one wishes to answer in a more adequate way how these choices were made exactly, one could integrate different perspectives and adopt a governance perspective. This would have had the advantage of its suitability on the exact EU procedures and hence would have been better able to describe how the legislation has come to be. On the other hand however, the distinction of actors and the expectation that disintegration can be explained by looking at preferences emphasises the accountability of such actors.</w:t>
      </w:r>
      <w:r w:rsidR="004D6163">
        <w:tab/>
      </w:r>
      <w:r w:rsidR="004D6163">
        <w:tab/>
      </w:r>
      <w:r w:rsidR="004D6163">
        <w:tab/>
      </w:r>
    </w:p>
    <w:p w14:paraId="0E2792C5" w14:textId="77777777" w:rsidR="000719C5" w:rsidRPr="00250391" w:rsidRDefault="000719C5" w:rsidP="00250391">
      <w:pPr>
        <w:pStyle w:val="Heading2"/>
        <w:rPr>
          <w:color w:val="44546A" w:themeColor="text2"/>
        </w:rPr>
      </w:pPr>
      <w:bookmarkStart w:id="31" w:name="_Toc490488054"/>
      <w:r w:rsidRPr="00250391">
        <w:rPr>
          <w:color w:val="44546A" w:themeColor="text2"/>
        </w:rPr>
        <w:t>Research limitations</w:t>
      </w:r>
      <w:bookmarkEnd w:id="31"/>
    </w:p>
    <w:p w14:paraId="7681DC3F" w14:textId="3C5A25C1" w:rsidR="00CE7C7A" w:rsidRDefault="000719C5" w:rsidP="000719C5">
      <w:pPr>
        <w:spacing w:line="480" w:lineRule="auto"/>
      </w:pPr>
      <w:r>
        <w:t xml:space="preserve">The above conclusions have to be considered </w:t>
      </w:r>
      <w:r w:rsidR="004D6163">
        <w:t>in light of a few nuances. First, the pressures exerted by the</w:t>
      </w:r>
      <w:r>
        <w:t xml:space="preserve"> WTO and non-EU countries such as the U.S. or Canada</w:t>
      </w:r>
      <w:r w:rsidR="004D6163">
        <w:t xml:space="preserve"> have not been taken into account</w:t>
      </w:r>
      <w:r>
        <w:t xml:space="preserve">. The fact that they are excluded in this research has implications for the statement that increased interdependencies do not play a role in disintegrative dynamics. As U.S.-EU trade in GMCs is </w:t>
      </w:r>
      <w:r>
        <w:lastRenderedPageBreak/>
        <w:t>considerably larger than intra-EU trade in GMCs, it would perhaps result in positive spillback linkages for countries such as</w:t>
      </w:r>
      <w:r w:rsidR="004D6163">
        <w:t xml:space="preserve"> Spain, which</w:t>
      </w:r>
      <w:r>
        <w:t xml:space="preserve"> is a large importer of GMCs. A mitigating effect can be that such pressures are translated and interpreted by transnational producer organisations. In this case however, they have shown to be of little influence. </w:t>
      </w:r>
      <w:r>
        <w:tab/>
      </w:r>
      <w:r w:rsidR="004D6163">
        <w:tab/>
      </w:r>
      <w:r w:rsidR="004D6163">
        <w:tab/>
      </w:r>
      <w:r w:rsidR="004D6163">
        <w:tab/>
      </w:r>
      <w:r w:rsidR="004D6163">
        <w:tab/>
      </w:r>
      <w:r w:rsidR="004D6163">
        <w:tab/>
      </w:r>
      <w:r>
        <w:t xml:space="preserve">Another consideration to be made is that the case of GMC cultivation is highly salient. The findings of this thesis are thus applicable only to other salient cases. Functional pressures may for example operate more easily in the absence of high political contingency. </w:t>
      </w:r>
      <w:r>
        <w:tab/>
      </w:r>
      <w:r>
        <w:tab/>
      </w:r>
      <w:r>
        <w:tab/>
      </w:r>
      <w:r>
        <w:tab/>
        <w:t>A third issue that has to be raised is the absence of data which can be acquired from the Commission and Council debates. With regards to these institutions, it is unclear what has been discussed internally and therefore the reliance</w:t>
      </w:r>
      <w:r w:rsidR="00A40322">
        <w:t xml:space="preserve"> on secondary sources is high. </w:t>
      </w:r>
      <w:r w:rsidR="00CE7C7A">
        <w:tab/>
      </w:r>
      <w:r w:rsidR="00CE7C7A">
        <w:tab/>
      </w:r>
      <w:r w:rsidR="00CE7C7A">
        <w:tab/>
      </w:r>
      <w:r w:rsidR="00CE7C7A">
        <w:tab/>
      </w:r>
    </w:p>
    <w:p w14:paraId="138A87D5" w14:textId="77777777" w:rsidR="004D6163" w:rsidRDefault="004D6163">
      <w:r>
        <w:br w:type="page"/>
      </w:r>
    </w:p>
    <w:p w14:paraId="312E3A9A" w14:textId="77777777" w:rsidR="000719C5" w:rsidRPr="00250391" w:rsidRDefault="000719C5" w:rsidP="00250391">
      <w:pPr>
        <w:pStyle w:val="Heading2"/>
        <w:rPr>
          <w:color w:val="44546A" w:themeColor="text2"/>
          <w:lang w:val="en-US"/>
        </w:rPr>
      </w:pPr>
      <w:bookmarkStart w:id="32" w:name="_Toc490488055"/>
      <w:r w:rsidRPr="00250391">
        <w:rPr>
          <w:color w:val="44546A" w:themeColor="text2"/>
          <w:lang w:val="en-US"/>
        </w:rPr>
        <w:lastRenderedPageBreak/>
        <w:t>Recommendations for future research</w:t>
      </w:r>
      <w:bookmarkEnd w:id="32"/>
    </w:p>
    <w:p w14:paraId="558AE6E8" w14:textId="77777777" w:rsidR="009877B2" w:rsidRPr="0033420C" w:rsidRDefault="009877B2" w:rsidP="009877B2">
      <w:pPr>
        <w:ind w:left="360"/>
        <w:rPr>
          <w:lang w:val="en-US"/>
        </w:rPr>
      </w:pPr>
    </w:p>
    <w:p w14:paraId="5D10F61F" w14:textId="15DB595B" w:rsidR="00EA43CC" w:rsidRPr="00EA43CC" w:rsidRDefault="00C3493E" w:rsidP="00C3493E">
      <w:pPr>
        <w:spacing w:line="480" w:lineRule="auto"/>
        <w:rPr>
          <w:noProof/>
          <w:lang w:eastAsia="nl-NL"/>
        </w:rPr>
      </w:pPr>
      <w:r>
        <w:rPr>
          <w:noProof/>
          <w:lang w:val="en-US" w:eastAsia="nl-NL"/>
        </w:rPr>
        <w:t>In the process of</w:t>
      </w:r>
      <w:r>
        <w:rPr>
          <w:noProof/>
          <w:lang w:eastAsia="nl-NL"/>
        </w:rPr>
        <w:t xml:space="preserve"> writing this thesis, another regulatory framework considering GMCs has become the object of possible disintegration: the authorisation of GMCs meant for marketing in food and feed. Following the example of GMC cultivation, the Commission has proposed to renationalise decisions concerning the marketing of GMCs. Analysing this instance of possible further integration enables us to strenghten the findings of this thesis, or to challenge them. It may serve even as a stronger case since the functional necessities of integrating the marketing of GMCs is even bigger than their cultivation. Creating differentiation in access to cheaper and more nutritious feed for livestock for example may enhance the relative position of countries who allow for GMCs to be marketed and imported from overseas. </w:t>
      </w:r>
      <w:r>
        <w:rPr>
          <w:noProof/>
          <w:lang w:eastAsia="nl-NL"/>
        </w:rPr>
        <w:tab/>
      </w:r>
      <w:r>
        <w:rPr>
          <w:noProof/>
          <w:lang w:eastAsia="nl-NL"/>
        </w:rPr>
        <w:tab/>
      </w:r>
      <w:r>
        <w:rPr>
          <w:noProof/>
          <w:lang w:eastAsia="nl-NL"/>
        </w:rPr>
        <w:tab/>
      </w:r>
      <w:r>
        <w:rPr>
          <w:noProof/>
          <w:lang w:eastAsia="nl-NL"/>
        </w:rPr>
        <w:tab/>
      </w:r>
      <w:r>
        <w:rPr>
          <w:noProof/>
          <w:lang w:eastAsia="nl-NL"/>
        </w:rPr>
        <w:tab/>
      </w:r>
      <w:r>
        <w:rPr>
          <w:noProof/>
          <w:lang w:eastAsia="nl-NL"/>
        </w:rPr>
        <w:tab/>
      </w:r>
      <w:r>
        <w:rPr>
          <w:noProof/>
          <w:lang w:eastAsia="nl-NL"/>
        </w:rPr>
        <w:tab/>
      </w:r>
      <w:r>
        <w:rPr>
          <w:noProof/>
          <w:lang w:eastAsia="nl-NL"/>
        </w:rPr>
        <w:tab/>
        <w:t xml:space="preserve">Future research may not only be enhanced by including new cases, but also may be enhanced by including other independend variables. A possible option is to include actors outside the EU such as the WTO or countries such as the US or Canada. </w:t>
      </w:r>
      <w:r w:rsidR="00EA43CC">
        <w:rPr>
          <w:noProof/>
          <w:lang w:eastAsia="nl-NL"/>
        </w:rPr>
        <w:t xml:space="preserve">Such enhancements may be made especially if one is interested in the accountability claims of specific policies. </w:t>
      </w:r>
      <w:r w:rsidR="00EA43CC">
        <w:rPr>
          <w:noProof/>
          <w:lang w:eastAsia="nl-NL"/>
        </w:rPr>
        <w:tab/>
      </w:r>
      <w:r w:rsidR="00EA43CC">
        <w:rPr>
          <w:noProof/>
          <w:lang w:eastAsia="nl-NL"/>
        </w:rPr>
        <w:tab/>
      </w:r>
      <w:r w:rsidR="00EA43CC">
        <w:rPr>
          <w:noProof/>
          <w:lang w:eastAsia="nl-NL"/>
        </w:rPr>
        <w:tab/>
      </w:r>
      <w:r w:rsidR="00EA43CC">
        <w:rPr>
          <w:noProof/>
          <w:lang w:eastAsia="nl-NL"/>
        </w:rPr>
        <w:tab/>
        <w:t xml:space="preserve">If one wonders more about the question of </w:t>
      </w:r>
      <w:r w:rsidR="00EA43CC">
        <w:rPr>
          <w:i/>
          <w:noProof/>
          <w:lang w:eastAsia="nl-NL"/>
        </w:rPr>
        <w:t>why</w:t>
      </w:r>
      <w:r w:rsidR="00EA43CC">
        <w:rPr>
          <w:noProof/>
          <w:lang w:eastAsia="nl-NL"/>
        </w:rPr>
        <w:t xml:space="preserve"> certain choices are made by the relevant actors, different theoretical positions could be </w:t>
      </w:r>
      <w:r w:rsidR="006E5B6D">
        <w:rPr>
          <w:noProof/>
          <w:lang w:eastAsia="nl-NL"/>
        </w:rPr>
        <w:t>adopted</w:t>
      </w:r>
      <w:r w:rsidR="00EA43CC">
        <w:rPr>
          <w:noProof/>
          <w:lang w:eastAsia="nl-NL"/>
        </w:rPr>
        <w:t xml:space="preserve">. Theoretical perspectives which adopt a less positivist ontology may be suitable in answering the question of why actors oppose GMCs or are proponents of them. </w:t>
      </w:r>
    </w:p>
    <w:p w14:paraId="63C06DCF" w14:textId="77777777" w:rsidR="00C3493E" w:rsidRDefault="00C3493E" w:rsidP="00C3493E">
      <w:pPr>
        <w:spacing w:line="480" w:lineRule="auto"/>
        <w:rPr>
          <w:noProof/>
          <w:lang w:eastAsia="nl-NL"/>
        </w:rPr>
      </w:pPr>
    </w:p>
    <w:p w14:paraId="782D965B" w14:textId="77777777" w:rsidR="00C3493E" w:rsidRDefault="00C3493E" w:rsidP="00C3493E">
      <w:pPr>
        <w:spacing w:line="480" w:lineRule="auto"/>
        <w:rPr>
          <w:noProof/>
          <w:lang w:eastAsia="nl-NL"/>
        </w:rPr>
      </w:pPr>
    </w:p>
    <w:p w14:paraId="2977DD96" w14:textId="77777777" w:rsidR="00C3493E" w:rsidRDefault="00C3493E" w:rsidP="00C3493E">
      <w:pPr>
        <w:spacing w:line="480" w:lineRule="auto"/>
        <w:rPr>
          <w:noProof/>
          <w:lang w:eastAsia="nl-NL"/>
        </w:rPr>
      </w:pPr>
    </w:p>
    <w:p w14:paraId="4CC93EA1" w14:textId="369C6913" w:rsidR="00A81D21" w:rsidRDefault="00A81D21" w:rsidP="00C3493E">
      <w:pPr>
        <w:spacing w:line="480" w:lineRule="auto"/>
        <w:rPr>
          <w:b/>
          <w:noProof/>
          <w:lang w:eastAsia="nl-NL"/>
        </w:rPr>
      </w:pPr>
      <w:r>
        <w:rPr>
          <w:b/>
          <w:noProof/>
          <w:lang w:eastAsia="nl-NL"/>
        </w:rPr>
        <w:br w:type="page"/>
      </w:r>
    </w:p>
    <w:p w14:paraId="5F7472FD" w14:textId="77777777" w:rsidR="00A81D21" w:rsidRDefault="00A81D21" w:rsidP="0034411E">
      <w:pPr>
        <w:pStyle w:val="Heading1"/>
      </w:pPr>
      <w:bookmarkStart w:id="33" w:name="_Toc490488056"/>
      <w:r w:rsidRPr="00C21A2B">
        <w:lastRenderedPageBreak/>
        <w:t>Bibliography</w:t>
      </w:r>
      <w:bookmarkEnd w:id="33"/>
    </w:p>
    <w:p w14:paraId="116C3F36" w14:textId="77777777" w:rsidR="00787F6C" w:rsidRDefault="00787F6C" w:rsidP="0034411E"/>
    <w:p w14:paraId="00C1B24B" w14:textId="77777777" w:rsidR="0034411E" w:rsidRPr="0034411E" w:rsidRDefault="00787F6C" w:rsidP="00787F6C">
      <w:pPr>
        <w:pStyle w:val="Heading2"/>
      </w:pPr>
      <w:bookmarkStart w:id="34" w:name="_Toc490488057"/>
      <w:r>
        <w:t>Academic Sources</w:t>
      </w:r>
      <w:bookmarkEnd w:id="34"/>
    </w:p>
    <w:p w14:paraId="21E19927"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Bell, D. (1962). </w:t>
      </w:r>
      <w:r w:rsidRPr="001D27D3">
        <w:rPr>
          <w:rFonts w:cstheme="minorHAnsi"/>
          <w:i/>
          <w:iCs/>
          <w:shd w:val="clear" w:color="auto" w:fill="FFFFFF"/>
        </w:rPr>
        <w:t>The end of ideology: on the exhaustion of political ideas in the fifties: with "The</w:t>
      </w:r>
      <w:r w:rsidRPr="001D27D3">
        <w:rPr>
          <w:rFonts w:cstheme="minorHAnsi"/>
          <w:i/>
          <w:iCs/>
          <w:shd w:val="clear" w:color="auto" w:fill="FFFFFF"/>
        </w:rPr>
        <w:tab/>
      </w:r>
      <w:r w:rsidRPr="001D27D3">
        <w:rPr>
          <w:rFonts w:cstheme="minorHAnsi"/>
          <w:i/>
          <w:iCs/>
          <w:shd w:val="clear" w:color="auto" w:fill="FFFFFF"/>
        </w:rPr>
        <w:tab/>
        <w:t>resumption of history in the new century"</w:t>
      </w:r>
      <w:r w:rsidRPr="001D27D3">
        <w:rPr>
          <w:rFonts w:cstheme="minorHAnsi"/>
          <w:shd w:val="clear" w:color="auto" w:fill="FFFFFF"/>
        </w:rPr>
        <w:t>. Harvard University Press.</w:t>
      </w:r>
    </w:p>
    <w:p w14:paraId="66BD1F98"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Burgess, M. (2009). Federalism. In Wiener, A. &amp; Diez, T. (Eds.), </w:t>
      </w:r>
      <w:r w:rsidRPr="001D27D3">
        <w:rPr>
          <w:rFonts w:cstheme="minorHAnsi"/>
          <w:i/>
          <w:shd w:val="clear" w:color="auto" w:fill="FFFFFF"/>
        </w:rPr>
        <w:t>European Integration Theory</w:t>
      </w:r>
      <w:r w:rsidRPr="001D27D3">
        <w:rPr>
          <w:rFonts w:cstheme="minorHAnsi"/>
          <w:i/>
          <w:shd w:val="clear" w:color="auto" w:fill="FFFFFF"/>
        </w:rPr>
        <w:tab/>
      </w:r>
      <w:r w:rsidRPr="001D27D3">
        <w:rPr>
          <w:rFonts w:cstheme="minorHAnsi"/>
          <w:i/>
          <w:shd w:val="clear" w:color="auto" w:fill="FFFFFF"/>
        </w:rPr>
        <w:tab/>
        <w:t xml:space="preserve"> </w:t>
      </w:r>
      <w:r w:rsidRPr="001D27D3">
        <w:rPr>
          <w:rFonts w:cstheme="minorHAnsi"/>
          <w:shd w:val="clear" w:color="auto" w:fill="FFFFFF"/>
        </w:rPr>
        <w:t xml:space="preserve">(p. 25-44). </w:t>
      </w:r>
      <w:r w:rsidRPr="001D27D3">
        <w:rPr>
          <w:rFonts w:cstheme="minorHAnsi"/>
          <w:i/>
          <w:shd w:val="clear" w:color="auto" w:fill="FFFFFF"/>
        </w:rPr>
        <w:t xml:space="preserve">New York. </w:t>
      </w:r>
      <w:r w:rsidRPr="001D27D3">
        <w:rPr>
          <w:rFonts w:cstheme="minorHAnsi"/>
          <w:shd w:val="clear" w:color="auto" w:fill="FFFFFF"/>
        </w:rPr>
        <w:t>Oxford University Press.</w:t>
      </w:r>
    </w:p>
    <w:p w14:paraId="0071F8EE" w14:textId="77777777" w:rsidR="00532550" w:rsidRPr="001D27D3" w:rsidRDefault="00532550" w:rsidP="00532550">
      <w:pPr>
        <w:spacing w:line="480" w:lineRule="auto"/>
        <w:rPr>
          <w:rFonts w:cstheme="minorHAnsi"/>
        </w:rPr>
      </w:pPr>
      <w:r w:rsidRPr="001D27D3">
        <w:rPr>
          <w:rFonts w:cstheme="minorHAnsi"/>
        </w:rPr>
        <w:t xml:space="preserve">Cianciara, A. K. (2015). Does Differentiation Lead to Disintegration? Insights from Theories of </w:t>
      </w:r>
      <w:r w:rsidRPr="001D27D3">
        <w:rPr>
          <w:rFonts w:cstheme="minorHAnsi"/>
        </w:rPr>
        <w:tab/>
        <w:t>European Integration and Comparative Regionalism. </w:t>
      </w:r>
      <w:r w:rsidRPr="001D27D3">
        <w:rPr>
          <w:rFonts w:cstheme="minorHAnsi"/>
          <w:i/>
          <w:iCs/>
        </w:rPr>
        <w:t>Yearbook of Polish European Studies</w:t>
      </w:r>
      <w:r w:rsidRPr="001D27D3">
        <w:rPr>
          <w:rFonts w:cstheme="minorHAnsi"/>
        </w:rPr>
        <w:t>, </w:t>
      </w:r>
      <w:r w:rsidRPr="001D27D3">
        <w:rPr>
          <w:rFonts w:cstheme="minorHAnsi"/>
          <w:i/>
          <w:iCs/>
        </w:rPr>
        <w:t>18</w:t>
      </w:r>
      <w:r w:rsidRPr="001D27D3">
        <w:rPr>
          <w:rFonts w:cstheme="minorHAnsi"/>
        </w:rPr>
        <w:t xml:space="preserve">, </w:t>
      </w:r>
      <w:r w:rsidRPr="001D27D3">
        <w:rPr>
          <w:rFonts w:cstheme="minorHAnsi"/>
        </w:rPr>
        <w:tab/>
        <w:t>39-58.</w:t>
      </w:r>
    </w:p>
    <w:p w14:paraId="2F677111"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Eberhardt, I., Limberg, D., Liptai, D., Rosenstock, N., Unterberg, L., &amp; Wagner, T. (2016). Unlocking </w:t>
      </w:r>
      <w:r w:rsidRPr="001D27D3">
        <w:rPr>
          <w:rFonts w:cstheme="minorHAnsi"/>
          <w:shd w:val="clear" w:color="auto" w:fill="FFFFFF"/>
        </w:rPr>
        <w:tab/>
        <w:t>the Deadlocks? GMOs, Science and the Reform of the Legal Framework. </w:t>
      </w:r>
      <w:r w:rsidRPr="001D27D3">
        <w:rPr>
          <w:rFonts w:cstheme="minorHAnsi"/>
          <w:i/>
          <w:iCs/>
          <w:shd w:val="clear" w:color="auto" w:fill="FFFFFF"/>
        </w:rPr>
        <w:t>MaRBLe</w:t>
      </w:r>
      <w:r w:rsidRPr="001D27D3">
        <w:rPr>
          <w:rFonts w:cstheme="minorHAnsi"/>
          <w:shd w:val="clear" w:color="auto" w:fill="FFFFFF"/>
        </w:rPr>
        <w:t>, </w:t>
      </w:r>
      <w:r w:rsidRPr="001D27D3">
        <w:rPr>
          <w:rFonts w:cstheme="minorHAnsi"/>
          <w:i/>
          <w:iCs/>
          <w:shd w:val="clear" w:color="auto" w:fill="FFFFFF"/>
        </w:rPr>
        <w:t>4</w:t>
      </w:r>
      <w:r w:rsidRPr="001D27D3">
        <w:rPr>
          <w:rFonts w:cstheme="minorHAnsi"/>
          <w:shd w:val="clear" w:color="auto" w:fill="FFFFFF"/>
        </w:rPr>
        <w:t>.</w:t>
      </w:r>
    </w:p>
    <w:p w14:paraId="2E697245"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lang w:val="nl-NL"/>
        </w:rPr>
        <w:t xml:space="preserve">Eckstein, H., Greenstein, F. I., &amp; Polsby, N. W. (1975). </w:t>
      </w:r>
      <w:r w:rsidRPr="001D27D3">
        <w:rPr>
          <w:rFonts w:cstheme="minorHAnsi"/>
          <w:shd w:val="clear" w:color="auto" w:fill="FFFFFF"/>
        </w:rPr>
        <w:t xml:space="preserve">Handbook of Political Science, Vol. 7: Strategies </w:t>
      </w:r>
      <w:r w:rsidRPr="001D27D3">
        <w:rPr>
          <w:rFonts w:cstheme="minorHAnsi"/>
          <w:shd w:val="clear" w:color="auto" w:fill="FFFFFF"/>
        </w:rPr>
        <w:tab/>
        <w:t>of Inquiry. </w:t>
      </w:r>
      <w:r w:rsidRPr="001D27D3">
        <w:rPr>
          <w:rFonts w:cstheme="minorHAnsi"/>
          <w:i/>
          <w:iCs/>
          <w:shd w:val="clear" w:color="auto" w:fill="FFFFFF"/>
        </w:rPr>
        <w:t>Case-Study and Theory in Political Science</w:t>
      </w:r>
      <w:r w:rsidRPr="001D27D3">
        <w:rPr>
          <w:rFonts w:cstheme="minorHAnsi"/>
          <w:shd w:val="clear" w:color="auto" w:fill="FFFFFF"/>
        </w:rPr>
        <w:t>, </w:t>
      </w:r>
      <w:r w:rsidRPr="001D27D3">
        <w:rPr>
          <w:rFonts w:cstheme="minorHAnsi"/>
          <w:i/>
          <w:iCs/>
          <w:shd w:val="clear" w:color="auto" w:fill="FFFFFF"/>
        </w:rPr>
        <w:t>79</w:t>
      </w:r>
      <w:r w:rsidRPr="001D27D3">
        <w:rPr>
          <w:rFonts w:cstheme="minorHAnsi"/>
          <w:shd w:val="clear" w:color="auto" w:fill="FFFFFF"/>
        </w:rPr>
        <w:t>.</w:t>
      </w:r>
    </w:p>
    <w:p w14:paraId="1E517EEC"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Gerring, J. (2007). Is there a (viable) crucial-case method?. </w:t>
      </w:r>
      <w:r w:rsidRPr="001D27D3">
        <w:rPr>
          <w:rFonts w:cstheme="minorHAnsi"/>
          <w:i/>
          <w:iCs/>
          <w:shd w:val="clear" w:color="auto" w:fill="FFFFFF"/>
        </w:rPr>
        <w:t>Comparative Political Studies</w:t>
      </w:r>
      <w:r w:rsidRPr="001D27D3">
        <w:rPr>
          <w:rFonts w:cstheme="minorHAnsi"/>
          <w:shd w:val="clear" w:color="auto" w:fill="FFFFFF"/>
        </w:rPr>
        <w:t>, </w:t>
      </w:r>
      <w:r w:rsidRPr="001D27D3">
        <w:rPr>
          <w:rFonts w:cstheme="minorHAnsi"/>
          <w:i/>
          <w:iCs/>
          <w:shd w:val="clear" w:color="auto" w:fill="FFFFFF"/>
        </w:rPr>
        <w:t>40</w:t>
      </w:r>
      <w:r w:rsidRPr="001D27D3">
        <w:rPr>
          <w:rFonts w:cstheme="minorHAnsi"/>
          <w:shd w:val="clear" w:color="auto" w:fill="FFFFFF"/>
        </w:rPr>
        <w:t xml:space="preserve">(3), </w:t>
      </w:r>
      <w:r w:rsidRPr="001D27D3">
        <w:rPr>
          <w:rFonts w:cstheme="minorHAnsi"/>
          <w:shd w:val="clear" w:color="auto" w:fill="FFFFFF"/>
        </w:rPr>
        <w:tab/>
        <w:t>231-253.</w:t>
      </w:r>
    </w:p>
    <w:p w14:paraId="377EE842"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George, A. L., &amp; Bennett, A. (2005). </w:t>
      </w:r>
      <w:r w:rsidRPr="001D27D3">
        <w:rPr>
          <w:rFonts w:cstheme="minorHAnsi"/>
          <w:i/>
          <w:iCs/>
          <w:shd w:val="clear" w:color="auto" w:fill="FFFFFF"/>
        </w:rPr>
        <w:t>Case studies and theory development in the social sciences</w:t>
      </w:r>
      <w:r w:rsidRPr="001D27D3">
        <w:rPr>
          <w:rFonts w:cstheme="minorHAnsi"/>
          <w:shd w:val="clear" w:color="auto" w:fill="FFFFFF"/>
        </w:rPr>
        <w:t>.</w:t>
      </w:r>
      <w:r w:rsidRPr="001D27D3">
        <w:rPr>
          <w:rFonts w:cstheme="minorHAnsi"/>
          <w:i/>
          <w:shd w:val="clear" w:color="auto" w:fill="FFFFFF"/>
        </w:rPr>
        <w:t xml:space="preserve"> </w:t>
      </w:r>
      <w:r w:rsidRPr="001D27D3">
        <w:rPr>
          <w:rFonts w:cstheme="minorHAnsi"/>
          <w:i/>
          <w:shd w:val="clear" w:color="auto" w:fill="FFFFFF"/>
        </w:rPr>
        <w:tab/>
        <w:t xml:space="preserve">Cambridge, Massachusetts. </w:t>
      </w:r>
      <w:r w:rsidRPr="001D27D3">
        <w:rPr>
          <w:rFonts w:cstheme="minorHAnsi"/>
          <w:shd w:val="clear" w:color="auto" w:fill="FFFFFF"/>
        </w:rPr>
        <w:t>MIT Press.</w:t>
      </w:r>
    </w:p>
    <w:p w14:paraId="1AA0F6DF"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lang w:val="en-US"/>
        </w:rPr>
        <w:t xml:space="preserve">Haas, E. B., &amp; Schmitter, P. C. (1964). </w:t>
      </w:r>
      <w:r w:rsidRPr="001D27D3">
        <w:rPr>
          <w:rFonts w:cstheme="minorHAnsi"/>
          <w:shd w:val="clear" w:color="auto" w:fill="FFFFFF"/>
        </w:rPr>
        <w:t xml:space="preserve">Economics and differential patterns of political integration: </w:t>
      </w:r>
      <w:r w:rsidRPr="001D27D3">
        <w:rPr>
          <w:rFonts w:cstheme="minorHAnsi"/>
          <w:shd w:val="clear" w:color="auto" w:fill="FFFFFF"/>
        </w:rPr>
        <w:tab/>
        <w:t>Projections about unity in Latin America. </w:t>
      </w:r>
      <w:r w:rsidRPr="001D27D3">
        <w:rPr>
          <w:rFonts w:cstheme="minorHAnsi"/>
          <w:i/>
          <w:iCs/>
          <w:shd w:val="clear" w:color="auto" w:fill="FFFFFF"/>
        </w:rPr>
        <w:t>International Organization</w:t>
      </w:r>
      <w:r w:rsidRPr="001D27D3">
        <w:rPr>
          <w:rFonts w:cstheme="minorHAnsi"/>
          <w:shd w:val="clear" w:color="auto" w:fill="FFFFFF"/>
        </w:rPr>
        <w:t>, </w:t>
      </w:r>
      <w:r w:rsidRPr="001D27D3">
        <w:rPr>
          <w:rFonts w:cstheme="minorHAnsi"/>
          <w:i/>
          <w:iCs/>
          <w:shd w:val="clear" w:color="auto" w:fill="FFFFFF"/>
        </w:rPr>
        <w:t>18</w:t>
      </w:r>
      <w:r w:rsidRPr="001D27D3">
        <w:rPr>
          <w:rFonts w:cstheme="minorHAnsi"/>
          <w:shd w:val="clear" w:color="auto" w:fill="FFFFFF"/>
        </w:rPr>
        <w:t>(4), 705-737.</w:t>
      </w:r>
      <w:r w:rsidRPr="001D27D3">
        <w:rPr>
          <w:rFonts w:cstheme="minorHAnsi"/>
          <w:shd w:val="clear" w:color="auto" w:fill="FFFFFF"/>
        </w:rPr>
        <w:tab/>
      </w:r>
    </w:p>
    <w:p w14:paraId="2C2B7E5D"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Haas, E. B. (1961). International integration: The European and the universal process. </w:t>
      </w:r>
      <w:r w:rsidRPr="001D27D3">
        <w:rPr>
          <w:rFonts w:cstheme="minorHAnsi"/>
          <w:i/>
          <w:iCs/>
          <w:shd w:val="clear" w:color="auto" w:fill="FFFFFF"/>
        </w:rPr>
        <w:t xml:space="preserve">International </w:t>
      </w:r>
      <w:r w:rsidRPr="001D27D3">
        <w:rPr>
          <w:rFonts w:cstheme="minorHAnsi"/>
          <w:i/>
          <w:iCs/>
          <w:shd w:val="clear" w:color="auto" w:fill="FFFFFF"/>
        </w:rPr>
        <w:tab/>
        <w:t>Organization</w:t>
      </w:r>
      <w:r w:rsidRPr="001D27D3">
        <w:rPr>
          <w:rFonts w:cstheme="minorHAnsi"/>
          <w:shd w:val="clear" w:color="auto" w:fill="FFFFFF"/>
        </w:rPr>
        <w:t>, </w:t>
      </w:r>
      <w:r w:rsidRPr="001D27D3">
        <w:rPr>
          <w:rFonts w:cstheme="minorHAnsi"/>
          <w:i/>
          <w:iCs/>
          <w:shd w:val="clear" w:color="auto" w:fill="FFFFFF"/>
        </w:rPr>
        <w:t>15</w:t>
      </w:r>
      <w:r w:rsidRPr="001D27D3">
        <w:rPr>
          <w:rFonts w:cstheme="minorHAnsi"/>
          <w:shd w:val="clear" w:color="auto" w:fill="FFFFFF"/>
        </w:rPr>
        <w:t>(3), 366-392.</w:t>
      </w:r>
    </w:p>
    <w:p w14:paraId="1B9B75DA"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Haas, E. B. (1975).</w:t>
      </w:r>
      <w:r w:rsidRPr="001D27D3">
        <w:rPr>
          <w:rStyle w:val="apple-converted-space"/>
          <w:rFonts w:cstheme="minorHAnsi"/>
          <w:shd w:val="clear" w:color="auto" w:fill="FFFFFF"/>
        </w:rPr>
        <w:t> </w:t>
      </w:r>
      <w:r w:rsidRPr="001D27D3">
        <w:rPr>
          <w:rFonts w:cstheme="minorHAnsi"/>
          <w:i/>
          <w:iCs/>
          <w:shd w:val="clear" w:color="auto" w:fill="FFFFFF"/>
        </w:rPr>
        <w:t>The obsolescence of regional integration theory</w:t>
      </w:r>
      <w:r w:rsidRPr="001D27D3">
        <w:rPr>
          <w:rFonts w:cstheme="minorHAnsi"/>
          <w:shd w:val="clear" w:color="auto" w:fill="FFFFFF"/>
        </w:rPr>
        <w:t xml:space="preserve">. Berkeley: Institute of  </w:t>
      </w:r>
      <w:r w:rsidRPr="001D27D3">
        <w:rPr>
          <w:rFonts w:cstheme="minorHAnsi"/>
          <w:shd w:val="clear" w:color="auto" w:fill="FFFFFF"/>
        </w:rPr>
        <w:tab/>
        <w:t>International Studies, University of California.</w:t>
      </w:r>
    </w:p>
    <w:p w14:paraId="3604EB49"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lastRenderedPageBreak/>
        <w:t xml:space="preserve">Haas, E. B. (1970). The study of regional integration: reflections on the joy and anguish of </w:t>
      </w:r>
      <w:r w:rsidRPr="001D27D3">
        <w:rPr>
          <w:rFonts w:cstheme="minorHAnsi"/>
          <w:shd w:val="clear" w:color="auto" w:fill="FFFFFF"/>
        </w:rPr>
        <w:tab/>
        <w:t>pretheorizing. </w:t>
      </w:r>
      <w:r w:rsidRPr="001D27D3">
        <w:rPr>
          <w:rFonts w:cstheme="minorHAnsi"/>
          <w:i/>
          <w:iCs/>
          <w:shd w:val="clear" w:color="auto" w:fill="FFFFFF"/>
        </w:rPr>
        <w:t>International Organization</w:t>
      </w:r>
      <w:r w:rsidRPr="001D27D3">
        <w:rPr>
          <w:rFonts w:cstheme="minorHAnsi"/>
          <w:shd w:val="clear" w:color="auto" w:fill="FFFFFF"/>
        </w:rPr>
        <w:t>, </w:t>
      </w:r>
      <w:r w:rsidRPr="001D27D3">
        <w:rPr>
          <w:rFonts w:cstheme="minorHAnsi"/>
          <w:i/>
          <w:iCs/>
          <w:shd w:val="clear" w:color="auto" w:fill="FFFFFF"/>
        </w:rPr>
        <w:t>24</w:t>
      </w:r>
      <w:r w:rsidRPr="001D27D3">
        <w:rPr>
          <w:rFonts w:cstheme="minorHAnsi"/>
          <w:shd w:val="clear" w:color="auto" w:fill="FFFFFF"/>
        </w:rPr>
        <w:t>(4), 606-646.</w:t>
      </w:r>
    </w:p>
    <w:p w14:paraId="75C3271C"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Haas, E. B. (1967). The uniting of Europe and the uniting of Latin America. </w:t>
      </w:r>
      <w:r w:rsidRPr="001D27D3">
        <w:rPr>
          <w:rFonts w:cstheme="minorHAnsi"/>
          <w:i/>
          <w:iCs/>
          <w:shd w:val="clear" w:color="auto" w:fill="FFFFFF"/>
        </w:rPr>
        <w:t xml:space="preserve">JCMS: Journal of Common </w:t>
      </w:r>
      <w:r w:rsidRPr="001D27D3">
        <w:rPr>
          <w:rFonts w:cstheme="minorHAnsi"/>
          <w:i/>
          <w:iCs/>
          <w:shd w:val="clear" w:color="auto" w:fill="FFFFFF"/>
        </w:rPr>
        <w:tab/>
        <w:t>Market Studies</w:t>
      </w:r>
      <w:r w:rsidRPr="001D27D3">
        <w:rPr>
          <w:rFonts w:cstheme="minorHAnsi"/>
          <w:shd w:val="clear" w:color="auto" w:fill="FFFFFF"/>
        </w:rPr>
        <w:t>, </w:t>
      </w:r>
      <w:r w:rsidRPr="001D27D3">
        <w:rPr>
          <w:rFonts w:cstheme="minorHAnsi"/>
          <w:i/>
          <w:iCs/>
          <w:shd w:val="clear" w:color="auto" w:fill="FFFFFF"/>
        </w:rPr>
        <w:t>5</w:t>
      </w:r>
      <w:r w:rsidRPr="001D27D3">
        <w:rPr>
          <w:rFonts w:cstheme="minorHAnsi"/>
          <w:shd w:val="clear" w:color="auto" w:fill="FFFFFF"/>
        </w:rPr>
        <w:t>(4), 315-343.</w:t>
      </w:r>
    </w:p>
    <w:p w14:paraId="5AC043F9"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Haas, E. B. (1958). </w:t>
      </w:r>
      <w:r w:rsidRPr="001D27D3">
        <w:rPr>
          <w:rFonts w:cstheme="minorHAnsi"/>
          <w:iCs/>
          <w:shd w:val="clear" w:color="auto" w:fill="FFFFFF"/>
        </w:rPr>
        <w:t>The uniting of Europe: Political, social, and economic forces, 1950-1957</w:t>
      </w:r>
      <w:r w:rsidRPr="001D27D3">
        <w:rPr>
          <w:rFonts w:cstheme="minorHAnsi"/>
          <w:shd w:val="clear" w:color="auto" w:fill="FFFFFF"/>
        </w:rPr>
        <w:t xml:space="preserve"> (No. 42). </w:t>
      </w:r>
      <w:r w:rsidRPr="001D27D3">
        <w:rPr>
          <w:rFonts w:cstheme="minorHAnsi"/>
          <w:shd w:val="clear" w:color="auto" w:fill="FFFFFF"/>
        </w:rPr>
        <w:tab/>
        <w:t>Stanford University Press.</w:t>
      </w:r>
    </w:p>
    <w:p w14:paraId="1CFC8964"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Haas, E. B. (1980). Why collaborate? Issue-linkage and international regimes. </w:t>
      </w:r>
      <w:r w:rsidRPr="001D27D3">
        <w:rPr>
          <w:rFonts w:cstheme="minorHAnsi"/>
          <w:i/>
          <w:iCs/>
          <w:shd w:val="clear" w:color="auto" w:fill="FFFFFF"/>
        </w:rPr>
        <w:t>World Politics</w:t>
      </w:r>
      <w:r w:rsidRPr="001D27D3">
        <w:rPr>
          <w:rFonts w:cstheme="minorHAnsi"/>
          <w:shd w:val="clear" w:color="auto" w:fill="FFFFFF"/>
        </w:rPr>
        <w:t>,</w:t>
      </w:r>
      <w:r w:rsidRPr="001D27D3">
        <w:rPr>
          <w:rStyle w:val="apple-converted-space"/>
          <w:rFonts w:cstheme="minorHAnsi"/>
          <w:shd w:val="clear" w:color="auto" w:fill="FFFFFF"/>
        </w:rPr>
        <w:t> </w:t>
      </w:r>
      <w:r w:rsidRPr="001D27D3">
        <w:rPr>
          <w:rFonts w:cstheme="minorHAnsi"/>
          <w:i/>
          <w:iCs/>
          <w:shd w:val="clear" w:color="auto" w:fill="FFFFFF"/>
        </w:rPr>
        <w:t>32</w:t>
      </w:r>
      <w:r w:rsidRPr="001D27D3">
        <w:rPr>
          <w:rFonts w:cstheme="minorHAnsi"/>
          <w:shd w:val="clear" w:color="auto" w:fill="FFFFFF"/>
        </w:rPr>
        <w:t xml:space="preserve">(3), </w:t>
      </w:r>
      <w:r w:rsidRPr="001D27D3">
        <w:rPr>
          <w:rFonts w:cstheme="minorHAnsi"/>
          <w:shd w:val="clear" w:color="auto" w:fill="FFFFFF"/>
        </w:rPr>
        <w:tab/>
        <w:t>357-405.</w:t>
      </w:r>
    </w:p>
    <w:p w14:paraId="1F2F8451"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Hoffmann, S. (1966). Obstinate or obsolete? The fate of the nation-state and the case of Western </w:t>
      </w:r>
      <w:r w:rsidRPr="001D27D3">
        <w:rPr>
          <w:rFonts w:cstheme="minorHAnsi"/>
          <w:shd w:val="clear" w:color="auto" w:fill="FFFFFF"/>
        </w:rPr>
        <w:tab/>
        <w:t>Europe. </w:t>
      </w:r>
      <w:r w:rsidRPr="001D27D3">
        <w:rPr>
          <w:rFonts w:cstheme="minorHAnsi"/>
          <w:i/>
          <w:iCs/>
          <w:shd w:val="clear" w:color="auto" w:fill="FFFFFF"/>
        </w:rPr>
        <w:t>Daedalus</w:t>
      </w:r>
      <w:r w:rsidRPr="001D27D3">
        <w:rPr>
          <w:rFonts w:cstheme="minorHAnsi"/>
          <w:shd w:val="clear" w:color="auto" w:fill="FFFFFF"/>
        </w:rPr>
        <w:t>, 862-915.</w:t>
      </w:r>
    </w:p>
    <w:p w14:paraId="7CF3D9BC"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Hoffmann, S. (1995). The crisis of liberal internationalism. </w:t>
      </w:r>
      <w:r w:rsidRPr="001D27D3">
        <w:rPr>
          <w:rFonts w:cstheme="minorHAnsi"/>
          <w:i/>
          <w:iCs/>
          <w:shd w:val="clear" w:color="auto" w:fill="FFFFFF"/>
        </w:rPr>
        <w:t>Foreign Policy</w:t>
      </w:r>
      <w:r w:rsidRPr="001D27D3">
        <w:rPr>
          <w:rFonts w:cstheme="minorHAnsi"/>
          <w:shd w:val="clear" w:color="auto" w:fill="FFFFFF"/>
        </w:rPr>
        <w:t>, (98), 159-177.</w:t>
      </w:r>
    </w:p>
    <w:p w14:paraId="31F4F7FC" w14:textId="77777777" w:rsidR="00532550" w:rsidRDefault="00532550" w:rsidP="00532550">
      <w:pPr>
        <w:spacing w:line="480" w:lineRule="auto"/>
        <w:rPr>
          <w:rFonts w:cstheme="minorHAnsi"/>
          <w:shd w:val="clear" w:color="auto" w:fill="FFFFFF"/>
        </w:rPr>
      </w:pPr>
      <w:r w:rsidRPr="009B77AA">
        <w:rPr>
          <w:rFonts w:cstheme="minorHAnsi"/>
          <w:shd w:val="clear" w:color="auto" w:fill="FFFFFF"/>
        </w:rPr>
        <w:t xml:space="preserve">Hooghe, L., &amp; Marks, G. (2009). A postfunctionalist theory of European integration: From permissive </w:t>
      </w:r>
      <w:r>
        <w:rPr>
          <w:rFonts w:cstheme="minorHAnsi"/>
          <w:shd w:val="clear" w:color="auto" w:fill="FFFFFF"/>
        </w:rPr>
        <w:tab/>
      </w:r>
      <w:r w:rsidRPr="009B77AA">
        <w:rPr>
          <w:rFonts w:cstheme="minorHAnsi"/>
          <w:shd w:val="clear" w:color="auto" w:fill="FFFFFF"/>
        </w:rPr>
        <w:t>consensus to constraining dissensus. </w:t>
      </w:r>
      <w:r w:rsidRPr="009B77AA">
        <w:rPr>
          <w:rFonts w:cstheme="minorHAnsi"/>
          <w:i/>
          <w:iCs/>
          <w:shd w:val="clear" w:color="auto" w:fill="FFFFFF"/>
        </w:rPr>
        <w:t>British Journal of Political Science</w:t>
      </w:r>
      <w:r w:rsidRPr="009B77AA">
        <w:rPr>
          <w:rFonts w:cstheme="minorHAnsi"/>
          <w:shd w:val="clear" w:color="auto" w:fill="FFFFFF"/>
        </w:rPr>
        <w:t>, </w:t>
      </w:r>
      <w:r w:rsidRPr="009B77AA">
        <w:rPr>
          <w:rFonts w:cstheme="minorHAnsi"/>
          <w:i/>
          <w:iCs/>
          <w:shd w:val="clear" w:color="auto" w:fill="FFFFFF"/>
        </w:rPr>
        <w:t>39</w:t>
      </w:r>
      <w:r w:rsidRPr="009B77AA">
        <w:rPr>
          <w:rFonts w:cstheme="minorHAnsi"/>
          <w:shd w:val="clear" w:color="auto" w:fill="FFFFFF"/>
        </w:rPr>
        <w:t>(1), 1-23.</w:t>
      </w:r>
    </w:p>
    <w:p w14:paraId="1DDA4D99"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Levy, J. S. (2008). Case studies: Types, designs, and logics of inference. </w:t>
      </w:r>
      <w:r w:rsidRPr="001D27D3">
        <w:rPr>
          <w:rFonts w:cstheme="minorHAnsi"/>
          <w:i/>
          <w:iCs/>
          <w:shd w:val="clear" w:color="auto" w:fill="FFFFFF"/>
        </w:rPr>
        <w:t xml:space="preserve">Conflict Management and </w:t>
      </w:r>
      <w:r w:rsidRPr="001D27D3">
        <w:rPr>
          <w:rFonts w:cstheme="minorHAnsi"/>
          <w:i/>
          <w:iCs/>
          <w:shd w:val="clear" w:color="auto" w:fill="FFFFFF"/>
        </w:rPr>
        <w:tab/>
        <w:t>Peace Science</w:t>
      </w:r>
      <w:r w:rsidRPr="001D27D3">
        <w:rPr>
          <w:rFonts w:cstheme="minorHAnsi"/>
          <w:shd w:val="clear" w:color="auto" w:fill="FFFFFF"/>
        </w:rPr>
        <w:t>, </w:t>
      </w:r>
      <w:r w:rsidRPr="001D27D3">
        <w:rPr>
          <w:rFonts w:cstheme="minorHAnsi"/>
          <w:i/>
          <w:iCs/>
          <w:shd w:val="clear" w:color="auto" w:fill="FFFFFF"/>
        </w:rPr>
        <w:t>25</w:t>
      </w:r>
      <w:r w:rsidRPr="001D27D3">
        <w:rPr>
          <w:rFonts w:cstheme="minorHAnsi"/>
          <w:shd w:val="clear" w:color="auto" w:fill="FFFFFF"/>
        </w:rPr>
        <w:t>(1), 1-18.</w:t>
      </w:r>
    </w:p>
    <w:p w14:paraId="5ADFB242"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Lieshout, R. H., Segers, M. L., &amp; van der Vleuten, A. M. (2004). de Gaulle, Moravcsik, and The Choice </w:t>
      </w:r>
      <w:r w:rsidRPr="001D27D3">
        <w:rPr>
          <w:rFonts w:cstheme="minorHAnsi"/>
          <w:shd w:val="clear" w:color="auto" w:fill="FFFFFF"/>
        </w:rPr>
        <w:tab/>
        <w:t>for Europe: soft sources, weak evidence. </w:t>
      </w:r>
      <w:r w:rsidRPr="001D27D3">
        <w:rPr>
          <w:rFonts w:cstheme="minorHAnsi"/>
          <w:i/>
          <w:iCs/>
          <w:shd w:val="clear" w:color="auto" w:fill="FFFFFF"/>
        </w:rPr>
        <w:t>Journal of Cold War Studies</w:t>
      </w:r>
      <w:r w:rsidRPr="001D27D3">
        <w:rPr>
          <w:rFonts w:cstheme="minorHAnsi"/>
          <w:shd w:val="clear" w:color="auto" w:fill="FFFFFF"/>
        </w:rPr>
        <w:t>, </w:t>
      </w:r>
      <w:r w:rsidRPr="001D27D3">
        <w:rPr>
          <w:rFonts w:cstheme="minorHAnsi"/>
          <w:i/>
          <w:iCs/>
          <w:shd w:val="clear" w:color="auto" w:fill="FFFFFF"/>
        </w:rPr>
        <w:t>6</w:t>
      </w:r>
      <w:r w:rsidRPr="001D27D3">
        <w:rPr>
          <w:rFonts w:cstheme="minorHAnsi"/>
          <w:shd w:val="clear" w:color="auto" w:fill="FFFFFF"/>
        </w:rPr>
        <w:t>(4), 89-139.</w:t>
      </w:r>
    </w:p>
    <w:p w14:paraId="52C67959" w14:textId="77777777" w:rsidR="00532550" w:rsidRPr="001D27D3" w:rsidRDefault="00532550" w:rsidP="00532550">
      <w:pPr>
        <w:spacing w:line="480" w:lineRule="auto"/>
        <w:rPr>
          <w:rFonts w:cstheme="minorHAnsi"/>
          <w:iCs/>
          <w:shd w:val="clear" w:color="auto" w:fill="FFFFFF"/>
        </w:rPr>
      </w:pPr>
      <w:r w:rsidRPr="001D27D3">
        <w:rPr>
          <w:rFonts w:cstheme="minorHAnsi"/>
          <w:shd w:val="clear" w:color="auto" w:fill="FFFFFF"/>
        </w:rPr>
        <w:t>Lindberg, L. N. (1963). The political dynamics of European economic integration. </w:t>
      </w:r>
      <w:r w:rsidRPr="001D27D3">
        <w:rPr>
          <w:rFonts w:cstheme="minorHAnsi"/>
          <w:i/>
          <w:iCs/>
          <w:shd w:val="clear" w:color="auto" w:fill="FFFFFF"/>
        </w:rPr>
        <w:t>The political</w:t>
      </w:r>
      <w:r w:rsidRPr="001D27D3">
        <w:rPr>
          <w:rFonts w:cstheme="minorHAnsi"/>
          <w:i/>
          <w:iCs/>
          <w:shd w:val="clear" w:color="auto" w:fill="FFFFFF"/>
        </w:rPr>
        <w:tab/>
      </w:r>
      <w:r w:rsidRPr="001D27D3">
        <w:rPr>
          <w:rFonts w:cstheme="minorHAnsi"/>
          <w:i/>
          <w:iCs/>
          <w:shd w:val="clear" w:color="auto" w:fill="FFFFFF"/>
        </w:rPr>
        <w:tab/>
        <w:t xml:space="preserve"> dynamics of European economic integration. Stanford California. </w:t>
      </w:r>
      <w:r w:rsidRPr="001D27D3">
        <w:rPr>
          <w:rFonts w:cstheme="minorHAnsi"/>
          <w:iCs/>
          <w:shd w:val="clear" w:color="auto" w:fill="FFFFFF"/>
        </w:rPr>
        <w:t>Stanford University Press.</w:t>
      </w:r>
      <w:r w:rsidRPr="001D27D3">
        <w:rPr>
          <w:rFonts w:cstheme="minorHAnsi"/>
          <w:i/>
          <w:iCs/>
          <w:shd w:val="clear" w:color="auto" w:fill="FFFFFF"/>
        </w:rPr>
        <w:t xml:space="preserve"> </w:t>
      </w:r>
    </w:p>
    <w:p w14:paraId="232A3056"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Lindberg, L. N., &amp; Scheingold, S. A. (1970). </w:t>
      </w:r>
      <w:r w:rsidRPr="001D27D3">
        <w:rPr>
          <w:rFonts w:cstheme="minorHAnsi"/>
          <w:i/>
          <w:iCs/>
          <w:shd w:val="clear" w:color="auto" w:fill="FFFFFF"/>
        </w:rPr>
        <w:t xml:space="preserve">Europe's would-be polity: patterns of change in the </w:t>
      </w:r>
      <w:r w:rsidRPr="001D27D3">
        <w:rPr>
          <w:rFonts w:cstheme="minorHAnsi"/>
          <w:i/>
          <w:iCs/>
          <w:shd w:val="clear" w:color="auto" w:fill="FFFFFF"/>
        </w:rPr>
        <w:tab/>
        <w:t>European community</w:t>
      </w:r>
      <w:r w:rsidRPr="001D27D3">
        <w:rPr>
          <w:rFonts w:cstheme="minorHAnsi"/>
          <w:shd w:val="clear" w:color="auto" w:fill="FFFFFF"/>
        </w:rPr>
        <w:t>. Prentice Hall.</w:t>
      </w:r>
    </w:p>
    <w:p w14:paraId="248D2763"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Marks, G., Hooghe, L., &amp; Blank, K. (1996). European Integration from the 1980s: State‐Centric v. </w:t>
      </w:r>
      <w:r w:rsidRPr="001D27D3">
        <w:rPr>
          <w:rFonts w:cstheme="minorHAnsi"/>
          <w:shd w:val="clear" w:color="auto" w:fill="FFFFFF"/>
        </w:rPr>
        <w:tab/>
        <w:t>Multi‐level Governance. </w:t>
      </w:r>
      <w:r w:rsidRPr="001D27D3">
        <w:rPr>
          <w:rFonts w:cstheme="minorHAnsi"/>
          <w:i/>
          <w:iCs/>
          <w:shd w:val="clear" w:color="auto" w:fill="FFFFFF"/>
        </w:rPr>
        <w:t>JCMS: Journal of Common Market Studies</w:t>
      </w:r>
      <w:r w:rsidRPr="001D27D3">
        <w:rPr>
          <w:rFonts w:cstheme="minorHAnsi"/>
          <w:shd w:val="clear" w:color="auto" w:fill="FFFFFF"/>
        </w:rPr>
        <w:t>, </w:t>
      </w:r>
      <w:r w:rsidRPr="001D27D3">
        <w:rPr>
          <w:rFonts w:cstheme="minorHAnsi"/>
          <w:i/>
          <w:iCs/>
          <w:shd w:val="clear" w:color="auto" w:fill="FFFFFF"/>
        </w:rPr>
        <w:t>34</w:t>
      </w:r>
      <w:r w:rsidRPr="001D27D3">
        <w:rPr>
          <w:rFonts w:cstheme="minorHAnsi"/>
          <w:shd w:val="clear" w:color="auto" w:fill="FFFFFF"/>
        </w:rPr>
        <w:t>(3), 341-378.</w:t>
      </w:r>
    </w:p>
    <w:p w14:paraId="562CDA21"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lastRenderedPageBreak/>
        <w:t xml:space="preserve">Mitrany, D. (1975). </w:t>
      </w:r>
      <w:r w:rsidRPr="001D27D3">
        <w:rPr>
          <w:rFonts w:cstheme="minorHAnsi"/>
          <w:i/>
          <w:shd w:val="clear" w:color="auto" w:fill="FFFFFF"/>
        </w:rPr>
        <w:t>The functional theory of politics. London.</w:t>
      </w:r>
      <w:r w:rsidRPr="001D27D3">
        <w:rPr>
          <w:rFonts w:cstheme="minorHAnsi"/>
          <w:shd w:val="clear" w:color="auto" w:fill="FFFFFF"/>
        </w:rPr>
        <w:t xml:space="preserve"> London University Press.</w:t>
      </w:r>
    </w:p>
    <w:p w14:paraId="11B903AD"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Moravcsik, A. (1995). Liberal intergovernmentalism and integration: a rejoinder. </w:t>
      </w:r>
      <w:r w:rsidRPr="001D27D3">
        <w:rPr>
          <w:rFonts w:cstheme="minorHAnsi"/>
          <w:i/>
          <w:iCs/>
          <w:shd w:val="clear" w:color="auto" w:fill="FFFFFF"/>
        </w:rPr>
        <w:t xml:space="preserve">JCMS: Journal of </w:t>
      </w:r>
      <w:r w:rsidRPr="001D27D3">
        <w:rPr>
          <w:rFonts w:cstheme="minorHAnsi"/>
          <w:i/>
          <w:iCs/>
          <w:shd w:val="clear" w:color="auto" w:fill="FFFFFF"/>
        </w:rPr>
        <w:tab/>
        <w:t>Common Market Studies</w:t>
      </w:r>
      <w:r w:rsidRPr="001D27D3">
        <w:rPr>
          <w:rFonts w:cstheme="minorHAnsi"/>
          <w:shd w:val="clear" w:color="auto" w:fill="FFFFFF"/>
        </w:rPr>
        <w:t>, </w:t>
      </w:r>
      <w:r w:rsidRPr="001D27D3">
        <w:rPr>
          <w:rFonts w:cstheme="minorHAnsi"/>
          <w:i/>
          <w:iCs/>
          <w:shd w:val="clear" w:color="auto" w:fill="FFFFFF"/>
        </w:rPr>
        <w:t>33</w:t>
      </w:r>
      <w:r w:rsidRPr="001D27D3">
        <w:rPr>
          <w:rFonts w:cstheme="minorHAnsi"/>
          <w:shd w:val="clear" w:color="auto" w:fill="FFFFFF"/>
        </w:rPr>
        <w:t>(4), 611-628.</w:t>
      </w:r>
    </w:p>
    <w:p w14:paraId="01CEB59B"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Moravcsik, A. (1993). Preferences and power in the European Community: a liberal </w:t>
      </w:r>
      <w:r w:rsidRPr="001D27D3">
        <w:rPr>
          <w:rFonts w:cstheme="minorHAnsi"/>
          <w:shd w:val="clear" w:color="auto" w:fill="FFFFFF"/>
        </w:rPr>
        <w:tab/>
        <w:t>intergovernmentalist approach. </w:t>
      </w:r>
      <w:r w:rsidRPr="001D27D3">
        <w:rPr>
          <w:rFonts w:cstheme="minorHAnsi"/>
          <w:i/>
          <w:iCs/>
          <w:shd w:val="clear" w:color="auto" w:fill="FFFFFF"/>
        </w:rPr>
        <w:t>JCMS: Journal of Common Market Studies</w:t>
      </w:r>
      <w:r w:rsidRPr="001D27D3">
        <w:rPr>
          <w:rFonts w:cstheme="minorHAnsi"/>
          <w:shd w:val="clear" w:color="auto" w:fill="FFFFFF"/>
        </w:rPr>
        <w:t>, </w:t>
      </w:r>
      <w:r w:rsidRPr="001D27D3">
        <w:rPr>
          <w:rFonts w:cstheme="minorHAnsi"/>
          <w:i/>
          <w:iCs/>
          <w:shd w:val="clear" w:color="auto" w:fill="FFFFFF"/>
        </w:rPr>
        <w:t>31</w:t>
      </w:r>
      <w:r w:rsidRPr="001D27D3">
        <w:rPr>
          <w:rFonts w:cstheme="minorHAnsi"/>
          <w:shd w:val="clear" w:color="auto" w:fill="FFFFFF"/>
        </w:rPr>
        <w:t>(4), 473-524.</w:t>
      </w:r>
    </w:p>
    <w:p w14:paraId="72199FCC"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Moravcsik, A. (1998). </w:t>
      </w:r>
      <w:r w:rsidRPr="001D27D3">
        <w:rPr>
          <w:rFonts w:cstheme="minorHAnsi"/>
          <w:i/>
          <w:iCs/>
          <w:shd w:val="clear" w:color="auto" w:fill="FFFFFF"/>
        </w:rPr>
        <w:t xml:space="preserve">The Choice for Europe: Social Purpose and State Power from Messina to </w:t>
      </w:r>
      <w:r w:rsidRPr="001D27D3">
        <w:rPr>
          <w:rFonts w:cstheme="minorHAnsi"/>
          <w:i/>
          <w:iCs/>
          <w:shd w:val="clear" w:color="auto" w:fill="FFFFFF"/>
        </w:rPr>
        <w:tab/>
        <w:t>Maastricht</w:t>
      </w:r>
      <w:r w:rsidRPr="001D27D3">
        <w:rPr>
          <w:rFonts w:cstheme="minorHAnsi"/>
          <w:shd w:val="clear" w:color="auto" w:fill="FFFFFF"/>
        </w:rPr>
        <w:t>. Cornell University Press.</w:t>
      </w:r>
    </w:p>
    <w:p w14:paraId="5C14408F"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Moravcsik, A. &amp; Sc</w:t>
      </w:r>
      <w:r w:rsidRPr="001D27D3">
        <w:rPr>
          <w:rFonts w:cstheme="minorHAnsi"/>
          <w:shd w:val="clear" w:color="auto" w:fill="FFFFFF"/>
          <w:lang w:val="en-US"/>
        </w:rPr>
        <w:t>himmelfennig, F. (2009). Liberal Intergovernmentalism. In Wiener, A. &amp; Diez, T.</w:t>
      </w:r>
      <w:r w:rsidRPr="001D27D3">
        <w:rPr>
          <w:rFonts w:cstheme="minorHAnsi"/>
          <w:shd w:val="clear" w:color="auto" w:fill="FFFFFF"/>
          <w:lang w:val="en-US"/>
        </w:rPr>
        <w:tab/>
        <w:t xml:space="preserve"> </w:t>
      </w:r>
      <w:r w:rsidRPr="001D27D3">
        <w:rPr>
          <w:rFonts w:cstheme="minorHAnsi"/>
          <w:shd w:val="clear" w:color="auto" w:fill="FFFFFF"/>
        </w:rPr>
        <w:t xml:space="preserve">(Eds.), </w:t>
      </w:r>
      <w:r w:rsidRPr="001D27D3">
        <w:rPr>
          <w:rFonts w:cstheme="minorHAnsi"/>
          <w:i/>
          <w:shd w:val="clear" w:color="auto" w:fill="FFFFFF"/>
        </w:rPr>
        <w:t xml:space="preserve">European Integration Theory </w:t>
      </w:r>
      <w:r w:rsidRPr="001D27D3">
        <w:rPr>
          <w:rFonts w:cstheme="minorHAnsi"/>
          <w:shd w:val="clear" w:color="auto" w:fill="FFFFFF"/>
        </w:rPr>
        <w:t xml:space="preserve">(p. 67-87). </w:t>
      </w:r>
      <w:r w:rsidRPr="001D27D3">
        <w:rPr>
          <w:rFonts w:cstheme="minorHAnsi"/>
          <w:i/>
          <w:shd w:val="clear" w:color="auto" w:fill="FFFFFF"/>
        </w:rPr>
        <w:t xml:space="preserve"> New York. </w:t>
      </w:r>
      <w:r w:rsidRPr="001D27D3">
        <w:rPr>
          <w:rFonts w:cstheme="minorHAnsi"/>
          <w:shd w:val="clear" w:color="auto" w:fill="FFFFFF"/>
        </w:rPr>
        <w:t>Oxford University Press.</w:t>
      </w:r>
    </w:p>
    <w:p w14:paraId="0FFD8AA4"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Moravcsik, A. (1991). Negotiating the Single European Act: national interests and conventional </w:t>
      </w:r>
      <w:r w:rsidRPr="001D27D3">
        <w:rPr>
          <w:rFonts w:cstheme="minorHAnsi"/>
          <w:shd w:val="clear" w:color="auto" w:fill="FFFFFF"/>
        </w:rPr>
        <w:tab/>
        <w:t>statecraft in the European Community. </w:t>
      </w:r>
      <w:r w:rsidRPr="001D27D3">
        <w:rPr>
          <w:rFonts w:cstheme="minorHAnsi"/>
          <w:i/>
          <w:iCs/>
          <w:shd w:val="clear" w:color="auto" w:fill="FFFFFF"/>
        </w:rPr>
        <w:t>International organization</w:t>
      </w:r>
      <w:r w:rsidRPr="001D27D3">
        <w:rPr>
          <w:rFonts w:cstheme="minorHAnsi"/>
          <w:shd w:val="clear" w:color="auto" w:fill="FFFFFF"/>
        </w:rPr>
        <w:t>, </w:t>
      </w:r>
      <w:r w:rsidRPr="001D27D3">
        <w:rPr>
          <w:rFonts w:cstheme="minorHAnsi"/>
          <w:i/>
          <w:iCs/>
          <w:shd w:val="clear" w:color="auto" w:fill="FFFFFF"/>
        </w:rPr>
        <w:t>45</w:t>
      </w:r>
      <w:r w:rsidRPr="001D27D3">
        <w:rPr>
          <w:rFonts w:cstheme="minorHAnsi"/>
          <w:shd w:val="clear" w:color="auto" w:fill="FFFFFF"/>
        </w:rPr>
        <w:t>(1), 19-56.</w:t>
      </w:r>
    </w:p>
    <w:p w14:paraId="0CBC5D25" w14:textId="77777777" w:rsidR="00532550" w:rsidRDefault="00532550" w:rsidP="00532550">
      <w:pPr>
        <w:spacing w:line="480" w:lineRule="auto"/>
        <w:rPr>
          <w:rFonts w:cstheme="minorHAnsi"/>
          <w:shd w:val="clear" w:color="auto" w:fill="FFFFFF"/>
        </w:rPr>
      </w:pPr>
      <w:r w:rsidRPr="00583666">
        <w:rPr>
          <w:rFonts w:cstheme="minorHAnsi"/>
          <w:shd w:val="clear" w:color="auto" w:fill="FFFFFF"/>
        </w:rPr>
        <w:t xml:space="preserve">Morris, S. H., &amp; Spillane, C. (2010). EU GM crop regulation: a road to resolution or a regulatory </w:t>
      </w:r>
      <w:r>
        <w:rPr>
          <w:rFonts w:cstheme="minorHAnsi"/>
          <w:shd w:val="clear" w:color="auto" w:fill="FFFFFF"/>
        </w:rPr>
        <w:tab/>
      </w:r>
      <w:r w:rsidRPr="00583666">
        <w:rPr>
          <w:rFonts w:cstheme="minorHAnsi"/>
          <w:shd w:val="clear" w:color="auto" w:fill="FFFFFF"/>
        </w:rPr>
        <w:t>roundabout?. European Journal of Risk Regulation, 1(4), 359-369.</w:t>
      </w:r>
    </w:p>
    <w:p w14:paraId="314E0452"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Niemann, A &amp; Schmitter, P.C. (2009). Neofunctionalism. In Wiener, A. &amp; Diez, T. (Eds.), </w:t>
      </w:r>
      <w:r w:rsidRPr="001D27D3">
        <w:rPr>
          <w:rFonts w:cstheme="minorHAnsi"/>
          <w:i/>
          <w:shd w:val="clear" w:color="auto" w:fill="FFFFFF"/>
        </w:rPr>
        <w:t xml:space="preserve">European </w:t>
      </w:r>
      <w:r w:rsidRPr="001D27D3">
        <w:rPr>
          <w:rFonts w:cstheme="minorHAnsi"/>
          <w:i/>
          <w:shd w:val="clear" w:color="auto" w:fill="FFFFFF"/>
        </w:rPr>
        <w:tab/>
        <w:t xml:space="preserve">Integration Theory </w:t>
      </w:r>
      <w:r w:rsidRPr="001D27D3">
        <w:rPr>
          <w:rFonts w:cstheme="minorHAnsi"/>
          <w:shd w:val="clear" w:color="auto" w:fill="FFFFFF"/>
        </w:rPr>
        <w:t xml:space="preserve">(p. 45-66). </w:t>
      </w:r>
      <w:r w:rsidRPr="001D27D3">
        <w:rPr>
          <w:rFonts w:cstheme="minorHAnsi"/>
          <w:i/>
          <w:shd w:val="clear" w:color="auto" w:fill="FFFFFF"/>
        </w:rPr>
        <w:t xml:space="preserve">New York. </w:t>
      </w:r>
      <w:r w:rsidRPr="001D27D3">
        <w:rPr>
          <w:rFonts w:cstheme="minorHAnsi"/>
          <w:shd w:val="clear" w:color="auto" w:fill="FFFFFF"/>
        </w:rPr>
        <w:t>Oxford University Press.</w:t>
      </w:r>
    </w:p>
    <w:p w14:paraId="19089A41"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Odell, J. S. (2001). Case study methods in international political economy. </w:t>
      </w:r>
      <w:r w:rsidRPr="001D27D3">
        <w:rPr>
          <w:rFonts w:cstheme="minorHAnsi"/>
          <w:i/>
          <w:iCs/>
          <w:shd w:val="clear" w:color="auto" w:fill="FFFFFF"/>
        </w:rPr>
        <w:t xml:space="preserve">International Studies </w:t>
      </w:r>
      <w:r w:rsidRPr="001D27D3">
        <w:rPr>
          <w:rFonts w:cstheme="minorHAnsi"/>
          <w:i/>
          <w:iCs/>
          <w:shd w:val="clear" w:color="auto" w:fill="FFFFFF"/>
        </w:rPr>
        <w:tab/>
        <w:t>Perspectives</w:t>
      </w:r>
      <w:r w:rsidRPr="001D27D3">
        <w:rPr>
          <w:rFonts w:cstheme="minorHAnsi"/>
          <w:shd w:val="clear" w:color="auto" w:fill="FFFFFF"/>
        </w:rPr>
        <w:t>, </w:t>
      </w:r>
      <w:r w:rsidRPr="001D27D3">
        <w:rPr>
          <w:rFonts w:cstheme="minorHAnsi"/>
          <w:i/>
          <w:iCs/>
          <w:shd w:val="clear" w:color="auto" w:fill="FFFFFF"/>
        </w:rPr>
        <w:t>2</w:t>
      </w:r>
      <w:r w:rsidRPr="001D27D3">
        <w:rPr>
          <w:rFonts w:cstheme="minorHAnsi"/>
          <w:shd w:val="clear" w:color="auto" w:fill="FFFFFF"/>
        </w:rPr>
        <w:t>(2), 161-176.</w:t>
      </w:r>
    </w:p>
    <w:p w14:paraId="7A1268A1"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Olson, M. (1965). </w:t>
      </w:r>
      <w:r w:rsidRPr="001D27D3">
        <w:rPr>
          <w:rFonts w:cstheme="minorHAnsi"/>
          <w:i/>
          <w:iCs/>
          <w:shd w:val="clear" w:color="auto" w:fill="FFFFFF"/>
        </w:rPr>
        <w:t xml:space="preserve">Logic of Collective Action: Public Goods and the Theory of Groups (Harvard </w:t>
      </w:r>
      <w:r w:rsidRPr="001D27D3">
        <w:rPr>
          <w:rFonts w:cstheme="minorHAnsi"/>
          <w:i/>
          <w:iCs/>
          <w:shd w:val="clear" w:color="auto" w:fill="FFFFFF"/>
        </w:rPr>
        <w:tab/>
        <w:t>economic studies. v. 124)</w:t>
      </w:r>
      <w:r w:rsidRPr="001D27D3">
        <w:rPr>
          <w:rFonts w:cstheme="minorHAnsi"/>
          <w:shd w:val="clear" w:color="auto" w:fill="FFFFFF"/>
        </w:rPr>
        <w:t>. Harvard University Press.</w:t>
      </w:r>
    </w:p>
    <w:p w14:paraId="2F44F175"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Peterson, J. (2009). Policy Networks. In Wiener, A. &amp; Diez, T. (Eds.), </w:t>
      </w:r>
      <w:r w:rsidRPr="001D27D3">
        <w:rPr>
          <w:rFonts w:cstheme="minorHAnsi"/>
          <w:i/>
          <w:shd w:val="clear" w:color="auto" w:fill="FFFFFF"/>
        </w:rPr>
        <w:t>European Integration Theory</w:t>
      </w:r>
      <w:r w:rsidRPr="001D27D3">
        <w:rPr>
          <w:rFonts w:cstheme="minorHAnsi"/>
          <w:i/>
          <w:shd w:val="clear" w:color="auto" w:fill="FFFFFF"/>
        </w:rPr>
        <w:tab/>
      </w:r>
      <w:r w:rsidRPr="001D27D3">
        <w:rPr>
          <w:rFonts w:cstheme="minorHAnsi"/>
          <w:shd w:val="clear" w:color="auto" w:fill="FFFFFF"/>
        </w:rPr>
        <w:t xml:space="preserve">(p. 105-124). </w:t>
      </w:r>
      <w:r w:rsidRPr="001D27D3">
        <w:rPr>
          <w:rFonts w:cstheme="minorHAnsi"/>
          <w:i/>
          <w:shd w:val="clear" w:color="auto" w:fill="FFFFFF"/>
        </w:rPr>
        <w:t xml:space="preserve">New York. </w:t>
      </w:r>
      <w:r w:rsidRPr="001D27D3">
        <w:rPr>
          <w:rFonts w:cstheme="minorHAnsi"/>
          <w:shd w:val="clear" w:color="auto" w:fill="FFFFFF"/>
        </w:rPr>
        <w:t>Oxford University Press.</w:t>
      </w:r>
    </w:p>
    <w:p w14:paraId="02EFF0D8" w14:textId="77777777" w:rsidR="00532550" w:rsidRPr="001D27D3" w:rsidRDefault="00532550" w:rsidP="00532550">
      <w:pPr>
        <w:spacing w:line="480" w:lineRule="auto"/>
        <w:rPr>
          <w:rFonts w:cstheme="minorHAnsi"/>
        </w:rPr>
      </w:pPr>
      <w:r w:rsidRPr="001D27D3">
        <w:rPr>
          <w:rFonts w:cstheme="minorHAnsi"/>
          <w:shd w:val="clear" w:color="auto" w:fill="FFFFFF"/>
        </w:rPr>
        <w:t xml:space="preserve">Poli, S. (2010). Commission's New Approach to the Cultivation of Genetically Modified Organisms, </w:t>
      </w:r>
      <w:r w:rsidRPr="001D27D3">
        <w:rPr>
          <w:rFonts w:cstheme="minorHAnsi"/>
          <w:shd w:val="clear" w:color="auto" w:fill="FFFFFF"/>
        </w:rPr>
        <w:tab/>
        <w:t>The.</w:t>
      </w:r>
      <w:r w:rsidRPr="001D27D3">
        <w:rPr>
          <w:rStyle w:val="apple-converted-space"/>
          <w:rFonts w:cstheme="minorHAnsi"/>
          <w:shd w:val="clear" w:color="auto" w:fill="FFFFFF"/>
        </w:rPr>
        <w:t> </w:t>
      </w:r>
      <w:r w:rsidRPr="001D27D3">
        <w:rPr>
          <w:rFonts w:cstheme="minorHAnsi"/>
          <w:i/>
          <w:iCs/>
          <w:shd w:val="clear" w:color="auto" w:fill="FFFFFF"/>
        </w:rPr>
        <w:t>Eur. J. Risk Reg.</w:t>
      </w:r>
      <w:r w:rsidRPr="001D27D3">
        <w:rPr>
          <w:rFonts w:cstheme="minorHAnsi"/>
          <w:shd w:val="clear" w:color="auto" w:fill="FFFFFF"/>
        </w:rPr>
        <w:t>, 339.</w:t>
      </w:r>
    </w:p>
    <w:p w14:paraId="49F7520E"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lastRenderedPageBreak/>
        <w:t xml:space="preserve">Pollack, M. A. (1997). Delegation, agency, and agenda setting in the European </w:t>
      </w:r>
      <w:r w:rsidRPr="001D27D3">
        <w:rPr>
          <w:rFonts w:cstheme="minorHAnsi"/>
          <w:shd w:val="clear" w:color="auto" w:fill="FFFFFF"/>
        </w:rPr>
        <w:tab/>
        <w:t>Community.</w:t>
      </w:r>
      <w:r w:rsidRPr="001D27D3">
        <w:rPr>
          <w:rStyle w:val="apple-converted-space"/>
          <w:rFonts w:cstheme="minorHAnsi"/>
          <w:shd w:val="clear" w:color="auto" w:fill="FFFFFF"/>
        </w:rPr>
        <w:t> </w:t>
      </w:r>
      <w:r w:rsidRPr="001D27D3">
        <w:rPr>
          <w:rFonts w:cstheme="minorHAnsi"/>
          <w:i/>
          <w:iCs/>
          <w:shd w:val="clear" w:color="auto" w:fill="FFFFFF"/>
        </w:rPr>
        <w:t>International organization</w:t>
      </w:r>
      <w:r w:rsidRPr="001D27D3">
        <w:rPr>
          <w:rFonts w:cstheme="minorHAnsi"/>
          <w:shd w:val="clear" w:color="auto" w:fill="FFFFFF"/>
        </w:rPr>
        <w:t>,</w:t>
      </w:r>
      <w:r w:rsidRPr="001D27D3">
        <w:rPr>
          <w:rStyle w:val="apple-converted-space"/>
          <w:rFonts w:cstheme="minorHAnsi"/>
          <w:shd w:val="clear" w:color="auto" w:fill="FFFFFF"/>
        </w:rPr>
        <w:t> </w:t>
      </w:r>
      <w:r w:rsidRPr="001D27D3">
        <w:rPr>
          <w:rFonts w:cstheme="minorHAnsi"/>
          <w:i/>
          <w:iCs/>
          <w:shd w:val="clear" w:color="auto" w:fill="FFFFFF"/>
        </w:rPr>
        <w:t>51</w:t>
      </w:r>
      <w:r w:rsidRPr="001D27D3">
        <w:rPr>
          <w:rFonts w:cstheme="minorHAnsi"/>
          <w:shd w:val="clear" w:color="auto" w:fill="FFFFFF"/>
        </w:rPr>
        <w:t xml:space="preserve">(1), 99-134. </w:t>
      </w:r>
    </w:p>
    <w:p w14:paraId="3013B6C9"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Pollack, M.A. (2009). The New Institutionalisms and European Integration. In Wiener, A. &amp; Diez, T. </w:t>
      </w:r>
      <w:r w:rsidRPr="001D27D3">
        <w:rPr>
          <w:rFonts w:cstheme="minorHAnsi"/>
          <w:shd w:val="clear" w:color="auto" w:fill="FFFFFF"/>
        </w:rPr>
        <w:tab/>
        <w:t xml:space="preserve">(Eds.), </w:t>
      </w:r>
      <w:r w:rsidRPr="001D27D3">
        <w:rPr>
          <w:rFonts w:cstheme="minorHAnsi"/>
          <w:i/>
          <w:shd w:val="clear" w:color="auto" w:fill="FFFFFF"/>
        </w:rPr>
        <w:t xml:space="preserve">European Integration Theory </w:t>
      </w:r>
      <w:r w:rsidRPr="001D27D3">
        <w:rPr>
          <w:rFonts w:cstheme="minorHAnsi"/>
          <w:shd w:val="clear" w:color="auto" w:fill="FFFFFF"/>
        </w:rPr>
        <w:t xml:space="preserve">(p. 125-143). </w:t>
      </w:r>
      <w:r w:rsidRPr="001D27D3">
        <w:rPr>
          <w:rFonts w:cstheme="minorHAnsi"/>
          <w:i/>
          <w:shd w:val="clear" w:color="auto" w:fill="FFFFFF"/>
        </w:rPr>
        <w:t xml:space="preserve">New York. </w:t>
      </w:r>
      <w:r w:rsidRPr="001D27D3">
        <w:rPr>
          <w:rFonts w:cstheme="minorHAnsi"/>
          <w:shd w:val="clear" w:color="auto" w:fill="FFFFFF"/>
        </w:rPr>
        <w:t>Oxford University Press.</w:t>
      </w:r>
    </w:p>
    <w:p w14:paraId="7F580360"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Putnam, R. D. (1988). Diplomacy and domestic politics: the logic of two-level games. </w:t>
      </w:r>
      <w:r w:rsidRPr="001D27D3">
        <w:rPr>
          <w:rFonts w:cstheme="minorHAnsi"/>
          <w:i/>
          <w:iCs/>
          <w:shd w:val="clear" w:color="auto" w:fill="FFFFFF"/>
        </w:rPr>
        <w:t xml:space="preserve">International </w:t>
      </w:r>
      <w:r w:rsidRPr="001D27D3">
        <w:rPr>
          <w:rFonts w:cstheme="minorHAnsi"/>
          <w:i/>
          <w:iCs/>
          <w:shd w:val="clear" w:color="auto" w:fill="FFFFFF"/>
        </w:rPr>
        <w:tab/>
        <w:t>organization</w:t>
      </w:r>
      <w:r w:rsidRPr="001D27D3">
        <w:rPr>
          <w:rFonts w:cstheme="minorHAnsi"/>
          <w:shd w:val="clear" w:color="auto" w:fill="FFFFFF"/>
        </w:rPr>
        <w:t>, </w:t>
      </w:r>
      <w:r w:rsidRPr="001D27D3">
        <w:rPr>
          <w:rFonts w:cstheme="minorHAnsi"/>
          <w:i/>
          <w:iCs/>
          <w:shd w:val="clear" w:color="auto" w:fill="FFFFFF"/>
        </w:rPr>
        <w:t>42</w:t>
      </w:r>
      <w:r w:rsidRPr="001D27D3">
        <w:rPr>
          <w:rFonts w:cstheme="minorHAnsi"/>
          <w:shd w:val="clear" w:color="auto" w:fill="FFFFFF"/>
        </w:rPr>
        <w:t>(3), 427-460.</w:t>
      </w:r>
    </w:p>
    <w:p w14:paraId="6E866937"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Risse, T. (2009). Social Constructivism and European Integration. In Wiener, A. &amp; Diez, T. (Eds.), </w:t>
      </w:r>
      <w:r w:rsidRPr="001D27D3">
        <w:rPr>
          <w:rFonts w:cstheme="minorHAnsi"/>
          <w:shd w:val="clear" w:color="auto" w:fill="FFFFFF"/>
        </w:rPr>
        <w:tab/>
      </w:r>
      <w:r w:rsidRPr="001D27D3">
        <w:rPr>
          <w:rFonts w:cstheme="minorHAnsi"/>
          <w:i/>
          <w:shd w:val="clear" w:color="auto" w:fill="FFFFFF"/>
        </w:rPr>
        <w:t xml:space="preserve">European Integration Theory </w:t>
      </w:r>
      <w:r w:rsidRPr="001D27D3">
        <w:rPr>
          <w:rFonts w:cstheme="minorHAnsi"/>
          <w:shd w:val="clear" w:color="auto" w:fill="FFFFFF"/>
        </w:rPr>
        <w:t xml:space="preserve">(p. 144-160). </w:t>
      </w:r>
      <w:r w:rsidRPr="001D27D3">
        <w:rPr>
          <w:rFonts w:cstheme="minorHAnsi"/>
          <w:i/>
          <w:shd w:val="clear" w:color="auto" w:fill="FFFFFF"/>
        </w:rPr>
        <w:t xml:space="preserve">New York. </w:t>
      </w:r>
      <w:r w:rsidRPr="001D27D3">
        <w:rPr>
          <w:rFonts w:cstheme="minorHAnsi"/>
          <w:shd w:val="clear" w:color="auto" w:fill="FFFFFF"/>
        </w:rPr>
        <w:t>Oxford University Press.</w:t>
      </w:r>
    </w:p>
    <w:p w14:paraId="357F6030" w14:textId="77777777" w:rsidR="00532550" w:rsidRPr="001D27D3" w:rsidRDefault="00532550" w:rsidP="00532550">
      <w:pPr>
        <w:spacing w:line="480" w:lineRule="auto"/>
        <w:rPr>
          <w:rFonts w:cstheme="minorHAnsi"/>
          <w:shd w:val="clear" w:color="auto" w:fill="FFFFFF"/>
        </w:rPr>
      </w:pPr>
      <w:r w:rsidRPr="001D27D3">
        <w:rPr>
          <w:rFonts w:cs="Arial"/>
          <w:shd w:val="clear" w:color="auto" w:fill="FFFFFF"/>
        </w:rPr>
        <w:t>Rosamond, B. (2016). Brexit and the problem of European disintegration. </w:t>
      </w:r>
      <w:r w:rsidRPr="001D27D3">
        <w:rPr>
          <w:rFonts w:cs="Arial"/>
          <w:i/>
          <w:iCs/>
          <w:shd w:val="clear" w:color="auto" w:fill="FFFFFF"/>
        </w:rPr>
        <w:t xml:space="preserve">Journal of Contemporary </w:t>
      </w:r>
      <w:r w:rsidRPr="001D27D3">
        <w:rPr>
          <w:rFonts w:cs="Arial"/>
          <w:i/>
          <w:iCs/>
          <w:shd w:val="clear" w:color="auto" w:fill="FFFFFF"/>
        </w:rPr>
        <w:tab/>
        <w:t>European Research</w:t>
      </w:r>
      <w:r w:rsidRPr="001D27D3">
        <w:rPr>
          <w:rFonts w:cs="Arial"/>
          <w:shd w:val="clear" w:color="auto" w:fill="FFFFFF"/>
        </w:rPr>
        <w:t>, </w:t>
      </w:r>
      <w:r w:rsidRPr="001D27D3">
        <w:rPr>
          <w:rFonts w:cs="Arial"/>
          <w:i/>
          <w:iCs/>
          <w:shd w:val="clear" w:color="auto" w:fill="FFFFFF"/>
        </w:rPr>
        <w:t>12</w:t>
      </w:r>
      <w:r w:rsidRPr="001D27D3">
        <w:rPr>
          <w:rFonts w:cs="Arial"/>
          <w:shd w:val="clear" w:color="auto" w:fill="FFFFFF"/>
        </w:rPr>
        <w:t>(4), 864-871.</w:t>
      </w:r>
    </w:p>
    <w:p w14:paraId="7299D8FE"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Rosamond, B. (2000). </w:t>
      </w:r>
      <w:r w:rsidRPr="001D27D3">
        <w:rPr>
          <w:rFonts w:cstheme="minorHAnsi"/>
          <w:i/>
          <w:shd w:val="clear" w:color="auto" w:fill="FFFFFF"/>
        </w:rPr>
        <w:t>Theories of European integration</w:t>
      </w:r>
      <w:r w:rsidRPr="001D27D3">
        <w:rPr>
          <w:rFonts w:cstheme="minorHAnsi"/>
          <w:shd w:val="clear" w:color="auto" w:fill="FFFFFF"/>
        </w:rPr>
        <w:t xml:space="preserve">. </w:t>
      </w:r>
      <w:r w:rsidRPr="001D27D3">
        <w:rPr>
          <w:rFonts w:cstheme="minorHAnsi"/>
          <w:i/>
          <w:shd w:val="clear" w:color="auto" w:fill="FFFFFF"/>
        </w:rPr>
        <w:t>New York.</w:t>
      </w:r>
      <w:r w:rsidRPr="001D27D3">
        <w:rPr>
          <w:rFonts w:cstheme="minorHAnsi"/>
          <w:shd w:val="clear" w:color="auto" w:fill="FFFFFF"/>
        </w:rPr>
        <w:t xml:space="preserve"> St. Martin’s Press New York.</w:t>
      </w:r>
    </w:p>
    <w:p w14:paraId="13267406"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Schimmelfennig, F. (2015). Liberal intergovernmentalism and the euro area crisis. </w:t>
      </w:r>
      <w:r w:rsidRPr="001D27D3">
        <w:rPr>
          <w:rFonts w:cstheme="minorHAnsi"/>
          <w:i/>
          <w:iCs/>
          <w:shd w:val="clear" w:color="auto" w:fill="FFFFFF"/>
        </w:rPr>
        <w:t xml:space="preserve">Journal of </w:t>
      </w:r>
      <w:r w:rsidRPr="001D27D3">
        <w:rPr>
          <w:rFonts w:cstheme="minorHAnsi"/>
          <w:i/>
          <w:iCs/>
          <w:shd w:val="clear" w:color="auto" w:fill="FFFFFF"/>
        </w:rPr>
        <w:tab/>
        <w:t>European Public Policy</w:t>
      </w:r>
      <w:r w:rsidRPr="001D27D3">
        <w:rPr>
          <w:rFonts w:cstheme="minorHAnsi"/>
          <w:shd w:val="clear" w:color="auto" w:fill="FFFFFF"/>
        </w:rPr>
        <w:t>, </w:t>
      </w:r>
      <w:r w:rsidRPr="001D27D3">
        <w:rPr>
          <w:rFonts w:cstheme="minorHAnsi"/>
          <w:i/>
          <w:iCs/>
          <w:shd w:val="clear" w:color="auto" w:fill="FFFFFF"/>
        </w:rPr>
        <w:t>22</w:t>
      </w:r>
      <w:r w:rsidRPr="001D27D3">
        <w:rPr>
          <w:rFonts w:cstheme="minorHAnsi"/>
          <w:shd w:val="clear" w:color="auto" w:fill="FFFFFF"/>
        </w:rPr>
        <w:t>(2), 177-195.</w:t>
      </w:r>
    </w:p>
    <w:p w14:paraId="453DC573"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Schmitter, P.C. (1969). Three Neo-Functional Hypotheses about International Integration. </w:t>
      </w:r>
      <w:r w:rsidRPr="001D27D3">
        <w:rPr>
          <w:rFonts w:cstheme="minorHAnsi"/>
          <w:i/>
          <w:shd w:val="clear" w:color="auto" w:fill="FFFFFF"/>
        </w:rPr>
        <w:t xml:space="preserve">University </w:t>
      </w:r>
      <w:r w:rsidRPr="001D27D3">
        <w:rPr>
          <w:rFonts w:cstheme="minorHAnsi"/>
          <w:i/>
          <w:shd w:val="clear" w:color="auto" w:fill="FFFFFF"/>
        </w:rPr>
        <w:tab/>
        <w:t>of Wisconsin Press,</w:t>
      </w:r>
      <w:r w:rsidRPr="001D27D3">
        <w:rPr>
          <w:rFonts w:cstheme="minorHAnsi"/>
          <w:shd w:val="clear" w:color="auto" w:fill="FFFFFF"/>
        </w:rPr>
        <w:t xml:space="preserve"> 23(1), 161-166.</w:t>
      </w:r>
    </w:p>
    <w:p w14:paraId="6DCC9A40" w14:textId="77777777" w:rsidR="00532550" w:rsidRPr="001D27D3" w:rsidRDefault="00532550" w:rsidP="00532550">
      <w:pPr>
        <w:spacing w:line="480" w:lineRule="auto"/>
        <w:rPr>
          <w:rFonts w:cs="Arial"/>
          <w:shd w:val="clear" w:color="auto" w:fill="FFFFFF"/>
        </w:rPr>
      </w:pPr>
      <w:r w:rsidRPr="001D27D3">
        <w:rPr>
          <w:rFonts w:cs="Arial"/>
          <w:shd w:val="clear" w:color="auto" w:fill="FFFFFF"/>
        </w:rPr>
        <w:t>Schmitter, P. C. (1970). A revised theory of regional integration. </w:t>
      </w:r>
      <w:r w:rsidRPr="001D27D3">
        <w:rPr>
          <w:rFonts w:cs="Arial"/>
          <w:i/>
          <w:iCs/>
          <w:shd w:val="clear" w:color="auto" w:fill="FFFFFF"/>
        </w:rPr>
        <w:t>International organization</w:t>
      </w:r>
      <w:r w:rsidRPr="001D27D3">
        <w:rPr>
          <w:rFonts w:cs="Arial"/>
          <w:shd w:val="clear" w:color="auto" w:fill="FFFFFF"/>
        </w:rPr>
        <w:t>, </w:t>
      </w:r>
      <w:r w:rsidRPr="001D27D3">
        <w:rPr>
          <w:rFonts w:cs="Arial"/>
          <w:i/>
          <w:iCs/>
          <w:shd w:val="clear" w:color="auto" w:fill="FFFFFF"/>
        </w:rPr>
        <w:t>24</w:t>
      </w:r>
      <w:r w:rsidRPr="001D27D3">
        <w:rPr>
          <w:rFonts w:cs="Arial"/>
          <w:shd w:val="clear" w:color="auto" w:fill="FFFFFF"/>
        </w:rPr>
        <w:t>(4),</w:t>
      </w:r>
      <w:r w:rsidRPr="001D27D3">
        <w:rPr>
          <w:rFonts w:cs="Arial"/>
          <w:shd w:val="clear" w:color="auto" w:fill="FFFFFF"/>
        </w:rPr>
        <w:tab/>
        <w:t>836-868.</w:t>
      </w:r>
    </w:p>
    <w:p w14:paraId="5D468268"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Schmitter, P. C., &amp; Lefkofridi, Z. (2016). Neo-functionalism as a theory of disintegration. </w:t>
      </w:r>
      <w:r w:rsidRPr="001D27D3">
        <w:rPr>
          <w:rFonts w:cstheme="minorHAnsi"/>
          <w:i/>
          <w:iCs/>
          <w:shd w:val="clear" w:color="auto" w:fill="FFFFFF"/>
        </w:rPr>
        <w:t xml:space="preserve">Chinese </w:t>
      </w:r>
      <w:r w:rsidRPr="001D27D3">
        <w:rPr>
          <w:rFonts w:cstheme="minorHAnsi"/>
          <w:i/>
          <w:iCs/>
          <w:shd w:val="clear" w:color="auto" w:fill="FFFFFF"/>
        </w:rPr>
        <w:tab/>
        <w:t>political science review</w:t>
      </w:r>
      <w:r w:rsidRPr="001D27D3">
        <w:rPr>
          <w:rFonts w:cstheme="minorHAnsi"/>
          <w:shd w:val="clear" w:color="auto" w:fill="FFFFFF"/>
        </w:rPr>
        <w:t>, </w:t>
      </w:r>
      <w:r w:rsidRPr="001D27D3">
        <w:rPr>
          <w:rFonts w:cstheme="minorHAnsi"/>
          <w:i/>
          <w:iCs/>
          <w:shd w:val="clear" w:color="auto" w:fill="FFFFFF"/>
        </w:rPr>
        <w:t>1</w:t>
      </w:r>
      <w:r w:rsidRPr="001D27D3">
        <w:rPr>
          <w:rFonts w:cstheme="minorHAnsi"/>
          <w:shd w:val="clear" w:color="auto" w:fill="FFFFFF"/>
        </w:rPr>
        <w:t>(1), 1-29.</w:t>
      </w:r>
    </w:p>
    <w:p w14:paraId="7505C50B"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Smyrl, M. E. (1998). When (and How) do the Commission’s preferences matter?. </w:t>
      </w:r>
      <w:r w:rsidRPr="001D27D3">
        <w:rPr>
          <w:rFonts w:cstheme="minorHAnsi"/>
          <w:i/>
          <w:iCs/>
          <w:shd w:val="clear" w:color="auto" w:fill="FFFFFF"/>
        </w:rPr>
        <w:t xml:space="preserve">JCMS: Journal of </w:t>
      </w:r>
      <w:r w:rsidRPr="001D27D3">
        <w:rPr>
          <w:rFonts w:cstheme="minorHAnsi"/>
          <w:i/>
          <w:iCs/>
          <w:shd w:val="clear" w:color="auto" w:fill="FFFFFF"/>
        </w:rPr>
        <w:tab/>
        <w:t>Common Market Studies</w:t>
      </w:r>
      <w:r w:rsidRPr="001D27D3">
        <w:rPr>
          <w:rFonts w:cstheme="minorHAnsi"/>
          <w:shd w:val="clear" w:color="auto" w:fill="FFFFFF"/>
        </w:rPr>
        <w:t>, </w:t>
      </w:r>
      <w:r w:rsidRPr="001D27D3">
        <w:rPr>
          <w:rFonts w:cstheme="minorHAnsi"/>
          <w:i/>
          <w:iCs/>
          <w:shd w:val="clear" w:color="auto" w:fill="FFFFFF"/>
        </w:rPr>
        <w:t>36</w:t>
      </w:r>
      <w:r w:rsidRPr="001D27D3">
        <w:rPr>
          <w:rFonts w:cstheme="minorHAnsi"/>
          <w:shd w:val="clear" w:color="auto" w:fill="FFFFFF"/>
        </w:rPr>
        <w:t>(1), 79-100.</w:t>
      </w:r>
    </w:p>
    <w:p w14:paraId="79651B19"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Steffek, J. (2015). The cosmopolitanism of David Mitrany: Equality, devolution and functional </w:t>
      </w:r>
      <w:r w:rsidRPr="001D27D3">
        <w:rPr>
          <w:rFonts w:cstheme="minorHAnsi"/>
          <w:shd w:val="clear" w:color="auto" w:fill="FFFFFF"/>
        </w:rPr>
        <w:tab/>
        <w:t>democracy beyond the state. </w:t>
      </w:r>
      <w:r w:rsidRPr="001D27D3">
        <w:rPr>
          <w:rFonts w:cstheme="minorHAnsi"/>
          <w:i/>
          <w:iCs/>
          <w:shd w:val="clear" w:color="auto" w:fill="FFFFFF"/>
        </w:rPr>
        <w:t>International Relations</w:t>
      </w:r>
      <w:r w:rsidRPr="001D27D3">
        <w:rPr>
          <w:rFonts w:cstheme="minorHAnsi"/>
          <w:shd w:val="clear" w:color="auto" w:fill="FFFFFF"/>
        </w:rPr>
        <w:t>, </w:t>
      </w:r>
      <w:r w:rsidRPr="001D27D3">
        <w:rPr>
          <w:rFonts w:cstheme="minorHAnsi"/>
          <w:i/>
          <w:iCs/>
          <w:shd w:val="clear" w:color="auto" w:fill="FFFFFF"/>
        </w:rPr>
        <w:t>29</w:t>
      </w:r>
      <w:r w:rsidRPr="001D27D3">
        <w:rPr>
          <w:rFonts w:cstheme="minorHAnsi"/>
          <w:shd w:val="clear" w:color="auto" w:fill="FFFFFF"/>
        </w:rPr>
        <w:t>(1), 23-44.</w:t>
      </w:r>
    </w:p>
    <w:p w14:paraId="36CD81B3"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lastRenderedPageBreak/>
        <w:t xml:space="preserve">Stephenson, P. (2010). Let's get physical: the European Commission and cultivated spillover in </w:t>
      </w:r>
      <w:r w:rsidRPr="001D27D3">
        <w:rPr>
          <w:rFonts w:cstheme="minorHAnsi"/>
          <w:shd w:val="clear" w:color="auto" w:fill="FFFFFF"/>
        </w:rPr>
        <w:tab/>
        <w:t>completing the single market's transport infrastructure. </w:t>
      </w:r>
      <w:r w:rsidRPr="001D27D3">
        <w:rPr>
          <w:rFonts w:cstheme="minorHAnsi"/>
          <w:i/>
          <w:iCs/>
          <w:shd w:val="clear" w:color="auto" w:fill="FFFFFF"/>
        </w:rPr>
        <w:t xml:space="preserve">Journal of European Public </w:t>
      </w:r>
      <w:r w:rsidRPr="001D27D3">
        <w:rPr>
          <w:rFonts w:cstheme="minorHAnsi"/>
          <w:i/>
          <w:iCs/>
          <w:shd w:val="clear" w:color="auto" w:fill="FFFFFF"/>
        </w:rPr>
        <w:tab/>
        <w:t>Policy</w:t>
      </w:r>
      <w:r w:rsidRPr="001D27D3">
        <w:rPr>
          <w:rFonts w:cstheme="minorHAnsi"/>
          <w:shd w:val="clear" w:color="auto" w:fill="FFFFFF"/>
        </w:rPr>
        <w:t>, </w:t>
      </w:r>
      <w:r w:rsidRPr="001D27D3">
        <w:rPr>
          <w:rFonts w:cstheme="minorHAnsi"/>
          <w:i/>
          <w:iCs/>
          <w:shd w:val="clear" w:color="auto" w:fill="FFFFFF"/>
        </w:rPr>
        <w:t>17</w:t>
      </w:r>
      <w:r w:rsidRPr="001D27D3">
        <w:rPr>
          <w:rFonts w:cstheme="minorHAnsi"/>
          <w:shd w:val="clear" w:color="auto" w:fill="FFFFFF"/>
        </w:rPr>
        <w:t>(7), 1039-1057.</w:t>
      </w:r>
    </w:p>
    <w:p w14:paraId="04F56DFF"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Stone Sweet, A. &amp; Sandholtz, W. (1997). European integration and supranational governance. </w:t>
      </w:r>
      <w:r w:rsidRPr="001D27D3">
        <w:rPr>
          <w:rFonts w:cstheme="minorHAnsi"/>
          <w:i/>
          <w:iCs/>
          <w:shd w:val="clear" w:color="auto" w:fill="FFFFFF"/>
        </w:rPr>
        <w:t xml:space="preserve">Journal   </w:t>
      </w:r>
      <w:r w:rsidRPr="001D27D3">
        <w:rPr>
          <w:rFonts w:cstheme="minorHAnsi"/>
          <w:i/>
          <w:iCs/>
          <w:shd w:val="clear" w:color="auto" w:fill="FFFFFF"/>
        </w:rPr>
        <w:tab/>
        <w:t>of European public policy</w:t>
      </w:r>
      <w:r w:rsidRPr="001D27D3">
        <w:rPr>
          <w:rFonts w:cstheme="minorHAnsi"/>
          <w:shd w:val="clear" w:color="auto" w:fill="FFFFFF"/>
        </w:rPr>
        <w:t>, </w:t>
      </w:r>
      <w:r w:rsidRPr="001D27D3">
        <w:rPr>
          <w:rFonts w:cstheme="minorHAnsi"/>
          <w:i/>
          <w:iCs/>
          <w:shd w:val="clear" w:color="auto" w:fill="FFFFFF"/>
        </w:rPr>
        <w:t>4</w:t>
      </w:r>
      <w:r w:rsidRPr="001D27D3">
        <w:rPr>
          <w:rFonts w:cstheme="minorHAnsi"/>
          <w:shd w:val="clear" w:color="auto" w:fill="FFFFFF"/>
        </w:rPr>
        <w:t>(3), 297-317.</w:t>
      </w:r>
    </w:p>
    <w:p w14:paraId="56898B6E"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Tallberg, J. (2002). Delegation to supranational institutions: why, how, and with what </w:t>
      </w:r>
      <w:r w:rsidRPr="001D27D3">
        <w:rPr>
          <w:rFonts w:cstheme="minorHAnsi"/>
          <w:shd w:val="clear" w:color="auto" w:fill="FFFFFF"/>
        </w:rPr>
        <w:tab/>
        <w:t>consequences?. </w:t>
      </w:r>
      <w:r w:rsidRPr="001D27D3">
        <w:rPr>
          <w:rFonts w:cstheme="minorHAnsi"/>
          <w:i/>
          <w:iCs/>
          <w:shd w:val="clear" w:color="auto" w:fill="FFFFFF"/>
        </w:rPr>
        <w:t>West European Politics</w:t>
      </w:r>
      <w:r w:rsidRPr="001D27D3">
        <w:rPr>
          <w:rFonts w:cstheme="minorHAnsi"/>
          <w:shd w:val="clear" w:color="auto" w:fill="FFFFFF"/>
        </w:rPr>
        <w:t>, </w:t>
      </w:r>
      <w:r w:rsidRPr="001D27D3">
        <w:rPr>
          <w:rFonts w:cstheme="minorHAnsi"/>
          <w:i/>
          <w:iCs/>
          <w:shd w:val="clear" w:color="auto" w:fill="FFFFFF"/>
        </w:rPr>
        <w:t>25</w:t>
      </w:r>
      <w:r w:rsidRPr="001D27D3">
        <w:rPr>
          <w:rFonts w:cstheme="minorHAnsi"/>
          <w:shd w:val="clear" w:color="auto" w:fill="FFFFFF"/>
        </w:rPr>
        <w:t>(1), 23-46.</w:t>
      </w:r>
    </w:p>
    <w:p w14:paraId="75B6D2D9" w14:textId="77777777" w:rsidR="00532550" w:rsidRPr="00AB097A" w:rsidRDefault="00532550" w:rsidP="00532550">
      <w:pPr>
        <w:spacing w:line="480" w:lineRule="auto"/>
        <w:rPr>
          <w:rFonts w:cstheme="minorHAnsi"/>
          <w:color w:val="222222"/>
        </w:rPr>
      </w:pPr>
      <w:r w:rsidRPr="00AB097A">
        <w:rPr>
          <w:rFonts w:cstheme="minorHAnsi"/>
          <w:color w:val="222222"/>
        </w:rPr>
        <w:t xml:space="preserve">Tiberghien, Y. (2009). Competitive Governance and the Quest for Legitimacy in the EU: the Battle </w:t>
      </w:r>
      <w:r>
        <w:rPr>
          <w:rFonts w:cstheme="minorHAnsi"/>
          <w:color w:val="222222"/>
        </w:rPr>
        <w:tab/>
      </w:r>
      <w:r w:rsidRPr="00AB097A">
        <w:rPr>
          <w:rFonts w:cstheme="minorHAnsi"/>
          <w:color w:val="222222"/>
        </w:rPr>
        <w:t xml:space="preserve">over the Regulation of GMOs since the mid‐1990s. </w:t>
      </w:r>
      <w:r w:rsidRPr="00AB097A">
        <w:rPr>
          <w:rFonts w:cstheme="minorHAnsi"/>
          <w:i/>
          <w:iCs/>
          <w:color w:val="222222"/>
        </w:rPr>
        <w:t>European Integration</w:t>
      </w:r>
      <w:r w:rsidRPr="00AB097A">
        <w:rPr>
          <w:rFonts w:cstheme="minorHAnsi"/>
          <w:color w:val="222222"/>
        </w:rPr>
        <w:t xml:space="preserve">, </w:t>
      </w:r>
      <w:r w:rsidRPr="00AB097A">
        <w:rPr>
          <w:rFonts w:cstheme="minorHAnsi"/>
          <w:i/>
          <w:iCs/>
          <w:color w:val="222222"/>
        </w:rPr>
        <w:t>31</w:t>
      </w:r>
      <w:r w:rsidRPr="00AB097A">
        <w:rPr>
          <w:rFonts w:cstheme="minorHAnsi"/>
          <w:color w:val="222222"/>
        </w:rPr>
        <w:t>(3), 389-407.</w:t>
      </w:r>
    </w:p>
    <w:p w14:paraId="01C3D183"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Tranholm-Mikkelsen, J. (1991). Neo-functionalism: Obstinate or Obsolete? A Reappraisal in the Light</w:t>
      </w:r>
      <w:r w:rsidRPr="001D27D3">
        <w:rPr>
          <w:rFonts w:cstheme="minorHAnsi"/>
          <w:shd w:val="clear" w:color="auto" w:fill="FFFFFF"/>
        </w:rPr>
        <w:tab/>
        <w:t xml:space="preserve"> of the New Dynamism of the EC. </w:t>
      </w:r>
      <w:r w:rsidRPr="001D27D3">
        <w:rPr>
          <w:rFonts w:cstheme="minorHAnsi"/>
          <w:i/>
          <w:iCs/>
          <w:shd w:val="clear" w:color="auto" w:fill="FFFFFF"/>
        </w:rPr>
        <w:t>Millennium</w:t>
      </w:r>
      <w:r w:rsidRPr="001D27D3">
        <w:rPr>
          <w:rFonts w:cstheme="minorHAnsi"/>
          <w:shd w:val="clear" w:color="auto" w:fill="FFFFFF"/>
        </w:rPr>
        <w:t>, </w:t>
      </w:r>
      <w:r w:rsidRPr="001D27D3">
        <w:rPr>
          <w:rFonts w:cstheme="minorHAnsi"/>
          <w:i/>
          <w:iCs/>
          <w:shd w:val="clear" w:color="auto" w:fill="FFFFFF"/>
        </w:rPr>
        <w:t>20</w:t>
      </w:r>
      <w:r w:rsidRPr="001D27D3">
        <w:rPr>
          <w:rFonts w:cstheme="minorHAnsi"/>
          <w:shd w:val="clear" w:color="auto" w:fill="FFFFFF"/>
        </w:rPr>
        <w:t>(1), 1-22.</w:t>
      </w:r>
    </w:p>
    <w:p w14:paraId="504939AC"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Tsebelis, G. (2002). </w:t>
      </w:r>
      <w:r w:rsidRPr="001D27D3">
        <w:rPr>
          <w:rFonts w:cstheme="minorHAnsi"/>
          <w:i/>
          <w:iCs/>
          <w:shd w:val="clear" w:color="auto" w:fill="FFFFFF"/>
        </w:rPr>
        <w:t>Veto players: How political institutions work</w:t>
      </w:r>
      <w:r w:rsidRPr="001D27D3">
        <w:rPr>
          <w:rFonts w:cstheme="minorHAnsi"/>
          <w:shd w:val="clear" w:color="auto" w:fill="FFFFFF"/>
        </w:rPr>
        <w:t xml:space="preserve">. </w:t>
      </w:r>
      <w:r w:rsidRPr="001D27D3">
        <w:rPr>
          <w:rFonts w:cstheme="minorHAnsi"/>
          <w:i/>
          <w:shd w:val="clear" w:color="auto" w:fill="FFFFFF"/>
        </w:rPr>
        <w:t xml:space="preserve">Princeton, New Jersey. </w:t>
      </w:r>
      <w:r w:rsidRPr="001D27D3">
        <w:rPr>
          <w:rFonts w:cstheme="minorHAnsi"/>
          <w:shd w:val="clear" w:color="auto" w:fill="FFFFFF"/>
        </w:rPr>
        <w:t xml:space="preserve">Princeton </w:t>
      </w:r>
      <w:r w:rsidRPr="001D27D3">
        <w:rPr>
          <w:rFonts w:cstheme="minorHAnsi"/>
          <w:shd w:val="clear" w:color="auto" w:fill="FFFFFF"/>
        </w:rPr>
        <w:tab/>
        <w:t>University Press.</w:t>
      </w:r>
    </w:p>
    <w:p w14:paraId="24366656"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Varela, J. C. (2010). New Strategy on Coexistence in the 2010 European Commission </w:t>
      </w:r>
      <w:r w:rsidRPr="001D27D3">
        <w:rPr>
          <w:rFonts w:cstheme="minorHAnsi"/>
          <w:shd w:val="clear" w:color="auto" w:fill="FFFFFF"/>
        </w:rPr>
        <w:tab/>
        <w:t>Recommendation, The.</w:t>
      </w:r>
      <w:r w:rsidRPr="001D27D3">
        <w:rPr>
          <w:rStyle w:val="apple-converted-space"/>
          <w:rFonts w:cstheme="minorHAnsi"/>
          <w:shd w:val="clear" w:color="auto" w:fill="FFFFFF"/>
        </w:rPr>
        <w:t> </w:t>
      </w:r>
      <w:r w:rsidRPr="001D27D3">
        <w:rPr>
          <w:rFonts w:cstheme="minorHAnsi"/>
          <w:i/>
          <w:iCs/>
          <w:shd w:val="clear" w:color="auto" w:fill="FFFFFF"/>
        </w:rPr>
        <w:t>Eur. J. Risk Reg.</w:t>
      </w:r>
      <w:r w:rsidRPr="001D27D3">
        <w:rPr>
          <w:rFonts w:cstheme="minorHAnsi"/>
          <w:shd w:val="clear" w:color="auto" w:fill="FFFFFF"/>
        </w:rPr>
        <w:t>, 353.</w:t>
      </w:r>
    </w:p>
    <w:p w14:paraId="5600BC78"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Van der Vleuten, A. (2005). Pincers and prestige: Explaining the implementation of EU gender </w:t>
      </w:r>
      <w:r w:rsidRPr="001D27D3">
        <w:rPr>
          <w:rFonts w:cstheme="minorHAnsi"/>
          <w:shd w:val="clear" w:color="auto" w:fill="FFFFFF"/>
        </w:rPr>
        <w:tab/>
        <w:t>equality legislation. </w:t>
      </w:r>
      <w:r w:rsidRPr="001D27D3">
        <w:rPr>
          <w:rFonts w:cstheme="minorHAnsi"/>
          <w:i/>
          <w:iCs/>
          <w:shd w:val="clear" w:color="auto" w:fill="FFFFFF"/>
        </w:rPr>
        <w:t>Comparative European Politics</w:t>
      </w:r>
      <w:r w:rsidRPr="001D27D3">
        <w:rPr>
          <w:rFonts w:cstheme="minorHAnsi"/>
          <w:shd w:val="clear" w:color="auto" w:fill="FFFFFF"/>
        </w:rPr>
        <w:t>, </w:t>
      </w:r>
      <w:r w:rsidRPr="001D27D3">
        <w:rPr>
          <w:rFonts w:cstheme="minorHAnsi"/>
          <w:i/>
          <w:iCs/>
          <w:shd w:val="clear" w:color="auto" w:fill="FFFFFF"/>
        </w:rPr>
        <w:t>3</w:t>
      </w:r>
      <w:r w:rsidRPr="001D27D3">
        <w:rPr>
          <w:rFonts w:cstheme="minorHAnsi"/>
          <w:shd w:val="clear" w:color="auto" w:fill="FFFFFF"/>
        </w:rPr>
        <w:t>(4), 464-488.</w:t>
      </w:r>
    </w:p>
    <w:p w14:paraId="754B2F84"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Vollaard, H. (2008). A theory of European disintegration. In </w:t>
      </w:r>
      <w:r w:rsidRPr="001D27D3">
        <w:rPr>
          <w:rFonts w:cstheme="minorHAnsi"/>
          <w:i/>
          <w:iCs/>
          <w:shd w:val="clear" w:color="auto" w:fill="FFFFFF"/>
        </w:rPr>
        <w:t xml:space="preserve">Fourth Pan-European Conference on EU </w:t>
      </w:r>
      <w:r w:rsidRPr="001D27D3">
        <w:rPr>
          <w:rFonts w:cstheme="minorHAnsi"/>
          <w:i/>
          <w:iCs/>
          <w:shd w:val="clear" w:color="auto" w:fill="FFFFFF"/>
        </w:rPr>
        <w:tab/>
        <w:t>Politics, 25th–27th September</w:t>
      </w:r>
      <w:r w:rsidRPr="001D27D3">
        <w:rPr>
          <w:rFonts w:cstheme="minorHAnsi"/>
          <w:shd w:val="clear" w:color="auto" w:fill="FFFFFF"/>
        </w:rPr>
        <w:t>.</w:t>
      </w:r>
    </w:p>
    <w:p w14:paraId="606AD8AE"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Webber, D. (2012). How likely is it that the European Union will dis integrate? A critical analysis of </w:t>
      </w:r>
      <w:r w:rsidRPr="001D27D3">
        <w:rPr>
          <w:rFonts w:cstheme="minorHAnsi"/>
          <w:shd w:val="clear" w:color="auto" w:fill="FFFFFF"/>
        </w:rPr>
        <w:tab/>
        <w:t>competing theoretical perspectives. </w:t>
      </w:r>
      <w:r w:rsidRPr="001D27D3">
        <w:rPr>
          <w:rFonts w:cstheme="minorHAnsi"/>
          <w:i/>
          <w:iCs/>
          <w:shd w:val="clear" w:color="auto" w:fill="FFFFFF"/>
        </w:rPr>
        <w:t>European Journal of International Relations</w:t>
      </w:r>
      <w:r w:rsidRPr="001D27D3">
        <w:rPr>
          <w:rFonts w:cstheme="minorHAnsi"/>
          <w:shd w:val="clear" w:color="auto" w:fill="FFFFFF"/>
        </w:rPr>
        <w:t>, </w:t>
      </w:r>
      <w:r w:rsidRPr="001D27D3">
        <w:rPr>
          <w:rFonts w:cstheme="minorHAnsi"/>
          <w:i/>
          <w:iCs/>
          <w:shd w:val="clear" w:color="auto" w:fill="FFFFFF"/>
        </w:rPr>
        <w:t>20</w:t>
      </w:r>
      <w:r w:rsidRPr="001D27D3">
        <w:rPr>
          <w:rFonts w:cstheme="minorHAnsi"/>
          <w:shd w:val="clear" w:color="auto" w:fill="FFFFFF"/>
        </w:rPr>
        <w:t xml:space="preserve">(2), </w:t>
      </w:r>
      <w:r w:rsidRPr="001D27D3">
        <w:rPr>
          <w:rFonts w:cstheme="minorHAnsi"/>
          <w:shd w:val="clear" w:color="auto" w:fill="FFFFFF"/>
        </w:rPr>
        <w:tab/>
        <w:t>341-365.</w:t>
      </w:r>
    </w:p>
    <w:p w14:paraId="7E07839E"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lastRenderedPageBreak/>
        <w:t xml:space="preserve">Wesseler, J., Scatasta, S., &amp; Hadji Fall, E. (2011). Chapter 7 the environmental benefits and costs of </w:t>
      </w:r>
      <w:r w:rsidRPr="001D27D3">
        <w:rPr>
          <w:rFonts w:cstheme="minorHAnsi"/>
          <w:shd w:val="clear" w:color="auto" w:fill="FFFFFF"/>
        </w:rPr>
        <w:tab/>
        <w:t>genetically modified (GM) crops. In </w:t>
      </w:r>
      <w:r w:rsidRPr="001D27D3">
        <w:rPr>
          <w:rFonts w:cstheme="minorHAnsi"/>
          <w:i/>
          <w:iCs/>
          <w:shd w:val="clear" w:color="auto" w:fill="FFFFFF"/>
        </w:rPr>
        <w:t>Genetically modified food and global welfare</w:t>
      </w:r>
      <w:r w:rsidRPr="001D27D3">
        <w:rPr>
          <w:rFonts w:cstheme="minorHAnsi"/>
          <w:shd w:val="clear" w:color="auto" w:fill="FFFFFF"/>
        </w:rPr>
        <w:t> </w:t>
      </w:r>
      <w:r w:rsidRPr="001D27D3">
        <w:rPr>
          <w:rFonts w:cstheme="minorHAnsi"/>
          <w:shd w:val="clear" w:color="auto" w:fill="FFFFFF"/>
        </w:rPr>
        <w:tab/>
      </w:r>
      <w:r w:rsidRPr="001D27D3">
        <w:rPr>
          <w:rFonts w:cstheme="minorHAnsi"/>
          <w:shd w:val="clear" w:color="auto" w:fill="FFFFFF"/>
        </w:rPr>
        <w:tab/>
        <w:t>(pp. 173-199). Emerald Group Publishing Limited.</w:t>
      </w:r>
    </w:p>
    <w:p w14:paraId="015140A2"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 xml:space="preserve">Weimer, M. (2010). What Price Flexibility-The Recent Commission Proposal to Allow for National </w:t>
      </w:r>
      <w:r w:rsidRPr="001D27D3">
        <w:rPr>
          <w:rFonts w:cstheme="minorHAnsi"/>
          <w:shd w:val="clear" w:color="auto" w:fill="FFFFFF"/>
        </w:rPr>
        <w:tab/>
        <w:t xml:space="preserve">Opt-Outs on GMO Cultivation under the Deliberate Release Directive and the Comitology </w:t>
      </w:r>
      <w:r w:rsidRPr="001D27D3">
        <w:rPr>
          <w:rFonts w:cstheme="minorHAnsi"/>
          <w:shd w:val="clear" w:color="auto" w:fill="FFFFFF"/>
        </w:rPr>
        <w:tab/>
        <w:t>Reform Post-Lisbon.</w:t>
      </w:r>
      <w:r w:rsidRPr="001D27D3">
        <w:rPr>
          <w:rStyle w:val="apple-converted-space"/>
          <w:rFonts w:cstheme="minorHAnsi"/>
          <w:shd w:val="clear" w:color="auto" w:fill="FFFFFF"/>
        </w:rPr>
        <w:t> </w:t>
      </w:r>
      <w:r w:rsidRPr="001D27D3">
        <w:rPr>
          <w:rFonts w:cstheme="minorHAnsi"/>
          <w:i/>
          <w:iCs/>
          <w:shd w:val="clear" w:color="auto" w:fill="FFFFFF"/>
        </w:rPr>
        <w:t>Eur. J. Risk Reg.</w:t>
      </w:r>
      <w:r w:rsidRPr="001D27D3">
        <w:rPr>
          <w:rFonts w:cstheme="minorHAnsi"/>
          <w:shd w:val="clear" w:color="auto" w:fill="FFFFFF"/>
        </w:rPr>
        <w:t>, 345.</w:t>
      </w:r>
    </w:p>
    <w:p w14:paraId="252940A0" w14:textId="77777777" w:rsidR="00532550" w:rsidRPr="001D27D3" w:rsidRDefault="00532550" w:rsidP="00532550">
      <w:pPr>
        <w:spacing w:line="480" w:lineRule="auto"/>
        <w:rPr>
          <w:rFonts w:cstheme="minorHAnsi"/>
          <w:shd w:val="clear" w:color="auto" w:fill="FFFFFF"/>
        </w:rPr>
      </w:pPr>
      <w:r w:rsidRPr="001D27D3">
        <w:rPr>
          <w:rFonts w:cstheme="minorHAnsi"/>
          <w:shd w:val="clear" w:color="auto" w:fill="FFFFFF"/>
        </w:rPr>
        <w:t>Yin, R. K. (2013). </w:t>
      </w:r>
      <w:r w:rsidRPr="001D27D3">
        <w:rPr>
          <w:rFonts w:cstheme="minorHAnsi"/>
          <w:i/>
          <w:iCs/>
          <w:shd w:val="clear" w:color="auto" w:fill="FFFFFF"/>
        </w:rPr>
        <w:t>Case study research: Design and methods</w:t>
      </w:r>
      <w:r w:rsidRPr="001D27D3">
        <w:rPr>
          <w:rFonts w:cstheme="minorHAnsi"/>
          <w:shd w:val="clear" w:color="auto" w:fill="FFFFFF"/>
        </w:rPr>
        <w:t>. Sage publications.</w:t>
      </w:r>
    </w:p>
    <w:p w14:paraId="3AA0EF53" w14:textId="77777777" w:rsidR="00532550" w:rsidRPr="001D27D3" w:rsidRDefault="00532550" w:rsidP="00532550">
      <w:pPr>
        <w:spacing w:line="480" w:lineRule="auto"/>
        <w:rPr>
          <w:rFonts w:cstheme="minorHAnsi"/>
          <w:shd w:val="clear" w:color="auto" w:fill="FFFFFF"/>
        </w:rPr>
      </w:pPr>
    </w:p>
    <w:p w14:paraId="4B0A2725" w14:textId="77777777" w:rsidR="00532550" w:rsidRPr="001D27D3" w:rsidRDefault="00532550" w:rsidP="00532550">
      <w:pPr>
        <w:rPr>
          <w:b/>
        </w:rPr>
      </w:pPr>
      <w:r w:rsidRPr="001D27D3">
        <w:rPr>
          <w:b/>
        </w:rPr>
        <w:br w:type="page"/>
      </w:r>
    </w:p>
    <w:p w14:paraId="5F8C8C75" w14:textId="77777777" w:rsidR="00532550" w:rsidRPr="001D27D3" w:rsidRDefault="00532550" w:rsidP="00787F6C">
      <w:pPr>
        <w:pStyle w:val="Heading2"/>
      </w:pPr>
      <w:bookmarkStart w:id="35" w:name="_Toc490488058"/>
      <w:r w:rsidRPr="001D27D3">
        <w:lastRenderedPageBreak/>
        <w:t>Primary Sources</w:t>
      </w:r>
      <w:bookmarkEnd w:id="35"/>
    </w:p>
    <w:p w14:paraId="2DF5526D" w14:textId="77777777" w:rsidR="00532550" w:rsidRPr="001D27D3" w:rsidRDefault="00532550" w:rsidP="00532550">
      <w:pPr>
        <w:spacing w:line="480" w:lineRule="auto"/>
      </w:pPr>
      <w:r w:rsidRPr="001D27D3">
        <w:t xml:space="preserve">Aldred, J. (2008, February 13). Worldwide increase in GM crops, report shows. The Guardian. </w:t>
      </w:r>
      <w:r w:rsidRPr="001D27D3">
        <w:tab/>
        <w:t>Retreived from https://www.theguardian.com/environment/2008/feb/13/gmcrops.food</w:t>
      </w:r>
    </w:p>
    <w:p w14:paraId="3767E4FB" w14:textId="36D20374" w:rsidR="00532550" w:rsidRPr="001D27D3" w:rsidRDefault="00532550" w:rsidP="00532550">
      <w:pPr>
        <w:spacing w:line="480" w:lineRule="auto"/>
      </w:pPr>
      <w:r w:rsidRPr="001D27D3">
        <w:t xml:space="preserve">AFP (2008, February 13). French GM ban infuriates farmers, delights environmentalists. AFP. </w:t>
      </w:r>
      <w:r w:rsidRPr="001D27D3">
        <w:tab/>
        <w:t xml:space="preserve">Retrieved from </w:t>
      </w:r>
      <w:r w:rsidRPr="001D27D3">
        <w:tab/>
      </w:r>
      <w:r w:rsidRPr="008F6F95">
        <w:t>https://web.archive.org/web/20080213190207/http:/afp.google.com/article/ALeqM5hyDke</w:t>
      </w:r>
      <w:r w:rsidRPr="008F6F95">
        <w:tab/>
        <w:t>kOSZZGL5lcgjIfbHcjp8GLw</w:t>
      </w:r>
      <w:r w:rsidRPr="001D27D3">
        <w:t xml:space="preserve"> </w:t>
      </w:r>
    </w:p>
    <w:p w14:paraId="27C852AB" w14:textId="6724604B" w:rsidR="00532550" w:rsidRPr="001D27D3" w:rsidRDefault="00532550" w:rsidP="00532550">
      <w:pPr>
        <w:spacing w:line="480" w:lineRule="auto"/>
      </w:pPr>
      <w:r w:rsidRPr="001D27D3">
        <w:t xml:space="preserve">Berliner Morgenpost (2008, </w:t>
      </w:r>
      <w:r>
        <w:t xml:space="preserve">November 1). Ilse Aigner will Seehofers Politik fortsetzen. Berliner </w:t>
      </w:r>
      <w:r>
        <w:tab/>
        <w:t xml:space="preserve">Morgenpost. Retreived from </w:t>
      </w:r>
      <w:r>
        <w:tab/>
      </w:r>
      <w:r w:rsidR="008F6F95" w:rsidRPr="008F6F95">
        <w:t>https://www.morgenpost.de/printarchiv/politik/article103079962/Ilse-Aigner-will-</w:t>
      </w:r>
      <w:r w:rsidR="008F6F95" w:rsidRPr="008F6F95">
        <w:tab/>
        <w:t>Seehofers-Politik-fortsetzen.html#</w:t>
      </w:r>
      <w:r>
        <w:tab/>
      </w:r>
    </w:p>
    <w:p w14:paraId="4B1829A9" w14:textId="77777777" w:rsidR="00447B61" w:rsidRDefault="00447B61" w:rsidP="00532550">
      <w:pPr>
        <w:spacing w:line="480" w:lineRule="auto"/>
      </w:pPr>
      <w:r>
        <w:t xml:space="preserve">Dunmore, C. (2010, May 3). Paper reveals EU plan to boost GM crop cultivation. Reuters. Retrieved </w:t>
      </w:r>
      <w:r>
        <w:tab/>
        <w:t xml:space="preserve">from </w:t>
      </w:r>
      <w:r w:rsidRPr="00447B61">
        <w:t>http://www.reuters.com/article/us-eu-gmo-cultivation-idUSTRE6422CU20100503</w:t>
      </w:r>
    </w:p>
    <w:p w14:paraId="7903136E" w14:textId="77777777" w:rsidR="00215C4E" w:rsidRDefault="00215C4E" w:rsidP="00532550">
      <w:pPr>
        <w:spacing w:line="480" w:lineRule="auto"/>
      </w:pPr>
      <w:r>
        <w:t xml:space="preserve">CopaCogeca (2010, July 13). </w:t>
      </w:r>
      <w:r w:rsidRPr="00215C4E">
        <w:t xml:space="preserve">Press Release COPA-COGECA VOICES CONCERNS ABOUT NEW EU </w:t>
      </w:r>
      <w:r>
        <w:tab/>
      </w:r>
      <w:r w:rsidRPr="00215C4E">
        <w:t>COMMISSION PROPOSAL TO INTRODUCE NATIONAL AUTHORISATION ON GM CULTIVATION</w:t>
      </w:r>
      <w:r>
        <w:t xml:space="preserve">. </w:t>
      </w:r>
    </w:p>
    <w:p w14:paraId="060D5767" w14:textId="05F7F588" w:rsidR="00532550" w:rsidRDefault="00532550" w:rsidP="00532550">
      <w:pPr>
        <w:spacing w:line="480" w:lineRule="auto"/>
      </w:pPr>
      <w:r>
        <w:t xml:space="preserve">Cougard, M. (2008, February 1). </w:t>
      </w:r>
      <w:r w:rsidRPr="00583666">
        <w:t xml:space="preserve">OGM : les agriculteurs veulent aller en justice pour défendre </w:t>
      </w:r>
      <w:r>
        <w:tab/>
      </w:r>
      <w:r w:rsidRPr="00583666">
        <w:t>Monsanto</w:t>
      </w:r>
      <w:r>
        <w:t xml:space="preserve">. Les </w:t>
      </w:r>
      <w:r>
        <w:tab/>
        <w:t xml:space="preserve">Echos. Retrieved from </w:t>
      </w:r>
      <w:r>
        <w:tab/>
      </w:r>
      <w:r w:rsidRPr="008F6F95">
        <w:t>https://www.lesechos.fr/01/02/2008/LesEchos/20101-126-ECH_ogm--</w:t>
      </w:r>
      <w:r w:rsidRPr="008F6F95">
        <w:tab/>
        <w:t>-les-agriculteurs-</w:t>
      </w:r>
      <w:r w:rsidRPr="008F6F95">
        <w:tab/>
        <w:t>veulent-aller-en-justice-pour-defendre-monsanto.htm</w:t>
      </w:r>
      <w:r>
        <w:t xml:space="preserve">  </w:t>
      </w:r>
    </w:p>
    <w:p w14:paraId="48DEC862" w14:textId="1B96B4CE" w:rsidR="00532550" w:rsidRPr="001D27D3" w:rsidRDefault="00532550" w:rsidP="00532550">
      <w:pPr>
        <w:spacing w:line="480" w:lineRule="auto"/>
        <w:rPr>
          <w:lang w:val="en-US"/>
        </w:rPr>
      </w:pPr>
      <w:r w:rsidRPr="001D27D3">
        <w:t>DPA-AFX (2008, July 4). POLITIK: Frankreich will Streit um Genpflanzen zur Chef-Sache Machen. DPA-</w:t>
      </w:r>
      <w:r w:rsidRPr="001D27D3">
        <w:tab/>
        <w:t xml:space="preserve">AFX. Retrieved from </w:t>
      </w:r>
      <w:hyperlink r:id="rId10" w:history="1">
        <w:r w:rsidR="008F6F95" w:rsidRPr="0022449C">
          <w:rPr>
            <w:rStyle w:val="Hyperlink"/>
          </w:rPr>
          <w:t>http://academic.lexisnexis.eu/?lni=4SX8-3P50-TWB6-</w:t>
        </w:r>
      </w:hyperlink>
      <w:r w:rsidR="008F6F95">
        <w:tab/>
      </w:r>
      <w:r w:rsidRPr="001D27D3">
        <w:t xml:space="preserve">K125&amp;csi=5949&amp;oc=00240&amp;perma=true </w:t>
      </w:r>
    </w:p>
    <w:p w14:paraId="25BA39C2" w14:textId="62B2E520" w:rsidR="00447B61" w:rsidRDefault="00447B61" w:rsidP="008F6F95">
      <w:pPr>
        <w:spacing w:line="480" w:lineRule="auto"/>
      </w:pPr>
      <w:r>
        <w:t xml:space="preserve">Eckstein, A. (2010, October 28). ENVIRONMENT COUNCIL: GMOS: COMMISSION GETS THROWN </w:t>
      </w:r>
      <w:r w:rsidR="008F6F95">
        <w:tab/>
      </w:r>
      <w:r>
        <w:t xml:space="preserve">AGAINST THE ROPES. Europolitics Environment (English). </w:t>
      </w:r>
    </w:p>
    <w:p w14:paraId="74469F5D" w14:textId="77777777" w:rsidR="00532550" w:rsidRDefault="00532550" w:rsidP="00532550">
      <w:pPr>
        <w:spacing w:line="480" w:lineRule="auto"/>
      </w:pPr>
      <w:r>
        <w:lastRenderedPageBreak/>
        <w:t>Euractiv (2008, May 8).</w:t>
      </w:r>
      <w:r w:rsidRPr="00F16A9B">
        <w:t xml:space="preserve"> Commission hesitant to approve more GM crops</w:t>
      </w:r>
      <w:r>
        <w:t xml:space="preserve">. Euractiv. Retrieved from </w:t>
      </w:r>
      <w:r>
        <w:tab/>
      </w:r>
      <w:hyperlink r:id="rId11" w:history="1">
        <w:r w:rsidRPr="00FF0C75">
          <w:rPr>
            <w:rStyle w:val="Hyperlink"/>
          </w:rPr>
          <w:t>http://www.euractiv.com/section/science-policymaking/news/commission-hesitant-to-</w:t>
        </w:r>
      </w:hyperlink>
      <w:r>
        <w:tab/>
      </w:r>
      <w:r w:rsidRPr="00F16A9B">
        <w:t>approve-more-gm-crops/</w:t>
      </w:r>
    </w:p>
    <w:p w14:paraId="545CB576" w14:textId="77777777" w:rsidR="00A964C1" w:rsidRPr="00F16A9B" w:rsidRDefault="00A964C1" w:rsidP="00532550">
      <w:pPr>
        <w:spacing w:line="480" w:lineRule="auto"/>
        <w:rPr>
          <w:lang w:val="en-US"/>
        </w:rPr>
      </w:pPr>
      <w:r>
        <w:t xml:space="preserve">Euractiv (2008a, July 8). France to propose concrete solutions to EU’s GMO muddle. Euractiv. </w:t>
      </w:r>
      <w:r>
        <w:tab/>
        <w:t xml:space="preserve">Retrieved from </w:t>
      </w:r>
      <w:hyperlink r:id="rId12" w:history="1">
        <w:r w:rsidRPr="007D17A0">
          <w:rPr>
            <w:rStyle w:val="Hyperlink"/>
          </w:rPr>
          <w:t>http://www.euractiv.com/section/climate-environment/news/france-to-</w:t>
        </w:r>
      </w:hyperlink>
      <w:r>
        <w:tab/>
      </w:r>
      <w:r w:rsidRPr="00A964C1">
        <w:t>propose-concrete-solutions-to-eu-s-gmo-muddle/</w:t>
      </w:r>
    </w:p>
    <w:p w14:paraId="03AA4151" w14:textId="77777777" w:rsidR="00A964C1" w:rsidRDefault="00A964C1" w:rsidP="00532550">
      <w:pPr>
        <w:spacing w:line="480" w:lineRule="auto"/>
      </w:pPr>
      <w:r>
        <w:t xml:space="preserve">Euractiv (2008b, December 9). EU ministers back GMO-free zones. Euractiv. Retrieved from </w:t>
      </w:r>
      <w:r>
        <w:tab/>
      </w:r>
      <w:r w:rsidRPr="00A964C1">
        <w:t>http://www.euractiv.com/section/agriculture-food/news/eu-ministers-back-gmo-free-zones/</w:t>
      </w:r>
    </w:p>
    <w:p w14:paraId="359884E9" w14:textId="77777777" w:rsidR="00997766" w:rsidRDefault="00997766" w:rsidP="00532550">
      <w:pPr>
        <w:spacing w:line="480" w:lineRule="auto"/>
      </w:pPr>
      <w:r>
        <w:t xml:space="preserve">Euractiv (2010, July 14). EU GMO proposals draw widespread criticism. Euractiv. Retrieved from </w:t>
      </w:r>
      <w:r>
        <w:tab/>
      </w:r>
      <w:hyperlink r:id="rId13" w:history="1">
        <w:r w:rsidRPr="0015239F">
          <w:rPr>
            <w:rStyle w:val="Hyperlink"/>
          </w:rPr>
          <w:t>http://www.euractiv.com/section/science-policymaking/news/eu-gmo-proposals-draw-</w:t>
        </w:r>
      </w:hyperlink>
      <w:r>
        <w:tab/>
      </w:r>
      <w:r w:rsidRPr="00997766">
        <w:t>widespread-criticism/</w:t>
      </w:r>
    </w:p>
    <w:p w14:paraId="372FB93C" w14:textId="77777777" w:rsidR="00380CBB" w:rsidRDefault="00380CBB" w:rsidP="00532550">
      <w:pPr>
        <w:spacing w:line="480" w:lineRule="auto"/>
      </w:pPr>
      <w:r>
        <w:t>Euractiv (2013, January 23). EU freezes approval of new GMO crop cultivation. Euractiv. Retrieved</w:t>
      </w:r>
      <w:r>
        <w:tab/>
        <w:t xml:space="preserve"> from </w:t>
      </w:r>
      <w:hyperlink r:id="rId14" w:history="1">
        <w:r w:rsidRPr="0015239F">
          <w:rPr>
            <w:rStyle w:val="Hyperlink"/>
          </w:rPr>
          <w:t>https://www.euractiv.com/section/agriculture-food/news/eu-freezes-approval-of-</w:t>
        </w:r>
      </w:hyperlink>
      <w:r>
        <w:tab/>
      </w:r>
      <w:r w:rsidRPr="00380CBB">
        <w:t>new-gmo-crop-cultivation/</w:t>
      </w:r>
    </w:p>
    <w:p w14:paraId="3CE1FD6D" w14:textId="77777777" w:rsidR="004608B6" w:rsidRDefault="00093DC7" w:rsidP="00532550">
      <w:pPr>
        <w:spacing w:line="480" w:lineRule="auto"/>
      </w:pPr>
      <w:r>
        <w:t>Euractiv (2013</w:t>
      </w:r>
      <w:r w:rsidR="00380CBB">
        <w:t>a</w:t>
      </w:r>
      <w:r>
        <w:t xml:space="preserve">, July 13). Monsanto to drop request for GM approvals in the EU. Euractiv. Retrieved </w:t>
      </w:r>
      <w:r>
        <w:tab/>
        <w:t xml:space="preserve">from </w:t>
      </w:r>
      <w:hyperlink r:id="rId15" w:history="1">
        <w:r w:rsidRPr="0015239F">
          <w:rPr>
            <w:rStyle w:val="Hyperlink"/>
          </w:rPr>
          <w:t>http://www.euractiv.com/section/agriculture-food/news/monsanto-to-drop-requests-</w:t>
        </w:r>
      </w:hyperlink>
      <w:r>
        <w:tab/>
      </w:r>
      <w:r w:rsidRPr="00093DC7">
        <w:t>for-gm-approvals-in-eu/</w:t>
      </w:r>
    </w:p>
    <w:p w14:paraId="44C41524" w14:textId="77777777" w:rsidR="00131052" w:rsidRDefault="00131052" w:rsidP="00532550">
      <w:pPr>
        <w:spacing w:line="480" w:lineRule="auto"/>
      </w:pPr>
      <w:r>
        <w:t xml:space="preserve">Euractiv (2014, February 13). </w:t>
      </w:r>
      <w:r w:rsidRPr="00131052">
        <w:t>EU ministers ask Commission to withdraw GMO proposal in open letter</w:t>
      </w:r>
      <w:r>
        <w:t xml:space="preserve">. </w:t>
      </w:r>
      <w:r>
        <w:tab/>
        <w:t xml:space="preserve">Euractiv. Retrieved from </w:t>
      </w:r>
      <w:hyperlink r:id="rId16" w:history="1">
        <w:r w:rsidRPr="0015239F">
          <w:rPr>
            <w:rStyle w:val="Hyperlink"/>
          </w:rPr>
          <w:t>https://www.euractiv.com/section/agriculture-food/news/eu-</w:t>
        </w:r>
      </w:hyperlink>
      <w:r>
        <w:tab/>
      </w:r>
      <w:r w:rsidRPr="00131052">
        <w:t>ministers-ask-commission-to-withdraw-gmo-proposal-in-open-letter/</w:t>
      </w:r>
    </w:p>
    <w:p w14:paraId="316BD80D" w14:textId="77777777" w:rsidR="00532550" w:rsidRPr="001D27D3" w:rsidRDefault="00532550" w:rsidP="00532550">
      <w:pPr>
        <w:spacing w:line="480" w:lineRule="auto"/>
      </w:pPr>
      <w:r w:rsidRPr="001D27D3">
        <w:t xml:space="preserve">European Commission (2003). GMOs: Commission addresses GM crop co-existence. Brussels: Press </w:t>
      </w:r>
      <w:r w:rsidRPr="001D27D3">
        <w:tab/>
        <w:t xml:space="preserve">Release, IP/03/314, March 5. </w:t>
      </w:r>
    </w:p>
    <w:p w14:paraId="114C39A0" w14:textId="77777777" w:rsidR="00532550" w:rsidRPr="001D27D3" w:rsidRDefault="00FD6C6B" w:rsidP="00532550">
      <w:pPr>
        <w:spacing w:line="480" w:lineRule="auto"/>
        <w:ind w:left="708" w:hanging="708"/>
      </w:pPr>
      <w:r>
        <w:t>European Commission</w:t>
      </w:r>
      <w:r w:rsidR="00532550" w:rsidRPr="001D27D3">
        <w:t xml:space="preserve"> (2003a). </w:t>
      </w:r>
      <w:r w:rsidR="00532550" w:rsidRPr="001D27D3">
        <w:rPr>
          <w:bCs/>
        </w:rPr>
        <w:t xml:space="preserve">Commission rejects request to </w:t>
      </w:r>
      <w:r w:rsidR="00532550" w:rsidRPr="001D27D3">
        <w:rPr>
          <w:bCs/>
        </w:rPr>
        <w:tab/>
        <w:t>establish a temporary ban on the use of GMOs in Upper Austria</w:t>
      </w:r>
      <w:r w:rsidR="00532550">
        <w:rPr>
          <w:bCs/>
        </w:rPr>
        <w:t>.</w:t>
      </w:r>
      <w:r w:rsidR="00532550" w:rsidRPr="001D27D3">
        <w:t xml:space="preserve"> Brussels: Press Release </w:t>
      </w:r>
      <w:r w:rsidR="00532550" w:rsidRPr="001D27D3">
        <w:rPr>
          <w:bCs/>
        </w:rPr>
        <w:t xml:space="preserve">IP/03/1194, September 2. </w:t>
      </w:r>
    </w:p>
    <w:p w14:paraId="344B6CDE" w14:textId="77777777" w:rsidR="00FD6C6B" w:rsidRDefault="00FD6C6B" w:rsidP="00FD6C6B">
      <w:pPr>
        <w:spacing w:line="480" w:lineRule="auto"/>
      </w:pPr>
      <w:r>
        <w:lastRenderedPageBreak/>
        <w:t>European Commission (2010)</w:t>
      </w:r>
      <w:r w:rsidRPr="00FD6C6B">
        <w:t xml:space="preserve"> Proposal for a REGULATION OF THE EUROPEAN PARLIAMENT AND OF </w:t>
      </w:r>
      <w:r>
        <w:tab/>
      </w:r>
      <w:r w:rsidRPr="00FD6C6B">
        <w:t xml:space="preserve">THE COUNCIL amending Directive 2001/18/EC as regards the possibility for the Member </w:t>
      </w:r>
      <w:r>
        <w:tab/>
      </w:r>
      <w:r w:rsidRPr="00FD6C6B">
        <w:t>States to restrict or prohibit the cultivation of GMOs in their territory</w:t>
      </w:r>
      <w:r>
        <w:t xml:space="preserve">. Brussels: COM(2010) </w:t>
      </w:r>
      <w:r>
        <w:tab/>
        <w:t>375 final, July 13.</w:t>
      </w:r>
    </w:p>
    <w:p w14:paraId="4C9C4DE6" w14:textId="77777777" w:rsidR="00D01FC0" w:rsidRDefault="00D01FC0" w:rsidP="00D01FC0">
      <w:pPr>
        <w:spacing w:line="480" w:lineRule="auto"/>
      </w:pPr>
      <w:r>
        <w:t xml:space="preserve">European Court of Justice (2012) OPINION OF ADVOCATE GENERAL BOT. Case C-36/11 Pioneer Hi </w:t>
      </w:r>
      <w:r>
        <w:tab/>
        <w:t xml:space="preserve">Bred Italia Srl. Retrieved from </w:t>
      </w:r>
      <w:hyperlink r:id="rId17" w:history="1">
        <w:r w:rsidRPr="0015239F">
          <w:rPr>
            <w:rStyle w:val="Hyperlink"/>
          </w:rPr>
          <w:t>http://eur-lex.europa.eu/legal-</w:t>
        </w:r>
      </w:hyperlink>
      <w:r>
        <w:tab/>
      </w:r>
      <w:r w:rsidRPr="00D01FC0">
        <w:t>content/EN/TXT/?uri=CELEX:62011CC0036</w:t>
      </w:r>
    </w:p>
    <w:p w14:paraId="236554D0" w14:textId="77777777" w:rsidR="00433BA9" w:rsidRDefault="00532550" w:rsidP="00215C4E">
      <w:pPr>
        <w:spacing w:line="480" w:lineRule="auto"/>
      </w:pPr>
      <w:r>
        <w:t xml:space="preserve">European Council (2009). Genetically Modified Organisms – A way forward – Information from the </w:t>
      </w:r>
      <w:r>
        <w:tab/>
        <w:t>Austrian delegation. Brusse</w:t>
      </w:r>
      <w:r w:rsidR="00D01FC0">
        <w:t xml:space="preserve">ls: Note: 11226/2/09, June 24. </w:t>
      </w:r>
    </w:p>
    <w:p w14:paraId="01736464" w14:textId="77777777" w:rsidR="00215C4E" w:rsidRDefault="00215C4E" w:rsidP="00215C4E">
      <w:pPr>
        <w:spacing w:line="480" w:lineRule="auto"/>
      </w:pPr>
      <w:r>
        <w:t>European Council (2012). Proposal for a Regulation of the European Parliament and of the Council</w:t>
      </w:r>
      <w:r>
        <w:tab/>
        <w:t xml:space="preserve">amending Directive 2001/18/EC as regards the possibility for the Member States to restrict or </w:t>
      </w:r>
      <w:r>
        <w:tab/>
        <w:t>prohibit the cultivation of GMOs in their territory, Progress report. Brussels</w:t>
      </w:r>
      <w:r w:rsidR="00433BA9">
        <w:t>: Note:</w:t>
      </w:r>
      <w:r>
        <w:t xml:space="preserve"> </w:t>
      </w:r>
      <w:r w:rsidR="00433BA9">
        <w:tab/>
        <w:t>2010/0208</w:t>
      </w:r>
      <w:r>
        <w:t>, June 6.</w:t>
      </w:r>
    </w:p>
    <w:p w14:paraId="42DF05FA" w14:textId="77777777" w:rsidR="00047891" w:rsidRDefault="00047891" w:rsidP="00215C4E">
      <w:pPr>
        <w:spacing w:line="480" w:lineRule="auto"/>
      </w:pPr>
      <w:r>
        <w:t xml:space="preserve">European Council (2014). </w:t>
      </w:r>
      <w:r w:rsidR="00876E3E">
        <w:t xml:space="preserve">PRESS RELEASE 3320th Council meeting. Brussels: Note: 10869/1/14, June </w:t>
      </w:r>
      <w:r w:rsidR="00876E3E">
        <w:tab/>
        <w:t>12.</w:t>
      </w:r>
    </w:p>
    <w:p w14:paraId="00F523C3" w14:textId="77777777" w:rsidR="00876E3E" w:rsidRDefault="00876E3E" w:rsidP="00532550">
      <w:pPr>
        <w:spacing w:line="480" w:lineRule="auto"/>
      </w:pPr>
      <w:r>
        <w:t>Greenpeace (2014, December 4).</w:t>
      </w:r>
      <w:r w:rsidRPr="00876E3E">
        <w:t xml:space="preserve"> New EU law grants countries right to ban GM crops but leaves </w:t>
      </w:r>
      <w:r>
        <w:tab/>
      </w:r>
      <w:r w:rsidRPr="00876E3E">
        <w:t>them exposed to industry attacks</w:t>
      </w:r>
      <w:r>
        <w:t xml:space="preserve">. Greenpeace. Retrieved from </w:t>
      </w:r>
      <w:r>
        <w:tab/>
      </w:r>
      <w:hyperlink r:id="rId18" w:history="1">
        <w:r w:rsidRPr="0015239F">
          <w:rPr>
            <w:rStyle w:val="Hyperlink"/>
          </w:rPr>
          <w:t>http://www.greenpeace.org/eu-unit/en/News/2014/New-EU-law-grants-countries-right-to-</w:t>
        </w:r>
      </w:hyperlink>
      <w:r>
        <w:tab/>
      </w:r>
      <w:r w:rsidRPr="00876E3E">
        <w:t>ban-GM-crops-but-leaves-them-exposed-to-industry-attacks-/</w:t>
      </w:r>
    </w:p>
    <w:p w14:paraId="5769A9E8" w14:textId="77777777" w:rsidR="00532550" w:rsidRDefault="00532550" w:rsidP="00532550">
      <w:pPr>
        <w:spacing w:line="480" w:lineRule="auto"/>
      </w:pPr>
      <w:r>
        <w:t xml:space="preserve">GMO-free regions (2017). Retrieved on 13/07/17 from </w:t>
      </w:r>
      <w:hyperlink r:id="rId19" w:history="1">
        <w:r w:rsidRPr="00FF0C75">
          <w:rPr>
            <w:rStyle w:val="Hyperlink"/>
          </w:rPr>
          <w:t>http://www.gmo-free-regions.org/gmo-free-</w:t>
        </w:r>
      </w:hyperlink>
      <w:r>
        <w:tab/>
      </w:r>
      <w:r w:rsidRPr="00454C44">
        <w:t>regions/bans.html</w:t>
      </w:r>
    </w:p>
    <w:p w14:paraId="0BA820B9" w14:textId="77777777" w:rsidR="00532550" w:rsidRPr="001D27D3" w:rsidRDefault="00532550" w:rsidP="00532550">
      <w:pPr>
        <w:spacing w:line="480" w:lineRule="auto"/>
      </w:pPr>
      <w:r w:rsidRPr="001D27D3">
        <w:t xml:space="preserve">Financial Times (2006, February 8). Timeline: the EU’s unofficial GMO moratorium. Financial Times. </w:t>
      </w:r>
      <w:r w:rsidRPr="001D27D3">
        <w:tab/>
        <w:t xml:space="preserve">Retrieved from </w:t>
      </w:r>
      <w:hyperlink r:id="rId20" w:history="1">
        <w:r w:rsidRPr="001D27D3">
          <w:rPr>
            <w:rStyle w:val="Hyperlink"/>
          </w:rPr>
          <w:t>https://www.ft.com/content/624a88c6-97db-11da-816b-0000779e2340</w:t>
        </w:r>
      </w:hyperlink>
    </w:p>
    <w:p w14:paraId="4BFC0650" w14:textId="2703233D" w:rsidR="00532550" w:rsidRPr="001D27D3" w:rsidRDefault="00532550" w:rsidP="00532550">
      <w:pPr>
        <w:spacing w:line="480" w:lineRule="auto"/>
      </w:pPr>
      <w:r w:rsidRPr="001D27D3">
        <w:lastRenderedPageBreak/>
        <w:t>Gobierno de Espa</w:t>
      </w:r>
      <w:r w:rsidRPr="001D27D3">
        <w:rPr>
          <w:i/>
        </w:rPr>
        <w:t>ñ</w:t>
      </w:r>
      <w:r w:rsidRPr="001D27D3">
        <w:t xml:space="preserve">a, Ministerio de agricultura, alimentatión y medio ambiente. (2012, October).  </w:t>
      </w:r>
      <w:r w:rsidRPr="001D27D3">
        <w:rPr>
          <w:i/>
        </w:rPr>
        <w:t xml:space="preserve">El </w:t>
      </w:r>
      <w:r w:rsidRPr="001D27D3">
        <w:rPr>
          <w:i/>
        </w:rPr>
        <w:tab/>
        <w:t>cultivo de maíz modificado genéticamente en España.</w:t>
      </w:r>
      <w:r w:rsidRPr="001D27D3">
        <w:t xml:space="preserve"> Retrieved from </w:t>
      </w:r>
      <w:r w:rsidRPr="001D27D3">
        <w:tab/>
      </w:r>
      <w:r w:rsidRPr="008F6F95">
        <w:t>http://www.mapama.gob.es/es/calidad-y-evaluacion-</w:t>
      </w:r>
      <w:r w:rsidRPr="008F6F95">
        <w:tab/>
        <w:t>ambiental/temas/biotecnologia/EVOLUCI%C3%93N_DE_LA_SUPERFICIE_ESTIMADA_DE_SIE</w:t>
      </w:r>
      <w:r w:rsidRPr="008F6F95">
        <w:tab/>
        <w:t>MBRA_DE_MA%C3%8DZ_MG_EN_ESPA%C3%91A_tcm7-225831.pdf</w:t>
      </w:r>
      <w:r w:rsidRPr="001D27D3">
        <w:t xml:space="preserve"> </w:t>
      </w:r>
    </w:p>
    <w:p w14:paraId="1E8B123E" w14:textId="77777777" w:rsidR="00532550" w:rsidRDefault="00532550" w:rsidP="00532550">
      <w:pPr>
        <w:spacing w:line="480" w:lineRule="auto"/>
        <w:rPr>
          <w:lang w:val="en-US"/>
        </w:rPr>
      </w:pPr>
      <w:r w:rsidRPr="00D36323">
        <w:rPr>
          <w:lang w:val="en-US"/>
        </w:rPr>
        <w:t xml:space="preserve">Grice, A. (2008, November 17). Government to defy critics with secret GM crop trials; Exclusive * </w:t>
      </w:r>
      <w:r>
        <w:rPr>
          <w:lang w:val="en-US"/>
        </w:rPr>
        <w:tab/>
      </w:r>
      <w:r w:rsidRPr="00D36323">
        <w:rPr>
          <w:lang w:val="en-US"/>
        </w:rPr>
        <w:t xml:space="preserve">Mandelson and Benn lead campaign to win support for controversial technology </w:t>
      </w:r>
      <w:r>
        <w:rPr>
          <w:lang w:val="en-US"/>
        </w:rPr>
        <w:t xml:space="preserve">. The </w:t>
      </w:r>
      <w:r>
        <w:rPr>
          <w:lang w:val="en-US"/>
        </w:rPr>
        <w:tab/>
        <w:t xml:space="preserve">Independent. Retrieved from </w:t>
      </w:r>
      <w:r>
        <w:rPr>
          <w:lang w:val="en-US"/>
        </w:rPr>
        <w:tab/>
      </w:r>
      <w:hyperlink r:id="rId21" w:history="1">
        <w:r w:rsidRPr="00FF0C75">
          <w:rPr>
            <w:rStyle w:val="Hyperlink"/>
            <w:lang w:val="en-US"/>
          </w:rPr>
          <w:t>http://www.independent.co.uk/environment/nature/government-to-defy-critics-with-</w:t>
        </w:r>
      </w:hyperlink>
      <w:r>
        <w:rPr>
          <w:lang w:val="en-US"/>
        </w:rPr>
        <w:tab/>
      </w:r>
      <w:r w:rsidRPr="00D36323">
        <w:rPr>
          <w:lang w:val="en-US"/>
        </w:rPr>
        <w:t>secret-gm-crop-trials-1021675.html</w:t>
      </w:r>
    </w:p>
    <w:p w14:paraId="58478C92" w14:textId="77777777" w:rsidR="00380CBB" w:rsidRPr="00380CBB" w:rsidRDefault="00380CBB" w:rsidP="00532550">
      <w:pPr>
        <w:spacing w:line="480" w:lineRule="auto"/>
      </w:pPr>
      <w:r>
        <w:rPr>
          <w:lang w:val="en-US"/>
        </w:rPr>
        <w:t xml:space="preserve">Hall, M. (2013, November 7). </w:t>
      </w:r>
      <w:r w:rsidRPr="00380CBB">
        <w:rPr>
          <w:lang w:val="en-US"/>
        </w:rPr>
        <w:t>Brussels reopens 12-year old GMO cultivation request</w:t>
      </w:r>
      <w:r>
        <w:rPr>
          <w:lang w:val="en-US"/>
        </w:rPr>
        <w:t xml:space="preserve">. Euractiv. </w:t>
      </w:r>
      <w:r>
        <w:rPr>
          <w:lang w:val="en-US"/>
        </w:rPr>
        <w:tab/>
        <w:t xml:space="preserve">Retrieved from </w:t>
      </w:r>
      <w:hyperlink r:id="rId22" w:history="1">
        <w:r w:rsidRPr="0015239F">
          <w:rPr>
            <w:rStyle w:val="Hyperlink"/>
            <w:lang w:val="en-US"/>
          </w:rPr>
          <w:t>https://www.euractiv.com/section/agriculture-food/news/brussels-reopens-</w:t>
        </w:r>
      </w:hyperlink>
      <w:r>
        <w:rPr>
          <w:lang w:val="en-US"/>
        </w:rPr>
        <w:tab/>
      </w:r>
      <w:r w:rsidRPr="00380CBB">
        <w:rPr>
          <w:lang w:val="en-US"/>
        </w:rPr>
        <w:t>12-year-old-gmo-cultivation-request/</w:t>
      </w:r>
    </w:p>
    <w:p w14:paraId="4BE891C8" w14:textId="77777777" w:rsidR="00532550" w:rsidRDefault="00532550" w:rsidP="00532550">
      <w:pPr>
        <w:spacing w:line="480" w:lineRule="auto"/>
        <w:rPr>
          <w:lang w:val="en-US"/>
        </w:rPr>
      </w:pPr>
      <w:r w:rsidRPr="00D36323">
        <w:rPr>
          <w:lang w:val="en-US"/>
        </w:rPr>
        <w:t xml:space="preserve">Hamaide, S de La. </w:t>
      </w:r>
      <w:r w:rsidRPr="002D2997">
        <w:rPr>
          <w:lang w:val="en-US"/>
        </w:rPr>
        <w:t>(2007, March 20). France adopts disputed EU laws on GM</w:t>
      </w:r>
      <w:r>
        <w:rPr>
          <w:lang w:val="en-US"/>
        </w:rPr>
        <w:t>O</w:t>
      </w:r>
      <w:r w:rsidRPr="002D2997">
        <w:rPr>
          <w:lang w:val="en-US"/>
        </w:rPr>
        <w:t xml:space="preserve"> crop growing</w:t>
      </w:r>
      <w:r>
        <w:rPr>
          <w:lang w:val="en-US"/>
        </w:rPr>
        <w:t xml:space="preserve">. Reuters. </w:t>
      </w:r>
      <w:r>
        <w:rPr>
          <w:lang w:val="en-US"/>
        </w:rPr>
        <w:tab/>
        <w:t xml:space="preserve">Retrieved from </w:t>
      </w:r>
      <w:hyperlink r:id="rId23" w:history="1">
        <w:r w:rsidRPr="00FF0C75">
          <w:rPr>
            <w:rStyle w:val="Hyperlink"/>
            <w:lang w:val="en-US"/>
          </w:rPr>
          <w:t>http://www.reuters.com/article/us-france-gmo-idUSL202805920070320</w:t>
        </w:r>
      </w:hyperlink>
    </w:p>
    <w:p w14:paraId="342D9035" w14:textId="77777777" w:rsidR="00532550" w:rsidRDefault="00532550" w:rsidP="00532550">
      <w:pPr>
        <w:spacing w:line="480" w:lineRule="auto"/>
        <w:rPr>
          <w:lang w:val="en-US"/>
        </w:rPr>
      </w:pPr>
      <w:r>
        <w:rPr>
          <w:lang w:val="en-US"/>
        </w:rPr>
        <w:t xml:space="preserve">Henard, M. (2008). </w:t>
      </w:r>
      <w:r w:rsidRPr="00454C44">
        <w:rPr>
          <w:lang w:val="en-US"/>
        </w:rPr>
        <w:t>France</w:t>
      </w:r>
      <w:r>
        <w:rPr>
          <w:lang w:val="en-US"/>
        </w:rPr>
        <w:t xml:space="preserve"> </w:t>
      </w:r>
      <w:r w:rsidRPr="00454C44">
        <w:rPr>
          <w:lang w:val="en-US"/>
        </w:rPr>
        <w:t>Biotechnology</w:t>
      </w:r>
      <w:r>
        <w:rPr>
          <w:lang w:val="en-US"/>
        </w:rPr>
        <w:t xml:space="preserve"> </w:t>
      </w:r>
      <w:r w:rsidRPr="00454C44">
        <w:rPr>
          <w:lang w:val="en-US"/>
        </w:rPr>
        <w:t>GOF Action on Biotech - One-Year Overview</w:t>
      </w:r>
      <w:r>
        <w:rPr>
          <w:lang w:val="en-US"/>
        </w:rPr>
        <w:t xml:space="preserve">. USDA Foreign </w:t>
      </w:r>
      <w:r>
        <w:rPr>
          <w:lang w:val="en-US"/>
        </w:rPr>
        <w:tab/>
        <w:t xml:space="preserve">Agricultural Service. </w:t>
      </w:r>
      <w:r w:rsidRPr="00583666">
        <w:rPr>
          <w:lang w:val="en-US"/>
        </w:rPr>
        <w:t>GAIN Report Number: FR8008</w:t>
      </w:r>
      <w:r>
        <w:rPr>
          <w:lang w:val="en-US"/>
        </w:rPr>
        <w:t>, July 6.</w:t>
      </w:r>
    </w:p>
    <w:p w14:paraId="5301FFF8" w14:textId="77777777" w:rsidR="004608B6" w:rsidRDefault="004608B6" w:rsidP="00532550">
      <w:pPr>
        <w:spacing w:line="480" w:lineRule="auto"/>
        <w:rPr>
          <w:lang w:val="en-US"/>
        </w:rPr>
      </w:pPr>
      <w:r>
        <w:rPr>
          <w:lang w:val="en-US"/>
        </w:rPr>
        <w:t xml:space="preserve">Hogan, M. and Brown, S. (2014, February 5). Germany to abstain in EU vote on new GMO maize. </w:t>
      </w:r>
      <w:r>
        <w:rPr>
          <w:lang w:val="en-US"/>
        </w:rPr>
        <w:tab/>
        <w:t xml:space="preserve">Reuters. Retrieved from </w:t>
      </w:r>
      <w:hyperlink r:id="rId24" w:history="1">
        <w:r w:rsidRPr="0015239F">
          <w:rPr>
            <w:rStyle w:val="Hyperlink"/>
            <w:lang w:val="en-US"/>
          </w:rPr>
          <w:t>http://www.reuters.com/article/us-germany-gmo-vote-</w:t>
        </w:r>
      </w:hyperlink>
      <w:r>
        <w:rPr>
          <w:lang w:val="en-US"/>
        </w:rPr>
        <w:tab/>
      </w:r>
      <w:r w:rsidRPr="004608B6">
        <w:rPr>
          <w:lang w:val="en-US"/>
        </w:rPr>
        <w:t>idUSBREA1410I20140205</w:t>
      </w:r>
    </w:p>
    <w:p w14:paraId="0EC5A836" w14:textId="77777777" w:rsidR="00433BA9" w:rsidRDefault="00433BA9" w:rsidP="00532550">
      <w:pPr>
        <w:spacing w:line="480" w:lineRule="auto"/>
        <w:rPr>
          <w:lang w:val="en-US"/>
        </w:rPr>
      </w:pPr>
      <w:r>
        <w:rPr>
          <w:lang w:val="en-US"/>
        </w:rPr>
        <w:t xml:space="preserve">Kanter, J. (2012, January 16). BASF to Stop Selling Genetically Modified Products in Europe. New York </w:t>
      </w:r>
      <w:r>
        <w:rPr>
          <w:lang w:val="en-US"/>
        </w:rPr>
        <w:tab/>
        <w:t xml:space="preserve">Times. Retrieved from </w:t>
      </w:r>
      <w:hyperlink r:id="rId25" w:history="1">
        <w:r w:rsidRPr="0015239F">
          <w:rPr>
            <w:rStyle w:val="Hyperlink"/>
            <w:lang w:val="en-US"/>
          </w:rPr>
          <w:t>http://www.nytimes.com/2012/01/17/business/global/17iht-</w:t>
        </w:r>
      </w:hyperlink>
      <w:r>
        <w:rPr>
          <w:lang w:val="en-US"/>
        </w:rPr>
        <w:tab/>
      </w:r>
      <w:r w:rsidRPr="00433BA9">
        <w:rPr>
          <w:lang w:val="en-US"/>
        </w:rPr>
        <w:t>gmo17.html?_r=0</w:t>
      </w:r>
    </w:p>
    <w:p w14:paraId="4FD2CE4C" w14:textId="77777777" w:rsidR="001F0F79" w:rsidRPr="001F0F79" w:rsidRDefault="001F0F79" w:rsidP="00532550">
      <w:pPr>
        <w:spacing w:line="480" w:lineRule="auto"/>
      </w:pPr>
      <w:r>
        <w:rPr>
          <w:lang w:val="en-US"/>
        </w:rPr>
        <w:lastRenderedPageBreak/>
        <w:t xml:space="preserve">Lewis, B. (2015, March 11). </w:t>
      </w:r>
      <w:r w:rsidRPr="001F0F79">
        <w:rPr>
          <w:lang w:val="en-US"/>
        </w:rPr>
        <w:t>UPDATE 1-EU law breaks deadlock on GM crops</w:t>
      </w:r>
      <w:r>
        <w:rPr>
          <w:lang w:val="en-US"/>
        </w:rPr>
        <w:t xml:space="preserve">. Reuters. Retrieved from </w:t>
      </w:r>
      <w:r>
        <w:rPr>
          <w:lang w:val="en-US"/>
        </w:rPr>
        <w:tab/>
      </w:r>
      <w:r w:rsidRPr="001F0F79">
        <w:rPr>
          <w:lang w:val="en-US"/>
        </w:rPr>
        <w:t>http://www.reuters.com/article/eu-gmo-idUSL5N0WD31L20150311</w:t>
      </w:r>
    </w:p>
    <w:p w14:paraId="654119AA" w14:textId="77777777" w:rsidR="00532550" w:rsidRPr="001D27D3" w:rsidRDefault="00532550" w:rsidP="00532550">
      <w:pPr>
        <w:spacing w:line="480" w:lineRule="auto"/>
        <w:rPr>
          <w:lang w:val="en-US"/>
        </w:rPr>
      </w:pPr>
      <w:r w:rsidRPr="00CA65E1">
        <w:rPr>
          <w:lang w:val="nl-NL"/>
        </w:rPr>
        <w:t xml:space="preserve">Löhr, W. (2008, December 6). </w:t>
      </w:r>
      <w:r w:rsidRPr="00532550">
        <w:rPr>
          <w:lang w:val="nl-NL"/>
        </w:rPr>
        <w:t xml:space="preserve">Genpflanzen kommen langsam; EU-Kommission will Genpflanzen </w:t>
      </w:r>
      <w:r w:rsidRPr="00532550">
        <w:rPr>
          <w:lang w:val="nl-NL"/>
        </w:rPr>
        <w:tab/>
        <w:t xml:space="preserve">schneller zulassen. </w:t>
      </w:r>
      <w:r w:rsidRPr="001D27D3">
        <w:rPr>
          <w:lang w:val="en-US"/>
        </w:rPr>
        <w:t xml:space="preserve">Die Umweltminister sperren sich. Taz, die tageszeitung. Retrieved from </w:t>
      </w:r>
      <w:r w:rsidRPr="001D27D3">
        <w:rPr>
          <w:lang w:val="en-US"/>
        </w:rPr>
        <w:tab/>
        <w:t>http://www.taz.de/!776800/</w:t>
      </w:r>
    </w:p>
    <w:p w14:paraId="0D8289B8" w14:textId="77777777" w:rsidR="00532550" w:rsidRDefault="00532550" w:rsidP="00532550">
      <w:pPr>
        <w:spacing w:line="480" w:lineRule="auto"/>
      </w:pPr>
      <w:r w:rsidRPr="001D27D3">
        <w:t xml:space="preserve">Mortished, C. (2008, February 14). Syngenta fights ideological battle for hearts, minds and mouths. </w:t>
      </w:r>
      <w:r w:rsidRPr="001D27D3">
        <w:tab/>
        <w:t xml:space="preserve">The Times (London). Retreived from </w:t>
      </w:r>
      <w:hyperlink r:id="rId26" w:history="1">
        <w:r w:rsidRPr="001D27D3">
          <w:rPr>
            <w:rStyle w:val="Hyperlink"/>
          </w:rPr>
          <w:t>http://academic.lexisnexis.eu/?lni=4RV1-6WM0-TX38-</w:t>
        </w:r>
      </w:hyperlink>
      <w:r w:rsidRPr="001D27D3">
        <w:tab/>
        <w:t>S172&amp;csi=280434&amp;oc=00240&amp;perma=true</w:t>
      </w:r>
    </w:p>
    <w:p w14:paraId="63EA0E17" w14:textId="77777777" w:rsidR="00131052" w:rsidRDefault="00131052" w:rsidP="00532550">
      <w:pPr>
        <w:spacing w:line="480" w:lineRule="auto"/>
      </w:pPr>
      <w:r>
        <w:t xml:space="preserve">Pop, V. (2014, February 11). </w:t>
      </w:r>
      <w:r w:rsidRPr="00131052">
        <w:t>GMO maize vote highlights 'absurd' EU rules</w:t>
      </w:r>
      <w:r>
        <w:t xml:space="preserve">. Euobserver. Retrieved </w:t>
      </w:r>
      <w:r>
        <w:tab/>
        <w:t xml:space="preserve">from </w:t>
      </w:r>
      <w:r w:rsidRPr="00131052">
        <w:t>https://euobserver.com/environment/123093</w:t>
      </w:r>
    </w:p>
    <w:p w14:paraId="252B75AE" w14:textId="77777777" w:rsidR="00433BA9" w:rsidRDefault="00433BA9" w:rsidP="00532550">
      <w:pPr>
        <w:spacing w:line="480" w:lineRule="auto"/>
      </w:pPr>
      <w:r>
        <w:t xml:space="preserve">Reuters (2012, January 24). Monsanto says won’t sell GMO maize in France in 2012. Reuters. </w:t>
      </w:r>
      <w:r>
        <w:tab/>
        <w:t xml:space="preserve">Retrieved from </w:t>
      </w:r>
      <w:hyperlink r:id="rId27" w:history="1">
        <w:r w:rsidR="001F0F79" w:rsidRPr="0015239F">
          <w:rPr>
            <w:rStyle w:val="Hyperlink"/>
          </w:rPr>
          <w:t>http://af.reuters.com/article/commodities07News/idAFL5E8CO3J920120124</w:t>
        </w:r>
      </w:hyperlink>
    </w:p>
    <w:p w14:paraId="0F4E4837" w14:textId="77777777" w:rsidR="001F0F79" w:rsidRPr="001D27D3" w:rsidRDefault="001F0F79" w:rsidP="00532550">
      <w:pPr>
        <w:spacing w:line="480" w:lineRule="auto"/>
      </w:pPr>
      <w:r>
        <w:t xml:space="preserve">Reuters (2016, November 2). </w:t>
      </w:r>
      <w:r w:rsidRPr="001F0F79">
        <w:t>German cabinet approves draft law banning GMO crops</w:t>
      </w:r>
      <w:r>
        <w:t xml:space="preserve">. Reuters. </w:t>
      </w:r>
      <w:r>
        <w:tab/>
        <w:t xml:space="preserve">Retrieved from </w:t>
      </w:r>
      <w:r w:rsidRPr="001F0F79">
        <w:t>http://www.reuters.com/article/us-germany-gmo-idUSKBN12X13S</w:t>
      </w:r>
    </w:p>
    <w:p w14:paraId="49351BB4" w14:textId="77777777" w:rsidR="00532550" w:rsidRPr="007C6E0C" w:rsidRDefault="00532550" w:rsidP="00532550">
      <w:pPr>
        <w:spacing w:line="480" w:lineRule="auto"/>
        <w:rPr>
          <w:lang w:val="en-US"/>
        </w:rPr>
      </w:pPr>
      <w:r w:rsidRPr="00CA65E1">
        <w:rPr>
          <w:lang w:val="nl-NL"/>
        </w:rPr>
        <w:t xml:space="preserve">Rheinische Post Duesseldorf. </w:t>
      </w:r>
      <w:r w:rsidRPr="00532550">
        <w:rPr>
          <w:lang w:val="nl-NL"/>
        </w:rPr>
        <w:t xml:space="preserve">(2008, July 16). </w:t>
      </w:r>
      <w:r w:rsidRPr="007C6E0C">
        <w:rPr>
          <w:lang w:val="nl-NL"/>
        </w:rPr>
        <w:t xml:space="preserve">Seehofer: Anbauverbote fur Genpflanzen zulassen. </w:t>
      </w:r>
      <w:r>
        <w:rPr>
          <w:lang w:val="nl-NL"/>
        </w:rPr>
        <w:tab/>
      </w:r>
      <w:r w:rsidRPr="007C6E0C">
        <w:rPr>
          <w:lang w:val="en-US"/>
        </w:rPr>
        <w:t>Rhenische Post Duesseldorf</w:t>
      </w:r>
      <w:r>
        <w:rPr>
          <w:lang w:val="en-US"/>
        </w:rPr>
        <w:t xml:space="preserve">. </w:t>
      </w:r>
      <w:r w:rsidRPr="007C6E0C">
        <w:rPr>
          <w:lang w:val="en-US"/>
        </w:rPr>
        <w:t>Retrieved from</w:t>
      </w:r>
      <w:r>
        <w:rPr>
          <w:lang w:val="en-US"/>
        </w:rPr>
        <w:t xml:space="preserve"> </w:t>
      </w:r>
      <w:r>
        <w:rPr>
          <w:lang w:val="en-US"/>
        </w:rPr>
        <w:tab/>
      </w:r>
      <w:hyperlink r:id="rId28" w:history="1">
        <w:r w:rsidRPr="00FF0C75">
          <w:rPr>
            <w:rStyle w:val="Hyperlink"/>
            <w:lang w:val="en-US"/>
          </w:rPr>
          <w:t>https://www.nexis.com/results/shared/controller/enhpermalink.do?permaLinkInfoKey=0_T2</w:t>
        </w:r>
        <w:r w:rsidRPr="00131052">
          <w:rPr>
            <w:rStyle w:val="Hyperlink"/>
            <w:u w:val="none"/>
            <w:lang w:val="en-US"/>
          </w:rPr>
          <w:tab/>
        </w:r>
        <w:r w:rsidRPr="00FF0C75">
          <w:rPr>
            <w:rStyle w:val="Hyperlink"/>
            <w:lang w:val="en-US"/>
          </w:rPr>
          <w:t>6249509348&amp;selThresholdvalue=undefined</w:t>
        </w:r>
      </w:hyperlink>
      <w:r>
        <w:rPr>
          <w:lang w:val="en-US"/>
        </w:rPr>
        <w:tab/>
      </w:r>
    </w:p>
    <w:p w14:paraId="1574AB4D" w14:textId="77777777" w:rsidR="00532550" w:rsidRDefault="00532550" w:rsidP="00532550">
      <w:pPr>
        <w:spacing w:line="480" w:lineRule="auto"/>
      </w:pPr>
      <w:r w:rsidRPr="001D27D3">
        <w:t xml:space="preserve">Sample, I. (2008, February 16). Special report: The return of GM: Biotech firm mans barricades as </w:t>
      </w:r>
      <w:r w:rsidRPr="001D27D3">
        <w:tab/>
        <w:t xml:space="preserve">campaigners vow to stop trials: Small field near Cambridge the latest battleground in fight to </w:t>
      </w:r>
      <w:r w:rsidRPr="001D27D3">
        <w:tab/>
        <w:t xml:space="preserve">prevent GM trials. The Guardian. Retrieved from </w:t>
      </w:r>
      <w:r w:rsidRPr="001D27D3">
        <w:tab/>
      </w:r>
      <w:hyperlink r:id="rId29" w:history="1">
        <w:r w:rsidRPr="001D27D3">
          <w:rPr>
            <w:rStyle w:val="Hyperlink"/>
          </w:rPr>
          <w:t>https://www.theguardian.com/environment/2008/feb/16/gmcrops.food</w:t>
        </w:r>
      </w:hyperlink>
      <w:r w:rsidRPr="001D27D3">
        <w:t xml:space="preserve"> </w:t>
      </w:r>
    </w:p>
    <w:p w14:paraId="37DC5375" w14:textId="77777777" w:rsidR="00532550" w:rsidRPr="00D36323" w:rsidRDefault="00532550" w:rsidP="00532550">
      <w:pPr>
        <w:spacing w:line="480" w:lineRule="auto"/>
        <w:rPr>
          <w:lang w:val="en-US"/>
        </w:rPr>
      </w:pPr>
      <w:r w:rsidRPr="00532550">
        <w:rPr>
          <w:lang w:val="nl-NL"/>
        </w:rPr>
        <w:t xml:space="preserve">SDA – Basisdienst Deutsch. (2008, May 22). </w:t>
      </w:r>
      <w:r w:rsidRPr="00D36323">
        <w:rPr>
          <w:lang w:val="nl-NL"/>
        </w:rPr>
        <w:t xml:space="preserve">Frankreich Senat verabschiedet umstrittenes </w:t>
      </w:r>
      <w:r>
        <w:rPr>
          <w:lang w:val="nl-NL"/>
        </w:rPr>
        <w:tab/>
      </w:r>
      <w:r w:rsidRPr="00D36323">
        <w:rPr>
          <w:lang w:val="nl-NL"/>
        </w:rPr>
        <w:t>Genpflanzen-Gesetz</w:t>
      </w:r>
      <w:r>
        <w:rPr>
          <w:lang w:val="nl-NL"/>
        </w:rPr>
        <w:t xml:space="preserve">. </w:t>
      </w:r>
      <w:r w:rsidRPr="00532550">
        <w:rPr>
          <w:lang w:val="nl-NL"/>
        </w:rPr>
        <w:t xml:space="preserve">SDA- Basisdienst Deutsch. </w:t>
      </w:r>
      <w:r w:rsidRPr="00D36323">
        <w:rPr>
          <w:lang w:val="en-US"/>
        </w:rPr>
        <w:t xml:space="preserve">Retrieved from </w:t>
      </w:r>
      <w:r>
        <w:rPr>
          <w:lang w:val="en-US"/>
        </w:rPr>
        <w:lastRenderedPageBreak/>
        <w:tab/>
      </w:r>
      <w:hyperlink r:id="rId30" w:history="1">
        <w:r w:rsidRPr="00FF0C75">
          <w:rPr>
            <w:rStyle w:val="Hyperlink"/>
            <w:lang w:val="en-US"/>
          </w:rPr>
          <w:t>https://www.nexis.com/results/shared/controller/enhpermalink.do?permaLinkInfoKey=0_T2</w:t>
        </w:r>
      </w:hyperlink>
      <w:r>
        <w:rPr>
          <w:lang w:val="en-US"/>
        </w:rPr>
        <w:tab/>
      </w:r>
      <w:r w:rsidRPr="00D36323">
        <w:rPr>
          <w:lang w:val="en-US"/>
        </w:rPr>
        <w:t>6249605587&amp;selThresholdvalue=undefined</w:t>
      </w:r>
    </w:p>
    <w:p w14:paraId="1A7A88F9" w14:textId="77777777" w:rsidR="00532550" w:rsidRDefault="00532550" w:rsidP="00532550">
      <w:pPr>
        <w:spacing w:line="480" w:lineRule="auto"/>
      </w:pPr>
      <w:r>
        <w:t xml:space="preserve">Spiegel Online (2009, April 14). Monsanto Uprooted Germany Bans Cultivation of GM Corn. Spiegel </w:t>
      </w:r>
      <w:r>
        <w:tab/>
        <w:t xml:space="preserve">Online. Retrieved from </w:t>
      </w:r>
      <w:hyperlink r:id="rId31" w:history="1">
        <w:r w:rsidRPr="00FF0C75">
          <w:rPr>
            <w:rStyle w:val="Hyperlink"/>
          </w:rPr>
          <w:t>http://www.spiegel.de/international/germany/monsanto-uprooted-</w:t>
        </w:r>
      </w:hyperlink>
      <w:r>
        <w:tab/>
      </w:r>
      <w:r w:rsidRPr="007C6E0C">
        <w:t>germany-bans-cultivation-of-gm-corn-a-618913.html</w:t>
      </w:r>
    </w:p>
    <w:p w14:paraId="69E56749" w14:textId="77777777" w:rsidR="00D01FC0" w:rsidRDefault="00D01FC0" w:rsidP="00997766">
      <w:pPr>
        <w:spacing w:line="480" w:lineRule="auto"/>
      </w:pPr>
      <w:r>
        <w:t xml:space="preserve">Swinford, S. (2014, November 15). EU rejection of GM crops is a rebuff for Poor, Says Cameron. The </w:t>
      </w:r>
      <w:r>
        <w:tab/>
        <w:t xml:space="preserve">Daily Telegraph. Retrieved from </w:t>
      </w:r>
      <w:hyperlink r:id="rId32" w:history="1">
        <w:r w:rsidRPr="0015239F">
          <w:rPr>
            <w:rStyle w:val="Hyperlink"/>
          </w:rPr>
          <w:t>http://academic.lexisnexis.eu.ru.idm.oclc.org/?lni=5DKV-</w:t>
        </w:r>
      </w:hyperlink>
      <w:r>
        <w:tab/>
      </w:r>
      <w:r w:rsidRPr="00D01FC0">
        <w:t>PR91-DY9P-N3YD&amp;csi=8399&amp;oc=00240&amp;perma=true</w:t>
      </w:r>
    </w:p>
    <w:p w14:paraId="20B84984" w14:textId="77777777" w:rsidR="001F0F79" w:rsidRDefault="001F0F79" w:rsidP="00997766">
      <w:pPr>
        <w:spacing w:line="480" w:lineRule="auto"/>
      </w:pPr>
      <w:r>
        <w:t xml:space="preserve">Tost, D. (2015, March 19). </w:t>
      </w:r>
      <w:r w:rsidRPr="001F0F79">
        <w:t>German government quarrels over GMO cultivation ban</w:t>
      </w:r>
      <w:r>
        <w:t xml:space="preserve">. Euractiv. </w:t>
      </w:r>
      <w:r>
        <w:tab/>
        <w:t xml:space="preserve">Retrieved from </w:t>
      </w:r>
      <w:hyperlink r:id="rId33" w:history="1">
        <w:r w:rsidRPr="0015239F">
          <w:rPr>
            <w:rStyle w:val="Hyperlink"/>
          </w:rPr>
          <w:t>http://www.euractiv.com/section/agriculture-food/news/german-</w:t>
        </w:r>
      </w:hyperlink>
      <w:r>
        <w:tab/>
      </w:r>
      <w:r w:rsidRPr="001F0F79">
        <w:t>government-quarrels-over-gmo-cultivation-ban/</w:t>
      </w:r>
    </w:p>
    <w:p w14:paraId="58E9194E" w14:textId="77777777" w:rsidR="00997766" w:rsidRDefault="00997766" w:rsidP="00997766">
      <w:pPr>
        <w:spacing w:line="480" w:lineRule="auto"/>
      </w:pPr>
      <w:r w:rsidRPr="00A964C1">
        <w:t xml:space="preserve">Treaty Establishing </w:t>
      </w:r>
      <w:r>
        <w:t>the European Community. 2002</w:t>
      </w:r>
      <w:r w:rsidRPr="00A964C1">
        <w:t xml:space="preserve"> </w:t>
      </w:r>
      <w:r w:rsidRPr="00FD6C6B">
        <w:rPr>
          <w:i/>
          <w:iCs/>
        </w:rPr>
        <w:t xml:space="preserve">OJ C </w:t>
      </w:r>
      <w:r w:rsidRPr="00447B61">
        <w:rPr>
          <w:iCs/>
        </w:rPr>
        <w:t>325, 24.12.2002, p. 33–184</w:t>
      </w:r>
      <w:r w:rsidRPr="00447B61">
        <w:t>. Retrieved</w:t>
      </w:r>
      <w:r>
        <w:t xml:space="preserve"> from </w:t>
      </w:r>
      <w:r>
        <w:tab/>
      </w:r>
      <w:hyperlink r:id="rId34" w:history="1">
        <w:r w:rsidR="00433BA9" w:rsidRPr="0015239F">
          <w:rPr>
            <w:rStyle w:val="Hyperlink"/>
          </w:rPr>
          <w:t>http://eur-lex.europa.eu/legal-content/EN/TXT/?uri=CELEX%3A12002E%2FTXT</w:t>
        </w:r>
      </w:hyperlink>
    </w:p>
    <w:p w14:paraId="017CA2B3" w14:textId="77777777" w:rsidR="00433BA9" w:rsidRDefault="00433BA9" w:rsidP="00997766">
      <w:pPr>
        <w:spacing w:line="480" w:lineRule="auto"/>
      </w:pPr>
      <w:r>
        <w:t xml:space="preserve">Vidal, J. (2010, November 15). Legal doubts over EU plans to give states choice on whether to grow </w:t>
      </w:r>
      <w:r>
        <w:tab/>
        <w:t xml:space="preserve">GM. The Guardian. Retrieved from </w:t>
      </w:r>
      <w:r>
        <w:tab/>
      </w:r>
      <w:r w:rsidRPr="00433BA9">
        <w:t>https://www.theguardian.com/environment/2010/nov/15/legal-doubts-over-gm-crops</w:t>
      </w:r>
    </w:p>
    <w:p w14:paraId="257A6CF1" w14:textId="77777777" w:rsidR="00532550" w:rsidRPr="001D27D3" w:rsidRDefault="00532550" w:rsidP="00532550">
      <w:pPr>
        <w:spacing w:line="480" w:lineRule="auto"/>
      </w:pPr>
      <w:r>
        <w:t xml:space="preserve">Williams, S. (2007, November 28). GM food is safe so stop worrying, says Prime-Minister’s top </w:t>
      </w:r>
      <w:r>
        <w:tab/>
        <w:t xml:space="preserve">scientific advisor. The Western Mail. Retrieved from </w:t>
      </w:r>
      <w:r>
        <w:tab/>
      </w:r>
      <w:hyperlink r:id="rId35" w:history="1">
        <w:r w:rsidRPr="00FF0C75">
          <w:rPr>
            <w:rStyle w:val="Hyperlink"/>
          </w:rPr>
          <w:t>https://www.nexis.com/results/shared/controller/enhpermalink.do?permaLinkInfoKey=0_T2</w:t>
        </w:r>
      </w:hyperlink>
      <w:r>
        <w:tab/>
      </w:r>
      <w:r w:rsidRPr="005C51E2">
        <w:t>6249449756&amp;selThresholdvalue=undefined</w:t>
      </w:r>
    </w:p>
    <w:p w14:paraId="64B23111" w14:textId="77777777" w:rsidR="00215C4E" w:rsidRDefault="00215C4E" w:rsidP="00532550"/>
    <w:sectPr w:rsidR="00215C4E" w:rsidSect="004F19C8">
      <w:footerReference w:type="default" r:id="rId36"/>
      <w:pgSz w:w="11906" w:h="16838"/>
      <w:pgMar w:top="1417" w:right="1417" w:bottom="1417" w:left="1417"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457E9B5" w16cid:durableId="1D17C16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226694" w14:textId="77777777" w:rsidR="00A256FB" w:rsidRDefault="00A256FB" w:rsidP="009877B2">
      <w:pPr>
        <w:spacing w:after="0" w:line="240" w:lineRule="auto"/>
      </w:pPr>
      <w:r>
        <w:separator/>
      </w:r>
    </w:p>
  </w:endnote>
  <w:endnote w:type="continuationSeparator" w:id="0">
    <w:p w14:paraId="2966DB7C" w14:textId="77777777" w:rsidR="00A256FB" w:rsidRDefault="00A256FB" w:rsidP="00987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nion">
    <w:charset w:val="00"/>
    <w:family w:val="auto"/>
    <w:pitch w:val="variable"/>
  </w:font>
  <w:font w:name="TimesNewRoman">
    <w:altName w:val="Times New Roman"/>
    <w:charset w:val="00"/>
    <w:family w:val="auto"/>
    <w:pitch w:val="variable"/>
  </w:font>
  <w:font w:name="Open Sans">
    <w:altName w:val="Segoe UI"/>
    <w:charset w:val="00"/>
    <w:family w:val="swiss"/>
    <w:pitch w:val="variable"/>
    <w:sig w:usb0="E00002EF" w:usb1="4000205B" w:usb2="00000028"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8559324"/>
      <w:docPartObj>
        <w:docPartGallery w:val="Page Numbers (Bottom of Page)"/>
        <w:docPartUnique/>
      </w:docPartObj>
    </w:sdtPr>
    <w:sdtEndPr/>
    <w:sdtContent>
      <w:p w14:paraId="365015CE" w14:textId="1627AE60" w:rsidR="00FE3BB0" w:rsidRDefault="00FE3BB0">
        <w:pPr>
          <w:pStyle w:val="Footer"/>
          <w:jc w:val="center"/>
        </w:pPr>
        <w:r>
          <w:fldChar w:fldCharType="begin"/>
        </w:r>
        <w:r>
          <w:instrText>PAGE   \* MERGEFORMAT</w:instrText>
        </w:r>
        <w:r>
          <w:fldChar w:fldCharType="separate"/>
        </w:r>
        <w:r w:rsidR="005953CE" w:rsidRPr="005953CE">
          <w:rPr>
            <w:noProof/>
            <w:lang w:val="nl-NL"/>
          </w:rPr>
          <w:t>21</w:t>
        </w:r>
        <w:r>
          <w:fldChar w:fldCharType="end"/>
        </w:r>
      </w:p>
    </w:sdtContent>
  </w:sdt>
  <w:p w14:paraId="396142BF" w14:textId="77777777" w:rsidR="00FE3BB0" w:rsidRDefault="00FE3B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CE0726" w14:textId="77777777" w:rsidR="00A256FB" w:rsidRDefault="00A256FB" w:rsidP="009877B2">
      <w:pPr>
        <w:spacing w:after="0" w:line="240" w:lineRule="auto"/>
      </w:pPr>
      <w:r>
        <w:separator/>
      </w:r>
    </w:p>
  </w:footnote>
  <w:footnote w:type="continuationSeparator" w:id="0">
    <w:p w14:paraId="68001150" w14:textId="77777777" w:rsidR="00A256FB" w:rsidRDefault="00A256FB" w:rsidP="009877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98210C"/>
    <w:multiLevelType w:val="hybridMultilevel"/>
    <w:tmpl w:val="CB225488"/>
    <w:lvl w:ilvl="0" w:tplc="16646D04">
      <w:start w:val="3"/>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4985994"/>
    <w:multiLevelType w:val="hybridMultilevel"/>
    <w:tmpl w:val="D098EA2A"/>
    <w:lvl w:ilvl="0" w:tplc="5A085EBC">
      <w:start w:val="2"/>
      <w:numFmt w:val="bullet"/>
      <w:lvlText w:val="-"/>
      <w:lvlJc w:val="left"/>
      <w:pPr>
        <w:ind w:left="720" w:hanging="360"/>
      </w:pPr>
      <w:rPr>
        <w:rFonts w:ascii="Calibri Light" w:eastAsiaTheme="majorEastAsia" w:hAnsi="Calibri Light" w:cstheme="maj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C441156"/>
    <w:multiLevelType w:val="hybridMultilevel"/>
    <w:tmpl w:val="133AF938"/>
    <w:lvl w:ilvl="0" w:tplc="B3DEE03C">
      <w:numFmt w:val="bullet"/>
      <w:lvlText w:val=""/>
      <w:lvlJc w:val="left"/>
      <w:pPr>
        <w:ind w:left="720" w:hanging="360"/>
      </w:pPr>
      <w:rPr>
        <w:rFonts w:ascii="Symbol" w:eastAsiaTheme="minorHAns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56D0275"/>
    <w:multiLevelType w:val="multilevel"/>
    <w:tmpl w:val="FA145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76A25D3"/>
    <w:multiLevelType w:val="hybridMultilevel"/>
    <w:tmpl w:val="FF1C934C"/>
    <w:lvl w:ilvl="0" w:tplc="A67A233C">
      <w:start w:val="4"/>
      <w:numFmt w:val="bullet"/>
      <w:lvlText w:val=""/>
      <w:lvlJc w:val="left"/>
      <w:pPr>
        <w:ind w:left="720" w:hanging="360"/>
      </w:pPr>
      <w:rPr>
        <w:rFonts w:ascii="Symbol" w:eastAsiaTheme="minorHAns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6A8E1B8A"/>
    <w:multiLevelType w:val="hybridMultilevel"/>
    <w:tmpl w:val="0262E862"/>
    <w:lvl w:ilvl="0" w:tplc="BE1EFBD0">
      <w:start w:val="4"/>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74357628"/>
    <w:multiLevelType w:val="multilevel"/>
    <w:tmpl w:val="5694DE5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DFB6221"/>
    <w:multiLevelType w:val="hybridMultilevel"/>
    <w:tmpl w:val="A4945F1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6"/>
  </w:num>
  <w:num w:numId="3">
    <w:abstractNumId w:val="3"/>
  </w:num>
  <w:num w:numId="4">
    <w:abstractNumId w:val="7"/>
  </w:num>
  <w:num w:numId="5">
    <w:abstractNumId w:val="5"/>
  </w:num>
  <w:num w:numId="6">
    <w:abstractNumId w:val="2"/>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D72"/>
    <w:rsid w:val="00006381"/>
    <w:rsid w:val="00044AE3"/>
    <w:rsid w:val="00047891"/>
    <w:rsid w:val="000719C5"/>
    <w:rsid w:val="00077177"/>
    <w:rsid w:val="00093DC7"/>
    <w:rsid w:val="00094A70"/>
    <w:rsid w:val="000C70E2"/>
    <w:rsid w:val="000E7A95"/>
    <w:rsid w:val="00115051"/>
    <w:rsid w:val="00131052"/>
    <w:rsid w:val="001327A2"/>
    <w:rsid w:val="00156C14"/>
    <w:rsid w:val="0016182A"/>
    <w:rsid w:val="00176FA6"/>
    <w:rsid w:val="0018134B"/>
    <w:rsid w:val="001955DA"/>
    <w:rsid w:val="001D72AB"/>
    <w:rsid w:val="001E63FA"/>
    <w:rsid w:val="001F070F"/>
    <w:rsid w:val="001F0F79"/>
    <w:rsid w:val="00201B28"/>
    <w:rsid w:val="00215C4E"/>
    <w:rsid w:val="00250391"/>
    <w:rsid w:val="0026127A"/>
    <w:rsid w:val="002D013F"/>
    <w:rsid w:val="002F658A"/>
    <w:rsid w:val="0034411E"/>
    <w:rsid w:val="00344A87"/>
    <w:rsid w:val="00380CBB"/>
    <w:rsid w:val="00394AFD"/>
    <w:rsid w:val="003A469A"/>
    <w:rsid w:val="003B6266"/>
    <w:rsid w:val="003D517D"/>
    <w:rsid w:val="00433BA9"/>
    <w:rsid w:val="00447B61"/>
    <w:rsid w:val="004608B6"/>
    <w:rsid w:val="00485A13"/>
    <w:rsid w:val="004D6163"/>
    <w:rsid w:val="004F19C8"/>
    <w:rsid w:val="004F4E7D"/>
    <w:rsid w:val="00527FAD"/>
    <w:rsid w:val="00532550"/>
    <w:rsid w:val="00543837"/>
    <w:rsid w:val="00566A48"/>
    <w:rsid w:val="005953CE"/>
    <w:rsid w:val="005B7C3F"/>
    <w:rsid w:val="005C2A45"/>
    <w:rsid w:val="005D612B"/>
    <w:rsid w:val="005E189C"/>
    <w:rsid w:val="006208A5"/>
    <w:rsid w:val="00630561"/>
    <w:rsid w:val="00654123"/>
    <w:rsid w:val="00662BE8"/>
    <w:rsid w:val="006A1EFE"/>
    <w:rsid w:val="006E176A"/>
    <w:rsid w:val="006E5B6D"/>
    <w:rsid w:val="006F5F11"/>
    <w:rsid w:val="00726D0F"/>
    <w:rsid w:val="00752C7D"/>
    <w:rsid w:val="0077292B"/>
    <w:rsid w:val="00787F6C"/>
    <w:rsid w:val="007C57E0"/>
    <w:rsid w:val="007F2E64"/>
    <w:rsid w:val="00854CD2"/>
    <w:rsid w:val="00876E3E"/>
    <w:rsid w:val="00884928"/>
    <w:rsid w:val="008865A0"/>
    <w:rsid w:val="008F6F95"/>
    <w:rsid w:val="009030BD"/>
    <w:rsid w:val="00917560"/>
    <w:rsid w:val="00981AEA"/>
    <w:rsid w:val="009877B2"/>
    <w:rsid w:val="00991CFD"/>
    <w:rsid w:val="00997766"/>
    <w:rsid w:val="009D427F"/>
    <w:rsid w:val="00A256FB"/>
    <w:rsid w:val="00A26B03"/>
    <w:rsid w:val="00A40322"/>
    <w:rsid w:val="00A62C11"/>
    <w:rsid w:val="00A769E7"/>
    <w:rsid w:val="00A81D21"/>
    <w:rsid w:val="00A85150"/>
    <w:rsid w:val="00A87903"/>
    <w:rsid w:val="00A964C1"/>
    <w:rsid w:val="00AB097A"/>
    <w:rsid w:val="00B03820"/>
    <w:rsid w:val="00B27BF4"/>
    <w:rsid w:val="00B30CDA"/>
    <w:rsid w:val="00B31799"/>
    <w:rsid w:val="00B67FD6"/>
    <w:rsid w:val="00B91CAC"/>
    <w:rsid w:val="00B97671"/>
    <w:rsid w:val="00BA2422"/>
    <w:rsid w:val="00BD4FE2"/>
    <w:rsid w:val="00C21A2B"/>
    <w:rsid w:val="00C3493E"/>
    <w:rsid w:val="00CA65E1"/>
    <w:rsid w:val="00CA75D5"/>
    <w:rsid w:val="00CC1953"/>
    <w:rsid w:val="00CE7C7A"/>
    <w:rsid w:val="00D01FC0"/>
    <w:rsid w:val="00D07A66"/>
    <w:rsid w:val="00D3321D"/>
    <w:rsid w:val="00D93D72"/>
    <w:rsid w:val="00DC3100"/>
    <w:rsid w:val="00DD0FDB"/>
    <w:rsid w:val="00DD1574"/>
    <w:rsid w:val="00E00043"/>
    <w:rsid w:val="00E0108B"/>
    <w:rsid w:val="00E803BC"/>
    <w:rsid w:val="00E92C2A"/>
    <w:rsid w:val="00EA43CC"/>
    <w:rsid w:val="00F0303F"/>
    <w:rsid w:val="00F604A4"/>
    <w:rsid w:val="00F70F29"/>
    <w:rsid w:val="00FA33A3"/>
    <w:rsid w:val="00FB59F1"/>
    <w:rsid w:val="00FC6828"/>
    <w:rsid w:val="00FD2592"/>
    <w:rsid w:val="00FD6C6B"/>
    <w:rsid w:val="00FE3BB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C3920"/>
  <w15:chartTrackingRefBased/>
  <w15:docId w15:val="{18B5C1F5-C442-48AE-BCE7-CF5EA5CF8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uiPriority w:val="9"/>
    <w:qFormat/>
    <w:rsid w:val="00DD157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4411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link w:val="Heading4Char"/>
    <w:uiPriority w:val="9"/>
    <w:qFormat/>
    <w:rsid w:val="009877B2"/>
    <w:pPr>
      <w:spacing w:before="100" w:beforeAutospacing="1" w:after="100" w:afterAutospacing="1" w:line="240" w:lineRule="auto"/>
      <w:outlineLvl w:val="3"/>
    </w:pPr>
    <w:rPr>
      <w:rFonts w:ascii="Times New Roman" w:eastAsia="Times New Roman" w:hAnsi="Times New Roman" w:cs="Times New Roman"/>
      <w:b/>
      <w:bCs/>
      <w:sz w:val="24"/>
      <w:szCs w:val="24"/>
      <w:lang w:val="nl-NL"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7B2"/>
    <w:pPr>
      <w:tabs>
        <w:tab w:val="center" w:pos="4536"/>
        <w:tab w:val="right" w:pos="9072"/>
      </w:tabs>
      <w:spacing w:after="0" w:line="240" w:lineRule="auto"/>
    </w:pPr>
  </w:style>
  <w:style w:type="character" w:customStyle="1" w:styleId="HeaderChar">
    <w:name w:val="Header Char"/>
    <w:basedOn w:val="DefaultParagraphFont"/>
    <w:link w:val="Header"/>
    <w:uiPriority w:val="99"/>
    <w:rsid w:val="009877B2"/>
    <w:rPr>
      <w:lang w:val="en-GB"/>
    </w:rPr>
  </w:style>
  <w:style w:type="paragraph" w:styleId="Footer">
    <w:name w:val="footer"/>
    <w:basedOn w:val="Normal"/>
    <w:link w:val="FooterChar"/>
    <w:uiPriority w:val="99"/>
    <w:unhideWhenUsed/>
    <w:rsid w:val="009877B2"/>
    <w:pPr>
      <w:tabs>
        <w:tab w:val="center" w:pos="4536"/>
        <w:tab w:val="right" w:pos="9072"/>
      </w:tabs>
      <w:spacing w:after="0" w:line="240" w:lineRule="auto"/>
    </w:pPr>
  </w:style>
  <w:style w:type="character" w:customStyle="1" w:styleId="FooterChar">
    <w:name w:val="Footer Char"/>
    <w:basedOn w:val="DefaultParagraphFont"/>
    <w:link w:val="Footer"/>
    <w:uiPriority w:val="99"/>
    <w:rsid w:val="009877B2"/>
    <w:rPr>
      <w:lang w:val="en-GB"/>
    </w:rPr>
  </w:style>
  <w:style w:type="character" w:styleId="CommentReference">
    <w:name w:val="annotation reference"/>
    <w:basedOn w:val="DefaultParagraphFont"/>
    <w:uiPriority w:val="99"/>
    <w:semiHidden/>
    <w:unhideWhenUsed/>
    <w:rsid w:val="009877B2"/>
    <w:rPr>
      <w:sz w:val="16"/>
      <w:szCs w:val="16"/>
    </w:rPr>
  </w:style>
  <w:style w:type="paragraph" w:styleId="CommentText">
    <w:name w:val="annotation text"/>
    <w:basedOn w:val="Normal"/>
    <w:link w:val="CommentTextChar"/>
    <w:uiPriority w:val="99"/>
    <w:unhideWhenUsed/>
    <w:rsid w:val="009877B2"/>
    <w:pPr>
      <w:spacing w:after="200" w:line="240" w:lineRule="auto"/>
    </w:pPr>
    <w:rPr>
      <w:sz w:val="20"/>
      <w:szCs w:val="20"/>
      <w:lang w:val="nl-NL"/>
    </w:rPr>
  </w:style>
  <w:style w:type="character" w:customStyle="1" w:styleId="CommentTextChar">
    <w:name w:val="Comment Text Char"/>
    <w:basedOn w:val="DefaultParagraphFont"/>
    <w:link w:val="CommentText"/>
    <w:uiPriority w:val="99"/>
    <w:rsid w:val="009877B2"/>
    <w:rPr>
      <w:sz w:val="20"/>
      <w:szCs w:val="20"/>
    </w:rPr>
  </w:style>
  <w:style w:type="paragraph" w:styleId="ListParagraph">
    <w:name w:val="List Paragraph"/>
    <w:basedOn w:val="Normal"/>
    <w:uiPriority w:val="34"/>
    <w:qFormat/>
    <w:rsid w:val="009877B2"/>
    <w:pPr>
      <w:spacing w:after="200" w:line="276" w:lineRule="auto"/>
      <w:ind w:left="720"/>
      <w:contextualSpacing/>
    </w:pPr>
    <w:rPr>
      <w:lang w:val="nl-NL"/>
    </w:rPr>
  </w:style>
  <w:style w:type="paragraph" w:styleId="BalloonText">
    <w:name w:val="Balloon Text"/>
    <w:basedOn w:val="Normal"/>
    <w:link w:val="BalloonTextChar"/>
    <w:uiPriority w:val="99"/>
    <w:semiHidden/>
    <w:unhideWhenUsed/>
    <w:rsid w:val="009877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77B2"/>
    <w:rPr>
      <w:rFonts w:ascii="Segoe UI" w:hAnsi="Segoe UI" w:cs="Segoe UI"/>
      <w:sz w:val="18"/>
      <w:szCs w:val="18"/>
      <w:lang w:val="en-GB"/>
    </w:rPr>
  </w:style>
  <w:style w:type="character" w:customStyle="1" w:styleId="Heading4Char">
    <w:name w:val="Heading 4 Char"/>
    <w:basedOn w:val="DefaultParagraphFont"/>
    <w:link w:val="Heading4"/>
    <w:uiPriority w:val="9"/>
    <w:rsid w:val="009877B2"/>
    <w:rPr>
      <w:rFonts w:ascii="Times New Roman" w:eastAsia="Times New Roman" w:hAnsi="Times New Roman" w:cs="Times New Roman"/>
      <w:b/>
      <w:bCs/>
      <w:sz w:val="24"/>
      <w:szCs w:val="24"/>
      <w:lang w:eastAsia="nl-NL"/>
    </w:rPr>
  </w:style>
  <w:style w:type="paragraph" w:styleId="Caption">
    <w:name w:val="caption"/>
    <w:basedOn w:val="Normal"/>
    <w:next w:val="Normal"/>
    <w:uiPriority w:val="35"/>
    <w:unhideWhenUsed/>
    <w:qFormat/>
    <w:rsid w:val="009877B2"/>
    <w:pPr>
      <w:spacing w:after="200" w:line="240" w:lineRule="auto"/>
    </w:pPr>
    <w:rPr>
      <w:i/>
      <w:iCs/>
      <w:color w:val="44546A" w:themeColor="text2"/>
      <w:sz w:val="18"/>
      <w:szCs w:val="18"/>
      <w:lang w:val="nl-NL"/>
    </w:rPr>
  </w:style>
  <w:style w:type="character" w:styleId="Hyperlink">
    <w:name w:val="Hyperlink"/>
    <w:basedOn w:val="DefaultParagraphFont"/>
    <w:uiPriority w:val="99"/>
    <w:unhideWhenUsed/>
    <w:rsid w:val="009877B2"/>
    <w:rPr>
      <w:color w:val="0563C1" w:themeColor="hyperlink"/>
      <w:u w:val="single"/>
    </w:rPr>
  </w:style>
  <w:style w:type="character" w:styleId="FollowedHyperlink">
    <w:name w:val="FollowedHyperlink"/>
    <w:basedOn w:val="DefaultParagraphFont"/>
    <w:uiPriority w:val="99"/>
    <w:semiHidden/>
    <w:unhideWhenUsed/>
    <w:rsid w:val="009877B2"/>
    <w:rPr>
      <w:color w:val="954F72" w:themeColor="followedHyperlink"/>
      <w:u w:val="single"/>
    </w:rPr>
  </w:style>
  <w:style w:type="character" w:customStyle="1" w:styleId="Vermelding1">
    <w:name w:val="Vermelding1"/>
    <w:basedOn w:val="DefaultParagraphFont"/>
    <w:uiPriority w:val="99"/>
    <w:semiHidden/>
    <w:unhideWhenUsed/>
    <w:rsid w:val="009877B2"/>
    <w:rPr>
      <w:color w:val="2B579A"/>
      <w:shd w:val="clear" w:color="auto" w:fill="E6E6E6"/>
    </w:rPr>
  </w:style>
  <w:style w:type="table" w:styleId="TableGrid">
    <w:name w:val="Table Grid"/>
    <w:basedOn w:val="TableNormal"/>
    <w:uiPriority w:val="39"/>
    <w:rsid w:val="009877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9877B2"/>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9877B2"/>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character" w:styleId="Strong">
    <w:name w:val="Strong"/>
    <w:basedOn w:val="DefaultParagraphFont"/>
    <w:uiPriority w:val="22"/>
    <w:qFormat/>
    <w:rsid w:val="009877B2"/>
    <w:rPr>
      <w:b/>
      <w:bCs/>
    </w:rPr>
  </w:style>
  <w:style w:type="character" w:customStyle="1" w:styleId="apple-converted-space">
    <w:name w:val="apple-converted-space"/>
    <w:basedOn w:val="DefaultParagraphFont"/>
    <w:rsid w:val="009877B2"/>
  </w:style>
  <w:style w:type="character" w:styleId="Emphasis">
    <w:name w:val="Emphasis"/>
    <w:basedOn w:val="DefaultParagraphFont"/>
    <w:uiPriority w:val="20"/>
    <w:qFormat/>
    <w:rsid w:val="009877B2"/>
    <w:rPr>
      <w:i/>
      <w:iCs/>
    </w:rPr>
  </w:style>
  <w:style w:type="paragraph" w:customStyle="1" w:styleId="astandardp1">
    <w:name w:val="a_standard_p1"/>
    <w:basedOn w:val="Normal"/>
    <w:rsid w:val="009877B2"/>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paragraph" w:customStyle="1" w:styleId="atiret200p18">
    <w:name w:val="a_tiret_20_0_p18"/>
    <w:basedOn w:val="Normal"/>
    <w:rsid w:val="009877B2"/>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character" w:customStyle="1" w:styleId="at2">
    <w:name w:val="a__t2"/>
    <w:basedOn w:val="DefaultParagraphFont"/>
    <w:rsid w:val="009877B2"/>
  </w:style>
  <w:style w:type="character" w:customStyle="1" w:styleId="afootnote20symbol">
    <w:name w:val="a__footnote_20_symbol"/>
    <w:basedOn w:val="DefaultParagraphFont"/>
    <w:rsid w:val="009877B2"/>
  </w:style>
  <w:style w:type="character" w:customStyle="1" w:styleId="at24">
    <w:name w:val="a__t24"/>
    <w:basedOn w:val="DefaultParagraphFont"/>
    <w:rsid w:val="009877B2"/>
  </w:style>
  <w:style w:type="character" w:customStyle="1" w:styleId="at4">
    <w:name w:val="a__t4"/>
    <w:basedOn w:val="DefaultParagraphFont"/>
    <w:rsid w:val="009877B2"/>
  </w:style>
  <w:style w:type="character" w:customStyle="1" w:styleId="at23">
    <w:name w:val="a__t23"/>
    <w:basedOn w:val="DefaultParagraphFont"/>
    <w:rsid w:val="009877B2"/>
  </w:style>
  <w:style w:type="paragraph" w:customStyle="1" w:styleId="story-body-text">
    <w:name w:val="story-body-text"/>
    <w:basedOn w:val="Normal"/>
    <w:rsid w:val="009877B2"/>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paragraph" w:customStyle="1" w:styleId="contents">
    <w:name w:val="contents"/>
    <w:basedOn w:val="Normal"/>
    <w:rsid w:val="009877B2"/>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character" w:customStyle="1" w:styleId="italic">
    <w:name w:val="italic"/>
    <w:basedOn w:val="DefaultParagraphFont"/>
    <w:rsid w:val="009877B2"/>
  </w:style>
  <w:style w:type="character" w:customStyle="1" w:styleId="Vermelding2">
    <w:name w:val="Vermelding2"/>
    <w:basedOn w:val="DefaultParagraphFont"/>
    <w:uiPriority w:val="99"/>
    <w:semiHidden/>
    <w:unhideWhenUsed/>
    <w:rsid w:val="009877B2"/>
    <w:rPr>
      <w:color w:val="2B579A"/>
      <w:shd w:val="clear" w:color="auto" w:fill="E6E6E6"/>
    </w:rPr>
  </w:style>
  <w:style w:type="paragraph" w:styleId="CommentSubject">
    <w:name w:val="annotation subject"/>
    <w:basedOn w:val="CommentText"/>
    <w:next w:val="CommentText"/>
    <w:link w:val="CommentSubjectChar"/>
    <w:uiPriority w:val="99"/>
    <w:semiHidden/>
    <w:unhideWhenUsed/>
    <w:rsid w:val="009877B2"/>
    <w:pPr>
      <w:spacing w:after="160"/>
    </w:pPr>
    <w:rPr>
      <w:b/>
      <w:bCs/>
    </w:rPr>
  </w:style>
  <w:style w:type="character" w:customStyle="1" w:styleId="CommentSubjectChar">
    <w:name w:val="Comment Subject Char"/>
    <w:basedOn w:val="CommentTextChar"/>
    <w:link w:val="CommentSubject"/>
    <w:uiPriority w:val="99"/>
    <w:semiHidden/>
    <w:rsid w:val="009877B2"/>
    <w:rPr>
      <w:b/>
      <w:bCs/>
      <w:sz w:val="20"/>
      <w:szCs w:val="20"/>
    </w:rPr>
  </w:style>
  <w:style w:type="character" w:customStyle="1" w:styleId="Heading1Char">
    <w:name w:val="Heading 1 Char"/>
    <w:basedOn w:val="DefaultParagraphFont"/>
    <w:link w:val="Heading1"/>
    <w:uiPriority w:val="9"/>
    <w:rsid w:val="00DD1574"/>
    <w:rPr>
      <w:rFonts w:asciiTheme="majorHAnsi" w:eastAsiaTheme="majorEastAsia" w:hAnsiTheme="majorHAnsi" w:cstheme="majorBidi"/>
      <w:color w:val="2F5496" w:themeColor="accent1" w:themeShade="BF"/>
      <w:sz w:val="32"/>
      <w:szCs w:val="32"/>
      <w:lang w:val="en-GB"/>
    </w:rPr>
  </w:style>
  <w:style w:type="paragraph" w:styleId="TOCHeading">
    <w:name w:val="TOC Heading"/>
    <w:basedOn w:val="Heading1"/>
    <w:next w:val="Normal"/>
    <w:uiPriority w:val="39"/>
    <w:unhideWhenUsed/>
    <w:qFormat/>
    <w:rsid w:val="00DD1574"/>
    <w:pPr>
      <w:outlineLvl w:val="9"/>
    </w:pPr>
    <w:rPr>
      <w:lang w:val="en-US"/>
    </w:rPr>
  </w:style>
  <w:style w:type="paragraph" w:styleId="TOC2">
    <w:name w:val="toc 2"/>
    <w:basedOn w:val="Normal"/>
    <w:next w:val="Normal"/>
    <w:autoRedefine/>
    <w:uiPriority w:val="39"/>
    <w:unhideWhenUsed/>
    <w:rsid w:val="00DD1574"/>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4F19C8"/>
    <w:pPr>
      <w:tabs>
        <w:tab w:val="right" w:leader="dot" w:pos="9062"/>
      </w:tabs>
      <w:spacing w:after="100"/>
    </w:pPr>
    <w:rPr>
      <w:rFonts w:eastAsiaTheme="minorEastAsia" w:cs="Times New Roman"/>
      <w:lang w:val="en-US"/>
    </w:rPr>
  </w:style>
  <w:style w:type="paragraph" w:styleId="TOC3">
    <w:name w:val="toc 3"/>
    <w:basedOn w:val="Normal"/>
    <w:next w:val="Normal"/>
    <w:autoRedefine/>
    <w:uiPriority w:val="39"/>
    <w:unhideWhenUsed/>
    <w:rsid w:val="00DD1574"/>
    <w:pPr>
      <w:spacing w:after="100"/>
      <w:ind w:left="440"/>
    </w:pPr>
    <w:rPr>
      <w:rFonts w:eastAsiaTheme="minorEastAsia" w:cs="Times New Roman"/>
      <w:lang w:val="en-US"/>
    </w:rPr>
  </w:style>
  <w:style w:type="table" w:customStyle="1" w:styleId="GridTable1Light-Accent11">
    <w:name w:val="Grid Table 1 Light - Accent 11"/>
    <w:basedOn w:val="TableNormal"/>
    <w:uiPriority w:val="46"/>
    <w:rsid w:val="00DD1574"/>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Subtitle">
    <w:name w:val="Subtitle"/>
    <w:basedOn w:val="Normal"/>
    <w:next w:val="Normal"/>
    <w:link w:val="SubtitleChar"/>
    <w:uiPriority w:val="11"/>
    <w:qFormat/>
    <w:rsid w:val="0034411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4411E"/>
    <w:rPr>
      <w:rFonts w:eastAsiaTheme="minorEastAsia"/>
      <w:color w:val="5A5A5A" w:themeColor="text1" w:themeTint="A5"/>
      <w:spacing w:val="15"/>
      <w:lang w:val="en-GB"/>
    </w:rPr>
  </w:style>
  <w:style w:type="character" w:customStyle="1" w:styleId="Heading2Char">
    <w:name w:val="Heading 2 Char"/>
    <w:basedOn w:val="DefaultParagraphFont"/>
    <w:link w:val="Heading2"/>
    <w:uiPriority w:val="9"/>
    <w:rsid w:val="0034411E"/>
    <w:rPr>
      <w:rFonts w:asciiTheme="majorHAnsi" w:eastAsiaTheme="majorEastAsia" w:hAnsiTheme="majorHAnsi" w:cstheme="majorBidi"/>
      <w:color w:val="2F5496" w:themeColor="accent1" w:themeShade="BF"/>
      <w:sz w:val="26"/>
      <w:szCs w:val="26"/>
      <w:lang w:val="en-GB"/>
    </w:rPr>
  </w:style>
  <w:style w:type="character" w:customStyle="1" w:styleId="UnresolvedMention">
    <w:name w:val="Unresolved Mention"/>
    <w:basedOn w:val="DefaultParagraphFont"/>
    <w:uiPriority w:val="99"/>
    <w:semiHidden/>
    <w:unhideWhenUsed/>
    <w:rsid w:val="00A964C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20681">
      <w:bodyDiv w:val="1"/>
      <w:marLeft w:val="0"/>
      <w:marRight w:val="0"/>
      <w:marTop w:val="0"/>
      <w:marBottom w:val="0"/>
      <w:divBdr>
        <w:top w:val="none" w:sz="0" w:space="0" w:color="auto"/>
        <w:left w:val="none" w:sz="0" w:space="0" w:color="auto"/>
        <w:bottom w:val="none" w:sz="0" w:space="0" w:color="auto"/>
        <w:right w:val="none" w:sz="0" w:space="0" w:color="auto"/>
      </w:divBdr>
    </w:div>
    <w:div w:id="98989637">
      <w:bodyDiv w:val="1"/>
      <w:marLeft w:val="0"/>
      <w:marRight w:val="0"/>
      <w:marTop w:val="0"/>
      <w:marBottom w:val="0"/>
      <w:divBdr>
        <w:top w:val="none" w:sz="0" w:space="0" w:color="auto"/>
        <w:left w:val="none" w:sz="0" w:space="0" w:color="auto"/>
        <w:bottom w:val="none" w:sz="0" w:space="0" w:color="auto"/>
        <w:right w:val="none" w:sz="0" w:space="0" w:color="auto"/>
      </w:divBdr>
    </w:div>
    <w:div w:id="182208021">
      <w:bodyDiv w:val="1"/>
      <w:marLeft w:val="0"/>
      <w:marRight w:val="0"/>
      <w:marTop w:val="0"/>
      <w:marBottom w:val="0"/>
      <w:divBdr>
        <w:top w:val="none" w:sz="0" w:space="0" w:color="auto"/>
        <w:left w:val="none" w:sz="0" w:space="0" w:color="auto"/>
        <w:bottom w:val="none" w:sz="0" w:space="0" w:color="auto"/>
        <w:right w:val="none" w:sz="0" w:space="0" w:color="auto"/>
      </w:divBdr>
    </w:div>
    <w:div w:id="262761305">
      <w:bodyDiv w:val="1"/>
      <w:marLeft w:val="0"/>
      <w:marRight w:val="0"/>
      <w:marTop w:val="0"/>
      <w:marBottom w:val="0"/>
      <w:divBdr>
        <w:top w:val="none" w:sz="0" w:space="0" w:color="auto"/>
        <w:left w:val="none" w:sz="0" w:space="0" w:color="auto"/>
        <w:bottom w:val="none" w:sz="0" w:space="0" w:color="auto"/>
        <w:right w:val="none" w:sz="0" w:space="0" w:color="auto"/>
      </w:divBdr>
    </w:div>
    <w:div w:id="273446388">
      <w:bodyDiv w:val="1"/>
      <w:marLeft w:val="0"/>
      <w:marRight w:val="0"/>
      <w:marTop w:val="0"/>
      <w:marBottom w:val="0"/>
      <w:divBdr>
        <w:top w:val="none" w:sz="0" w:space="0" w:color="auto"/>
        <w:left w:val="none" w:sz="0" w:space="0" w:color="auto"/>
        <w:bottom w:val="none" w:sz="0" w:space="0" w:color="auto"/>
        <w:right w:val="none" w:sz="0" w:space="0" w:color="auto"/>
      </w:divBdr>
    </w:div>
    <w:div w:id="466624802">
      <w:bodyDiv w:val="1"/>
      <w:marLeft w:val="0"/>
      <w:marRight w:val="0"/>
      <w:marTop w:val="0"/>
      <w:marBottom w:val="0"/>
      <w:divBdr>
        <w:top w:val="none" w:sz="0" w:space="0" w:color="auto"/>
        <w:left w:val="none" w:sz="0" w:space="0" w:color="auto"/>
        <w:bottom w:val="none" w:sz="0" w:space="0" w:color="auto"/>
        <w:right w:val="none" w:sz="0" w:space="0" w:color="auto"/>
      </w:divBdr>
    </w:div>
    <w:div w:id="512497020">
      <w:bodyDiv w:val="1"/>
      <w:marLeft w:val="0"/>
      <w:marRight w:val="0"/>
      <w:marTop w:val="0"/>
      <w:marBottom w:val="0"/>
      <w:divBdr>
        <w:top w:val="none" w:sz="0" w:space="0" w:color="auto"/>
        <w:left w:val="none" w:sz="0" w:space="0" w:color="auto"/>
        <w:bottom w:val="none" w:sz="0" w:space="0" w:color="auto"/>
        <w:right w:val="none" w:sz="0" w:space="0" w:color="auto"/>
      </w:divBdr>
    </w:div>
    <w:div w:id="908925769">
      <w:bodyDiv w:val="1"/>
      <w:marLeft w:val="0"/>
      <w:marRight w:val="0"/>
      <w:marTop w:val="0"/>
      <w:marBottom w:val="0"/>
      <w:divBdr>
        <w:top w:val="none" w:sz="0" w:space="0" w:color="auto"/>
        <w:left w:val="none" w:sz="0" w:space="0" w:color="auto"/>
        <w:bottom w:val="none" w:sz="0" w:space="0" w:color="auto"/>
        <w:right w:val="none" w:sz="0" w:space="0" w:color="auto"/>
      </w:divBdr>
    </w:div>
    <w:div w:id="1009333022">
      <w:bodyDiv w:val="1"/>
      <w:marLeft w:val="0"/>
      <w:marRight w:val="0"/>
      <w:marTop w:val="0"/>
      <w:marBottom w:val="0"/>
      <w:divBdr>
        <w:top w:val="none" w:sz="0" w:space="0" w:color="auto"/>
        <w:left w:val="none" w:sz="0" w:space="0" w:color="auto"/>
        <w:bottom w:val="none" w:sz="0" w:space="0" w:color="auto"/>
        <w:right w:val="none" w:sz="0" w:space="0" w:color="auto"/>
      </w:divBdr>
    </w:div>
    <w:div w:id="1013537086">
      <w:bodyDiv w:val="1"/>
      <w:marLeft w:val="0"/>
      <w:marRight w:val="0"/>
      <w:marTop w:val="0"/>
      <w:marBottom w:val="0"/>
      <w:divBdr>
        <w:top w:val="none" w:sz="0" w:space="0" w:color="auto"/>
        <w:left w:val="none" w:sz="0" w:space="0" w:color="auto"/>
        <w:bottom w:val="none" w:sz="0" w:space="0" w:color="auto"/>
        <w:right w:val="none" w:sz="0" w:space="0" w:color="auto"/>
      </w:divBdr>
    </w:div>
    <w:div w:id="1756969899">
      <w:bodyDiv w:val="1"/>
      <w:marLeft w:val="0"/>
      <w:marRight w:val="0"/>
      <w:marTop w:val="0"/>
      <w:marBottom w:val="0"/>
      <w:divBdr>
        <w:top w:val="none" w:sz="0" w:space="0" w:color="auto"/>
        <w:left w:val="none" w:sz="0" w:space="0" w:color="auto"/>
        <w:bottom w:val="none" w:sz="0" w:space="0" w:color="auto"/>
        <w:right w:val="none" w:sz="0" w:space="0" w:color="auto"/>
      </w:divBdr>
    </w:div>
    <w:div w:id="1924876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euractiv.com/section/science-policymaking/news/eu-gmo-proposals-draw-" TargetMode="External"/><Relationship Id="rId18" Type="http://schemas.openxmlformats.org/officeDocument/2006/relationships/hyperlink" Target="http://www.greenpeace.org/eu-unit/en/News/2014/New-EU-law-grants-countries-right-to-" TargetMode="External"/><Relationship Id="rId26" Type="http://schemas.openxmlformats.org/officeDocument/2006/relationships/hyperlink" Target="http://academic.lexisnexis.eu/?lni=4RV1-6WM0-TX38-" TargetMode="External"/><Relationship Id="rId3" Type="http://schemas.openxmlformats.org/officeDocument/2006/relationships/styles" Target="styles.xml"/><Relationship Id="rId21" Type="http://schemas.openxmlformats.org/officeDocument/2006/relationships/hyperlink" Target="http://www.independent.co.uk/environment/nature/government-to-defy-critics-with-" TargetMode="External"/><Relationship Id="rId34" Type="http://schemas.openxmlformats.org/officeDocument/2006/relationships/hyperlink" Target="http://eur-lex.europa.eu/legal-content/EN/TXT/?uri=CELEX%3A12002E%2FTXT" TargetMode="External"/><Relationship Id="rId7" Type="http://schemas.openxmlformats.org/officeDocument/2006/relationships/endnotes" Target="endnotes.xml"/><Relationship Id="rId12" Type="http://schemas.openxmlformats.org/officeDocument/2006/relationships/hyperlink" Target="http://www.euractiv.com/section/climate-environment/news/france-to-" TargetMode="External"/><Relationship Id="rId17" Type="http://schemas.openxmlformats.org/officeDocument/2006/relationships/hyperlink" Target="http://eur-lex.europa.eu/legal-" TargetMode="External"/><Relationship Id="rId25" Type="http://schemas.openxmlformats.org/officeDocument/2006/relationships/hyperlink" Target="http://www.nytimes.com/2012/01/17/business/global/17iht-" TargetMode="External"/><Relationship Id="rId33" Type="http://schemas.openxmlformats.org/officeDocument/2006/relationships/hyperlink" Target="http://www.euractiv.com/section/agriculture-food/news/german-"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euractiv.com/section/agriculture-food/news/eu-" TargetMode="External"/><Relationship Id="rId20" Type="http://schemas.openxmlformats.org/officeDocument/2006/relationships/hyperlink" Target="https://www.ft.com/content/624a88c6-97db-11da-816b-0000779e2340" TargetMode="External"/><Relationship Id="rId29" Type="http://schemas.openxmlformats.org/officeDocument/2006/relationships/hyperlink" Target="https://www.theguardian.com/environment/2008/feb/16/gmcrops.foo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uractiv.com/section/science-policymaking/news/commission-hesitant-to-" TargetMode="External"/><Relationship Id="rId24" Type="http://schemas.openxmlformats.org/officeDocument/2006/relationships/hyperlink" Target="http://www.reuters.com/article/us-germany-gmo-vote-" TargetMode="External"/><Relationship Id="rId32" Type="http://schemas.openxmlformats.org/officeDocument/2006/relationships/hyperlink" Target="http://academic.lexisnexis.eu.ru.idm.oclc.org/?lni=5DKV-"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euractiv.com/section/agriculture-food/news/monsanto-to-drop-requests-" TargetMode="External"/><Relationship Id="rId23" Type="http://schemas.openxmlformats.org/officeDocument/2006/relationships/hyperlink" Target="http://www.reuters.com/article/us-france-gmo-idUSL202805920070320" TargetMode="External"/><Relationship Id="rId28" Type="http://schemas.openxmlformats.org/officeDocument/2006/relationships/hyperlink" Target="https://www.nexis.com/results/shared/controller/enhpermalink.do?permaLinkInfoKey=0_T2%096249509348&amp;selThresholdvalue=undefined" TargetMode="External"/><Relationship Id="rId36" Type="http://schemas.openxmlformats.org/officeDocument/2006/relationships/footer" Target="footer1.xml"/><Relationship Id="rId10" Type="http://schemas.openxmlformats.org/officeDocument/2006/relationships/hyperlink" Target="http://academic.lexisnexis.eu/?lni=4SX8-3P50-TWB6-%60" TargetMode="External"/><Relationship Id="rId19" Type="http://schemas.openxmlformats.org/officeDocument/2006/relationships/hyperlink" Target="http://www.gmo-free-regions.org/gmo-free-" TargetMode="External"/><Relationship Id="rId31" Type="http://schemas.openxmlformats.org/officeDocument/2006/relationships/hyperlink" Target="http://www.spiegel.de/international/germany/monsanto-uprooted-"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euractiv.com/section/agriculture-food/news/eu-freezes-approval-of-" TargetMode="External"/><Relationship Id="rId22" Type="http://schemas.openxmlformats.org/officeDocument/2006/relationships/hyperlink" Target="https://www.euractiv.com/section/agriculture-food/news/brussels-reopens-" TargetMode="External"/><Relationship Id="rId27" Type="http://schemas.openxmlformats.org/officeDocument/2006/relationships/hyperlink" Target="http://af.reuters.com/article/commodities07News/idAFL5E8CO3J920120124" TargetMode="External"/><Relationship Id="rId30" Type="http://schemas.openxmlformats.org/officeDocument/2006/relationships/hyperlink" Target="https://www.nexis.com/results/shared/controller/enhpermalink.do?permaLinkInfoKey=0_T2" TargetMode="External"/><Relationship Id="rId35" Type="http://schemas.openxmlformats.org/officeDocument/2006/relationships/hyperlink" Target="https://www.nexis.com/results/shared/controller/enhpermalink.do?permaLinkInfoKey=0_T2" TargetMode="External"/><Relationship Id="rId43" Type="http://schemas.microsoft.com/office/2016/09/relationships/commentsIds" Target="commentsId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8F7DF8-1163-494D-AEDA-7BF5F57A11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95</Pages>
  <Words>29052</Words>
  <Characters>159790</Characters>
  <Application>Microsoft Office Word</Application>
  <DocSecurity>4</DocSecurity>
  <Lines>1331</Lines>
  <Paragraphs>376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188466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Roelofs, F.F.W. (Finn)</dc:creator>
  <cp:keywords/>
  <dc:description/>
  <cp:lastModifiedBy>Eimer, T.R. (Thomas)</cp:lastModifiedBy>
  <cp:revision>2</cp:revision>
  <cp:lastPrinted>2017-08-14T13:48:00Z</cp:lastPrinted>
  <dcterms:created xsi:type="dcterms:W3CDTF">2017-08-14T14:15:00Z</dcterms:created>
  <dcterms:modified xsi:type="dcterms:W3CDTF">2017-08-14T14:15:00Z</dcterms:modified>
</cp:coreProperties>
</file>