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1DAFE4" w14:textId="77777777" w:rsidR="002566CB" w:rsidRDefault="002566CB" w:rsidP="002566CB">
      <w:pPr>
        <w:pStyle w:val="Title"/>
        <w:jc w:val="center"/>
        <w:rPr>
          <w:lang w:val="en-GB"/>
        </w:rPr>
      </w:pPr>
      <w:bookmarkStart w:id="0" w:name="_GoBack"/>
      <w:bookmarkEnd w:id="0"/>
    </w:p>
    <w:p w14:paraId="4DF1A454" w14:textId="77777777" w:rsidR="002566CB" w:rsidRDefault="002566CB" w:rsidP="002566CB">
      <w:pPr>
        <w:pStyle w:val="Title"/>
        <w:jc w:val="center"/>
        <w:rPr>
          <w:lang w:val="en-GB"/>
        </w:rPr>
      </w:pPr>
    </w:p>
    <w:p w14:paraId="5CE1FB28" w14:textId="204539C2" w:rsidR="00E301E1" w:rsidRDefault="00E301E1" w:rsidP="002566CB">
      <w:pPr>
        <w:pStyle w:val="Title"/>
        <w:jc w:val="center"/>
        <w:rPr>
          <w:lang w:val="en-GB"/>
        </w:rPr>
      </w:pPr>
      <w:r w:rsidRPr="00471F6A">
        <w:rPr>
          <w:lang w:val="en-GB"/>
        </w:rPr>
        <w:t xml:space="preserve">The bodies </w:t>
      </w:r>
      <w:r w:rsidR="00F90C8C">
        <w:rPr>
          <w:lang w:val="en-GB"/>
        </w:rPr>
        <w:t>of</w:t>
      </w:r>
      <w:r w:rsidRPr="00471F6A">
        <w:rPr>
          <w:lang w:val="en-GB"/>
        </w:rPr>
        <w:t xml:space="preserve"> Beirut versus the </w:t>
      </w:r>
      <w:r w:rsidR="004417ED">
        <w:rPr>
          <w:lang w:val="en-GB"/>
        </w:rPr>
        <w:t>precious</w:t>
      </w:r>
      <w:r w:rsidRPr="00471F6A">
        <w:rPr>
          <w:lang w:val="en-GB"/>
        </w:rPr>
        <w:t xml:space="preserve"> </w:t>
      </w:r>
      <w:r w:rsidR="00F90C8C">
        <w:rPr>
          <w:lang w:val="en-GB"/>
        </w:rPr>
        <w:t>of</w:t>
      </w:r>
      <w:r w:rsidRPr="00471F6A">
        <w:rPr>
          <w:lang w:val="en-GB"/>
        </w:rPr>
        <w:t xml:space="preserve"> Paris:</w:t>
      </w:r>
    </w:p>
    <w:p w14:paraId="646D16A7" w14:textId="4C79B62D" w:rsidR="00E301E1" w:rsidRPr="00471F6A" w:rsidRDefault="00E301E1" w:rsidP="002566CB">
      <w:pPr>
        <w:pStyle w:val="Title"/>
        <w:jc w:val="center"/>
        <w:rPr>
          <w:lang w:val="en-GB"/>
        </w:rPr>
      </w:pPr>
      <w:r w:rsidRPr="00471F6A">
        <w:rPr>
          <w:lang w:val="en-GB"/>
        </w:rPr>
        <w:t xml:space="preserve">How the Guardian reflects </w:t>
      </w:r>
      <w:r w:rsidR="00A54E75">
        <w:rPr>
          <w:lang w:val="en-GB"/>
        </w:rPr>
        <w:t xml:space="preserve">and </w:t>
      </w:r>
      <w:r w:rsidR="00773E14">
        <w:rPr>
          <w:lang w:val="en-GB"/>
        </w:rPr>
        <w:t>(re)</w:t>
      </w:r>
      <w:r w:rsidR="00A54E75">
        <w:rPr>
          <w:lang w:val="en-GB"/>
        </w:rPr>
        <w:t xml:space="preserve">produces </w:t>
      </w:r>
      <w:r w:rsidRPr="00471F6A">
        <w:rPr>
          <w:lang w:val="en-GB"/>
        </w:rPr>
        <w:t>power relations</w:t>
      </w:r>
    </w:p>
    <w:p w14:paraId="480AFECD" w14:textId="77777777" w:rsidR="00E301E1" w:rsidRDefault="00E301E1" w:rsidP="002566CB">
      <w:pPr>
        <w:spacing w:line="240" w:lineRule="auto"/>
        <w:rPr>
          <w:lang w:val="en-GB"/>
        </w:rPr>
      </w:pPr>
    </w:p>
    <w:p w14:paraId="5125A0B0" w14:textId="77777777" w:rsidR="002566CB" w:rsidRDefault="002566CB" w:rsidP="002566CB">
      <w:pPr>
        <w:spacing w:line="240" w:lineRule="auto"/>
        <w:rPr>
          <w:lang w:val="en-GB"/>
        </w:rPr>
      </w:pPr>
    </w:p>
    <w:p w14:paraId="318EC8A9" w14:textId="77777777" w:rsidR="002566CB" w:rsidRDefault="002566CB" w:rsidP="002566CB">
      <w:pPr>
        <w:spacing w:line="240" w:lineRule="auto"/>
        <w:rPr>
          <w:lang w:val="en-GB"/>
        </w:rPr>
      </w:pPr>
    </w:p>
    <w:p w14:paraId="4DB4BC35" w14:textId="77777777" w:rsidR="002566CB" w:rsidRDefault="002566CB" w:rsidP="002566CB">
      <w:pPr>
        <w:spacing w:line="240" w:lineRule="auto"/>
        <w:rPr>
          <w:lang w:val="en-GB"/>
        </w:rPr>
      </w:pPr>
    </w:p>
    <w:p w14:paraId="3E231D81" w14:textId="77777777" w:rsidR="002566CB" w:rsidRDefault="002566CB" w:rsidP="002566CB">
      <w:pPr>
        <w:spacing w:line="240" w:lineRule="auto"/>
        <w:rPr>
          <w:lang w:val="en-GB"/>
        </w:rPr>
      </w:pPr>
    </w:p>
    <w:p w14:paraId="2B926684" w14:textId="77777777" w:rsidR="002566CB" w:rsidRDefault="002566CB" w:rsidP="002566CB">
      <w:pPr>
        <w:spacing w:line="240" w:lineRule="auto"/>
        <w:rPr>
          <w:lang w:val="en-GB"/>
        </w:rPr>
      </w:pPr>
    </w:p>
    <w:p w14:paraId="2A73A2FB" w14:textId="77777777" w:rsidR="002566CB" w:rsidRDefault="002566CB" w:rsidP="002566CB">
      <w:pPr>
        <w:spacing w:line="240" w:lineRule="auto"/>
        <w:rPr>
          <w:lang w:val="en-GB"/>
        </w:rPr>
      </w:pPr>
    </w:p>
    <w:p w14:paraId="68DDDB28" w14:textId="77777777" w:rsidR="00E301E1" w:rsidRPr="008768AA" w:rsidRDefault="00E301E1" w:rsidP="002566CB">
      <w:pPr>
        <w:spacing w:line="240" w:lineRule="auto"/>
        <w:rPr>
          <w:lang w:val="en-GB"/>
        </w:rPr>
      </w:pPr>
      <w:r w:rsidRPr="008768AA">
        <w:rPr>
          <w:lang w:val="en-GB"/>
        </w:rPr>
        <w:t>Anne L. Groothuis</w:t>
      </w:r>
    </w:p>
    <w:p w14:paraId="222D81D2" w14:textId="3BD5B12F" w:rsidR="00E301E1" w:rsidRPr="008768AA" w:rsidRDefault="00293A32" w:rsidP="002566CB">
      <w:pPr>
        <w:spacing w:line="240" w:lineRule="auto"/>
        <w:rPr>
          <w:lang w:val="en-GB"/>
        </w:rPr>
      </w:pPr>
      <w:r>
        <w:rPr>
          <w:lang w:val="en-GB"/>
        </w:rPr>
        <w:t>s</w:t>
      </w:r>
      <w:r w:rsidR="00E301E1" w:rsidRPr="008768AA">
        <w:rPr>
          <w:lang w:val="en-GB"/>
        </w:rPr>
        <w:t>4616596</w:t>
      </w:r>
    </w:p>
    <w:p w14:paraId="7A02D635" w14:textId="248E8E8C" w:rsidR="004B16A2" w:rsidRPr="004B16A2" w:rsidRDefault="004B16A2" w:rsidP="002566CB">
      <w:pPr>
        <w:spacing w:line="240" w:lineRule="auto"/>
        <w:rPr>
          <w:lang w:val="en-GB"/>
        </w:rPr>
      </w:pPr>
      <w:r w:rsidRPr="00483CAB">
        <w:rPr>
          <w:lang w:val="en-GB"/>
        </w:rPr>
        <w:t>annelouisegroothuis@gmail.com</w:t>
      </w:r>
      <w:r w:rsidRPr="004B16A2">
        <w:rPr>
          <w:lang w:val="en-GB"/>
        </w:rPr>
        <w:t xml:space="preserve"> </w:t>
      </w:r>
    </w:p>
    <w:p w14:paraId="33C2BF80" w14:textId="3085590A" w:rsidR="004B16A2" w:rsidRPr="004B16A2" w:rsidRDefault="004B16A2" w:rsidP="002566CB">
      <w:pPr>
        <w:spacing w:line="240" w:lineRule="auto"/>
        <w:rPr>
          <w:lang w:val="en-GB"/>
        </w:rPr>
      </w:pPr>
      <w:r w:rsidRPr="004B16A2">
        <w:rPr>
          <w:lang w:val="en-GB"/>
        </w:rPr>
        <w:t>Master’s Specialisation in Political Theory</w:t>
      </w:r>
    </w:p>
    <w:p w14:paraId="21E38581" w14:textId="034C45A0" w:rsidR="004B16A2" w:rsidRDefault="004B16A2" w:rsidP="002566CB">
      <w:pPr>
        <w:spacing w:line="240" w:lineRule="auto"/>
        <w:rPr>
          <w:lang w:val="en-GB"/>
        </w:rPr>
      </w:pPr>
      <w:r>
        <w:rPr>
          <w:lang w:val="en-GB"/>
        </w:rPr>
        <w:t>Radboud University</w:t>
      </w:r>
    </w:p>
    <w:p w14:paraId="744EB104" w14:textId="09E9CA09" w:rsidR="00773E14" w:rsidRDefault="004B16A2" w:rsidP="002566CB">
      <w:pPr>
        <w:spacing w:line="240" w:lineRule="auto"/>
        <w:rPr>
          <w:lang w:val="en-GB"/>
        </w:rPr>
      </w:pPr>
      <w:r>
        <w:rPr>
          <w:lang w:val="en-GB"/>
        </w:rPr>
        <w:t>Nijmegen, the Netherlands</w:t>
      </w:r>
    </w:p>
    <w:p w14:paraId="2017B17E" w14:textId="77777777" w:rsidR="004B16A2" w:rsidRDefault="004B16A2" w:rsidP="002566CB">
      <w:pPr>
        <w:spacing w:line="240" w:lineRule="auto"/>
        <w:rPr>
          <w:lang w:val="en-GB"/>
        </w:rPr>
      </w:pPr>
    </w:p>
    <w:p w14:paraId="64F499EC" w14:textId="16C1E96C" w:rsidR="004B16A2" w:rsidRDefault="004B16A2" w:rsidP="002566CB">
      <w:pPr>
        <w:spacing w:line="240" w:lineRule="auto"/>
        <w:rPr>
          <w:lang w:val="en-GB"/>
        </w:rPr>
      </w:pPr>
      <w:r>
        <w:rPr>
          <w:lang w:val="en-GB"/>
        </w:rPr>
        <w:t>Supervisor: dr. A. Topolski</w:t>
      </w:r>
    </w:p>
    <w:p w14:paraId="0FFB36B6" w14:textId="122DBCA7" w:rsidR="00293A32" w:rsidRDefault="00293A32" w:rsidP="002566CB">
      <w:pPr>
        <w:spacing w:line="240" w:lineRule="auto"/>
        <w:rPr>
          <w:lang w:val="en-GB"/>
        </w:rPr>
      </w:pPr>
      <w:r>
        <w:rPr>
          <w:lang w:val="en-GB"/>
        </w:rPr>
        <w:t>Second reader: dr. R.B.J. Tinnevelt</w:t>
      </w:r>
    </w:p>
    <w:p w14:paraId="2824A349" w14:textId="77777777" w:rsidR="004B16A2" w:rsidRDefault="004B16A2" w:rsidP="002566CB">
      <w:pPr>
        <w:spacing w:line="240" w:lineRule="auto"/>
        <w:rPr>
          <w:lang w:val="en-GB"/>
        </w:rPr>
      </w:pPr>
    </w:p>
    <w:p w14:paraId="2098F333" w14:textId="5144963C" w:rsidR="004B16A2" w:rsidRDefault="004B16A2" w:rsidP="002566CB">
      <w:pPr>
        <w:spacing w:line="240" w:lineRule="auto"/>
        <w:rPr>
          <w:lang w:val="en-GB"/>
        </w:rPr>
      </w:pPr>
      <w:r>
        <w:rPr>
          <w:lang w:val="en-GB"/>
        </w:rPr>
        <w:t>Date: August 1</w:t>
      </w:r>
      <w:r w:rsidR="002F1536">
        <w:rPr>
          <w:lang w:val="en-GB"/>
        </w:rPr>
        <w:t>5</w:t>
      </w:r>
      <w:r>
        <w:rPr>
          <w:lang w:val="en-GB"/>
        </w:rPr>
        <w:t>, 2016</w:t>
      </w:r>
    </w:p>
    <w:p w14:paraId="7CD4D6FE" w14:textId="71B0C7F5" w:rsidR="004B16A2" w:rsidRDefault="002566CB" w:rsidP="002566CB">
      <w:pPr>
        <w:spacing w:line="240" w:lineRule="auto"/>
        <w:rPr>
          <w:lang w:val="en-GB"/>
        </w:rPr>
      </w:pPr>
      <w:r>
        <w:rPr>
          <w:lang w:val="en-GB"/>
        </w:rPr>
        <w:t xml:space="preserve">Word count: </w:t>
      </w:r>
      <w:r w:rsidR="00FD0D78">
        <w:rPr>
          <w:lang w:val="en-GB"/>
        </w:rPr>
        <w:t>34,</w:t>
      </w:r>
      <w:r w:rsidR="007A4895">
        <w:rPr>
          <w:lang w:val="en-GB"/>
        </w:rPr>
        <w:t>233</w:t>
      </w:r>
      <w:r w:rsidR="004B16A2">
        <w:rPr>
          <w:lang w:val="en-GB"/>
        </w:rPr>
        <w:br w:type="page"/>
      </w:r>
    </w:p>
    <w:p w14:paraId="3083CB68" w14:textId="77777777" w:rsidR="00DF5C20" w:rsidRDefault="00DF5C20">
      <w:pPr>
        <w:rPr>
          <w:rFonts w:asciiTheme="majorHAnsi" w:eastAsiaTheme="majorEastAsia" w:hAnsiTheme="majorHAnsi" w:cstheme="majorBidi"/>
          <w:color w:val="2E74B5" w:themeColor="accent1" w:themeShade="BF"/>
          <w:sz w:val="36"/>
          <w:szCs w:val="36"/>
          <w:lang w:val="en-GB"/>
        </w:rPr>
      </w:pPr>
      <w:bookmarkStart w:id="1" w:name="_Toc457239474"/>
      <w:bookmarkStart w:id="2" w:name="_Toc458425041"/>
      <w:r>
        <w:rPr>
          <w:lang w:val="en-GB"/>
        </w:rPr>
        <w:lastRenderedPageBreak/>
        <w:br w:type="page"/>
      </w:r>
    </w:p>
    <w:p w14:paraId="40C87BC9" w14:textId="0A4913A8" w:rsidR="004B16A2" w:rsidRDefault="004B16A2" w:rsidP="00E52F0F">
      <w:pPr>
        <w:pStyle w:val="Heading1"/>
        <w:spacing w:line="360" w:lineRule="auto"/>
        <w:rPr>
          <w:lang w:val="en-GB"/>
        </w:rPr>
      </w:pPr>
      <w:bookmarkStart w:id="3" w:name="_Toc458983386"/>
      <w:r>
        <w:rPr>
          <w:lang w:val="en-GB"/>
        </w:rPr>
        <w:lastRenderedPageBreak/>
        <w:t>Abstract</w:t>
      </w:r>
      <w:bookmarkEnd w:id="1"/>
      <w:bookmarkEnd w:id="2"/>
      <w:bookmarkEnd w:id="3"/>
      <w:r>
        <w:rPr>
          <w:lang w:val="en-GB"/>
        </w:rPr>
        <w:t xml:space="preserve"> </w:t>
      </w:r>
    </w:p>
    <w:p w14:paraId="5DA20D09" w14:textId="77777777" w:rsidR="004B16A2" w:rsidRDefault="004B16A2" w:rsidP="00E52F0F">
      <w:pPr>
        <w:spacing w:line="360" w:lineRule="auto"/>
        <w:rPr>
          <w:lang w:val="en-GB"/>
        </w:rPr>
      </w:pPr>
    </w:p>
    <w:p w14:paraId="67FE34CA" w14:textId="108A25BB" w:rsidR="004B16A2" w:rsidRDefault="00DF5C20" w:rsidP="00E52F0F">
      <w:pPr>
        <w:spacing w:line="360" w:lineRule="auto"/>
        <w:jc w:val="both"/>
        <w:rPr>
          <w:lang w:val="en-GB"/>
        </w:rPr>
      </w:pPr>
      <w:r>
        <w:rPr>
          <w:lang w:val="en-GB"/>
        </w:rPr>
        <w:t>Within a day a</w:t>
      </w:r>
      <w:r w:rsidR="00E0185F">
        <w:rPr>
          <w:lang w:val="en-GB"/>
        </w:rPr>
        <w:t xml:space="preserve">fter the terror attacks in Beirut and Paris in November 2015, an outcry on social media concerning the difference in coverage of both </w:t>
      </w:r>
      <w:r w:rsidR="00E0185F" w:rsidRPr="003815C7">
        <w:rPr>
          <w:lang w:val="en-GB"/>
        </w:rPr>
        <w:t>attacks</w:t>
      </w:r>
      <w:r w:rsidRPr="003815C7">
        <w:rPr>
          <w:lang w:val="en-GB"/>
        </w:rPr>
        <w:t xml:space="preserve"> </w:t>
      </w:r>
      <w:r w:rsidR="003815C7" w:rsidRPr="003815C7">
        <w:rPr>
          <w:lang w:val="en-GB"/>
        </w:rPr>
        <w:t>commenced. Starting</w:t>
      </w:r>
      <w:r w:rsidR="00E0185F" w:rsidRPr="003815C7">
        <w:rPr>
          <w:lang w:val="en-GB"/>
        </w:rPr>
        <w:t xml:space="preserve"> from the</w:t>
      </w:r>
      <w:r w:rsidR="00E0185F">
        <w:rPr>
          <w:lang w:val="en-GB"/>
        </w:rPr>
        <w:t xml:space="preserve"> question whether the critique voiced in this outcry was justified, this dissertation discusses the power relations reflected and (re)produced in the</w:t>
      </w:r>
      <w:r w:rsidR="00E323DC">
        <w:rPr>
          <w:lang w:val="en-GB"/>
        </w:rPr>
        <w:t xml:space="preserve"> discourses on the victims, witnesses, and their relatives in the</w:t>
      </w:r>
      <w:r w:rsidR="00E0185F">
        <w:rPr>
          <w:lang w:val="en-GB"/>
        </w:rPr>
        <w:t xml:space="preserve"> articles on the Beirut and Paris attacks of November 2015 published in the Guardian. The Critical Discourse Analysis approach of Siegfried Jäger was used to distil results, and Michel Foucault’s thoughts on power, knowledge, and the subject to interpret these results. </w:t>
      </w:r>
      <w:r w:rsidR="00483CAB">
        <w:rPr>
          <w:lang w:val="en-GB"/>
        </w:rPr>
        <w:t xml:space="preserve">Despite some resistance </w:t>
      </w:r>
      <w:r w:rsidR="00483CAB" w:rsidRPr="003815C7">
        <w:rPr>
          <w:lang w:val="en-GB"/>
        </w:rPr>
        <w:t xml:space="preserve">points, the Guardian often </w:t>
      </w:r>
      <w:r w:rsidR="003815C7" w:rsidRPr="003815C7">
        <w:rPr>
          <w:lang w:val="en-GB"/>
        </w:rPr>
        <w:t>classifies the people of Beirut</w:t>
      </w:r>
      <w:r w:rsidR="00483CAB" w:rsidRPr="003815C7">
        <w:rPr>
          <w:lang w:val="en-GB"/>
        </w:rPr>
        <w:t xml:space="preserve"> according to demographic features</w:t>
      </w:r>
      <w:r w:rsidR="003815C7" w:rsidRPr="003815C7">
        <w:rPr>
          <w:lang w:val="en-GB"/>
        </w:rPr>
        <w:t>, thereby objectifying them,</w:t>
      </w:r>
      <w:r w:rsidR="00483CAB" w:rsidRPr="003815C7">
        <w:rPr>
          <w:lang w:val="en-GB"/>
        </w:rPr>
        <w:t xml:space="preserve"> </w:t>
      </w:r>
      <w:r w:rsidR="003815C7" w:rsidRPr="003815C7">
        <w:rPr>
          <w:lang w:val="en-GB"/>
        </w:rPr>
        <w:t xml:space="preserve">and focuses </w:t>
      </w:r>
      <w:r w:rsidR="00483CAB" w:rsidRPr="003815C7">
        <w:rPr>
          <w:lang w:val="en-GB"/>
        </w:rPr>
        <w:t>on the emotions</w:t>
      </w:r>
      <w:r w:rsidR="003815C7" w:rsidRPr="003815C7">
        <w:rPr>
          <w:lang w:val="en-GB"/>
        </w:rPr>
        <w:t xml:space="preserve"> of the people in Paris, thereby humanising them</w:t>
      </w:r>
      <w:r w:rsidR="00483CAB" w:rsidRPr="003815C7">
        <w:rPr>
          <w:lang w:val="en-GB"/>
        </w:rPr>
        <w:t xml:space="preserve">. </w:t>
      </w:r>
      <w:r w:rsidR="003815C7" w:rsidRPr="003815C7">
        <w:rPr>
          <w:lang w:val="en-GB"/>
        </w:rPr>
        <w:t>If unchallenged, t</w:t>
      </w:r>
      <w:r w:rsidR="00483CAB" w:rsidRPr="003815C7">
        <w:rPr>
          <w:lang w:val="en-GB"/>
        </w:rPr>
        <w:t>his may negatively influence the</w:t>
      </w:r>
      <w:r w:rsidR="003815C7" w:rsidRPr="003815C7">
        <w:rPr>
          <w:lang w:val="en-GB"/>
        </w:rPr>
        <w:t xml:space="preserve"> coverage of other terror attacks, as well as the</w:t>
      </w:r>
      <w:r w:rsidR="00483CAB" w:rsidRPr="003815C7">
        <w:rPr>
          <w:lang w:val="en-GB"/>
        </w:rPr>
        <w:t xml:space="preserve"> discourses and actions</w:t>
      </w:r>
      <w:r w:rsidR="003815C7" w:rsidRPr="003815C7">
        <w:rPr>
          <w:lang w:val="en-GB"/>
        </w:rPr>
        <w:t xml:space="preserve"> around terrorism,</w:t>
      </w:r>
      <w:r w:rsidR="00483CAB" w:rsidRPr="003815C7">
        <w:rPr>
          <w:lang w:val="en-GB"/>
        </w:rPr>
        <w:t xml:space="preserve"> refugees,</w:t>
      </w:r>
      <w:r w:rsidR="003815C7" w:rsidRPr="003815C7">
        <w:rPr>
          <w:lang w:val="en-GB"/>
        </w:rPr>
        <w:t xml:space="preserve"> and foreign policies. This thesis thus identifies the need for a change in coverage</w:t>
      </w:r>
      <w:r w:rsidR="003815C7">
        <w:rPr>
          <w:lang w:val="en-GB"/>
        </w:rPr>
        <w:t>, moving to a coverage of both the effects of attacks on human lives and of the context, regardless of the location where the attack took place.</w:t>
      </w:r>
    </w:p>
    <w:p w14:paraId="2E969EA0" w14:textId="77777777" w:rsidR="00E0185F" w:rsidRDefault="00E0185F" w:rsidP="00E52F0F">
      <w:pPr>
        <w:spacing w:line="360" w:lineRule="auto"/>
        <w:rPr>
          <w:lang w:val="en-GB"/>
        </w:rPr>
      </w:pPr>
    </w:p>
    <w:p w14:paraId="2CDAF507" w14:textId="7536378E" w:rsidR="004B16A2" w:rsidRPr="004B16A2" w:rsidRDefault="004B16A2" w:rsidP="00E52F0F">
      <w:pPr>
        <w:spacing w:line="360" w:lineRule="auto"/>
        <w:rPr>
          <w:lang w:val="en-GB"/>
        </w:rPr>
      </w:pPr>
      <w:r w:rsidRPr="002566CB">
        <w:rPr>
          <w:rFonts w:asciiTheme="majorHAnsi" w:hAnsiTheme="majorHAnsi"/>
          <w:color w:val="2E74B5" w:themeColor="accent1" w:themeShade="BF"/>
          <w:lang w:val="en-GB"/>
        </w:rPr>
        <w:t>Key words</w:t>
      </w:r>
      <w:r w:rsidR="00BA71B9" w:rsidRPr="00483CAB">
        <w:rPr>
          <w:color w:val="2E74B5" w:themeColor="accent1" w:themeShade="BF"/>
          <w:lang w:val="en-GB"/>
        </w:rPr>
        <w:t xml:space="preserve">: </w:t>
      </w:r>
      <w:r w:rsidR="00BA71B9">
        <w:rPr>
          <w:lang w:val="en-GB"/>
        </w:rPr>
        <w:t>Michel Foucault, power relations, terror at</w:t>
      </w:r>
      <w:r w:rsidR="00483CAB">
        <w:rPr>
          <w:lang w:val="en-GB"/>
        </w:rPr>
        <w:t>tacks, Beirut, Paris, discourse</w:t>
      </w:r>
    </w:p>
    <w:p w14:paraId="46DA2B88" w14:textId="77777777" w:rsidR="002E410E" w:rsidRPr="004B16A2" w:rsidRDefault="002E410E" w:rsidP="00E52F0F">
      <w:pPr>
        <w:spacing w:line="360" w:lineRule="auto"/>
        <w:rPr>
          <w:lang w:val="en-GB"/>
        </w:rPr>
      </w:pPr>
    </w:p>
    <w:p w14:paraId="2FF09EC6" w14:textId="77777777" w:rsidR="00032AFF" w:rsidRPr="004B16A2" w:rsidRDefault="00032AFF" w:rsidP="00E52F0F">
      <w:pPr>
        <w:spacing w:line="360" w:lineRule="auto"/>
        <w:rPr>
          <w:lang w:val="en-GB"/>
        </w:rPr>
      </w:pPr>
    </w:p>
    <w:p w14:paraId="3D07E4F3" w14:textId="0259B60C" w:rsidR="00A92ABF" w:rsidRDefault="00032AFF" w:rsidP="00E52F0F">
      <w:pPr>
        <w:spacing w:line="360" w:lineRule="auto"/>
        <w:rPr>
          <w:lang w:val="en-GB"/>
        </w:rPr>
      </w:pPr>
      <w:r w:rsidRPr="004B16A2">
        <w:rPr>
          <w:lang w:val="en-GB"/>
        </w:rPr>
        <w:br w:type="page"/>
      </w:r>
    </w:p>
    <w:p w14:paraId="69528D27" w14:textId="4B1F112C" w:rsidR="00DF5C20" w:rsidRDefault="00DF5C20">
      <w:pPr>
        <w:rPr>
          <w:rFonts w:eastAsia="Times New Roman" w:cs="Times New Roman"/>
          <w:iCs/>
          <w:color w:val="222222"/>
          <w:sz w:val="27"/>
          <w:szCs w:val="27"/>
          <w:bdr w:val="none" w:sz="0" w:space="0" w:color="auto" w:frame="1"/>
          <w:lang w:val="en-GB" w:eastAsia="nl-NL"/>
        </w:rPr>
      </w:pPr>
      <w:r>
        <w:rPr>
          <w:rFonts w:eastAsia="Times New Roman" w:cs="Times New Roman"/>
          <w:iCs/>
          <w:color w:val="222222"/>
          <w:sz w:val="27"/>
          <w:szCs w:val="27"/>
          <w:bdr w:val="none" w:sz="0" w:space="0" w:color="auto" w:frame="1"/>
          <w:lang w:val="en-GB" w:eastAsia="nl-NL"/>
        </w:rPr>
        <w:lastRenderedPageBreak/>
        <w:br w:type="page"/>
      </w:r>
    </w:p>
    <w:p w14:paraId="01E2AE43" w14:textId="77777777" w:rsidR="00B13CDD" w:rsidRDefault="00B13CDD" w:rsidP="00E52F0F">
      <w:pPr>
        <w:spacing w:after="0" w:line="360" w:lineRule="auto"/>
        <w:jc w:val="center"/>
        <w:textAlignment w:val="baseline"/>
        <w:rPr>
          <w:rFonts w:eastAsia="Times New Roman" w:cs="Times New Roman"/>
          <w:iCs/>
          <w:color w:val="222222"/>
          <w:sz w:val="27"/>
          <w:szCs w:val="27"/>
          <w:bdr w:val="none" w:sz="0" w:space="0" w:color="auto" w:frame="1"/>
          <w:lang w:val="en-GB" w:eastAsia="nl-NL"/>
        </w:rPr>
      </w:pPr>
    </w:p>
    <w:p w14:paraId="1EFE0C47" w14:textId="77777777" w:rsidR="00B13CDD" w:rsidRDefault="00B13CDD" w:rsidP="00E52F0F">
      <w:pPr>
        <w:spacing w:after="0" w:line="360" w:lineRule="auto"/>
        <w:jc w:val="center"/>
        <w:textAlignment w:val="baseline"/>
        <w:rPr>
          <w:rFonts w:eastAsia="Times New Roman" w:cs="Times New Roman"/>
          <w:iCs/>
          <w:color w:val="222222"/>
          <w:sz w:val="27"/>
          <w:szCs w:val="27"/>
          <w:bdr w:val="none" w:sz="0" w:space="0" w:color="auto" w:frame="1"/>
          <w:lang w:val="en-GB" w:eastAsia="nl-NL"/>
        </w:rPr>
      </w:pPr>
    </w:p>
    <w:p w14:paraId="5D8421FA" w14:textId="77777777" w:rsidR="00663BC4" w:rsidRDefault="00663BC4" w:rsidP="00E52F0F">
      <w:pPr>
        <w:spacing w:after="0" w:line="360" w:lineRule="auto"/>
        <w:jc w:val="center"/>
        <w:textAlignment w:val="baseline"/>
        <w:rPr>
          <w:rFonts w:eastAsia="Times New Roman" w:cs="Times New Roman"/>
          <w:iCs/>
          <w:color w:val="222222"/>
          <w:sz w:val="27"/>
          <w:szCs w:val="27"/>
          <w:bdr w:val="none" w:sz="0" w:space="0" w:color="auto" w:frame="1"/>
          <w:lang w:val="en-GB" w:eastAsia="nl-NL"/>
        </w:rPr>
      </w:pPr>
    </w:p>
    <w:p w14:paraId="31184F02" w14:textId="77777777" w:rsidR="00663BC4" w:rsidRDefault="00663BC4" w:rsidP="00E52F0F">
      <w:pPr>
        <w:spacing w:after="0" w:line="360" w:lineRule="auto"/>
        <w:jc w:val="center"/>
        <w:textAlignment w:val="baseline"/>
        <w:rPr>
          <w:rFonts w:eastAsia="Times New Roman" w:cs="Times New Roman"/>
          <w:iCs/>
          <w:color w:val="222222"/>
          <w:sz w:val="27"/>
          <w:szCs w:val="27"/>
          <w:bdr w:val="none" w:sz="0" w:space="0" w:color="auto" w:frame="1"/>
          <w:lang w:val="en-GB" w:eastAsia="nl-NL"/>
        </w:rPr>
      </w:pPr>
    </w:p>
    <w:p w14:paraId="0C9BDBBE" w14:textId="77777777" w:rsidR="00663BC4" w:rsidRDefault="00663BC4" w:rsidP="00E52F0F">
      <w:pPr>
        <w:spacing w:after="0" w:line="360" w:lineRule="auto"/>
        <w:jc w:val="center"/>
        <w:textAlignment w:val="baseline"/>
        <w:rPr>
          <w:rFonts w:eastAsia="Times New Roman" w:cs="Times New Roman"/>
          <w:iCs/>
          <w:color w:val="222222"/>
          <w:sz w:val="27"/>
          <w:szCs w:val="27"/>
          <w:bdr w:val="none" w:sz="0" w:space="0" w:color="auto" w:frame="1"/>
          <w:lang w:val="en-GB" w:eastAsia="nl-NL"/>
        </w:rPr>
      </w:pPr>
    </w:p>
    <w:p w14:paraId="5249BD99" w14:textId="77777777" w:rsidR="00663BC4" w:rsidRDefault="00663BC4" w:rsidP="00E52F0F">
      <w:pPr>
        <w:spacing w:after="0" w:line="360" w:lineRule="auto"/>
        <w:jc w:val="center"/>
        <w:textAlignment w:val="baseline"/>
        <w:rPr>
          <w:rFonts w:eastAsia="Times New Roman" w:cs="Times New Roman"/>
          <w:iCs/>
          <w:color w:val="222222"/>
          <w:sz w:val="27"/>
          <w:szCs w:val="27"/>
          <w:bdr w:val="none" w:sz="0" w:space="0" w:color="auto" w:frame="1"/>
          <w:lang w:val="en-GB" w:eastAsia="nl-NL"/>
        </w:rPr>
      </w:pPr>
    </w:p>
    <w:p w14:paraId="46DE2B89" w14:textId="0AD9880E" w:rsidR="00A92ABF" w:rsidRPr="00663BC4" w:rsidRDefault="00663BC4" w:rsidP="00E52F0F">
      <w:pPr>
        <w:spacing w:after="0" w:line="360" w:lineRule="auto"/>
        <w:ind w:left="1134"/>
        <w:jc w:val="center"/>
        <w:textAlignment w:val="baseline"/>
        <w:rPr>
          <w:rFonts w:eastAsia="Times New Roman" w:cs="Times New Roman"/>
          <w:iCs/>
          <w:color w:val="222222"/>
          <w:bdr w:val="none" w:sz="0" w:space="0" w:color="auto" w:frame="1"/>
          <w:lang w:val="en-GB" w:eastAsia="nl-NL"/>
        </w:rPr>
      </w:pPr>
      <w:r>
        <w:rPr>
          <w:rFonts w:eastAsia="Times New Roman" w:cs="Times New Roman"/>
          <w:iCs/>
          <w:color w:val="222222"/>
          <w:bdr w:val="none" w:sz="0" w:space="0" w:color="auto" w:frame="1"/>
          <w:lang w:val="en-GB" w:eastAsia="nl-NL"/>
        </w:rPr>
        <w:t>L</w:t>
      </w:r>
      <w:r w:rsidR="00A92ABF" w:rsidRPr="00663BC4">
        <w:rPr>
          <w:rFonts w:eastAsia="Times New Roman" w:cs="Times New Roman"/>
          <w:iCs/>
          <w:color w:val="222222"/>
          <w:bdr w:val="none" w:sz="0" w:space="0" w:color="auto" w:frame="1"/>
          <w:lang w:val="en-GB" w:eastAsia="nl-NL"/>
        </w:rPr>
        <w:t>ater that night</w:t>
      </w:r>
      <w:r w:rsidR="00A92ABF" w:rsidRPr="00663BC4">
        <w:rPr>
          <w:rFonts w:eastAsia="Times New Roman" w:cs="Times New Roman"/>
          <w:iCs/>
          <w:color w:val="222222"/>
          <w:bdr w:val="none" w:sz="0" w:space="0" w:color="auto" w:frame="1"/>
          <w:lang w:val="en-GB" w:eastAsia="nl-NL"/>
        </w:rPr>
        <w:br/>
      </w:r>
      <w:r w:rsidR="00B13CDD" w:rsidRPr="00663BC4">
        <w:rPr>
          <w:rFonts w:eastAsia="Times New Roman" w:cs="Times New Roman"/>
          <w:iCs/>
          <w:color w:val="222222"/>
          <w:bdr w:val="none" w:sz="0" w:space="0" w:color="auto" w:frame="1"/>
          <w:lang w:val="en-GB" w:eastAsia="nl-NL"/>
        </w:rPr>
        <w:t>I</w:t>
      </w:r>
      <w:r w:rsidR="00A92ABF" w:rsidRPr="00663BC4">
        <w:rPr>
          <w:rFonts w:eastAsia="Times New Roman" w:cs="Times New Roman"/>
          <w:iCs/>
          <w:color w:val="222222"/>
          <w:bdr w:val="none" w:sz="0" w:space="0" w:color="auto" w:frame="1"/>
          <w:lang w:val="en-GB" w:eastAsia="nl-NL"/>
        </w:rPr>
        <w:t xml:space="preserve"> held an atlas in my lap</w:t>
      </w:r>
      <w:r w:rsidR="00A92ABF" w:rsidRPr="00663BC4">
        <w:rPr>
          <w:rFonts w:eastAsia="Times New Roman" w:cs="Times New Roman"/>
          <w:iCs/>
          <w:color w:val="222222"/>
          <w:bdr w:val="none" w:sz="0" w:space="0" w:color="auto" w:frame="1"/>
          <w:lang w:val="en-GB" w:eastAsia="nl-NL"/>
        </w:rPr>
        <w:br/>
        <w:t>ran my fingers across the whole world</w:t>
      </w:r>
      <w:r w:rsidR="00A92ABF" w:rsidRPr="00663BC4">
        <w:rPr>
          <w:rFonts w:eastAsia="Times New Roman" w:cs="Times New Roman"/>
          <w:iCs/>
          <w:color w:val="222222"/>
          <w:bdr w:val="none" w:sz="0" w:space="0" w:color="auto" w:frame="1"/>
          <w:lang w:val="en-GB" w:eastAsia="nl-NL"/>
        </w:rPr>
        <w:br/>
        <w:t>and whispered</w:t>
      </w:r>
      <w:r w:rsidR="00A92ABF" w:rsidRPr="00663BC4">
        <w:rPr>
          <w:rFonts w:eastAsia="Times New Roman" w:cs="Times New Roman"/>
          <w:iCs/>
          <w:color w:val="222222"/>
          <w:bdr w:val="none" w:sz="0" w:space="0" w:color="auto" w:frame="1"/>
          <w:lang w:val="en-GB" w:eastAsia="nl-NL"/>
        </w:rPr>
        <w:br/>
        <w:t>where does it hurt?</w:t>
      </w:r>
    </w:p>
    <w:p w14:paraId="4506B9CA" w14:textId="77777777" w:rsidR="00B13CDD" w:rsidRPr="00663BC4" w:rsidRDefault="00B13CDD" w:rsidP="00E52F0F">
      <w:pPr>
        <w:spacing w:after="0" w:line="360" w:lineRule="auto"/>
        <w:ind w:left="1134"/>
        <w:jc w:val="center"/>
        <w:textAlignment w:val="baseline"/>
        <w:rPr>
          <w:rFonts w:eastAsia="Times New Roman" w:cs="Times New Roman"/>
          <w:color w:val="222222"/>
          <w:lang w:val="en-GB" w:eastAsia="nl-NL"/>
        </w:rPr>
      </w:pPr>
    </w:p>
    <w:p w14:paraId="5DB98B78" w14:textId="435C7584" w:rsidR="005A3297" w:rsidRPr="00663BC4" w:rsidRDefault="00A92ABF" w:rsidP="00E52F0F">
      <w:pPr>
        <w:spacing w:after="150" w:line="360" w:lineRule="auto"/>
        <w:ind w:left="1134"/>
        <w:jc w:val="center"/>
        <w:textAlignment w:val="baseline"/>
        <w:rPr>
          <w:rFonts w:eastAsia="Times New Roman" w:cs="Times New Roman"/>
          <w:iCs/>
          <w:color w:val="222222"/>
          <w:bdr w:val="none" w:sz="0" w:space="0" w:color="auto" w:frame="1"/>
          <w:lang w:val="en-GB" w:eastAsia="nl-NL"/>
        </w:rPr>
      </w:pPr>
      <w:r w:rsidRPr="00663BC4">
        <w:rPr>
          <w:rFonts w:eastAsia="Times New Roman" w:cs="Times New Roman"/>
          <w:iCs/>
          <w:color w:val="222222"/>
          <w:bdr w:val="none" w:sz="0" w:space="0" w:color="auto" w:frame="1"/>
          <w:lang w:val="en-GB" w:eastAsia="nl-NL"/>
        </w:rPr>
        <w:t>it answered</w:t>
      </w:r>
      <w:r w:rsidRPr="00663BC4">
        <w:rPr>
          <w:rFonts w:eastAsia="Times New Roman" w:cs="Times New Roman"/>
          <w:iCs/>
          <w:color w:val="222222"/>
          <w:bdr w:val="none" w:sz="0" w:space="0" w:color="auto" w:frame="1"/>
          <w:lang w:val="en-GB" w:eastAsia="nl-NL"/>
        </w:rPr>
        <w:br/>
        <w:t>everywhere</w:t>
      </w:r>
      <w:r w:rsidRPr="00663BC4">
        <w:rPr>
          <w:rFonts w:eastAsia="Times New Roman" w:cs="Times New Roman"/>
          <w:iCs/>
          <w:color w:val="222222"/>
          <w:bdr w:val="none" w:sz="0" w:space="0" w:color="auto" w:frame="1"/>
          <w:lang w:val="en-GB" w:eastAsia="nl-NL"/>
        </w:rPr>
        <w:br/>
        <w:t>everywhere</w:t>
      </w:r>
      <w:r w:rsidRPr="00663BC4">
        <w:rPr>
          <w:rFonts w:eastAsia="Times New Roman" w:cs="Times New Roman"/>
          <w:iCs/>
          <w:color w:val="222222"/>
          <w:bdr w:val="none" w:sz="0" w:space="0" w:color="auto" w:frame="1"/>
          <w:lang w:val="en-GB" w:eastAsia="nl-NL"/>
        </w:rPr>
        <w:br/>
        <w:t>everywhere.</w:t>
      </w:r>
    </w:p>
    <w:p w14:paraId="036066C6" w14:textId="006FAC47" w:rsidR="00B13CDD" w:rsidRPr="00663BC4" w:rsidRDefault="005A3297" w:rsidP="00E52F0F">
      <w:pPr>
        <w:spacing w:after="150" w:line="360" w:lineRule="auto"/>
        <w:ind w:left="1134"/>
        <w:jc w:val="center"/>
        <w:textAlignment w:val="baseline"/>
        <w:rPr>
          <w:rFonts w:eastAsia="Times New Roman" w:cs="Times New Roman"/>
          <w:i/>
          <w:iCs/>
          <w:color w:val="222222"/>
          <w:bdr w:val="none" w:sz="0" w:space="0" w:color="auto" w:frame="1"/>
          <w:lang w:val="en-GB" w:eastAsia="nl-NL"/>
        </w:rPr>
      </w:pPr>
      <w:r w:rsidRPr="00663BC4">
        <w:rPr>
          <w:rFonts w:eastAsia="Times New Roman" w:cs="Times New Roman"/>
          <w:iCs/>
          <w:color w:val="222222"/>
          <w:bdr w:val="none" w:sz="0" w:space="0" w:color="auto" w:frame="1"/>
          <w:lang w:val="en-GB" w:eastAsia="nl-NL"/>
        </w:rPr>
        <w:t>-</w:t>
      </w:r>
      <w:r w:rsidR="00B13CDD" w:rsidRPr="00663BC4">
        <w:rPr>
          <w:rFonts w:eastAsia="Times New Roman" w:cs="Times New Roman"/>
          <w:color w:val="222222"/>
          <w:lang w:val="en-GB" w:eastAsia="nl-NL"/>
        </w:rPr>
        <w:t>Warsan Shire</w:t>
      </w:r>
      <w:r w:rsidR="00663BC4" w:rsidRPr="00663BC4">
        <w:rPr>
          <w:rFonts w:eastAsia="Times New Roman" w:cs="Times New Roman"/>
          <w:color w:val="222222"/>
          <w:lang w:val="en-GB" w:eastAsia="nl-NL"/>
        </w:rPr>
        <w:t xml:space="preserve">, </w:t>
      </w:r>
      <w:r w:rsidR="00B13CDD" w:rsidRPr="00663BC4">
        <w:rPr>
          <w:rFonts w:eastAsia="Times New Roman" w:cs="Times New Roman"/>
          <w:i/>
          <w:color w:val="222222"/>
          <w:lang w:val="en-GB" w:eastAsia="nl-NL"/>
        </w:rPr>
        <w:t>What they did yesterday afternoon</w:t>
      </w:r>
    </w:p>
    <w:p w14:paraId="14096115" w14:textId="77777777" w:rsidR="00032AFF" w:rsidRPr="004B16A2" w:rsidRDefault="00032AFF" w:rsidP="00E52F0F">
      <w:pPr>
        <w:spacing w:line="360" w:lineRule="auto"/>
        <w:rPr>
          <w:lang w:val="en-GB"/>
        </w:rPr>
      </w:pPr>
    </w:p>
    <w:p w14:paraId="654B5C1E" w14:textId="77777777" w:rsidR="00A92ABF" w:rsidRPr="00B13CDD" w:rsidRDefault="00A92ABF" w:rsidP="00E52F0F">
      <w:pPr>
        <w:spacing w:line="360" w:lineRule="auto"/>
        <w:rPr>
          <w:lang w:val="en-GB"/>
        </w:rPr>
      </w:pPr>
      <w:r w:rsidRPr="00B13CDD">
        <w:rPr>
          <w:lang w:val="en-GB"/>
        </w:rPr>
        <w:br w:type="page"/>
      </w:r>
    </w:p>
    <w:p w14:paraId="2673A32A" w14:textId="77777777" w:rsidR="00DF5C20" w:rsidRPr="00680AB6" w:rsidRDefault="00DF5C20">
      <w:pPr>
        <w:rPr>
          <w:lang w:val="en-GB"/>
        </w:rPr>
      </w:pPr>
      <w:r w:rsidRPr="00680AB6">
        <w:rPr>
          <w:lang w:val="en-GB"/>
        </w:rPr>
        <w:lastRenderedPageBreak/>
        <w:br w:type="page"/>
      </w:r>
    </w:p>
    <w:sdt>
      <w:sdtPr>
        <w:rPr>
          <w:rFonts w:asciiTheme="minorHAnsi" w:eastAsiaTheme="minorEastAsia" w:hAnsiTheme="minorHAnsi" w:cstheme="minorBidi"/>
          <w:color w:val="auto"/>
          <w:sz w:val="21"/>
          <w:szCs w:val="21"/>
        </w:rPr>
        <w:id w:val="-878307054"/>
        <w:docPartObj>
          <w:docPartGallery w:val="Table of Contents"/>
          <w:docPartUnique/>
        </w:docPartObj>
      </w:sdtPr>
      <w:sdtEndPr>
        <w:rPr>
          <w:b/>
          <w:bCs/>
          <w:noProof/>
        </w:rPr>
      </w:sdtEndPr>
      <w:sdtContent>
        <w:p w14:paraId="7A063652" w14:textId="5FD917D1" w:rsidR="00032AFF" w:rsidRPr="00DF5C20" w:rsidRDefault="00032AFF" w:rsidP="00E52F0F">
          <w:pPr>
            <w:pStyle w:val="TOCHeading"/>
            <w:spacing w:line="360" w:lineRule="auto"/>
            <w:rPr>
              <w:lang w:val="en-GB"/>
            </w:rPr>
          </w:pPr>
          <w:r w:rsidRPr="00DF5C20">
            <w:rPr>
              <w:lang w:val="en-GB"/>
            </w:rPr>
            <w:t>Contents</w:t>
          </w:r>
        </w:p>
        <w:p w14:paraId="5BC1C10E" w14:textId="77777777" w:rsidR="002566CB" w:rsidRPr="000D0740" w:rsidRDefault="002566CB">
          <w:pPr>
            <w:pStyle w:val="TOC1"/>
          </w:pPr>
        </w:p>
        <w:p w14:paraId="29B2A1CF" w14:textId="77777777" w:rsidR="000D0740" w:rsidRPr="000D0740" w:rsidRDefault="00032AFF">
          <w:pPr>
            <w:pStyle w:val="TOC1"/>
            <w:rPr>
              <w:sz w:val="22"/>
              <w:szCs w:val="22"/>
              <w:lang w:val="nl-NL" w:eastAsia="nl-NL"/>
            </w:rPr>
          </w:pPr>
          <w:r w:rsidRPr="000D0740">
            <w:fldChar w:fldCharType="begin"/>
          </w:r>
          <w:r w:rsidRPr="000D0740">
            <w:instrText xml:space="preserve"> TOC \o "1-3" \h \z \u </w:instrText>
          </w:r>
          <w:r w:rsidRPr="000D0740">
            <w:fldChar w:fldCharType="separate"/>
          </w:r>
          <w:hyperlink w:anchor="_Toc458983386" w:history="1">
            <w:r w:rsidR="000D0740" w:rsidRPr="000D0740">
              <w:rPr>
                <w:rStyle w:val="Hyperlink"/>
              </w:rPr>
              <w:t>Abstract</w:t>
            </w:r>
            <w:r w:rsidR="000D0740" w:rsidRPr="000D0740">
              <w:rPr>
                <w:webHidden/>
              </w:rPr>
              <w:tab/>
            </w:r>
            <w:r w:rsidR="000D0740" w:rsidRPr="000D0740">
              <w:rPr>
                <w:webHidden/>
              </w:rPr>
              <w:fldChar w:fldCharType="begin"/>
            </w:r>
            <w:r w:rsidR="000D0740" w:rsidRPr="000D0740">
              <w:rPr>
                <w:webHidden/>
              </w:rPr>
              <w:instrText xml:space="preserve"> PAGEREF _Toc458983386 \h </w:instrText>
            </w:r>
            <w:r w:rsidR="000D0740" w:rsidRPr="000D0740">
              <w:rPr>
                <w:webHidden/>
              </w:rPr>
            </w:r>
            <w:r w:rsidR="000D0740" w:rsidRPr="000D0740">
              <w:rPr>
                <w:webHidden/>
              </w:rPr>
              <w:fldChar w:fldCharType="separate"/>
            </w:r>
            <w:r w:rsidR="00CA0D12">
              <w:rPr>
                <w:webHidden/>
              </w:rPr>
              <w:t>3</w:t>
            </w:r>
            <w:r w:rsidR="000D0740" w:rsidRPr="000D0740">
              <w:rPr>
                <w:webHidden/>
              </w:rPr>
              <w:fldChar w:fldCharType="end"/>
            </w:r>
          </w:hyperlink>
        </w:p>
        <w:p w14:paraId="44F651FF" w14:textId="77777777" w:rsidR="000D0740" w:rsidRPr="000D0740" w:rsidRDefault="00802514">
          <w:pPr>
            <w:pStyle w:val="TOC1"/>
            <w:rPr>
              <w:sz w:val="22"/>
              <w:szCs w:val="22"/>
              <w:lang w:val="nl-NL" w:eastAsia="nl-NL"/>
            </w:rPr>
          </w:pPr>
          <w:hyperlink w:anchor="_Toc458983387" w:history="1">
            <w:r w:rsidR="000D0740" w:rsidRPr="000D0740">
              <w:rPr>
                <w:rStyle w:val="Hyperlink"/>
              </w:rPr>
              <w:t>List of tables and figures</w:t>
            </w:r>
            <w:r w:rsidR="000D0740" w:rsidRPr="000D0740">
              <w:rPr>
                <w:webHidden/>
              </w:rPr>
              <w:tab/>
            </w:r>
            <w:r w:rsidR="000D0740" w:rsidRPr="000D0740">
              <w:rPr>
                <w:webHidden/>
              </w:rPr>
              <w:fldChar w:fldCharType="begin"/>
            </w:r>
            <w:r w:rsidR="000D0740" w:rsidRPr="000D0740">
              <w:rPr>
                <w:webHidden/>
              </w:rPr>
              <w:instrText xml:space="preserve"> PAGEREF _Toc458983387 \h </w:instrText>
            </w:r>
            <w:r w:rsidR="000D0740" w:rsidRPr="000D0740">
              <w:rPr>
                <w:webHidden/>
              </w:rPr>
            </w:r>
            <w:r w:rsidR="000D0740" w:rsidRPr="000D0740">
              <w:rPr>
                <w:webHidden/>
              </w:rPr>
              <w:fldChar w:fldCharType="separate"/>
            </w:r>
            <w:r w:rsidR="00CA0D12">
              <w:rPr>
                <w:webHidden/>
              </w:rPr>
              <w:t>9</w:t>
            </w:r>
            <w:r w:rsidR="000D0740" w:rsidRPr="000D0740">
              <w:rPr>
                <w:webHidden/>
              </w:rPr>
              <w:fldChar w:fldCharType="end"/>
            </w:r>
          </w:hyperlink>
        </w:p>
        <w:p w14:paraId="38B48EA3" w14:textId="77777777" w:rsidR="000D0740" w:rsidRPr="000D0740" w:rsidRDefault="00802514">
          <w:pPr>
            <w:pStyle w:val="TOC2"/>
            <w:tabs>
              <w:tab w:val="right" w:leader="dot" w:pos="9062"/>
            </w:tabs>
            <w:rPr>
              <w:noProof/>
              <w:sz w:val="22"/>
              <w:szCs w:val="22"/>
              <w:lang w:eastAsia="nl-NL"/>
            </w:rPr>
          </w:pPr>
          <w:hyperlink w:anchor="_Toc458983388" w:history="1">
            <w:r w:rsidR="000D0740" w:rsidRPr="000D0740">
              <w:rPr>
                <w:rStyle w:val="Hyperlink"/>
                <w:rFonts w:eastAsiaTheme="majorEastAsia" w:cstheme="majorBidi"/>
                <w:noProof/>
                <w:lang w:val="en-GB"/>
              </w:rPr>
              <w:t>List of figures</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_Toc458983388 \h </w:instrText>
            </w:r>
            <w:r w:rsidR="000D0740" w:rsidRPr="000D0740">
              <w:rPr>
                <w:noProof/>
                <w:webHidden/>
              </w:rPr>
            </w:r>
            <w:r w:rsidR="000D0740" w:rsidRPr="000D0740">
              <w:rPr>
                <w:noProof/>
                <w:webHidden/>
              </w:rPr>
              <w:fldChar w:fldCharType="separate"/>
            </w:r>
            <w:r w:rsidR="00CA0D12">
              <w:rPr>
                <w:noProof/>
                <w:webHidden/>
              </w:rPr>
              <w:t>9</w:t>
            </w:r>
            <w:r w:rsidR="000D0740" w:rsidRPr="000D0740">
              <w:rPr>
                <w:noProof/>
                <w:webHidden/>
              </w:rPr>
              <w:fldChar w:fldCharType="end"/>
            </w:r>
          </w:hyperlink>
        </w:p>
        <w:p w14:paraId="01D0C561" w14:textId="77777777" w:rsidR="000D0740" w:rsidRPr="000D0740" w:rsidRDefault="00802514">
          <w:pPr>
            <w:pStyle w:val="TOC2"/>
            <w:tabs>
              <w:tab w:val="right" w:leader="dot" w:pos="9062"/>
            </w:tabs>
            <w:rPr>
              <w:noProof/>
              <w:sz w:val="22"/>
              <w:szCs w:val="22"/>
              <w:lang w:eastAsia="nl-NL"/>
            </w:rPr>
          </w:pPr>
          <w:hyperlink w:anchor="_Toc458983389" w:history="1">
            <w:r w:rsidR="000D0740" w:rsidRPr="000D0740">
              <w:rPr>
                <w:rStyle w:val="Hyperlink"/>
                <w:rFonts w:eastAsiaTheme="majorEastAsia" w:cstheme="majorBidi"/>
                <w:noProof/>
                <w:lang w:val="en-GB"/>
              </w:rPr>
              <w:t>List of tables</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_Toc458983389 \h </w:instrText>
            </w:r>
            <w:r w:rsidR="000D0740" w:rsidRPr="000D0740">
              <w:rPr>
                <w:noProof/>
                <w:webHidden/>
              </w:rPr>
            </w:r>
            <w:r w:rsidR="000D0740" w:rsidRPr="000D0740">
              <w:rPr>
                <w:noProof/>
                <w:webHidden/>
              </w:rPr>
              <w:fldChar w:fldCharType="separate"/>
            </w:r>
            <w:r w:rsidR="00CA0D12">
              <w:rPr>
                <w:noProof/>
                <w:webHidden/>
              </w:rPr>
              <w:t>9</w:t>
            </w:r>
            <w:r w:rsidR="000D0740" w:rsidRPr="000D0740">
              <w:rPr>
                <w:noProof/>
                <w:webHidden/>
              </w:rPr>
              <w:fldChar w:fldCharType="end"/>
            </w:r>
          </w:hyperlink>
        </w:p>
        <w:p w14:paraId="4130DCA0" w14:textId="77777777" w:rsidR="000D0740" w:rsidRPr="000D0740" w:rsidRDefault="00802514">
          <w:pPr>
            <w:pStyle w:val="TOC1"/>
            <w:rPr>
              <w:sz w:val="22"/>
              <w:szCs w:val="22"/>
              <w:lang w:val="nl-NL" w:eastAsia="nl-NL"/>
            </w:rPr>
          </w:pPr>
          <w:hyperlink w:anchor="_Toc458983390" w:history="1">
            <w:r w:rsidR="000D0740" w:rsidRPr="000D0740">
              <w:rPr>
                <w:rStyle w:val="Hyperlink"/>
              </w:rPr>
              <w:t>1. Introduction</w:t>
            </w:r>
            <w:r w:rsidR="000D0740" w:rsidRPr="000D0740">
              <w:rPr>
                <w:webHidden/>
              </w:rPr>
              <w:tab/>
            </w:r>
            <w:r w:rsidR="000D0740" w:rsidRPr="000D0740">
              <w:rPr>
                <w:webHidden/>
              </w:rPr>
              <w:fldChar w:fldCharType="begin"/>
            </w:r>
            <w:r w:rsidR="000D0740" w:rsidRPr="000D0740">
              <w:rPr>
                <w:webHidden/>
              </w:rPr>
              <w:instrText xml:space="preserve"> PAGEREF _Toc458983390 \h </w:instrText>
            </w:r>
            <w:r w:rsidR="000D0740" w:rsidRPr="000D0740">
              <w:rPr>
                <w:webHidden/>
              </w:rPr>
            </w:r>
            <w:r w:rsidR="000D0740" w:rsidRPr="000D0740">
              <w:rPr>
                <w:webHidden/>
              </w:rPr>
              <w:fldChar w:fldCharType="separate"/>
            </w:r>
            <w:r w:rsidR="00CA0D12">
              <w:rPr>
                <w:webHidden/>
              </w:rPr>
              <w:t>11</w:t>
            </w:r>
            <w:r w:rsidR="000D0740" w:rsidRPr="000D0740">
              <w:rPr>
                <w:webHidden/>
              </w:rPr>
              <w:fldChar w:fldCharType="end"/>
            </w:r>
          </w:hyperlink>
        </w:p>
        <w:p w14:paraId="0A8CBD6C" w14:textId="77777777" w:rsidR="000D0740" w:rsidRPr="000D0740" w:rsidRDefault="00802514">
          <w:pPr>
            <w:pStyle w:val="TOC1"/>
            <w:rPr>
              <w:sz w:val="22"/>
              <w:szCs w:val="22"/>
              <w:lang w:val="nl-NL" w:eastAsia="nl-NL"/>
            </w:rPr>
          </w:pPr>
          <w:hyperlink w:anchor="_Toc458983391" w:history="1">
            <w:r w:rsidR="000D0740" w:rsidRPr="000D0740">
              <w:rPr>
                <w:rStyle w:val="Hyperlink"/>
              </w:rPr>
              <w:t>2. Power theory: The varied field in a general overview</w:t>
            </w:r>
            <w:r w:rsidR="000D0740" w:rsidRPr="000D0740">
              <w:rPr>
                <w:webHidden/>
              </w:rPr>
              <w:tab/>
            </w:r>
            <w:r w:rsidR="000D0740" w:rsidRPr="000D0740">
              <w:rPr>
                <w:webHidden/>
              </w:rPr>
              <w:fldChar w:fldCharType="begin"/>
            </w:r>
            <w:r w:rsidR="000D0740" w:rsidRPr="000D0740">
              <w:rPr>
                <w:webHidden/>
              </w:rPr>
              <w:instrText xml:space="preserve"> PAGEREF _Toc458983391 \h </w:instrText>
            </w:r>
            <w:r w:rsidR="000D0740" w:rsidRPr="000D0740">
              <w:rPr>
                <w:webHidden/>
              </w:rPr>
            </w:r>
            <w:r w:rsidR="000D0740" w:rsidRPr="000D0740">
              <w:rPr>
                <w:webHidden/>
              </w:rPr>
              <w:fldChar w:fldCharType="separate"/>
            </w:r>
            <w:r w:rsidR="00CA0D12">
              <w:rPr>
                <w:webHidden/>
              </w:rPr>
              <w:t>17</w:t>
            </w:r>
            <w:r w:rsidR="000D0740" w:rsidRPr="000D0740">
              <w:rPr>
                <w:webHidden/>
              </w:rPr>
              <w:fldChar w:fldCharType="end"/>
            </w:r>
          </w:hyperlink>
        </w:p>
        <w:p w14:paraId="544B93CD" w14:textId="77777777" w:rsidR="000D0740" w:rsidRPr="000D0740" w:rsidRDefault="00802514">
          <w:pPr>
            <w:pStyle w:val="TOC2"/>
            <w:tabs>
              <w:tab w:val="right" w:leader="dot" w:pos="9062"/>
            </w:tabs>
            <w:rPr>
              <w:noProof/>
              <w:sz w:val="22"/>
              <w:szCs w:val="22"/>
              <w:lang w:eastAsia="nl-NL"/>
            </w:rPr>
          </w:pPr>
          <w:hyperlink w:anchor="_Toc458983392" w:history="1">
            <w:r w:rsidR="000D0740" w:rsidRPr="000D0740">
              <w:rPr>
                <w:rStyle w:val="Hyperlink"/>
                <w:noProof/>
                <w:lang w:val="en-GB"/>
              </w:rPr>
              <w:t>2.1. Power to</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_Toc458983392 \h </w:instrText>
            </w:r>
            <w:r w:rsidR="000D0740" w:rsidRPr="000D0740">
              <w:rPr>
                <w:noProof/>
                <w:webHidden/>
              </w:rPr>
            </w:r>
            <w:r w:rsidR="000D0740" w:rsidRPr="000D0740">
              <w:rPr>
                <w:noProof/>
                <w:webHidden/>
              </w:rPr>
              <w:fldChar w:fldCharType="separate"/>
            </w:r>
            <w:r w:rsidR="00CA0D12">
              <w:rPr>
                <w:noProof/>
                <w:webHidden/>
              </w:rPr>
              <w:t>17</w:t>
            </w:r>
            <w:r w:rsidR="000D0740" w:rsidRPr="000D0740">
              <w:rPr>
                <w:noProof/>
                <w:webHidden/>
              </w:rPr>
              <w:fldChar w:fldCharType="end"/>
            </w:r>
          </w:hyperlink>
        </w:p>
        <w:p w14:paraId="727208D2" w14:textId="77777777" w:rsidR="000D0740" w:rsidRPr="000D0740" w:rsidRDefault="00802514">
          <w:pPr>
            <w:pStyle w:val="TOC2"/>
            <w:tabs>
              <w:tab w:val="right" w:leader="dot" w:pos="9062"/>
            </w:tabs>
            <w:rPr>
              <w:noProof/>
              <w:sz w:val="22"/>
              <w:szCs w:val="22"/>
              <w:lang w:eastAsia="nl-NL"/>
            </w:rPr>
          </w:pPr>
          <w:hyperlink w:anchor="_Toc458983393" w:history="1">
            <w:r w:rsidR="000D0740" w:rsidRPr="000D0740">
              <w:rPr>
                <w:rStyle w:val="Hyperlink"/>
                <w:noProof/>
                <w:lang w:val="en-GB"/>
              </w:rPr>
              <w:t>2.2. Power over</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_Toc458983393 \h </w:instrText>
            </w:r>
            <w:r w:rsidR="000D0740" w:rsidRPr="000D0740">
              <w:rPr>
                <w:noProof/>
                <w:webHidden/>
              </w:rPr>
            </w:r>
            <w:r w:rsidR="000D0740" w:rsidRPr="000D0740">
              <w:rPr>
                <w:noProof/>
                <w:webHidden/>
              </w:rPr>
              <w:fldChar w:fldCharType="separate"/>
            </w:r>
            <w:r w:rsidR="00CA0D12">
              <w:rPr>
                <w:noProof/>
                <w:webHidden/>
              </w:rPr>
              <w:t>19</w:t>
            </w:r>
            <w:r w:rsidR="000D0740" w:rsidRPr="000D0740">
              <w:rPr>
                <w:noProof/>
                <w:webHidden/>
              </w:rPr>
              <w:fldChar w:fldCharType="end"/>
            </w:r>
          </w:hyperlink>
        </w:p>
        <w:p w14:paraId="1BC948F7" w14:textId="77777777" w:rsidR="000D0740" w:rsidRPr="000D0740" w:rsidRDefault="00802514">
          <w:pPr>
            <w:pStyle w:val="TOC2"/>
            <w:tabs>
              <w:tab w:val="right" w:leader="dot" w:pos="9062"/>
            </w:tabs>
            <w:rPr>
              <w:noProof/>
              <w:sz w:val="22"/>
              <w:szCs w:val="22"/>
              <w:lang w:eastAsia="nl-NL"/>
            </w:rPr>
          </w:pPr>
          <w:hyperlink w:anchor="_Toc458983394" w:history="1">
            <w:r w:rsidR="000D0740" w:rsidRPr="000D0740">
              <w:rPr>
                <w:rStyle w:val="Hyperlink"/>
                <w:noProof/>
                <w:lang w:val="en-GB"/>
              </w:rPr>
              <w:t>2.3. Enter Foucault: Problematizing the categorisation</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_Toc458983394 \h </w:instrText>
            </w:r>
            <w:r w:rsidR="000D0740" w:rsidRPr="000D0740">
              <w:rPr>
                <w:noProof/>
                <w:webHidden/>
              </w:rPr>
            </w:r>
            <w:r w:rsidR="000D0740" w:rsidRPr="000D0740">
              <w:rPr>
                <w:noProof/>
                <w:webHidden/>
              </w:rPr>
              <w:fldChar w:fldCharType="separate"/>
            </w:r>
            <w:r w:rsidR="00CA0D12">
              <w:rPr>
                <w:noProof/>
                <w:webHidden/>
              </w:rPr>
              <w:t>21</w:t>
            </w:r>
            <w:r w:rsidR="000D0740" w:rsidRPr="000D0740">
              <w:rPr>
                <w:noProof/>
                <w:webHidden/>
              </w:rPr>
              <w:fldChar w:fldCharType="end"/>
            </w:r>
          </w:hyperlink>
        </w:p>
        <w:p w14:paraId="1400FC22" w14:textId="77777777" w:rsidR="000D0740" w:rsidRPr="000D0740" w:rsidRDefault="00802514">
          <w:pPr>
            <w:pStyle w:val="TOC2"/>
            <w:tabs>
              <w:tab w:val="right" w:leader="dot" w:pos="9062"/>
            </w:tabs>
            <w:rPr>
              <w:noProof/>
              <w:sz w:val="22"/>
              <w:szCs w:val="22"/>
              <w:lang w:eastAsia="nl-NL"/>
            </w:rPr>
          </w:pPr>
          <w:hyperlink w:anchor="_Toc458983395" w:history="1">
            <w:r w:rsidR="000D0740" w:rsidRPr="000D0740">
              <w:rPr>
                <w:rStyle w:val="Hyperlink"/>
                <w:noProof/>
                <w:lang w:val="en-GB"/>
              </w:rPr>
              <w:t>2.4. Other divisions of power</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_Toc458983395 \h </w:instrText>
            </w:r>
            <w:r w:rsidR="000D0740" w:rsidRPr="000D0740">
              <w:rPr>
                <w:noProof/>
                <w:webHidden/>
              </w:rPr>
            </w:r>
            <w:r w:rsidR="000D0740" w:rsidRPr="000D0740">
              <w:rPr>
                <w:noProof/>
                <w:webHidden/>
              </w:rPr>
              <w:fldChar w:fldCharType="separate"/>
            </w:r>
            <w:r w:rsidR="00CA0D12">
              <w:rPr>
                <w:noProof/>
                <w:webHidden/>
              </w:rPr>
              <w:t>21</w:t>
            </w:r>
            <w:r w:rsidR="000D0740" w:rsidRPr="000D0740">
              <w:rPr>
                <w:noProof/>
                <w:webHidden/>
              </w:rPr>
              <w:fldChar w:fldCharType="end"/>
            </w:r>
          </w:hyperlink>
        </w:p>
        <w:p w14:paraId="04D55403" w14:textId="77777777" w:rsidR="000D0740" w:rsidRPr="000D0740" w:rsidRDefault="00802514">
          <w:pPr>
            <w:pStyle w:val="TOC2"/>
            <w:tabs>
              <w:tab w:val="right" w:leader="dot" w:pos="9062"/>
            </w:tabs>
            <w:rPr>
              <w:noProof/>
              <w:sz w:val="22"/>
              <w:szCs w:val="22"/>
              <w:lang w:eastAsia="nl-NL"/>
            </w:rPr>
          </w:pPr>
          <w:hyperlink w:anchor="_Toc458983396" w:history="1">
            <w:r w:rsidR="000D0740" w:rsidRPr="000D0740">
              <w:rPr>
                <w:rStyle w:val="Hyperlink"/>
                <w:noProof/>
                <w:lang w:val="en-GB"/>
              </w:rPr>
              <w:t>2.5. Why Foucault?</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_Toc458983396 \h </w:instrText>
            </w:r>
            <w:r w:rsidR="000D0740" w:rsidRPr="000D0740">
              <w:rPr>
                <w:noProof/>
                <w:webHidden/>
              </w:rPr>
            </w:r>
            <w:r w:rsidR="000D0740" w:rsidRPr="000D0740">
              <w:rPr>
                <w:noProof/>
                <w:webHidden/>
              </w:rPr>
              <w:fldChar w:fldCharType="separate"/>
            </w:r>
            <w:r w:rsidR="00CA0D12">
              <w:rPr>
                <w:noProof/>
                <w:webHidden/>
              </w:rPr>
              <w:t>23</w:t>
            </w:r>
            <w:r w:rsidR="000D0740" w:rsidRPr="000D0740">
              <w:rPr>
                <w:noProof/>
                <w:webHidden/>
              </w:rPr>
              <w:fldChar w:fldCharType="end"/>
            </w:r>
          </w:hyperlink>
        </w:p>
        <w:p w14:paraId="07049849" w14:textId="77777777" w:rsidR="000D0740" w:rsidRPr="000D0740" w:rsidRDefault="00802514">
          <w:pPr>
            <w:pStyle w:val="TOC1"/>
            <w:rPr>
              <w:sz w:val="22"/>
              <w:szCs w:val="22"/>
              <w:lang w:val="nl-NL" w:eastAsia="nl-NL"/>
            </w:rPr>
          </w:pPr>
          <w:hyperlink w:anchor="_Toc458983397" w:history="1">
            <w:r w:rsidR="000D0740" w:rsidRPr="000D0740">
              <w:rPr>
                <w:rStyle w:val="Hyperlink"/>
              </w:rPr>
              <w:t>3. Foucault’s thoughts on power, knowledge, and the subject</w:t>
            </w:r>
            <w:r w:rsidR="000D0740" w:rsidRPr="000D0740">
              <w:rPr>
                <w:webHidden/>
              </w:rPr>
              <w:tab/>
            </w:r>
            <w:r w:rsidR="000D0740" w:rsidRPr="000D0740">
              <w:rPr>
                <w:webHidden/>
              </w:rPr>
              <w:fldChar w:fldCharType="begin"/>
            </w:r>
            <w:r w:rsidR="000D0740" w:rsidRPr="000D0740">
              <w:rPr>
                <w:webHidden/>
              </w:rPr>
              <w:instrText xml:space="preserve"> PAGEREF _Toc458983397 \h </w:instrText>
            </w:r>
            <w:r w:rsidR="000D0740" w:rsidRPr="000D0740">
              <w:rPr>
                <w:webHidden/>
              </w:rPr>
            </w:r>
            <w:r w:rsidR="000D0740" w:rsidRPr="000D0740">
              <w:rPr>
                <w:webHidden/>
              </w:rPr>
              <w:fldChar w:fldCharType="separate"/>
            </w:r>
            <w:r w:rsidR="00CA0D12">
              <w:rPr>
                <w:webHidden/>
              </w:rPr>
              <w:t>27</w:t>
            </w:r>
            <w:r w:rsidR="000D0740" w:rsidRPr="000D0740">
              <w:rPr>
                <w:webHidden/>
              </w:rPr>
              <w:fldChar w:fldCharType="end"/>
            </w:r>
          </w:hyperlink>
        </w:p>
        <w:p w14:paraId="5652EDE7" w14:textId="77777777" w:rsidR="000D0740" w:rsidRPr="000D0740" w:rsidRDefault="00802514">
          <w:pPr>
            <w:pStyle w:val="TOC2"/>
            <w:tabs>
              <w:tab w:val="right" w:leader="dot" w:pos="9062"/>
            </w:tabs>
            <w:rPr>
              <w:noProof/>
              <w:sz w:val="22"/>
              <w:szCs w:val="22"/>
              <w:lang w:eastAsia="nl-NL"/>
            </w:rPr>
          </w:pPr>
          <w:hyperlink w:anchor="_Toc458983398" w:history="1">
            <w:r w:rsidR="000D0740" w:rsidRPr="000D0740">
              <w:rPr>
                <w:rStyle w:val="Hyperlink"/>
                <w:noProof/>
                <w:lang w:val="en-GB"/>
              </w:rPr>
              <w:t>3.1. Power</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_Toc458983398 \h </w:instrText>
            </w:r>
            <w:r w:rsidR="000D0740" w:rsidRPr="000D0740">
              <w:rPr>
                <w:noProof/>
                <w:webHidden/>
              </w:rPr>
            </w:r>
            <w:r w:rsidR="000D0740" w:rsidRPr="000D0740">
              <w:rPr>
                <w:noProof/>
                <w:webHidden/>
              </w:rPr>
              <w:fldChar w:fldCharType="separate"/>
            </w:r>
            <w:r w:rsidR="00CA0D12">
              <w:rPr>
                <w:noProof/>
                <w:webHidden/>
              </w:rPr>
              <w:t>27</w:t>
            </w:r>
            <w:r w:rsidR="000D0740" w:rsidRPr="000D0740">
              <w:rPr>
                <w:noProof/>
                <w:webHidden/>
              </w:rPr>
              <w:fldChar w:fldCharType="end"/>
            </w:r>
          </w:hyperlink>
        </w:p>
        <w:p w14:paraId="467D9866" w14:textId="77777777" w:rsidR="000D0740" w:rsidRPr="000D0740" w:rsidRDefault="00802514">
          <w:pPr>
            <w:pStyle w:val="TOC2"/>
            <w:tabs>
              <w:tab w:val="right" w:leader="dot" w:pos="9062"/>
            </w:tabs>
            <w:rPr>
              <w:noProof/>
              <w:sz w:val="22"/>
              <w:szCs w:val="22"/>
              <w:lang w:eastAsia="nl-NL"/>
            </w:rPr>
          </w:pPr>
          <w:hyperlink w:anchor="_Toc458983399" w:history="1">
            <w:r w:rsidR="000D0740" w:rsidRPr="000D0740">
              <w:rPr>
                <w:rStyle w:val="Hyperlink"/>
                <w:noProof/>
                <w:lang w:val="en-GB"/>
              </w:rPr>
              <w:t>3.2. Power/knowledge</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_Toc458983399 \h </w:instrText>
            </w:r>
            <w:r w:rsidR="000D0740" w:rsidRPr="000D0740">
              <w:rPr>
                <w:noProof/>
                <w:webHidden/>
              </w:rPr>
            </w:r>
            <w:r w:rsidR="000D0740" w:rsidRPr="000D0740">
              <w:rPr>
                <w:noProof/>
                <w:webHidden/>
              </w:rPr>
              <w:fldChar w:fldCharType="separate"/>
            </w:r>
            <w:r w:rsidR="00CA0D12">
              <w:rPr>
                <w:noProof/>
                <w:webHidden/>
              </w:rPr>
              <w:t>29</w:t>
            </w:r>
            <w:r w:rsidR="000D0740" w:rsidRPr="000D0740">
              <w:rPr>
                <w:noProof/>
                <w:webHidden/>
              </w:rPr>
              <w:fldChar w:fldCharType="end"/>
            </w:r>
          </w:hyperlink>
        </w:p>
        <w:p w14:paraId="5B4C66F5" w14:textId="77777777" w:rsidR="000D0740" w:rsidRPr="000D0740" w:rsidRDefault="00802514">
          <w:pPr>
            <w:pStyle w:val="TOC2"/>
            <w:tabs>
              <w:tab w:val="right" w:leader="dot" w:pos="9062"/>
            </w:tabs>
            <w:rPr>
              <w:noProof/>
              <w:sz w:val="22"/>
              <w:szCs w:val="22"/>
              <w:lang w:eastAsia="nl-NL"/>
            </w:rPr>
          </w:pPr>
          <w:hyperlink w:anchor="_Toc458983400" w:history="1">
            <w:r w:rsidR="000D0740" w:rsidRPr="000D0740">
              <w:rPr>
                <w:rStyle w:val="Hyperlink"/>
                <w:noProof/>
                <w:lang w:val="en-GB"/>
              </w:rPr>
              <w:t>3.3. The subject</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_Toc458983400 \h </w:instrText>
            </w:r>
            <w:r w:rsidR="000D0740" w:rsidRPr="000D0740">
              <w:rPr>
                <w:noProof/>
                <w:webHidden/>
              </w:rPr>
            </w:r>
            <w:r w:rsidR="000D0740" w:rsidRPr="000D0740">
              <w:rPr>
                <w:noProof/>
                <w:webHidden/>
              </w:rPr>
              <w:fldChar w:fldCharType="separate"/>
            </w:r>
            <w:r w:rsidR="00CA0D12">
              <w:rPr>
                <w:noProof/>
                <w:webHidden/>
              </w:rPr>
              <w:t>30</w:t>
            </w:r>
            <w:r w:rsidR="000D0740" w:rsidRPr="000D0740">
              <w:rPr>
                <w:noProof/>
                <w:webHidden/>
              </w:rPr>
              <w:fldChar w:fldCharType="end"/>
            </w:r>
          </w:hyperlink>
        </w:p>
        <w:p w14:paraId="1D16A00B" w14:textId="77777777" w:rsidR="000D0740" w:rsidRPr="000D0740" w:rsidRDefault="00802514">
          <w:pPr>
            <w:pStyle w:val="TOC2"/>
            <w:tabs>
              <w:tab w:val="right" w:leader="dot" w:pos="9062"/>
            </w:tabs>
            <w:rPr>
              <w:noProof/>
              <w:sz w:val="22"/>
              <w:szCs w:val="22"/>
              <w:lang w:eastAsia="nl-NL"/>
            </w:rPr>
          </w:pPr>
          <w:hyperlink w:anchor="_Toc458983401" w:history="1">
            <w:r w:rsidR="000D0740" w:rsidRPr="000D0740">
              <w:rPr>
                <w:rStyle w:val="Hyperlink"/>
                <w:noProof/>
                <w:lang w:val="en-GB"/>
              </w:rPr>
              <w:t>3.4. Objectification</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_Toc458983401 \h </w:instrText>
            </w:r>
            <w:r w:rsidR="000D0740" w:rsidRPr="000D0740">
              <w:rPr>
                <w:noProof/>
                <w:webHidden/>
              </w:rPr>
            </w:r>
            <w:r w:rsidR="000D0740" w:rsidRPr="000D0740">
              <w:rPr>
                <w:noProof/>
                <w:webHidden/>
              </w:rPr>
              <w:fldChar w:fldCharType="separate"/>
            </w:r>
            <w:r w:rsidR="00CA0D12">
              <w:rPr>
                <w:noProof/>
                <w:webHidden/>
              </w:rPr>
              <w:t>31</w:t>
            </w:r>
            <w:r w:rsidR="000D0740" w:rsidRPr="000D0740">
              <w:rPr>
                <w:noProof/>
                <w:webHidden/>
              </w:rPr>
              <w:fldChar w:fldCharType="end"/>
            </w:r>
          </w:hyperlink>
        </w:p>
        <w:p w14:paraId="08069413" w14:textId="77777777" w:rsidR="000D0740" w:rsidRPr="000D0740" w:rsidRDefault="00802514">
          <w:pPr>
            <w:pStyle w:val="TOC2"/>
            <w:tabs>
              <w:tab w:val="right" w:leader="dot" w:pos="9062"/>
            </w:tabs>
            <w:rPr>
              <w:noProof/>
              <w:sz w:val="22"/>
              <w:szCs w:val="22"/>
              <w:lang w:eastAsia="nl-NL"/>
            </w:rPr>
          </w:pPr>
          <w:hyperlink w:anchor="_Toc458983402" w:history="1">
            <w:r w:rsidR="000D0740" w:rsidRPr="000D0740">
              <w:rPr>
                <w:rStyle w:val="Hyperlink"/>
                <w:noProof/>
                <w:lang w:val="en-GB"/>
              </w:rPr>
              <w:t>3.5. Critiques of Foucault</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_Toc458983402 \h </w:instrText>
            </w:r>
            <w:r w:rsidR="000D0740" w:rsidRPr="000D0740">
              <w:rPr>
                <w:noProof/>
                <w:webHidden/>
              </w:rPr>
            </w:r>
            <w:r w:rsidR="000D0740" w:rsidRPr="000D0740">
              <w:rPr>
                <w:noProof/>
                <w:webHidden/>
              </w:rPr>
              <w:fldChar w:fldCharType="separate"/>
            </w:r>
            <w:r w:rsidR="00CA0D12">
              <w:rPr>
                <w:noProof/>
                <w:webHidden/>
              </w:rPr>
              <w:t>33</w:t>
            </w:r>
            <w:r w:rsidR="000D0740" w:rsidRPr="000D0740">
              <w:rPr>
                <w:noProof/>
                <w:webHidden/>
              </w:rPr>
              <w:fldChar w:fldCharType="end"/>
            </w:r>
          </w:hyperlink>
        </w:p>
        <w:p w14:paraId="7F6B5AB7" w14:textId="77777777" w:rsidR="000D0740" w:rsidRPr="000D0740" w:rsidRDefault="00802514">
          <w:pPr>
            <w:pStyle w:val="TOC2"/>
            <w:tabs>
              <w:tab w:val="right" w:leader="dot" w:pos="9062"/>
            </w:tabs>
            <w:rPr>
              <w:noProof/>
              <w:sz w:val="22"/>
              <w:szCs w:val="22"/>
              <w:lang w:eastAsia="nl-NL"/>
            </w:rPr>
          </w:pPr>
          <w:hyperlink w:anchor="_Toc458983403" w:history="1">
            <w:r w:rsidR="000D0740" w:rsidRPr="000D0740">
              <w:rPr>
                <w:rStyle w:val="Hyperlink"/>
                <w:noProof/>
                <w:lang w:val="en-GB"/>
              </w:rPr>
              <w:t>3.6. Conclusion: The hypotheses</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_Toc458983403 \h </w:instrText>
            </w:r>
            <w:r w:rsidR="000D0740" w:rsidRPr="000D0740">
              <w:rPr>
                <w:noProof/>
                <w:webHidden/>
              </w:rPr>
            </w:r>
            <w:r w:rsidR="000D0740" w:rsidRPr="000D0740">
              <w:rPr>
                <w:noProof/>
                <w:webHidden/>
              </w:rPr>
              <w:fldChar w:fldCharType="separate"/>
            </w:r>
            <w:r w:rsidR="00CA0D12">
              <w:rPr>
                <w:noProof/>
                <w:webHidden/>
              </w:rPr>
              <w:t>36</w:t>
            </w:r>
            <w:r w:rsidR="000D0740" w:rsidRPr="000D0740">
              <w:rPr>
                <w:noProof/>
                <w:webHidden/>
              </w:rPr>
              <w:fldChar w:fldCharType="end"/>
            </w:r>
          </w:hyperlink>
        </w:p>
        <w:p w14:paraId="54841910" w14:textId="77777777" w:rsidR="000D0740" w:rsidRPr="000D0740" w:rsidRDefault="00802514">
          <w:pPr>
            <w:pStyle w:val="TOC1"/>
            <w:rPr>
              <w:sz w:val="22"/>
              <w:szCs w:val="22"/>
              <w:lang w:val="nl-NL" w:eastAsia="nl-NL"/>
            </w:rPr>
          </w:pPr>
          <w:hyperlink w:anchor="_Toc458983404" w:history="1">
            <w:r w:rsidR="000D0740" w:rsidRPr="000D0740">
              <w:rPr>
                <w:rStyle w:val="Hyperlink"/>
              </w:rPr>
              <w:t>4. Methodology</w:t>
            </w:r>
            <w:r w:rsidR="000D0740" w:rsidRPr="000D0740">
              <w:rPr>
                <w:webHidden/>
              </w:rPr>
              <w:tab/>
            </w:r>
            <w:r w:rsidR="000D0740" w:rsidRPr="000D0740">
              <w:rPr>
                <w:webHidden/>
              </w:rPr>
              <w:fldChar w:fldCharType="begin"/>
            </w:r>
            <w:r w:rsidR="000D0740" w:rsidRPr="000D0740">
              <w:rPr>
                <w:webHidden/>
              </w:rPr>
              <w:instrText xml:space="preserve"> PAGEREF _Toc458983404 \h </w:instrText>
            </w:r>
            <w:r w:rsidR="000D0740" w:rsidRPr="000D0740">
              <w:rPr>
                <w:webHidden/>
              </w:rPr>
            </w:r>
            <w:r w:rsidR="000D0740" w:rsidRPr="000D0740">
              <w:rPr>
                <w:webHidden/>
              </w:rPr>
              <w:fldChar w:fldCharType="separate"/>
            </w:r>
            <w:r w:rsidR="00CA0D12">
              <w:rPr>
                <w:webHidden/>
              </w:rPr>
              <w:t>39</w:t>
            </w:r>
            <w:r w:rsidR="000D0740" w:rsidRPr="000D0740">
              <w:rPr>
                <w:webHidden/>
              </w:rPr>
              <w:fldChar w:fldCharType="end"/>
            </w:r>
          </w:hyperlink>
        </w:p>
        <w:p w14:paraId="6AC25AF1" w14:textId="77777777" w:rsidR="000D0740" w:rsidRPr="000D0740" w:rsidRDefault="00802514">
          <w:pPr>
            <w:pStyle w:val="TOC2"/>
            <w:tabs>
              <w:tab w:val="right" w:leader="dot" w:pos="9062"/>
            </w:tabs>
            <w:rPr>
              <w:noProof/>
              <w:sz w:val="22"/>
              <w:szCs w:val="22"/>
              <w:lang w:eastAsia="nl-NL"/>
            </w:rPr>
          </w:pPr>
          <w:hyperlink w:anchor="_Toc458983405" w:history="1">
            <w:r w:rsidR="000D0740" w:rsidRPr="000D0740">
              <w:rPr>
                <w:rStyle w:val="Hyperlink"/>
                <w:noProof/>
                <w:lang w:val="en-GB"/>
              </w:rPr>
              <w:t>4.1. Foucault’s Method</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_Toc458983405 \h </w:instrText>
            </w:r>
            <w:r w:rsidR="000D0740" w:rsidRPr="000D0740">
              <w:rPr>
                <w:noProof/>
                <w:webHidden/>
              </w:rPr>
            </w:r>
            <w:r w:rsidR="000D0740" w:rsidRPr="000D0740">
              <w:rPr>
                <w:noProof/>
                <w:webHidden/>
              </w:rPr>
              <w:fldChar w:fldCharType="separate"/>
            </w:r>
            <w:r w:rsidR="00CA0D12">
              <w:rPr>
                <w:noProof/>
                <w:webHidden/>
              </w:rPr>
              <w:t>39</w:t>
            </w:r>
            <w:r w:rsidR="000D0740" w:rsidRPr="000D0740">
              <w:rPr>
                <w:noProof/>
                <w:webHidden/>
              </w:rPr>
              <w:fldChar w:fldCharType="end"/>
            </w:r>
          </w:hyperlink>
        </w:p>
        <w:p w14:paraId="3D27D17A" w14:textId="77777777" w:rsidR="000D0740" w:rsidRPr="000D0740" w:rsidRDefault="00802514">
          <w:pPr>
            <w:pStyle w:val="TOC2"/>
            <w:tabs>
              <w:tab w:val="right" w:leader="dot" w:pos="9062"/>
            </w:tabs>
            <w:rPr>
              <w:noProof/>
              <w:sz w:val="22"/>
              <w:szCs w:val="22"/>
              <w:lang w:eastAsia="nl-NL"/>
            </w:rPr>
          </w:pPr>
          <w:hyperlink w:anchor="_Toc458983406" w:history="1">
            <w:r w:rsidR="000D0740" w:rsidRPr="000D0740">
              <w:rPr>
                <w:rStyle w:val="Hyperlink"/>
                <w:noProof/>
                <w:lang w:val="en-GB"/>
              </w:rPr>
              <w:t>4.2. Critical Discourse Analysis</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_Toc458983406 \h </w:instrText>
            </w:r>
            <w:r w:rsidR="000D0740" w:rsidRPr="000D0740">
              <w:rPr>
                <w:noProof/>
                <w:webHidden/>
              </w:rPr>
            </w:r>
            <w:r w:rsidR="000D0740" w:rsidRPr="000D0740">
              <w:rPr>
                <w:noProof/>
                <w:webHidden/>
              </w:rPr>
              <w:fldChar w:fldCharType="separate"/>
            </w:r>
            <w:r w:rsidR="00CA0D12">
              <w:rPr>
                <w:noProof/>
                <w:webHidden/>
              </w:rPr>
              <w:t>40</w:t>
            </w:r>
            <w:r w:rsidR="000D0740" w:rsidRPr="000D0740">
              <w:rPr>
                <w:noProof/>
                <w:webHidden/>
              </w:rPr>
              <w:fldChar w:fldCharType="end"/>
            </w:r>
          </w:hyperlink>
        </w:p>
        <w:p w14:paraId="3B9C0DD0" w14:textId="77777777" w:rsidR="000D0740" w:rsidRPr="000D0740" w:rsidRDefault="00802514">
          <w:pPr>
            <w:pStyle w:val="TOC2"/>
            <w:tabs>
              <w:tab w:val="right" w:leader="dot" w:pos="9062"/>
            </w:tabs>
            <w:rPr>
              <w:noProof/>
              <w:sz w:val="22"/>
              <w:szCs w:val="22"/>
              <w:lang w:eastAsia="nl-NL"/>
            </w:rPr>
          </w:pPr>
          <w:hyperlink w:anchor="_Toc458983407" w:history="1">
            <w:r w:rsidR="000D0740" w:rsidRPr="000D0740">
              <w:rPr>
                <w:rStyle w:val="Hyperlink"/>
                <w:noProof/>
                <w:lang w:val="en-GB"/>
              </w:rPr>
              <w:t>4.3. Jäger’s Critical Discourse Analysis approach</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_Toc458983407 \h </w:instrText>
            </w:r>
            <w:r w:rsidR="000D0740" w:rsidRPr="000D0740">
              <w:rPr>
                <w:noProof/>
                <w:webHidden/>
              </w:rPr>
            </w:r>
            <w:r w:rsidR="000D0740" w:rsidRPr="000D0740">
              <w:rPr>
                <w:noProof/>
                <w:webHidden/>
              </w:rPr>
              <w:fldChar w:fldCharType="separate"/>
            </w:r>
            <w:r w:rsidR="00CA0D12">
              <w:rPr>
                <w:noProof/>
                <w:webHidden/>
              </w:rPr>
              <w:t>42</w:t>
            </w:r>
            <w:r w:rsidR="000D0740" w:rsidRPr="000D0740">
              <w:rPr>
                <w:noProof/>
                <w:webHidden/>
              </w:rPr>
              <w:fldChar w:fldCharType="end"/>
            </w:r>
          </w:hyperlink>
        </w:p>
        <w:p w14:paraId="6CCAABE4" w14:textId="77777777" w:rsidR="000D0740" w:rsidRPr="000D0740" w:rsidRDefault="00802514">
          <w:pPr>
            <w:pStyle w:val="TOC3"/>
            <w:tabs>
              <w:tab w:val="right" w:leader="dot" w:pos="9062"/>
            </w:tabs>
            <w:rPr>
              <w:noProof/>
              <w:sz w:val="22"/>
              <w:szCs w:val="22"/>
              <w:lang w:eastAsia="nl-NL"/>
            </w:rPr>
          </w:pPr>
          <w:hyperlink w:anchor="_Toc458983408" w:history="1">
            <w:r w:rsidR="000D0740" w:rsidRPr="000D0740">
              <w:rPr>
                <w:rStyle w:val="Hyperlink"/>
                <w:noProof/>
                <w:lang w:val="en-GB"/>
              </w:rPr>
              <w:t>4.3.1. The structure of discourse</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_Toc458983408 \h </w:instrText>
            </w:r>
            <w:r w:rsidR="000D0740" w:rsidRPr="000D0740">
              <w:rPr>
                <w:noProof/>
                <w:webHidden/>
              </w:rPr>
            </w:r>
            <w:r w:rsidR="000D0740" w:rsidRPr="000D0740">
              <w:rPr>
                <w:noProof/>
                <w:webHidden/>
              </w:rPr>
              <w:fldChar w:fldCharType="separate"/>
            </w:r>
            <w:r w:rsidR="00CA0D12">
              <w:rPr>
                <w:noProof/>
                <w:webHidden/>
              </w:rPr>
              <w:t>43</w:t>
            </w:r>
            <w:r w:rsidR="000D0740" w:rsidRPr="000D0740">
              <w:rPr>
                <w:noProof/>
                <w:webHidden/>
              </w:rPr>
              <w:fldChar w:fldCharType="end"/>
            </w:r>
          </w:hyperlink>
        </w:p>
        <w:p w14:paraId="36314709" w14:textId="77777777" w:rsidR="000D0740" w:rsidRPr="000D0740" w:rsidRDefault="00802514">
          <w:pPr>
            <w:pStyle w:val="TOC3"/>
            <w:tabs>
              <w:tab w:val="right" w:leader="dot" w:pos="9062"/>
            </w:tabs>
            <w:rPr>
              <w:noProof/>
              <w:sz w:val="22"/>
              <w:szCs w:val="22"/>
              <w:lang w:eastAsia="nl-NL"/>
            </w:rPr>
          </w:pPr>
          <w:hyperlink w:anchor="_Toc458983409" w:history="1">
            <w:r w:rsidR="000D0740" w:rsidRPr="000D0740">
              <w:rPr>
                <w:rStyle w:val="Hyperlink"/>
                <w:noProof/>
                <w:lang w:val="en-GB"/>
              </w:rPr>
              <w:t>4.3.2. When analysis is complete</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_Toc458983409 \h </w:instrText>
            </w:r>
            <w:r w:rsidR="000D0740" w:rsidRPr="000D0740">
              <w:rPr>
                <w:noProof/>
                <w:webHidden/>
              </w:rPr>
            </w:r>
            <w:r w:rsidR="000D0740" w:rsidRPr="000D0740">
              <w:rPr>
                <w:noProof/>
                <w:webHidden/>
              </w:rPr>
              <w:fldChar w:fldCharType="separate"/>
            </w:r>
            <w:r w:rsidR="00CA0D12">
              <w:rPr>
                <w:noProof/>
                <w:webHidden/>
              </w:rPr>
              <w:t>46</w:t>
            </w:r>
            <w:r w:rsidR="000D0740" w:rsidRPr="000D0740">
              <w:rPr>
                <w:noProof/>
                <w:webHidden/>
              </w:rPr>
              <w:fldChar w:fldCharType="end"/>
            </w:r>
          </w:hyperlink>
        </w:p>
        <w:p w14:paraId="1B7EEBD4" w14:textId="77777777" w:rsidR="000D0740" w:rsidRPr="000D0740" w:rsidRDefault="00802514">
          <w:pPr>
            <w:pStyle w:val="TOC3"/>
            <w:tabs>
              <w:tab w:val="right" w:leader="dot" w:pos="9062"/>
            </w:tabs>
            <w:rPr>
              <w:noProof/>
              <w:sz w:val="22"/>
              <w:szCs w:val="22"/>
              <w:lang w:eastAsia="nl-NL"/>
            </w:rPr>
          </w:pPr>
          <w:hyperlink w:anchor="_Toc458983410" w:history="1">
            <w:r w:rsidR="000D0740" w:rsidRPr="000D0740">
              <w:rPr>
                <w:rStyle w:val="Hyperlink"/>
                <w:noProof/>
                <w:lang w:val="en-GB"/>
              </w:rPr>
              <w:t>4.3.3. Practical steps</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_Toc458983410 \h </w:instrText>
            </w:r>
            <w:r w:rsidR="000D0740" w:rsidRPr="000D0740">
              <w:rPr>
                <w:noProof/>
                <w:webHidden/>
              </w:rPr>
            </w:r>
            <w:r w:rsidR="000D0740" w:rsidRPr="000D0740">
              <w:rPr>
                <w:noProof/>
                <w:webHidden/>
              </w:rPr>
              <w:fldChar w:fldCharType="separate"/>
            </w:r>
            <w:r w:rsidR="00CA0D12">
              <w:rPr>
                <w:noProof/>
                <w:webHidden/>
              </w:rPr>
              <w:t>46</w:t>
            </w:r>
            <w:r w:rsidR="000D0740" w:rsidRPr="000D0740">
              <w:rPr>
                <w:noProof/>
                <w:webHidden/>
              </w:rPr>
              <w:fldChar w:fldCharType="end"/>
            </w:r>
          </w:hyperlink>
        </w:p>
        <w:p w14:paraId="6F29E966" w14:textId="77777777" w:rsidR="000D0740" w:rsidRPr="000D0740" w:rsidRDefault="00802514">
          <w:pPr>
            <w:pStyle w:val="TOC2"/>
            <w:tabs>
              <w:tab w:val="right" w:leader="dot" w:pos="9062"/>
            </w:tabs>
            <w:rPr>
              <w:noProof/>
              <w:sz w:val="22"/>
              <w:szCs w:val="22"/>
              <w:lang w:eastAsia="nl-NL"/>
            </w:rPr>
          </w:pPr>
          <w:hyperlink w:anchor="_Toc458983411" w:history="1">
            <w:r w:rsidR="000D0740" w:rsidRPr="000D0740">
              <w:rPr>
                <w:rStyle w:val="Hyperlink"/>
                <w:noProof/>
                <w:lang w:val="en-GB"/>
              </w:rPr>
              <w:t>4.4. Sample</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_Toc458983411 \h </w:instrText>
            </w:r>
            <w:r w:rsidR="000D0740" w:rsidRPr="000D0740">
              <w:rPr>
                <w:noProof/>
                <w:webHidden/>
              </w:rPr>
            </w:r>
            <w:r w:rsidR="000D0740" w:rsidRPr="000D0740">
              <w:rPr>
                <w:noProof/>
                <w:webHidden/>
              </w:rPr>
              <w:fldChar w:fldCharType="separate"/>
            </w:r>
            <w:r w:rsidR="00CA0D12">
              <w:rPr>
                <w:noProof/>
                <w:webHidden/>
              </w:rPr>
              <w:t>48</w:t>
            </w:r>
            <w:r w:rsidR="000D0740" w:rsidRPr="000D0740">
              <w:rPr>
                <w:noProof/>
                <w:webHidden/>
              </w:rPr>
              <w:fldChar w:fldCharType="end"/>
            </w:r>
          </w:hyperlink>
        </w:p>
        <w:p w14:paraId="35EBCF8A" w14:textId="77777777" w:rsidR="000D0740" w:rsidRPr="000D0740" w:rsidRDefault="00802514">
          <w:pPr>
            <w:pStyle w:val="TOC2"/>
            <w:tabs>
              <w:tab w:val="right" w:leader="dot" w:pos="9062"/>
            </w:tabs>
            <w:rPr>
              <w:noProof/>
              <w:sz w:val="22"/>
              <w:szCs w:val="22"/>
              <w:lang w:eastAsia="nl-NL"/>
            </w:rPr>
          </w:pPr>
          <w:hyperlink w:anchor="_Toc458983412" w:history="1">
            <w:r w:rsidR="000D0740" w:rsidRPr="000D0740">
              <w:rPr>
                <w:rStyle w:val="Hyperlink"/>
                <w:noProof/>
                <w:lang w:val="en-GB"/>
              </w:rPr>
              <w:t>4.5. Limitations</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_Toc458983412 \h </w:instrText>
            </w:r>
            <w:r w:rsidR="000D0740" w:rsidRPr="000D0740">
              <w:rPr>
                <w:noProof/>
                <w:webHidden/>
              </w:rPr>
            </w:r>
            <w:r w:rsidR="000D0740" w:rsidRPr="000D0740">
              <w:rPr>
                <w:noProof/>
                <w:webHidden/>
              </w:rPr>
              <w:fldChar w:fldCharType="separate"/>
            </w:r>
            <w:r w:rsidR="00CA0D12">
              <w:rPr>
                <w:noProof/>
                <w:webHidden/>
              </w:rPr>
              <w:t>49</w:t>
            </w:r>
            <w:r w:rsidR="000D0740" w:rsidRPr="000D0740">
              <w:rPr>
                <w:noProof/>
                <w:webHidden/>
              </w:rPr>
              <w:fldChar w:fldCharType="end"/>
            </w:r>
          </w:hyperlink>
        </w:p>
        <w:p w14:paraId="3285A0C0" w14:textId="77777777" w:rsidR="000D0740" w:rsidRPr="000D0740" w:rsidRDefault="00802514">
          <w:pPr>
            <w:pStyle w:val="TOC2"/>
            <w:tabs>
              <w:tab w:val="right" w:leader="dot" w:pos="9062"/>
            </w:tabs>
            <w:rPr>
              <w:noProof/>
              <w:sz w:val="22"/>
              <w:szCs w:val="22"/>
              <w:lang w:eastAsia="nl-NL"/>
            </w:rPr>
          </w:pPr>
          <w:hyperlink w:anchor="_Toc458983413" w:history="1">
            <w:r w:rsidR="000D0740" w:rsidRPr="000D0740">
              <w:rPr>
                <w:rStyle w:val="Hyperlink"/>
                <w:noProof/>
                <w:lang w:val="en-GB"/>
              </w:rPr>
              <w:t>4.6. Conclusion</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_Toc458983413 \h </w:instrText>
            </w:r>
            <w:r w:rsidR="000D0740" w:rsidRPr="000D0740">
              <w:rPr>
                <w:noProof/>
                <w:webHidden/>
              </w:rPr>
            </w:r>
            <w:r w:rsidR="000D0740" w:rsidRPr="000D0740">
              <w:rPr>
                <w:noProof/>
                <w:webHidden/>
              </w:rPr>
              <w:fldChar w:fldCharType="separate"/>
            </w:r>
            <w:r w:rsidR="00CA0D12">
              <w:rPr>
                <w:noProof/>
                <w:webHidden/>
              </w:rPr>
              <w:t>50</w:t>
            </w:r>
            <w:r w:rsidR="000D0740" w:rsidRPr="000D0740">
              <w:rPr>
                <w:noProof/>
                <w:webHidden/>
              </w:rPr>
              <w:fldChar w:fldCharType="end"/>
            </w:r>
          </w:hyperlink>
        </w:p>
        <w:p w14:paraId="4B74A164" w14:textId="77777777" w:rsidR="000D0740" w:rsidRPr="000D0740" w:rsidRDefault="00802514">
          <w:pPr>
            <w:pStyle w:val="TOC1"/>
            <w:rPr>
              <w:sz w:val="22"/>
              <w:szCs w:val="22"/>
              <w:lang w:val="nl-NL" w:eastAsia="nl-NL"/>
            </w:rPr>
          </w:pPr>
          <w:hyperlink w:anchor="_Toc458983414" w:history="1">
            <w:r w:rsidR="000D0740" w:rsidRPr="000D0740">
              <w:rPr>
                <w:rStyle w:val="Hyperlink"/>
              </w:rPr>
              <w:t>5. Results</w:t>
            </w:r>
            <w:r w:rsidR="000D0740" w:rsidRPr="000D0740">
              <w:rPr>
                <w:webHidden/>
              </w:rPr>
              <w:tab/>
            </w:r>
            <w:r w:rsidR="000D0740" w:rsidRPr="000D0740">
              <w:rPr>
                <w:webHidden/>
              </w:rPr>
              <w:fldChar w:fldCharType="begin"/>
            </w:r>
            <w:r w:rsidR="000D0740" w:rsidRPr="000D0740">
              <w:rPr>
                <w:webHidden/>
              </w:rPr>
              <w:instrText xml:space="preserve"> PAGEREF _Toc458983414 \h </w:instrText>
            </w:r>
            <w:r w:rsidR="000D0740" w:rsidRPr="000D0740">
              <w:rPr>
                <w:webHidden/>
              </w:rPr>
            </w:r>
            <w:r w:rsidR="000D0740" w:rsidRPr="000D0740">
              <w:rPr>
                <w:webHidden/>
              </w:rPr>
              <w:fldChar w:fldCharType="separate"/>
            </w:r>
            <w:r w:rsidR="00CA0D12">
              <w:rPr>
                <w:webHidden/>
              </w:rPr>
              <w:t>51</w:t>
            </w:r>
            <w:r w:rsidR="000D0740" w:rsidRPr="000D0740">
              <w:rPr>
                <w:webHidden/>
              </w:rPr>
              <w:fldChar w:fldCharType="end"/>
            </w:r>
          </w:hyperlink>
        </w:p>
        <w:p w14:paraId="546069A5" w14:textId="77777777" w:rsidR="000D0740" w:rsidRPr="000D0740" w:rsidRDefault="00802514">
          <w:pPr>
            <w:pStyle w:val="TOC2"/>
            <w:tabs>
              <w:tab w:val="right" w:leader="dot" w:pos="9062"/>
            </w:tabs>
            <w:rPr>
              <w:noProof/>
              <w:sz w:val="22"/>
              <w:szCs w:val="22"/>
              <w:lang w:eastAsia="nl-NL"/>
            </w:rPr>
          </w:pPr>
          <w:hyperlink w:anchor="_Toc458983415" w:history="1">
            <w:r w:rsidR="000D0740" w:rsidRPr="000D0740">
              <w:rPr>
                <w:rStyle w:val="Hyperlink"/>
                <w:rFonts w:eastAsia="Calibri" w:cs="Calibri"/>
                <w:noProof/>
                <w:lang w:val="en-GB"/>
              </w:rPr>
              <w:t>5.1. Discourse plane and sector: Media and online newspapers</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_Toc458983415 \h </w:instrText>
            </w:r>
            <w:r w:rsidR="000D0740" w:rsidRPr="000D0740">
              <w:rPr>
                <w:noProof/>
                <w:webHidden/>
              </w:rPr>
            </w:r>
            <w:r w:rsidR="000D0740" w:rsidRPr="000D0740">
              <w:rPr>
                <w:noProof/>
                <w:webHidden/>
              </w:rPr>
              <w:fldChar w:fldCharType="separate"/>
            </w:r>
            <w:r w:rsidR="00CA0D12">
              <w:rPr>
                <w:noProof/>
                <w:webHidden/>
              </w:rPr>
              <w:t>51</w:t>
            </w:r>
            <w:r w:rsidR="000D0740" w:rsidRPr="000D0740">
              <w:rPr>
                <w:noProof/>
                <w:webHidden/>
              </w:rPr>
              <w:fldChar w:fldCharType="end"/>
            </w:r>
          </w:hyperlink>
        </w:p>
        <w:p w14:paraId="11C1C380" w14:textId="77777777" w:rsidR="000D0740" w:rsidRPr="000D0740" w:rsidRDefault="00802514">
          <w:pPr>
            <w:pStyle w:val="TOC2"/>
            <w:tabs>
              <w:tab w:val="right" w:leader="dot" w:pos="9062"/>
            </w:tabs>
            <w:rPr>
              <w:noProof/>
              <w:sz w:val="22"/>
              <w:szCs w:val="22"/>
              <w:lang w:eastAsia="nl-NL"/>
            </w:rPr>
          </w:pPr>
          <w:hyperlink w:anchor="_Toc458983416" w:history="1">
            <w:r w:rsidR="000D0740" w:rsidRPr="000D0740">
              <w:rPr>
                <w:rStyle w:val="Hyperlink"/>
                <w:rFonts w:eastAsia="Calibri" w:cs="Calibri"/>
                <w:noProof/>
                <w:lang w:val="en-GB"/>
              </w:rPr>
              <w:t>5.2. Structure analysis: Characterisation of the Guardian and its discourse position</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_Toc458983416 \h </w:instrText>
            </w:r>
            <w:r w:rsidR="000D0740" w:rsidRPr="000D0740">
              <w:rPr>
                <w:noProof/>
                <w:webHidden/>
              </w:rPr>
            </w:r>
            <w:r w:rsidR="000D0740" w:rsidRPr="000D0740">
              <w:rPr>
                <w:noProof/>
                <w:webHidden/>
              </w:rPr>
              <w:fldChar w:fldCharType="separate"/>
            </w:r>
            <w:r w:rsidR="00CA0D12">
              <w:rPr>
                <w:noProof/>
                <w:webHidden/>
              </w:rPr>
              <w:t>52</w:t>
            </w:r>
            <w:r w:rsidR="000D0740" w:rsidRPr="000D0740">
              <w:rPr>
                <w:noProof/>
                <w:webHidden/>
              </w:rPr>
              <w:fldChar w:fldCharType="end"/>
            </w:r>
          </w:hyperlink>
        </w:p>
        <w:p w14:paraId="5175AFD5" w14:textId="77777777" w:rsidR="000D0740" w:rsidRPr="000D0740" w:rsidRDefault="00802514">
          <w:pPr>
            <w:pStyle w:val="TOC2"/>
            <w:tabs>
              <w:tab w:val="right" w:leader="dot" w:pos="9062"/>
            </w:tabs>
            <w:rPr>
              <w:noProof/>
              <w:sz w:val="22"/>
              <w:szCs w:val="22"/>
              <w:lang w:eastAsia="nl-NL"/>
            </w:rPr>
          </w:pPr>
          <w:hyperlink w:anchor="_Toc458983417" w:history="1">
            <w:r w:rsidR="000D0740" w:rsidRPr="000D0740">
              <w:rPr>
                <w:rStyle w:val="Hyperlink"/>
                <w:rFonts w:eastAsia="Calibri" w:cs="Calibri"/>
                <w:noProof/>
                <w:lang w:val="en-GB"/>
              </w:rPr>
              <w:t>5.3. The discursive knot around terrorist attacks</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_Toc458983417 \h </w:instrText>
            </w:r>
            <w:r w:rsidR="000D0740" w:rsidRPr="000D0740">
              <w:rPr>
                <w:noProof/>
                <w:webHidden/>
              </w:rPr>
            </w:r>
            <w:r w:rsidR="000D0740" w:rsidRPr="000D0740">
              <w:rPr>
                <w:noProof/>
                <w:webHidden/>
              </w:rPr>
              <w:fldChar w:fldCharType="separate"/>
            </w:r>
            <w:r w:rsidR="00CA0D12">
              <w:rPr>
                <w:noProof/>
                <w:webHidden/>
              </w:rPr>
              <w:t>56</w:t>
            </w:r>
            <w:r w:rsidR="000D0740" w:rsidRPr="000D0740">
              <w:rPr>
                <w:noProof/>
                <w:webHidden/>
              </w:rPr>
              <w:fldChar w:fldCharType="end"/>
            </w:r>
          </w:hyperlink>
        </w:p>
        <w:p w14:paraId="2AE77046" w14:textId="77777777" w:rsidR="000D0740" w:rsidRPr="000D0740" w:rsidRDefault="00802514">
          <w:pPr>
            <w:pStyle w:val="TOC2"/>
            <w:tabs>
              <w:tab w:val="right" w:leader="dot" w:pos="9062"/>
            </w:tabs>
            <w:rPr>
              <w:noProof/>
              <w:sz w:val="22"/>
              <w:szCs w:val="22"/>
              <w:lang w:eastAsia="nl-NL"/>
            </w:rPr>
          </w:pPr>
          <w:hyperlink w:anchor="_Toc458983418" w:history="1">
            <w:r w:rsidR="000D0740" w:rsidRPr="000D0740">
              <w:rPr>
                <w:rStyle w:val="Hyperlink"/>
                <w:rFonts w:eastAsia="Calibri" w:cs="Calibri"/>
                <w:noProof/>
                <w:lang w:val="en-GB"/>
              </w:rPr>
              <w:t>5.4. Discourse strand: Terrorist attacks</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_Toc458983418 \h </w:instrText>
            </w:r>
            <w:r w:rsidR="000D0740" w:rsidRPr="000D0740">
              <w:rPr>
                <w:noProof/>
                <w:webHidden/>
              </w:rPr>
            </w:r>
            <w:r w:rsidR="000D0740" w:rsidRPr="000D0740">
              <w:rPr>
                <w:noProof/>
                <w:webHidden/>
              </w:rPr>
              <w:fldChar w:fldCharType="separate"/>
            </w:r>
            <w:r w:rsidR="00CA0D12">
              <w:rPr>
                <w:noProof/>
                <w:webHidden/>
              </w:rPr>
              <w:t>57</w:t>
            </w:r>
            <w:r w:rsidR="000D0740" w:rsidRPr="000D0740">
              <w:rPr>
                <w:noProof/>
                <w:webHidden/>
              </w:rPr>
              <w:fldChar w:fldCharType="end"/>
            </w:r>
          </w:hyperlink>
        </w:p>
        <w:p w14:paraId="0BCAE481" w14:textId="77777777" w:rsidR="000D0740" w:rsidRPr="000D0740" w:rsidRDefault="00802514">
          <w:pPr>
            <w:pStyle w:val="TOC2"/>
            <w:tabs>
              <w:tab w:val="right" w:leader="dot" w:pos="9062"/>
            </w:tabs>
            <w:rPr>
              <w:noProof/>
              <w:sz w:val="22"/>
              <w:szCs w:val="22"/>
              <w:lang w:eastAsia="nl-NL"/>
            </w:rPr>
          </w:pPr>
          <w:hyperlink w:anchor="_Toc458983419" w:history="1">
            <w:r w:rsidR="000D0740" w:rsidRPr="000D0740">
              <w:rPr>
                <w:rStyle w:val="Hyperlink"/>
                <w:rFonts w:eastAsia="Calibri"/>
                <w:noProof/>
                <w:lang w:val="en-GB"/>
              </w:rPr>
              <w:t>5.5. Specifics on production of Guardian texts on Beirut and Paris</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_Toc458983419 \h </w:instrText>
            </w:r>
            <w:r w:rsidR="000D0740" w:rsidRPr="000D0740">
              <w:rPr>
                <w:noProof/>
                <w:webHidden/>
              </w:rPr>
            </w:r>
            <w:r w:rsidR="000D0740" w:rsidRPr="000D0740">
              <w:rPr>
                <w:noProof/>
                <w:webHidden/>
              </w:rPr>
              <w:fldChar w:fldCharType="separate"/>
            </w:r>
            <w:r w:rsidR="00CA0D12">
              <w:rPr>
                <w:noProof/>
                <w:webHidden/>
              </w:rPr>
              <w:t>58</w:t>
            </w:r>
            <w:r w:rsidR="000D0740" w:rsidRPr="000D0740">
              <w:rPr>
                <w:noProof/>
                <w:webHidden/>
              </w:rPr>
              <w:fldChar w:fldCharType="end"/>
            </w:r>
          </w:hyperlink>
        </w:p>
        <w:p w14:paraId="01ACEFC0" w14:textId="77777777" w:rsidR="000D0740" w:rsidRPr="000D0740" w:rsidRDefault="00802514">
          <w:pPr>
            <w:pStyle w:val="TOC2"/>
            <w:tabs>
              <w:tab w:val="right" w:leader="dot" w:pos="9062"/>
            </w:tabs>
            <w:rPr>
              <w:noProof/>
              <w:sz w:val="22"/>
              <w:szCs w:val="22"/>
              <w:lang w:eastAsia="nl-NL"/>
            </w:rPr>
          </w:pPr>
          <w:hyperlink w:anchor="_Toc458983420" w:history="1">
            <w:r w:rsidR="000D0740" w:rsidRPr="000D0740">
              <w:rPr>
                <w:rStyle w:val="Hyperlink"/>
                <w:rFonts w:eastAsia="Calibri" w:cs="Calibri"/>
                <w:noProof/>
                <w:lang w:val="en-GB"/>
              </w:rPr>
              <w:t>5.6. Fine analysis</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_Toc458983420 \h </w:instrText>
            </w:r>
            <w:r w:rsidR="000D0740" w:rsidRPr="000D0740">
              <w:rPr>
                <w:noProof/>
                <w:webHidden/>
              </w:rPr>
            </w:r>
            <w:r w:rsidR="000D0740" w:rsidRPr="000D0740">
              <w:rPr>
                <w:noProof/>
                <w:webHidden/>
              </w:rPr>
              <w:fldChar w:fldCharType="separate"/>
            </w:r>
            <w:r w:rsidR="00CA0D12">
              <w:rPr>
                <w:noProof/>
                <w:webHidden/>
              </w:rPr>
              <w:t>61</w:t>
            </w:r>
            <w:r w:rsidR="000D0740" w:rsidRPr="000D0740">
              <w:rPr>
                <w:noProof/>
                <w:webHidden/>
              </w:rPr>
              <w:fldChar w:fldCharType="end"/>
            </w:r>
          </w:hyperlink>
        </w:p>
        <w:p w14:paraId="627645C8" w14:textId="77777777" w:rsidR="000D0740" w:rsidRPr="000D0740" w:rsidRDefault="00802514">
          <w:pPr>
            <w:pStyle w:val="TOC3"/>
            <w:tabs>
              <w:tab w:val="right" w:leader="dot" w:pos="9062"/>
            </w:tabs>
            <w:rPr>
              <w:noProof/>
              <w:sz w:val="22"/>
              <w:szCs w:val="22"/>
              <w:lang w:eastAsia="nl-NL"/>
            </w:rPr>
          </w:pPr>
          <w:hyperlink w:anchor="_Toc458983421" w:history="1">
            <w:r w:rsidR="000D0740" w:rsidRPr="000D0740">
              <w:rPr>
                <w:rStyle w:val="Hyperlink"/>
                <w:rFonts w:eastAsia="Calibri" w:cs="Calibri"/>
                <w:noProof/>
                <w:lang w:val="en-GB"/>
              </w:rPr>
              <w:t>5.6.1. Institutional framework and text surface</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_Toc458983421 \h </w:instrText>
            </w:r>
            <w:r w:rsidR="000D0740" w:rsidRPr="000D0740">
              <w:rPr>
                <w:noProof/>
                <w:webHidden/>
              </w:rPr>
            </w:r>
            <w:r w:rsidR="000D0740" w:rsidRPr="000D0740">
              <w:rPr>
                <w:noProof/>
                <w:webHidden/>
              </w:rPr>
              <w:fldChar w:fldCharType="separate"/>
            </w:r>
            <w:r w:rsidR="00CA0D12">
              <w:rPr>
                <w:noProof/>
                <w:webHidden/>
              </w:rPr>
              <w:t>62</w:t>
            </w:r>
            <w:r w:rsidR="000D0740" w:rsidRPr="000D0740">
              <w:rPr>
                <w:noProof/>
                <w:webHidden/>
              </w:rPr>
              <w:fldChar w:fldCharType="end"/>
            </w:r>
          </w:hyperlink>
        </w:p>
        <w:p w14:paraId="6E5FE9DD" w14:textId="77777777" w:rsidR="000D0740" w:rsidRPr="000D0740" w:rsidRDefault="00802514">
          <w:pPr>
            <w:pStyle w:val="TOC3"/>
            <w:tabs>
              <w:tab w:val="right" w:leader="dot" w:pos="9062"/>
            </w:tabs>
            <w:rPr>
              <w:noProof/>
              <w:sz w:val="22"/>
              <w:szCs w:val="22"/>
              <w:lang w:eastAsia="nl-NL"/>
            </w:rPr>
          </w:pPr>
          <w:hyperlink w:anchor="_Toc458983422" w:history="1">
            <w:r w:rsidR="000D0740" w:rsidRPr="000D0740">
              <w:rPr>
                <w:rStyle w:val="Hyperlink"/>
                <w:rFonts w:eastAsia="Calibri"/>
                <w:noProof/>
                <w:lang w:val="en-GB"/>
              </w:rPr>
              <w:t>5.6.2. Word clouds</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_Toc458983422 \h </w:instrText>
            </w:r>
            <w:r w:rsidR="000D0740" w:rsidRPr="000D0740">
              <w:rPr>
                <w:noProof/>
                <w:webHidden/>
              </w:rPr>
            </w:r>
            <w:r w:rsidR="000D0740" w:rsidRPr="000D0740">
              <w:rPr>
                <w:noProof/>
                <w:webHidden/>
              </w:rPr>
              <w:fldChar w:fldCharType="separate"/>
            </w:r>
            <w:r w:rsidR="00CA0D12">
              <w:rPr>
                <w:noProof/>
                <w:webHidden/>
              </w:rPr>
              <w:t>64</w:t>
            </w:r>
            <w:r w:rsidR="000D0740" w:rsidRPr="000D0740">
              <w:rPr>
                <w:noProof/>
                <w:webHidden/>
              </w:rPr>
              <w:fldChar w:fldCharType="end"/>
            </w:r>
          </w:hyperlink>
        </w:p>
        <w:p w14:paraId="709BBCD1" w14:textId="77777777" w:rsidR="000D0740" w:rsidRPr="000D0740" w:rsidRDefault="00802514">
          <w:pPr>
            <w:pStyle w:val="TOC3"/>
            <w:tabs>
              <w:tab w:val="right" w:leader="dot" w:pos="9062"/>
            </w:tabs>
            <w:rPr>
              <w:noProof/>
              <w:sz w:val="22"/>
              <w:szCs w:val="22"/>
              <w:lang w:eastAsia="nl-NL"/>
            </w:rPr>
          </w:pPr>
          <w:hyperlink w:anchor="_Toc458983423" w:history="1">
            <w:r w:rsidR="000D0740" w:rsidRPr="000D0740">
              <w:rPr>
                <w:rStyle w:val="Hyperlink"/>
                <w:rFonts w:eastAsia="Calibri" w:cs="Calibri"/>
                <w:noProof/>
                <w:lang w:val="en-GB"/>
              </w:rPr>
              <w:t>5.6.3. Victims</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_Toc458983423 \h </w:instrText>
            </w:r>
            <w:r w:rsidR="000D0740" w:rsidRPr="000D0740">
              <w:rPr>
                <w:noProof/>
                <w:webHidden/>
              </w:rPr>
            </w:r>
            <w:r w:rsidR="000D0740" w:rsidRPr="000D0740">
              <w:rPr>
                <w:noProof/>
                <w:webHidden/>
              </w:rPr>
              <w:fldChar w:fldCharType="separate"/>
            </w:r>
            <w:r w:rsidR="00CA0D12">
              <w:rPr>
                <w:noProof/>
                <w:webHidden/>
              </w:rPr>
              <w:t>65</w:t>
            </w:r>
            <w:r w:rsidR="000D0740" w:rsidRPr="000D0740">
              <w:rPr>
                <w:noProof/>
                <w:webHidden/>
              </w:rPr>
              <w:fldChar w:fldCharType="end"/>
            </w:r>
          </w:hyperlink>
        </w:p>
        <w:p w14:paraId="21A78FBE" w14:textId="77777777" w:rsidR="000D0740" w:rsidRPr="000D0740" w:rsidRDefault="00802514">
          <w:pPr>
            <w:pStyle w:val="TOC3"/>
            <w:tabs>
              <w:tab w:val="right" w:leader="dot" w:pos="9062"/>
            </w:tabs>
            <w:rPr>
              <w:noProof/>
              <w:sz w:val="22"/>
              <w:szCs w:val="22"/>
              <w:lang w:eastAsia="nl-NL"/>
            </w:rPr>
          </w:pPr>
          <w:hyperlink w:anchor="_Toc458983424" w:history="1">
            <w:r w:rsidR="000D0740" w:rsidRPr="000D0740">
              <w:rPr>
                <w:rStyle w:val="Hyperlink"/>
                <w:rFonts w:eastAsia="Calibri" w:cs="Calibri"/>
                <w:noProof/>
                <w:lang w:val="en-GB"/>
              </w:rPr>
              <w:t>5.6.4. Witnesses and relatives</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_Toc458983424 \h </w:instrText>
            </w:r>
            <w:r w:rsidR="000D0740" w:rsidRPr="000D0740">
              <w:rPr>
                <w:noProof/>
                <w:webHidden/>
              </w:rPr>
            </w:r>
            <w:r w:rsidR="000D0740" w:rsidRPr="000D0740">
              <w:rPr>
                <w:noProof/>
                <w:webHidden/>
              </w:rPr>
              <w:fldChar w:fldCharType="separate"/>
            </w:r>
            <w:r w:rsidR="00CA0D12">
              <w:rPr>
                <w:noProof/>
                <w:webHidden/>
              </w:rPr>
              <w:t>69</w:t>
            </w:r>
            <w:r w:rsidR="000D0740" w:rsidRPr="000D0740">
              <w:rPr>
                <w:noProof/>
                <w:webHidden/>
              </w:rPr>
              <w:fldChar w:fldCharType="end"/>
            </w:r>
          </w:hyperlink>
        </w:p>
        <w:p w14:paraId="34424291" w14:textId="77777777" w:rsidR="000D0740" w:rsidRPr="000D0740" w:rsidRDefault="00802514">
          <w:pPr>
            <w:pStyle w:val="TOC3"/>
            <w:tabs>
              <w:tab w:val="right" w:leader="dot" w:pos="9062"/>
            </w:tabs>
            <w:rPr>
              <w:noProof/>
              <w:sz w:val="22"/>
              <w:szCs w:val="22"/>
              <w:lang w:eastAsia="nl-NL"/>
            </w:rPr>
          </w:pPr>
          <w:hyperlink w:anchor="_Toc458983425" w:history="1">
            <w:r w:rsidR="000D0740" w:rsidRPr="000D0740">
              <w:rPr>
                <w:rStyle w:val="Hyperlink"/>
                <w:rFonts w:eastAsia="Calibri" w:cs="Calibri"/>
                <w:noProof/>
                <w:lang w:val="en-GB"/>
              </w:rPr>
              <w:t>5.6.5. Place and scene of attack</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_Toc458983425 \h </w:instrText>
            </w:r>
            <w:r w:rsidR="000D0740" w:rsidRPr="000D0740">
              <w:rPr>
                <w:noProof/>
                <w:webHidden/>
              </w:rPr>
            </w:r>
            <w:r w:rsidR="000D0740" w:rsidRPr="000D0740">
              <w:rPr>
                <w:noProof/>
                <w:webHidden/>
              </w:rPr>
              <w:fldChar w:fldCharType="separate"/>
            </w:r>
            <w:r w:rsidR="00CA0D12">
              <w:rPr>
                <w:noProof/>
                <w:webHidden/>
              </w:rPr>
              <w:t>71</w:t>
            </w:r>
            <w:r w:rsidR="000D0740" w:rsidRPr="000D0740">
              <w:rPr>
                <w:noProof/>
                <w:webHidden/>
              </w:rPr>
              <w:fldChar w:fldCharType="end"/>
            </w:r>
          </w:hyperlink>
        </w:p>
        <w:p w14:paraId="6D0086A5" w14:textId="77777777" w:rsidR="000D0740" w:rsidRPr="000D0740" w:rsidRDefault="00802514">
          <w:pPr>
            <w:pStyle w:val="TOC2"/>
            <w:tabs>
              <w:tab w:val="right" w:leader="dot" w:pos="9062"/>
            </w:tabs>
            <w:rPr>
              <w:noProof/>
              <w:sz w:val="22"/>
              <w:szCs w:val="22"/>
              <w:lang w:eastAsia="nl-NL"/>
            </w:rPr>
          </w:pPr>
          <w:hyperlink w:anchor="_Toc458983426" w:history="1">
            <w:r w:rsidR="000D0740" w:rsidRPr="000D0740">
              <w:rPr>
                <w:rStyle w:val="Hyperlink"/>
                <w:rFonts w:eastAsia="Calibri" w:cs="Calibri"/>
                <w:noProof/>
                <w:lang w:val="en-GB"/>
              </w:rPr>
              <w:t>5.7. Overall analysis</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_Toc458983426 \h </w:instrText>
            </w:r>
            <w:r w:rsidR="000D0740" w:rsidRPr="000D0740">
              <w:rPr>
                <w:noProof/>
                <w:webHidden/>
              </w:rPr>
            </w:r>
            <w:r w:rsidR="000D0740" w:rsidRPr="000D0740">
              <w:rPr>
                <w:noProof/>
                <w:webHidden/>
              </w:rPr>
              <w:fldChar w:fldCharType="separate"/>
            </w:r>
            <w:r w:rsidR="00CA0D12">
              <w:rPr>
                <w:noProof/>
                <w:webHidden/>
              </w:rPr>
              <w:t>73</w:t>
            </w:r>
            <w:r w:rsidR="000D0740" w:rsidRPr="000D0740">
              <w:rPr>
                <w:noProof/>
                <w:webHidden/>
              </w:rPr>
              <w:fldChar w:fldCharType="end"/>
            </w:r>
          </w:hyperlink>
        </w:p>
        <w:p w14:paraId="483A5D34" w14:textId="77777777" w:rsidR="000D0740" w:rsidRPr="000D0740" w:rsidRDefault="00802514">
          <w:pPr>
            <w:pStyle w:val="TOC1"/>
            <w:rPr>
              <w:sz w:val="22"/>
              <w:szCs w:val="22"/>
              <w:lang w:val="nl-NL" w:eastAsia="nl-NL"/>
            </w:rPr>
          </w:pPr>
          <w:hyperlink w:anchor="_Toc458983427" w:history="1">
            <w:r w:rsidR="000D0740" w:rsidRPr="000D0740">
              <w:rPr>
                <w:rStyle w:val="Hyperlink"/>
              </w:rPr>
              <w:t>6. Conclusion</w:t>
            </w:r>
            <w:r w:rsidR="000D0740" w:rsidRPr="000D0740">
              <w:rPr>
                <w:webHidden/>
              </w:rPr>
              <w:tab/>
            </w:r>
            <w:r w:rsidR="000D0740" w:rsidRPr="000D0740">
              <w:rPr>
                <w:webHidden/>
              </w:rPr>
              <w:fldChar w:fldCharType="begin"/>
            </w:r>
            <w:r w:rsidR="000D0740" w:rsidRPr="000D0740">
              <w:rPr>
                <w:webHidden/>
              </w:rPr>
              <w:instrText xml:space="preserve"> PAGEREF _Toc458983427 \h </w:instrText>
            </w:r>
            <w:r w:rsidR="000D0740" w:rsidRPr="000D0740">
              <w:rPr>
                <w:webHidden/>
              </w:rPr>
            </w:r>
            <w:r w:rsidR="000D0740" w:rsidRPr="000D0740">
              <w:rPr>
                <w:webHidden/>
              </w:rPr>
              <w:fldChar w:fldCharType="separate"/>
            </w:r>
            <w:r w:rsidR="00CA0D12">
              <w:rPr>
                <w:webHidden/>
              </w:rPr>
              <w:t>75</w:t>
            </w:r>
            <w:r w:rsidR="000D0740" w:rsidRPr="000D0740">
              <w:rPr>
                <w:webHidden/>
              </w:rPr>
              <w:fldChar w:fldCharType="end"/>
            </w:r>
          </w:hyperlink>
        </w:p>
        <w:p w14:paraId="02167813" w14:textId="77777777" w:rsidR="000D0740" w:rsidRPr="000D0740" w:rsidRDefault="00802514">
          <w:pPr>
            <w:pStyle w:val="TOC1"/>
            <w:rPr>
              <w:sz w:val="22"/>
              <w:szCs w:val="22"/>
              <w:lang w:val="nl-NL" w:eastAsia="nl-NL"/>
            </w:rPr>
          </w:pPr>
          <w:hyperlink w:anchor="_Toc458983428" w:history="1">
            <w:r w:rsidR="000D0740" w:rsidRPr="000D0740">
              <w:rPr>
                <w:rStyle w:val="Hyperlink"/>
                <w:rFonts w:eastAsia="Calibri"/>
              </w:rPr>
              <w:t>List of references</w:t>
            </w:r>
            <w:r w:rsidR="000D0740" w:rsidRPr="000D0740">
              <w:rPr>
                <w:webHidden/>
              </w:rPr>
              <w:tab/>
            </w:r>
            <w:r w:rsidR="000D0740" w:rsidRPr="000D0740">
              <w:rPr>
                <w:webHidden/>
              </w:rPr>
              <w:fldChar w:fldCharType="begin"/>
            </w:r>
            <w:r w:rsidR="000D0740" w:rsidRPr="000D0740">
              <w:rPr>
                <w:webHidden/>
              </w:rPr>
              <w:instrText xml:space="preserve"> PAGEREF _Toc458983428 \h </w:instrText>
            </w:r>
            <w:r w:rsidR="000D0740" w:rsidRPr="000D0740">
              <w:rPr>
                <w:webHidden/>
              </w:rPr>
            </w:r>
            <w:r w:rsidR="000D0740" w:rsidRPr="000D0740">
              <w:rPr>
                <w:webHidden/>
              </w:rPr>
              <w:fldChar w:fldCharType="separate"/>
            </w:r>
            <w:r w:rsidR="00CA0D12">
              <w:rPr>
                <w:webHidden/>
              </w:rPr>
              <w:t>81</w:t>
            </w:r>
            <w:r w:rsidR="000D0740" w:rsidRPr="000D0740">
              <w:rPr>
                <w:webHidden/>
              </w:rPr>
              <w:fldChar w:fldCharType="end"/>
            </w:r>
          </w:hyperlink>
        </w:p>
        <w:p w14:paraId="33091EC2" w14:textId="77777777" w:rsidR="000D0740" w:rsidRPr="000D0740" w:rsidRDefault="00802514">
          <w:pPr>
            <w:pStyle w:val="TOC1"/>
            <w:rPr>
              <w:sz w:val="22"/>
              <w:szCs w:val="22"/>
              <w:lang w:val="nl-NL" w:eastAsia="nl-NL"/>
            </w:rPr>
          </w:pPr>
          <w:hyperlink w:anchor="_Toc458983429" w:history="1">
            <w:r w:rsidR="000D0740" w:rsidRPr="000D0740">
              <w:rPr>
                <w:rStyle w:val="Hyperlink"/>
              </w:rPr>
              <w:t>Appendix</w:t>
            </w:r>
            <w:r w:rsidR="000D0740" w:rsidRPr="000D0740">
              <w:rPr>
                <w:webHidden/>
              </w:rPr>
              <w:tab/>
            </w:r>
            <w:r w:rsidR="000D0740" w:rsidRPr="000D0740">
              <w:rPr>
                <w:webHidden/>
              </w:rPr>
              <w:fldChar w:fldCharType="begin"/>
            </w:r>
            <w:r w:rsidR="000D0740" w:rsidRPr="000D0740">
              <w:rPr>
                <w:webHidden/>
              </w:rPr>
              <w:instrText xml:space="preserve"> PAGEREF _Toc458983429 \h </w:instrText>
            </w:r>
            <w:r w:rsidR="000D0740" w:rsidRPr="000D0740">
              <w:rPr>
                <w:webHidden/>
              </w:rPr>
            </w:r>
            <w:r w:rsidR="000D0740" w:rsidRPr="000D0740">
              <w:rPr>
                <w:webHidden/>
              </w:rPr>
              <w:fldChar w:fldCharType="separate"/>
            </w:r>
            <w:r w:rsidR="00CA0D12">
              <w:rPr>
                <w:webHidden/>
              </w:rPr>
              <w:t>93</w:t>
            </w:r>
            <w:r w:rsidR="000D0740" w:rsidRPr="000D0740">
              <w:rPr>
                <w:webHidden/>
              </w:rPr>
              <w:fldChar w:fldCharType="end"/>
            </w:r>
          </w:hyperlink>
        </w:p>
        <w:p w14:paraId="7FEDD89C" w14:textId="77777777" w:rsidR="000D0740" w:rsidRPr="000D0740" w:rsidRDefault="00802514">
          <w:pPr>
            <w:pStyle w:val="TOC2"/>
            <w:tabs>
              <w:tab w:val="right" w:leader="dot" w:pos="9062"/>
            </w:tabs>
            <w:rPr>
              <w:noProof/>
              <w:sz w:val="22"/>
              <w:szCs w:val="22"/>
              <w:lang w:eastAsia="nl-NL"/>
            </w:rPr>
          </w:pPr>
          <w:hyperlink w:anchor="_Toc458983430" w:history="1">
            <w:r w:rsidR="000D0740" w:rsidRPr="000D0740">
              <w:rPr>
                <w:rStyle w:val="Hyperlink"/>
                <w:noProof/>
                <w:lang w:val="en-GB" w:eastAsia="nl-NL"/>
              </w:rPr>
              <w:t>List of articles used for fine analysis</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_Toc458983430 \h </w:instrText>
            </w:r>
            <w:r w:rsidR="000D0740" w:rsidRPr="000D0740">
              <w:rPr>
                <w:noProof/>
                <w:webHidden/>
              </w:rPr>
            </w:r>
            <w:r w:rsidR="000D0740" w:rsidRPr="000D0740">
              <w:rPr>
                <w:noProof/>
                <w:webHidden/>
              </w:rPr>
              <w:fldChar w:fldCharType="separate"/>
            </w:r>
            <w:r w:rsidR="00CA0D12">
              <w:rPr>
                <w:noProof/>
                <w:webHidden/>
              </w:rPr>
              <w:t>93</w:t>
            </w:r>
            <w:r w:rsidR="000D0740" w:rsidRPr="000D0740">
              <w:rPr>
                <w:noProof/>
                <w:webHidden/>
              </w:rPr>
              <w:fldChar w:fldCharType="end"/>
            </w:r>
          </w:hyperlink>
        </w:p>
        <w:p w14:paraId="629BCB3C" w14:textId="77777777" w:rsidR="000D0740" w:rsidRPr="000D0740" w:rsidRDefault="00802514">
          <w:pPr>
            <w:pStyle w:val="TOC2"/>
            <w:tabs>
              <w:tab w:val="right" w:leader="dot" w:pos="9062"/>
            </w:tabs>
            <w:rPr>
              <w:noProof/>
              <w:sz w:val="22"/>
              <w:szCs w:val="22"/>
              <w:lang w:eastAsia="nl-NL"/>
            </w:rPr>
          </w:pPr>
          <w:hyperlink w:anchor="_Toc458983431" w:history="1">
            <w:r w:rsidR="000D0740" w:rsidRPr="000D0740">
              <w:rPr>
                <w:rStyle w:val="Hyperlink"/>
                <w:noProof/>
                <w:lang w:val="en-GB" w:eastAsia="nl-NL"/>
              </w:rPr>
              <w:t>List of articles used for structure analysis</w:t>
            </w:r>
            <w:r w:rsidR="000D0740" w:rsidRPr="000D0740">
              <w:rPr>
                <w:noProof/>
                <w:webHidden/>
              </w:rPr>
              <w:tab/>
            </w:r>
            <w:r w:rsidR="000D0740" w:rsidRPr="000D0740">
              <w:rPr>
                <w:noProof/>
                <w:webHidden/>
              </w:rPr>
              <w:fldChar w:fldCharType="begin"/>
            </w:r>
            <w:r w:rsidR="000D0740" w:rsidRPr="000D0740">
              <w:rPr>
                <w:noProof/>
                <w:webHidden/>
              </w:rPr>
              <w:instrText xml:space="preserve"> PAGEREF _Toc458983431 \h </w:instrText>
            </w:r>
            <w:r w:rsidR="000D0740" w:rsidRPr="000D0740">
              <w:rPr>
                <w:noProof/>
                <w:webHidden/>
              </w:rPr>
            </w:r>
            <w:r w:rsidR="000D0740" w:rsidRPr="000D0740">
              <w:rPr>
                <w:noProof/>
                <w:webHidden/>
              </w:rPr>
              <w:fldChar w:fldCharType="separate"/>
            </w:r>
            <w:r w:rsidR="00CA0D12">
              <w:rPr>
                <w:noProof/>
                <w:webHidden/>
              </w:rPr>
              <w:t>94</w:t>
            </w:r>
            <w:r w:rsidR="000D0740" w:rsidRPr="000D0740">
              <w:rPr>
                <w:noProof/>
                <w:webHidden/>
              </w:rPr>
              <w:fldChar w:fldCharType="end"/>
            </w:r>
          </w:hyperlink>
        </w:p>
        <w:p w14:paraId="5B5ED269" w14:textId="45A5C1F5" w:rsidR="00032AFF" w:rsidRDefault="00032AFF" w:rsidP="00E52F0F">
          <w:pPr>
            <w:spacing w:line="360" w:lineRule="auto"/>
          </w:pPr>
          <w:r w:rsidRPr="000D0740">
            <w:rPr>
              <w:b/>
              <w:bCs/>
              <w:noProof/>
            </w:rPr>
            <w:fldChar w:fldCharType="end"/>
          </w:r>
        </w:p>
      </w:sdtContent>
    </w:sdt>
    <w:p w14:paraId="28107780" w14:textId="77777777" w:rsidR="00032AFF" w:rsidRDefault="00032AFF" w:rsidP="00E52F0F">
      <w:pPr>
        <w:spacing w:line="360" w:lineRule="auto"/>
        <w:rPr>
          <w:lang w:val="en-GB"/>
        </w:rPr>
      </w:pPr>
    </w:p>
    <w:p w14:paraId="5263558E" w14:textId="77777777" w:rsidR="00DF5C20" w:rsidRPr="004B16A2" w:rsidRDefault="00E301E1" w:rsidP="00DF5C20">
      <w:pPr>
        <w:pStyle w:val="Heading1"/>
        <w:spacing w:line="360" w:lineRule="auto"/>
        <w:rPr>
          <w:lang w:val="en-GB"/>
        </w:rPr>
      </w:pPr>
      <w:r>
        <w:rPr>
          <w:lang w:val="en-GB"/>
        </w:rPr>
        <w:br w:type="column"/>
      </w:r>
      <w:bookmarkStart w:id="4" w:name="_Toc458778458"/>
      <w:bookmarkStart w:id="5" w:name="_Toc458983387"/>
      <w:r w:rsidR="00DF5C20" w:rsidRPr="004B16A2">
        <w:rPr>
          <w:lang w:val="en-GB"/>
        </w:rPr>
        <w:lastRenderedPageBreak/>
        <w:t>List of tables and figures</w:t>
      </w:r>
      <w:bookmarkEnd w:id="4"/>
      <w:bookmarkEnd w:id="5"/>
    </w:p>
    <w:p w14:paraId="47D61B60" w14:textId="77777777" w:rsidR="00DF5C20" w:rsidRPr="004B16A2" w:rsidRDefault="00DF5C20" w:rsidP="00DF5C20">
      <w:pPr>
        <w:spacing w:line="360" w:lineRule="auto"/>
        <w:rPr>
          <w:lang w:val="en-GB"/>
        </w:rPr>
      </w:pPr>
    </w:p>
    <w:p w14:paraId="7BE51633" w14:textId="77777777" w:rsidR="00DF5C20" w:rsidRPr="00783785" w:rsidRDefault="00DF5C20" w:rsidP="00DF5C20">
      <w:pPr>
        <w:keepNext/>
        <w:keepLines/>
        <w:spacing w:before="160" w:after="0" w:line="360" w:lineRule="auto"/>
        <w:outlineLvl w:val="1"/>
        <w:rPr>
          <w:rFonts w:asciiTheme="majorHAnsi" w:eastAsiaTheme="majorEastAsia" w:hAnsiTheme="majorHAnsi" w:cstheme="majorBidi"/>
          <w:color w:val="2E74B5" w:themeColor="accent1" w:themeShade="BF"/>
          <w:sz w:val="28"/>
          <w:szCs w:val="28"/>
          <w:lang w:val="en-GB"/>
        </w:rPr>
      </w:pPr>
      <w:bookmarkStart w:id="6" w:name="_Toc458778459"/>
      <w:bookmarkStart w:id="7" w:name="_Toc458983388"/>
      <w:r w:rsidRPr="00783785">
        <w:rPr>
          <w:rFonts w:asciiTheme="majorHAnsi" w:eastAsiaTheme="majorEastAsia" w:hAnsiTheme="majorHAnsi" w:cstheme="majorBidi"/>
          <w:color w:val="2E74B5" w:themeColor="accent1" w:themeShade="BF"/>
          <w:sz w:val="28"/>
          <w:szCs w:val="28"/>
          <w:lang w:val="en-GB"/>
        </w:rPr>
        <w:t>List of figures</w:t>
      </w:r>
      <w:bookmarkEnd w:id="6"/>
      <w:bookmarkEnd w:id="7"/>
    </w:p>
    <w:p w14:paraId="1E91AB0D" w14:textId="77777777" w:rsidR="00DF5C20" w:rsidRPr="00783785" w:rsidRDefault="00DF5C20" w:rsidP="00DF5C20">
      <w:pPr>
        <w:tabs>
          <w:tab w:val="left" w:pos="709"/>
          <w:tab w:val="right" w:pos="9072"/>
        </w:tabs>
        <w:spacing w:line="360" w:lineRule="auto"/>
        <w:rPr>
          <w:lang w:val="en-GB"/>
        </w:rPr>
      </w:pPr>
      <w:r w:rsidRPr="00783785">
        <w:rPr>
          <w:lang w:val="en-GB"/>
        </w:rPr>
        <w:t>5.1.</w:t>
      </w:r>
      <w:r w:rsidRPr="00783785">
        <w:rPr>
          <w:lang w:val="en-GB"/>
        </w:rPr>
        <w:tab/>
        <w:t>Framing in media…………………………………………</w:t>
      </w:r>
      <w:r>
        <w:rPr>
          <w:lang w:val="en-GB"/>
        </w:rPr>
        <w:t>………………………………………………………………………………</w:t>
      </w:r>
      <w:r>
        <w:rPr>
          <w:lang w:val="en-GB"/>
        </w:rPr>
        <w:tab/>
        <w:t>54</w:t>
      </w:r>
    </w:p>
    <w:p w14:paraId="555BC366" w14:textId="77777777" w:rsidR="00DF5C20" w:rsidRPr="00783785" w:rsidRDefault="00DF5C20" w:rsidP="00DF5C20">
      <w:pPr>
        <w:tabs>
          <w:tab w:val="left" w:pos="709"/>
          <w:tab w:val="right" w:pos="9072"/>
        </w:tabs>
        <w:spacing w:line="360" w:lineRule="auto"/>
        <w:rPr>
          <w:lang w:val="en-GB"/>
        </w:rPr>
      </w:pPr>
      <w:r w:rsidRPr="00783785">
        <w:rPr>
          <w:lang w:val="en-GB"/>
        </w:rPr>
        <w:t>5.2.</w:t>
      </w:r>
      <w:r w:rsidRPr="00783785">
        <w:rPr>
          <w:lang w:val="en-GB"/>
        </w:rPr>
        <w:tab/>
        <w:t>Progressive audience of the Guardian………………</w:t>
      </w:r>
      <w:r>
        <w:rPr>
          <w:lang w:val="en-GB"/>
        </w:rPr>
        <w:t>…………………………………………………………………………</w:t>
      </w:r>
      <w:r>
        <w:rPr>
          <w:lang w:val="en-GB"/>
        </w:rPr>
        <w:tab/>
        <w:t>56</w:t>
      </w:r>
    </w:p>
    <w:p w14:paraId="3C640A4E" w14:textId="77777777" w:rsidR="00DF5C20" w:rsidRDefault="00DF5C20" w:rsidP="00DF5C20">
      <w:pPr>
        <w:tabs>
          <w:tab w:val="left" w:pos="709"/>
          <w:tab w:val="right" w:pos="9072"/>
        </w:tabs>
        <w:spacing w:line="360" w:lineRule="auto"/>
        <w:rPr>
          <w:lang w:val="en-GB"/>
        </w:rPr>
      </w:pPr>
      <w:r w:rsidRPr="00783785">
        <w:rPr>
          <w:lang w:val="en-GB"/>
        </w:rPr>
        <w:t>5.3.</w:t>
      </w:r>
      <w:r w:rsidRPr="00783785">
        <w:rPr>
          <w:lang w:val="en-GB"/>
        </w:rPr>
        <w:tab/>
      </w:r>
      <w:r>
        <w:rPr>
          <w:lang w:val="en-GB"/>
        </w:rPr>
        <w:t>Comparison of Guardian texts on Beirut and Paris with headlines that include chosen words…….60</w:t>
      </w:r>
    </w:p>
    <w:p w14:paraId="64EC1B8A" w14:textId="77777777" w:rsidR="00DF5C20" w:rsidRDefault="00DF5C20" w:rsidP="00DF5C20">
      <w:pPr>
        <w:tabs>
          <w:tab w:val="left" w:pos="709"/>
          <w:tab w:val="right" w:pos="9072"/>
        </w:tabs>
        <w:spacing w:line="360" w:lineRule="auto"/>
        <w:ind w:left="709" w:hanging="709"/>
        <w:rPr>
          <w:lang w:val="en-GB"/>
        </w:rPr>
      </w:pPr>
      <w:r>
        <w:rPr>
          <w:lang w:val="en-GB"/>
        </w:rPr>
        <w:t>5.4.</w:t>
      </w:r>
      <w:r>
        <w:rPr>
          <w:lang w:val="en-GB"/>
        </w:rPr>
        <w:tab/>
        <w:t>Comparison of Guardian texts on Beirut and Paris with headlines that do not include chosen words………………………………………………………………………………………………………………………………………….</w:t>
      </w:r>
      <w:r>
        <w:rPr>
          <w:lang w:val="en-GB"/>
        </w:rPr>
        <w:tab/>
        <w:t>61</w:t>
      </w:r>
    </w:p>
    <w:p w14:paraId="50E968BB" w14:textId="77777777" w:rsidR="00DF5C20" w:rsidRPr="00783785" w:rsidRDefault="00DF5C20" w:rsidP="00DF5C20">
      <w:pPr>
        <w:tabs>
          <w:tab w:val="left" w:pos="709"/>
          <w:tab w:val="right" w:pos="9072"/>
        </w:tabs>
        <w:spacing w:line="360" w:lineRule="auto"/>
        <w:rPr>
          <w:lang w:val="en-GB"/>
        </w:rPr>
      </w:pPr>
      <w:r>
        <w:rPr>
          <w:lang w:val="en-GB"/>
        </w:rPr>
        <w:t>5.5.</w:t>
      </w:r>
      <w:r>
        <w:rPr>
          <w:lang w:val="en-GB"/>
        </w:rPr>
        <w:tab/>
      </w:r>
      <w:r w:rsidRPr="00783785">
        <w:rPr>
          <w:lang w:val="en-GB"/>
        </w:rPr>
        <w:t>Word cloud of Beirut articles………………………………</w:t>
      </w:r>
      <w:r>
        <w:rPr>
          <w:lang w:val="en-GB"/>
        </w:rPr>
        <w:t>……………………………………………………………………...</w:t>
      </w:r>
      <w:r>
        <w:rPr>
          <w:lang w:val="en-GB"/>
        </w:rPr>
        <w:tab/>
        <w:t>67</w:t>
      </w:r>
    </w:p>
    <w:p w14:paraId="2563A17B" w14:textId="77777777" w:rsidR="00DF5C20" w:rsidRPr="00783785" w:rsidRDefault="00DF5C20" w:rsidP="00DF5C20">
      <w:pPr>
        <w:tabs>
          <w:tab w:val="left" w:pos="709"/>
          <w:tab w:val="right" w:pos="9072"/>
        </w:tabs>
        <w:spacing w:line="360" w:lineRule="auto"/>
        <w:rPr>
          <w:lang w:val="en-GB"/>
        </w:rPr>
      </w:pPr>
      <w:r w:rsidRPr="00783785">
        <w:rPr>
          <w:lang w:val="en-GB"/>
        </w:rPr>
        <w:t>5.</w:t>
      </w:r>
      <w:r>
        <w:rPr>
          <w:lang w:val="en-GB"/>
        </w:rPr>
        <w:t>6</w:t>
      </w:r>
      <w:r w:rsidRPr="00783785">
        <w:rPr>
          <w:lang w:val="en-GB"/>
        </w:rPr>
        <w:t>.</w:t>
      </w:r>
      <w:r w:rsidRPr="00783785">
        <w:rPr>
          <w:lang w:val="en-GB"/>
        </w:rPr>
        <w:tab/>
        <w:t>Word cloud of Paris articles……………………………</w:t>
      </w:r>
      <w:r>
        <w:rPr>
          <w:lang w:val="en-GB"/>
        </w:rPr>
        <w:t>……………………………………………………………………………</w:t>
      </w:r>
      <w:r>
        <w:rPr>
          <w:lang w:val="en-GB"/>
        </w:rPr>
        <w:tab/>
        <w:t>67</w:t>
      </w:r>
    </w:p>
    <w:p w14:paraId="7A36B376" w14:textId="77777777" w:rsidR="00DF5C20" w:rsidRPr="00783785" w:rsidRDefault="00DF5C20" w:rsidP="00DF5C20">
      <w:pPr>
        <w:tabs>
          <w:tab w:val="left" w:pos="709"/>
          <w:tab w:val="right" w:pos="9072"/>
        </w:tabs>
        <w:spacing w:line="360" w:lineRule="auto"/>
        <w:rPr>
          <w:lang w:val="en-GB"/>
        </w:rPr>
      </w:pPr>
    </w:p>
    <w:p w14:paraId="1F8FB685" w14:textId="77777777" w:rsidR="00DF5C20" w:rsidRPr="00783785" w:rsidRDefault="00DF5C20" w:rsidP="00DF5C20">
      <w:pPr>
        <w:keepNext/>
        <w:keepLines/>
        <w:tabs>
          <w:tab w:val="left" w:pos="709"/>
          <w:tab w:val="right" w:pos="9072"/>
        </w:tabs>
        <w:spacing w:before="160" w:after="0" w:line="360" w:lineRule="auto"/>
        <w:outlineLvl w:val="1"/>
        <w:rPr>
          <w:rFonts w:asciiTheme="majorHAnsi" w:eastAsiaTheme="majorEastAsia" w:hAnsiTheme="majorHAnsi" w:cstheme="majorBidi"/>
          <w:color w:val="2E74B5" w:themeColor="accent1" w:themeShade="BF"/>
          <w:sz w:val="28"/>
          <w:szCs w:val="28"/>
          <w:lang w:val="en-GB"/>
        </w:rPr>
      </w:pPr>
      <w:bookmarkStart w:id="8" w:name="_Toc458778460"/>
      <w:bookmarkStart w:id="9" w:name="_Toc458983389"/>
      <w:r w:rsidRPr="00783785">
        <w:rPr>
          <w:rFonts w:asciiTheme="majorHAnsi" w:eastAsiaTheme="majorEastAsia" w:hAnsiTheme="majorHAnsi" w:cstheme="majorBidi"/>
          <w:color w:val="2E74B5" w:themeColor="accent1" w:themeShade="BF"/>
          <w:sz w:val="28"/>
          <w:szCs w:val="28"/>
          <w:lang w:val="en-GB"/>
        </w:rPr>
        <w:t>List of tables</w:t>
      </w:r>
      <w:bookmarkEnd w:id="8"/>
      <w:bookmarkEnd w:id="9"/>
    </w:p>
    <w:p w14:paraId="6759E182" w14:textId="77777777" w:rsidR="00DF5C20" w:rsidRPr="00783785" w:rsidRDefault="00DF5C20" w:rsidP="00DF5C20">
      <w:pPr>
        <w:tabs>
          <w:tab w:val="left" w:pos="709"/>
          <w:tab w:val="right" w:pos="9072"/>
        </w:tabs>
        <w:spacing w:line="360" w:lineRule="auto"/>
        <w:rPr>
          <w:lang w:val="en-GB"/>
        </w:rPr>
      </w:pPr>
      <w:r w:rsidRPr="00783785">
        <w:rPr>
          <w:lang w:val="en-GB"/>
        </w:rPr>
        <w:t>2.1.</w:t>
      </w:r>
      <w:r w:rsidRPr="00783785">
        <w:rPr>
          <w:lang w:val="en-GB"/>
        </w:rPr>
        <w:tab/>
        <w:t>Göhler’s categorisation of transitive and intransitiv</w:t>
      </w:r>
      <w:r>
        <w:rPr>
          <w:lang w:val="en-GB"/>
        </w:rPr>
        <w:t>e power……………………………………………………….</w:t>
      </w:r>
      <w:r>
        <w:rPr>
          <w:lang w:val="en-GB"/>
        </w:rPr>
        <w:tab/>
        <w:t>24</w:t>
      </w:r>
    </w:p>
    <w:p w14:paraId="7E2D2638" w14:textId="77777777" w:rsidR="00DF5C20" w:rsidRDefault="00DF5C20" w:rsidP="00DF5C20">
      <w:pPr>
        <w:tabs>
          <w:tab w:val="left" w:pos="709"/>
          <w:tab w:val="right" w:pos="9072"/>
        </w:tabs>
        <w:spacing w:line="360" w:lineRule="auto"/>
        <w:rPr>
          <w:lang w:val="en-GB"/>
        </w:rPr>
      </w:pPr>
      <w:r w:rsidRPr="00783785">
        <w:rPr>
          <w:lang w:val="en-GB"/>
        </w:rPr>
        <w:t>5.1.</w:t>
      </w:r>
      <w:r w:rsidRPr="00783785">
        <w:rPr>
          <w:lang w:val="en-GB"/>
        </w:rPr>
        <w:tab/>
        <w:t>Demographic information of the Guardian’s read</w:t>
      </w:r>
      <w:r>
        <w:rPr>
          <w:lang w:val="en-GB"/>
        </w:rPr>
        <w:t>ers………………………………………………………………….</w:t>
      </w:r>
      <w:r>
        <w:rPr>
          <w:lang w:val="en-GB"/>
        </w:rPr>
        <w:tab/>
        <w:t>57</w:t>
      </w:r>
    </w:p>
    <w:p w14:paraId="25202510" w14:textId="77777777" w:rsidR="00DF5C20" w:rsidRPr="00783785" w:rsidRDefault="00DF5C20" w:rsidP="00DF5C20">
      <w:pPr>
        <w:tabs>
          <w:tab w:val="left" w:pos="709"/>
          <w:tab w:val="right" w:pos="9072"/>
        </w:tabs>
        <w:spacing w:line="360" w:lineRule="auto"/>
        <w:rPr>
          <w:lang w:val="en-GB"/>
        </w:rPr>
      </w:pPr>
      <w:r>
        <w:rPr>
          <w:lang w:val="en-GB"/>
        </w:rPr>
        <w:t>5.2.</w:t>
      </w:r>
      <w:r>
        <w:rPr>
          <w:lang w:val="en-GB"/>
        </w:rPr>
        <w:tab/>
        <w:t>Headlines of six most shared articles about Paris………………………………………………………………………..</w:t>
      </w:r>
      <w:r>
        <w:rPr>
          <w:lang w:val="en-GB"/>
        </w:rPr>
        <w:tab/>
        <w:t>62</w:t>
      </w:r>
    </w:p>
    <w:p w14:paraId="3360E985" w14:textId="77777777" w:rsidR="00E35E69" w:rsidRDefault="00E35E69" w:rsidP="00E52F0F">
      <w:pPr>
        <w:spacing w:line="360" w:lineRule="auto"/>
        <w:rPr>
          <w:rFonts w:asciiTheme="majorHAnsi" w:eastAsiaTheme="majorEastAsia" w:hAnsiTheme="majorHAnsi" w:cstheme="majorBidi"/>
          <w:color w:val="2E74B5" w:themeColor="accent1" w:themeShade="BF"/>
          <w:sz w:val="36"/>
          <w:szCs w:val="36"/>
          <w:lang w:val="en-GB"/>
        </w:rPr>
      </w:pPr>
      <w:r>
        <w:rPr>
          <w:lang w:val="en-GB"/>
        </w:rPr>
        <w:br w:type="page"/>
      </w:r>
    </w:p>
    <w:p w14:paraId="111C32D0" w14:textId="77777777" w:rsidR="00DF5C20" w:rsidRDefault="00DF5C20">
      <w:pPr>
        <w:rPr>
          <w:rFonts w:ascii="Calibri Light" w:eastAsiaTheme="majorEastAsia" w:hAnsi="Calibri Light" w:cstheme="majorBidi"/>
          <w:color w:val="2E74B5" w:themeColor="accent1" w:themeShade="BF"/>
          <w:sz w:val="36"/>
          <w:szCs w:val="36"/>
          <w:lang w:val="en-GB"/>
        </w:rPr>
      </w:pPr>
      <w:r>
        <w:rPr>
          <w:rFonts w:ascii="Calibri Light" w:hAnsi="Calibri Light"/>
          <w:lang w:val="en-GB"/>
        </w:rPr>
        <w:lastRenderedPageBreak/>
        <w:br w:type="page"/>
      </w:r>
    </w:p>
    <w:p w14:paraId="3AC4DCDE" w14:textId="0FF3A561" w:rsidR="00B549D5" w:rsidRPr="00B549D5" w:rsidRDefault="00CC3E8E" w:rsidP="00E52F0F">
      <w:pPr>
        <w:pStyle w:val="Heading1"/>
        <w:spacing w:line="360" w:lineRule="auto"/>
        <w:jc w:val="both"/>
        <w:rPr>
          <w:rFonts w:ascii="Calibri Light" w:hAnsi="Calibri Light"/>
          <w:lang w:val="en-GB"/>
        </w:rPr>
      </w:pPr>
      <w:bookmarkStart w:id="10" w:name="_Toc458983390"/>
      <w:r w:rsidRPr="00CC3E8E">
        <w:rPr>
          <w:rFonts w:ascii="Calibri Light" w:hAnsi="Calibri Light"/>
          <w:lang w:val="en-GB"/>
        </w:rPr>
        <w:lastRenderedPageBreak/>
        <w:t>1.</w:t>
      </w:r>
      <w:r>
        <w:rPr>
          <w:rFonts w:ascii="Calibri Light" w:hAnsi="Calibri Light"/>
          <w:lang w:val="en-GB"/>
        </w:rPr>
        <w:t xml:space="preserve"> </w:t>
      </w:r>
      <w:r w:rsidR="00B549D5" w:rsidRPr="00B549D5">
        <w:rPr>
          <w:rFonts w:ascii="Calibri Light" w:hAnsi="Calibri Light"/>
          <w:lang w:val="en-GB"/>
        </w:rPr>
        <w:t>Introduction</w:t>
      </w:r>
      <w:bookmarkEnd w:id="10"/>
    </w:p>
    <w:p w14:paraId="4FD182B7" w14:textId="77777777" w:rsidR="002566CB" w:rsidRDefault="002566CB" w:rsidP="00E52F0F">
      <w:pPr>
        <w:pStyle w:val="Normal1"/>
        <w:spacing w:after="0" w:line="360" w:lineRule="auto"/>
        <w:jc w:val="both"/>
        <w:rPr>
          <w:rFonts w:ascii="Calibri" w:hAnsi="Calibri"/>
          <w:lang w:val="en-GB"/>
        </w:rPr>
      </w:pPr>
    </w:p>
    <w:p w14:paraId="5748A325" w14:textId="08D77F1C" w:rsidR="00DD26B1" w:rsidRDefault="008940D8" w:rsidP="00E52F0F">
      <w:pPr>
        <w:pStyle w:val="Normal1"/>
        <w:spacing w:after="0" w:line="360" w:lineRule="auto"/>
        <w:jc w:val="both"/>
        <w:rPr>
          <w:rFonts w:ascii="Calibri" w:hAnsi="Calibri"/>
          <w:lang w:val="en-GB"/>
        </w:rPr>
      </w:pPr>
      <w:r>
        <w:rPr>
          <w:rFonts w:ascii="Calibri" w:hAnsi="Calibri"/>
          <w:lang w:val="en-GB"/>
        </w:rPr>
        <w:t xml:space="preserve">At 21:23, </w:t>
      </w:r>
      <w:r w:rsidR="00B549D5" w:rsidRPr="00173294">
        <w:rPr>
          <w:rFonts w:ascii="Calibri" w:hAnsi="Calibri"/>
          <w:lang w:val="en-GB"/>
        </w:rPr>
        <w:t>the 13</w:t>
      </w:r>
      <w:r w:rsidR="00B549D5" w:rsidRPr="00173294">
        <w:rPr>
          <w:rFonts w:ascii="Calibri" w:hAnsi="Calibri"/>
          <w:vertAlign w:val="superscript"/>
          <w:lang w:val="en-GB"/>
        </w:rPr>
        <w:t>th</w:t>
      </w:r>
      <w:r w:rsidR="00293A32">
        <w:rPr>
          <w:rFonts w:ascii="Calibri" w:hAnsi="Calibri"/>
          <w:lang w:val="en-GB"/>
        </w:rPr>
        <w:t xml:space="preserve"> of November</w:t>
      </w:r>
      <w:r w:rsidR="00B549D5" w:rsidRPr="00173294">
        <w:rPr>
          <w:rFonts w:ascii="Calibri" w:hAnsi="Calibri"/>
          <w:lang w:val="en-GB"/>
        </w:rPr>
        <w:t xml:space="preserve"> 2015, the</w:t>
      </w:r>
      <w:r w:rsidR="00DD26B1">
        <w:rPr>
          <w:rFonts w:ascii="Calibri" w:hAnsi="Calibri"/>
          <w:lang w:val="en-GB"/>
        </w:rPr>
        <w:t xml:space="preserve"> world f</w:t>
      </w:r>
      <w:r>
        <w:rPr>
          <w:rFonts w:ascii="Calibri" w:hAnsi="Calibri"/>
          <w:lang w:val="en-GB"/>
        </w:rPr>
        <w:t>a</w:t>
      </w:r>
      <w:r w:rsidR="00DD26B1">
        <w:rPr>
          <w:rFonts w:ascii="Calibri" w:hAnsi="Calibri"/>
          <w:lang w:val="en-GB"/>
        </w:rPr>
        <w:t>ll</w:t>
      </w:r>
      <w:r>
        <w:rPr>
          <w:rFonts w:ascii="Calibri" w:hAnsi="Calibri"/>
          <w:lang w:val="en-GB"/>
        </w:rPr>
        <w:t>s</w:t>
      </w:r>
      <w:r w:rsidR="00DD26B1">
        <w:rPr>
          <w:rFonts w:ascii="Calibri" w:hAnsi="Calibri"/>
          <w:lang w:val="en-GB"/>
        </w:rPr>
        <w:t xml:space="preserve"> silent for a moment,</w:t>
      </w:r>
      <w:r w:rsidR="00B549D5" w:rsidRPr="00173294">
        <w:rPr>
          <w:rFonts w:ascii="Calibri" w:hAnsi="Calibri"/>
          <w:lang w:val="en-GB"/>
        </w:rPr>
        <w:t xml:space="preserve"> </w:t>
      </w:r>
      <w:r>
        <w:rPr>
          <w:rFonts w:ascii="Calibri" w:hAnsi="Calibri"/>
          <w:lang w:val="en-GB"/>
        </w:rPr>
        <w:t>as</w:t>
      </w:r>
      <w:r w:rsidR="00B549D5" w:rsidRPr="00173294">
        <w:rPr>
          <w:rFonts w:ascii="Calibri" w:hAnsi="Calibri"/>
          <w:lang w:val="en-GB"/>
        </w:rPr>
        <w:t xml:space="preserve"> it hear</w:t>
      </w:r>
      <w:r>
        <w:rPr>
          <w:rFonts w:ascii="Calibri" w:hAnsi="Calibri"/>
          <w:lang w:val="en-GB"/>
        </w:rPr>
        <w:t>s</w:t>
      </w:r>
      <w:r w:rsidR="00B549D5" w:rsidRPr="00173294">
        <w:rPr>
          <w:rFonts w:ascii="Calibri" w:hAnsi="Calibri"/>
          <w:lang w:val="en-GB"/>
        </w:rPr>
        <w:t xml:space="preserve"> of the terrorist attacks that </w:t>
      </w:r>
      <w:r>
        <w:rPr>
          <w:rFonts w:ascii="Calibri" w:hAnsi="Calibri"/>
          <w:lang w:val="en-GB"/>
        </w:rPr>
        <w:t>are taking</w:t>
      </w:r>
      <w:r w:rsidR="00B549D5" w:rsidRPr="00173294">
        <w:rPr>
          <w:rFonts w:ascii="Calibri" w:hAnsi="Calibri"/>
          <w:lang w:val="en-GB"/>
        </w:rPr>
        <w:t xml:space="preserve"> place in the City of Light, Paris</w:t>
      </w:r>
      <w:r w:rsidR="00FC286B">
        <w:rPr>
          <w:rFonts w:ascii="Calibri" w:hAnsi="Calibri"/>
          <w:lang w:val="en-GB"/>
        </w:rPr>
        <w:t xml:space="preserve"> (</w:t>
      </w:r>
      <w:r w:rsidR="00293A32">
        <w:rPr>
          <w:rFonts w:ascii="Calibri" w:hAnsi="Calibri"/>
          <w:lang w:val="en-GB"/>
        </w:rPr>
        <w:t>Phipps and Rawlinson, 2015</w:t>
      </w:r>
      <w:r w:rsidR="00FC286B">
        <w:rPr>
          <w:rFonts w:ascii="Calibri" w:hAnsi="Calibri"/>
          <w:lang w:val="en-GB"/>
        </w:rPr>
        <w:t>)</w:t>
      </w:r>
      <w:r>
        <w:rPr>
          <w:rFonts w:ascii="Calibri" w:hAnsi="Calibri"/>
          <w:lang w:val="en-GB"/>
        </w:rPr>
        <w:t>. 137 People die</w:t>
      </w:r>
      <w:r w:rsidR="00B549D5" w:rsidRPr="00173294">
        <w:rPr>
          <w:rFonts w:ascii="Calibri" w:hAnsi="Calibri"/>
          <w:lang w:val="en-GB"/>
        </w:rPr>
        <w:t xml:space="preserve">, and a further 368 people </w:t>
      </w:r>
      <w:r>
        <w:rPr>
          <w:rFonts w:ascii="Calibri" w:hAnsi="Calibri"/>
          <w:lang w:val="en-GB"/>
        </w:rPr>
        <w:t>are</w:t>
      </w:r>
      <w:r w:rsidR="00B549D5" w:rsidRPr="00173294">
        <w:rPr>
          <w:rFonts w:ascii="Calibri" w:hAnsi="Calibri"/>
          <w:lang w:val="en-GB"/>
        </w:rPr>
        <w:t xml:space="preserve"> injured during the mass shooting and suicide bombing. </w:t>
      </w:r>
      <w:r w:rsidR="00DD26B1">
        <w:rPr>
          <w:rFonts w:ascii="Calibri" w:hAnsi="Calibri"/>
          <w:lang w:val="en-GB"/>
        </w:rPr>
        <w:t>At 21:20, 21:30, and 21:53 explosion</w:t>
      </w:r>
      <w:r w:rsidR="00075A12">
        <w:rPr>
          <w:rFonts w:ascii="Calibri" w:hAnsi="Calibri"/>
          <w:lang w:val="en-GB"/>
        </w:rPr>
        <w:t>s erupt</w:t>
      </w:r>
      <w:r w:rsidR="00DD26B1">
        <w:rPr>
          <w:rFonts w:ascii="Calibri" w:hAnsi="Calibri"/>
          <w:lang w:val="en-GB"/>
        </w:rPr>
        <w:t xml:space="preserve"> at the Stade de France football stadium during a match between France and Germany</w:t>
      </w:r>
      <w:r w:rsidR="00FC286B">
        <w:rPr>
          <w:rFonts w:ascii="Calibri" w:hAnsi="Calibri"/>
          <w:lang w:val="en-GB"/>
        </w:rPr>
        <w:t xml:space="preserve"> (Boffey and Zeffman, 2015)</w:t>
      </w:r>
      <w:r w:rsidR="00DD26B1">
        <w:rPr>
          <w:rFonts w:ascii="Calibri" w:hAnsi="Calibri"/>
          <w:lang w:val="en-GB"/>
        </w:rPr>
        <w:t>. During the explosions</w:t>
      </w:r>
      <w:r>
        <w:rPr>
          <w:rFonts w:ascii="Calibri" w:hAnsi="Calibri"/>
          <w:lang w:val="en-GB"/>
        </w:rPr>
        <w:t>, four people – three of whom wore</w:t>
      </w:r>
      <w:r w:rsidR="00DD26B1">
        <w:rPr>
          <w:rFonts w:ascii="Calibri" w:hAnsi="Calibri"/>
          <w:lang w:val="en-GB"/>
        </w:rPr>
        <w:t xml:space="preserve"> su</w:t>
      </w:r>
      <w:r w:rsidR="00C00699">
        <w:rPr>
          <w:rFonts w:ascii="Calibri" w:hAnsi="Calibri"/>
          <w:lang w:val="en-GB"/>
        </w:rPr>
        <w:t>icide vests which they detonate</w:t>
      </w:r>
      <w:r>
        <w:rPr>
          <w:rFonts w:ascii="Calibri" w:hAnsi="Calibri"/>
          <w:lang w:val="en-GB"/>
        </w:rPr>
        <w:t>d</w:t>
      </w:r>
      <w:r w:rsidR="00C00699">
        <w:rPr>
          <w:rFonts w:ascii="Calibri" w:hAnsi="Calibri"/>
          <w:lang w:val="en-GB"/>
        </w:rPr>
        <w:t xml:space="preserve"> – die</w:t>
      </w:r>
      <w:r w:rsidR="00DD26B1">
        <w:rPr>
          <w:rFonts w:ascii="Calibri" w:hAnsi="Calibri"/>
          <w:lang w:val="en-GB"/>
        </w:rPr>
        <w:t>.</w:t>
      </w:r>
      <w:r w:rsidR="005A3563">
        <w:rPr>
          <w:rFonts w:ascii="Calibri" w:hAnsi="Calibri"/>
          <w:lang w:val="en-GB"/>
        </w:rPr>
        <w:t xml:space="preserve"> </w:t>
      </w:r>
      <w:r w:rsidR="00C00699">
        <w:rPr>
          <w:rFonts w:ascii="Calibri" w:hAnsi="Calibri"/>
          <w:lang w:val="en-GB"/>
        </w:rPr>
        <w:t>At 21:25, another attack ta</w:t>
      </w:r>
      <w:r w:rsidR="005A3563">
        <w:rPr>
          <w:rFonts w:ascii="Calibri" w:hAnsi="Calibri"/>
          <w:lang w:val="en-GB"/>
        </w:rPr>
        <w:t>k</w:t>
      </w:r>
      <w:r w:rsidR="00C00699">
        <w:rPr>
          <w:rFonts w:ascii="Calibri" w:hAnsi="Calibri"/>
          <w:lang w:val="en-GB"/>
        </w:rPr>
        <w:t>es</w:t>
      </w:r>
      <w:r w:rsidR="005A3563">
        <w:rPr>
          <w:rFonts w:ascii="Calibri" w:hAnsi="Calibri"/>
          <w:lang w:val="en-GB"/>
        </w:rPr>
        <w:t xml:space="preserve"> place at bar </w:t>
      </w:r>
      <w:r w:rsidR="00C00699">
        <w:rPr>
          <w:rFonts w:ascii="Calibri" w:hAnsi="Calibri"/>
          <w:lang w:val="en-GB"/>
        </w:rPr>
        <w:t>La Carillon</w:t>
      </w:r>
      <w:r w:rsidR="005A3563">
        <w:rPr>
          <w:rFonts w:ascii="Calibri" w:hAnsi="Calibri"/>
          <w:lang w:val="en-GB"/>
        </w:rPr>
        <w:t xml:space="preserve"> and restaurant L</w:t>
      </w:r>
      <w:r w:rsidR="00C00699">
        <w:rPr>
          <w:rFonts w:ascii="Calibri" w:hAnsi="Calibri"/>
          <w:lang w:val="en-GB"/>
        </w:rPr>
        <w:t xml:space="preserve">e Petit Cambodge. One gunman opens fire </w:t>
      </w:r>
      <w:r w:rsidR="005A3563">
        <w:rPr>
          <w:rFonts w:ascii="Calibri" w:hAnsi="Calibri"/>
          <w:lang w:val="en-GB"/>
        </w:rPr>
        <w:t>on people sitting in the bar, before he crosses the street to head to the</w:t>
      </w:r>
      <w:r w:rsidR="00C45D4D">
        <w:rPr>
          <w:rFonts w:ascii="Calibri" w:hAnsi="Calibri"/>
          <w:lang w:val="en-GB"/>
        </w:rPr>
        <w:t xml:space="preserve"> restaurant, i</w:t>
      </w:r>
      <w:r w:rsidR="00C00699">
        <w:rPr>
          <w:rFonts w:ascii="Calibri" w:hAnsi="Calibri"/>
          <w:lang w:val="en-GB"/>
        </w:rPr>
        <w:t>n total kill</w:t>
      </w:r>
      <w:r w:rsidR="00C45D4D">
        <w:rPr>
          <w:rFonts w:ascii="Calibri" w:hAnsi="Calibri"/>
          <w:lang w:val="en-GB"/>
        </w:rPr>
        <w:t>ing fifteen and injuring</w:t>
      </w:r>
      <w:r w:rsidR="00C00699">
        <w:rPr>
          <w:rFonts w:ascii="Calibri" w:hAnsi="Calibri"/>
          <w:lang w:val="en-GB"/>
        </w:rPr>
        <w:t xml:space="preserve"> ten </w:t>
      </w:r>
      <w:r w:rsidR="005A3563">
        <w:rPr>
          <w:rFonts w:ascii="Calibri" w:hAnsi="Calibri"/>
          <w:lang w:val="en-GB"/>
        </w:rPr>
        <w:t xml:space="preserve">people. Seven minutes later, at 21:32, another gunman starts shooting people </w:t>
      </w:r>
      <w:r>
        <w:rPr>
          <w:rFonts w:ascii="Calibri" w:hAnsi="Calibri"/>
          <w:lang w:val="en-GB"/>
        </w:rPr>
        <w:t>dining</w:t>
      </w:r>
      <w:r w:rsidR="005A3563">
        <w:rPr>
          <w:rFonts w:ascii="Calibri" w:hAnsi="Calibri"/>
          <w:lang w:val="en-GB"/>
        </w:rPr>
        <w:t xml:space="preserve"> at the terrace of restaurant and bar La Bonne Biere, firing in bursts of three or four shots. Five persons are killed and eight are injured</w:t>
      </w:r>
      <w:r w:rsidR="00C00699">
        <w:rPr>
          <w:rFonts w:ascii="Calibri" w:hAnsi="Calibri"/>
          <w:lang w:val="en-GB"/>
        </w:rPr>
        <w:t>. Another four minutes later</w:t>
      </w:r>
      <w:r w:rsidR="005A3563">
        <w:rPr>
          <w:rFonts w:ascii="Calibri" w:hAnsi="Calibri"/>
          <w:lang w:val="en-GB"/>
        </w:rPr>
        <w:t>,</w:t>
      </w:r>
      <w:r w:rsidR="00913485">
        <w:rPr>
          <w:rFonts w:ascii="Calibri" w:hAnsi="Calibri"/>
          <w:lang w:val="en-GB"/>
        </w:rPr>
        <w:t xml:space="preserve"> a man carrying a firearm steps out of a car and </w:t>
      </w:r>
      <w:r w:rsidR="00C00699">
        <w:rPr>
          <w:rFonts w:ascii="Calibri" w:hAnsi="Calibri"/>
          <w:lang w:val="en-GB"/>
        </w:rPr>
        <w:t>begins</w:t>
      </w:r>
      <w:r w:rsidR="00913485">
        <w:rPr>
          <w:rFonts w:ascii="Calibri" w:hAnsi="Calibri"/>
          <w:lang w:val="en-GB"/>
        </w:rPr>
        <w:t xml:space="preserve"> shooting people at </w:t>
      </w:r>
      <w:r w:rsidR="00C00699">
        <w:rPr>
          <w:rFonts w:ascii="Calibri" w:hAnsi="Calibri"/>
          <w:lang w:val="en-GB"/>
        </w:rPr>
        <w:t xml:space="preserve">restaurant </w:t>
      </w:r>
      <w:r w:rsidR="00913485">
        <w:rPr>
          <w:rFonts w:ascii="Calibri" w:hAnsi="Calibri"/>
          <w:lang w:val="en-GB"/>
        </w:rPr>
        <w:t>La Belle Equipe</w:t>
      </w:r>
      <w:r w:rsidR="00C00699">
        <w:rPr>
          <w:rFonts w:ascii="Calibri" w:hAnsi="Calibri"/>
          <w:lang w:val="en-GB"/>
        </w:rPr>
        <w:t>.</w:t>
      </w:r>
      <w:r w:rsidR="00913485">
        <w:rPr>
          <w:rFonts w:ascii="Calibri" w:hAnsi="Calibri"/>
          <w:lang w:val="en-GB"/>
        </w:rPr>
        <w:t xml:space="preserve"> After </w:t>
      </w:r>
      <w:r w:rsidR="00C00699">
        <w:rPr>
          <w:rFonts w:ascii="Calibri" w:hAnsi="Calibri"/>
          <w:lang w:val="en-GB"/>
        </w:rPr>
        <w:t>several minutes the man returns</w:t>
      </w:r>
      <w:r w:rsidR="00913485">
        <w:rPr>
          <w:rFonts w:ascii="Calibri" w:hAnsi="Calibri"/>
          <w:lang w:val="en-GB"/>
        </w:rPr>
        <w:t xml:space="preserve"> to his car and le</w:t>
      </w:r>
      <w:r w:rsidR="00C00699">
        <w:rPr>
          <w:rFonts w:ascii="Calibri" w:hAnsi="Calibri"/>
          <w:lang w:val="en-GB"/>
        </w:rPr>
        <w:t>aves</w:t>
      </w:r>
      <w:r w:rsidR="00913485">
        <w:rPr>
          <w:rFonts w:ascii="Calibri" w:hAnsi="Calibri"/>
          <w:lang w:val="en-GB"/>
        </w:rPr>
        <w:t xml:space="preserve">, </w:t>
      </w:r>
      <w:r w:rsidR="00C00699">
        <w:rPr>
          <w:rFonts w:ascii="Calibri" w:hAnsi="Calibri"/>
          <w:lang w:val="en-GB"/>
        </w:rPr>
        <w:t xml:space="preserve">having killed nineteen </w:t>
      </w:r>
      <w:r w:rsidR="00913485">
        <w:rPr>
          <w:rFonts w:ascii="Calibri" w:hAnsi="Calibri"/>
          <w:lang w:val="en-GB"/>
        </w:rPr>
        <w:t>people</w:t>
      </w:r>
      <w:r w:rsidR="00C00699">
        <w:rPr>
          <w:rFonts w:ascii="Calibri" w:hAnsi="Calibri"/>
          <w:lang w:val="en-GB"/>
        </w:rPr>
        <w:t>. As the attacker leaves</w:t>
      </w:r>
      <w:r>
        <w:rPr>
          <w:rFonts w:ascii="Calibri" w:hAnsi="Calibri"/>
          <w:lang w:val="en-GB"/>
        </w:rPr>
        <w:t xml:space="preserve">, around 21:40, </w:t>
      </w:r>
      <w:r w:rsidR="00C45D4D">
        <w:rPr>
          <w:rFonts w:ascii="Calibri" w:hAnsi="Calibri"/>
          <w:lang w:val="en-GB"/>
        </w:rPr>
        <w:t>a</w:t>
      </w:r>
      <w:r>
        <w:rPr>
          <w:rFonts w:ascii="Calibri" w:hAnsi="Calibri"/>
          <w:lang w:val="en-GB"/>
        </w:rPr>
        <w:t xml:space="preserve"> </w:t>
      </w:r>
      <w:r w:rsidRPr="00880D5F">
        <w:rPr>
          <w:rFonts w:ascii="Calibri" w:hAnsi="Calibri"/>
          <w:lang w:val="en-GB"/>
        </w:rPr>
        <w:t>suicide bomber detonates his belt inside the Voltaire restaurant, seriously injuring one person but leaving no other</w:t>
      </w:r>
      <w:r>
        <w:rPr>
          <w:rFonts w:ascii="Calibri" w:hAnsi="Calibri"/>
          <w:lang w:val="en-GB"/>
        </w:rPr>
        <w:t>s</w:t>
      </w:r>
      <w:r w:rsidRPr="00880D5F">
        <w:rPr>
          <w:rFonts w:ascii="Calibri" w:hAnsi="Calibri"/>
          <w:lang w:val="en-GB"/>
        </w:rPr>
        <w:t xml:space="preserve"> dead</w:t>
      </w:r>
      <w:r>
        <w:rPr>
          <w:rFonts w:ascii="Calibri" w:hAnsi="Calibri"/>
          <w:lang w:val="en-GB"/>
        </w:rPr>
        <w:t xml:space="preserve"> (Boffey and Zeffman, 2015)</w:t>
      </w:r>
      <w:r w:rsidRPr="00880D5F">
        <w:rPr>
          <w:rFonts w:ascii="Calibri" w:hAnsi="Calibri"/>
          <w:lang w:val="en-GB"/>
        </w:rPr>
        <w:t xml:space="preserve">. </w:t>
      </w:r>
      <w:r>
        <w:rPr>
          <w:rFonts w:ascii="Calibri" w:hAnsi="Calibri"/>
          <w:lang w:val="en-GB"/>
        </w:rPr>
        <w:t xml:space="preserve">Simultaneously, </w:t>
      </w:r>
      <w:r w:rsidR="00DD26B1">
        <w:rPr>
          <w:rFonts w:ascii="Calibri" w:hAnsi="Calibri"/>
          <w:lang w:val="en-GB"/>
        </w:rPr>
        <w:t xml:space="preserve">three gunmen </w:t>
      </w:r>
      <w:r w:rsidR="00C00699">
        <w:rPr>
          <w:rFonts w:ascii="Calibri" w:hAnsi="Calibri"/>
          <w:lang w:val="en-GB"/>
        </w:rPr>
        <w:t>with</w:t>
      </w:r>
      <w:r w:rsidR="00913485">
        <w:rPr>
          <w:rFonts w:ascii="Calibri" w:hAnsi="Calibri"/>
          <w:lang w:val="en-GB"/>
        </w:rPr>
        <w:t xml:space="preserve"> AK-47s </w:t>
      </w:r>
      <w:r w:rsidR="00DD26B1">
        <w:rPr>
          <w:rFonts w:ascii="Calibri" w:hAnsi="Calibri"/>
          <w:lang w:val="en-GB"/>
        </w:rPr>
        <w:t>enter the Bataclan, a concert hall</w:t>
      </w:r>
      <w:r w:rsidR="00913485">
        <w:rPr>
          <w:rFonts w:ascii="Calibri" w:hAnsi="Calibri"/>
          <w:lang w:val="en-GB"/>
        </w:rPr>
        <w:t xml:space="preserve"> in Eastern Paris,</w:t>
      </w:r>
      <w:r w:rsidR="00DD26B1">
        <w:rPr>
          <w:rFonts w:ascii="Calibri" w:hAnsi="Calibri"/>
          <w:lang w:val="en-GB"/>
        </w:rPr>
        <w:t xml:space="preserve"> </w:t>
      </w:r>
      <w:r w:rsidR="00C00699">
        <w:rPr>
          <w:rFonts w:ascii="Calibri" w:hAnsi="Calibri"/>
          <w:lang w:val="en-GB"/>
        </w:rPr>
        <w:t>where</w:t>
      </w:r>
      <w:r w:rsidR="00DD26B1">
        <w:rPr>
          <w:rFonts w:ascii="Calibri" w:hAnsi="Calibri"/>
          <w:lang w:val="en-GB"/>
        </w:rPr>
        <w:t xml:space="preserve"> the Californian rock group</w:t>
      </w:r>
      <w:r w:rsidR="00C00699">
        <w:rPr>
          <w:rFonts w:ascii="Calibri" w:hAnsi="Calibri"/>
          <w:lang w:val="en-GB"/>
        </w:rPr>
        <w:t xml:space="preserve"> Eagles of Death Metal are performing</w:t>
      </w:r>
      <w:r w:rsidR="00DD26B1">
        <w:rPr>
          <w:rFonts w:ascii="Calibri" w:hAnsi="Calibri"/>
          <w:lang w:val="en-GB"/>
        </w:rPr>
        <w:t xml:space="preserve">. </w:t>
      </w:r>
      <w:r w:rsidR="00913485">
        <w:rPr>
          <w:rFonts w:ascii="Calibri" w:hAnsi="Calibri"/>
          <w:lang w:val="en-GB"/>
        </w:rPr>
        <w:t xml:space="preserve">The men repeatedly and randomly fire into the audience, reloading three to four </w:t>
      </w:r>
      <w:r w:rsidR="00913485" w:rsidRPr="00880D5F">
        <w:rPr>
          <w:rFonts w:ascii="Calibri" w:hAnsi="Calibri"/>
          <w:lang w:val="en-GB"/>
        </w:rPr>
        <w:t>times. Special Forces enter the Bataclan at 00:20, while the gunmen continue shooting people inside the venue. Two min</w:t>
      </w:r>
      <w:r w:rsidR="00C00699">
        <w:rPr>
          <w:rFonts w:ascii="Calibri" w:hAnsi="Calibri"/>
          <w:lang w:val="en-GB"/>
        </w:rPr>
        <w:t>utes later, the gunmen are dead: two of them commit</w:t>
      </w:r>
      <w:r w:rsidR="00913485" w:rsidRPr="00880D5F">
        <w:rPr>
          <w:rFonts w:ascii="Calibri" w:hAnsi="Calibri"/>
          <w:lang w:val="en-GB"/>
        </w:rPr>
        <w:t xml:space="preserve"> suicide b</w:t>
      </w:r>
      <w:r w:rsidR="00C00699">
        <w:rPr>
          <w:rFonts w:ascii="Calibri" w:hAnsi="Calibri"/>
          <w:lang w:val="en-GB"/>
        </w:rPr>
        <w:t>y blowing themselves up</w:t>
      </w:r>
      <w:r w:rsidR="00913485" w:rsidRPr="00880D5F">
        <w:rPr>
          <w:rFonts w:ascii="Calibri" w:hAnsi="Calibri"/>
          <w:lang w:val="en-GB"/>
        </w:rPr>
        <w:t xml:space="preserve"> and one is shot by the Special Forces. </w:t>
      </w:r>
      <w:r w:rsidR="00C45D4D">
        <w:rPr>
          <w:rFonts w:ascii="Calibri" w:hAnsi="Calibri"/>
          <w:lang w:val="en-GB"/>
        </w:rPr>
        <w:t>In total</w:t>
      </w:r>
      <w:r w:rsidR="00913485" w:rsidRPr="00880D5F">
        <w:rPr>
          <w:rFonts w:ascii="Calibri" w:hAnsi="Calibri"/>
          <w:lang w:val="en-GB"/>
        </w:rPr>
        <w:t xml:space="preserve"> 89 people died in the Bataclan. </w:t>
      </w:r>
      <w:r w:rsidR="005A3563" w:rsidRPr="00880D5F">
        <w:rPr>
          <w:rFonts w:ascii="Calibri" w:hAnsi="Calibri"/>
          <w:lang w:val="en-GB"/>
        </w:rPr>
        <w:t>All of t</w:t>
      </w:r>
      <w:r w:rsidR="00B549D5" w:rsidRPr="00880D5F">
        <w:rPr>
          <w:rFonts w:ascii="Calibri" w:hAnsi="Calibri"/>
          <w:lang w:val="en-GB"/>
        </w:rPr>
        <w:t xml:space="preserve">he attacks were </w:t>
      </w:r>
      <w:r w:rsidR="00075A12" w:rsidRPr="00880D5F">
        <w:rPr>
          <w:rFonts w:ascii="Calibri" w:hAnsi="Calibri"/>
          <w:lang w:val="en-GB"/>
        </w:rPr>
        <w:t>claimed by Isis the morning</w:t>
      </w:r>
      <w:r>
        <w:rPr>
          <w:rFonts w:ascii="Calibri" w:hAnsi="Calibri"/>
          <w:lang w:val="en-GB"/>
        </w:rPr>
        <w:t xml:space="preserve"> of the 14</w:t>
      </w:r>
      <w:r w:rsidRPr="008940D8">
        <w:rPr>
          <w:rFonts w:ascii="Calibri" w:hAnsi="Calibri"/>
          <w:vertAlign w:val="superscript"/>
          <w:lang w:val="en-GB"/>
        </w:rPr>
        <w:t>th</w:t>
      </w:r>
      <w:r w:rsidR="00927EC9" w:rsidRPr="00880D5F">
        <w:rPr>
          <w:rFonts w:ascii="Calibri" w:hAnsi="Calibri"/>
          <w:lang w:val="en-GB"/>
        </w:rPr>
        <w:t xml:space="preserve">, </w:t>
      </w:r>
      <w:r w:rsidR="00370088">
        <w:rPr>
          <w:rFonts w:ascii="Calibri" w:hAnsi="Calibri"/>
          <w:lang w:val="en-GB"/>
        </w:rPr>
        <w:t>condemning the match in the stadium and concert at the Bara</w:t>
      </w:r>
      <w:r w:rsidR="00C00699">
        <w:rPr>
          <w:rFonts w:ascii="Calibri" w:hAnsi="Calibri"/>
          <w:lang w:val="en-GB"/>
        </w:rPr>
        <w:t>clan as parties “of perversity”</w:t>
      </w:r>
      <w:r w:rsidR="00370088">
        <w:rPr>
          <w:rFonts w:ascii="Calibri" w:hAnsi="Calibri"/>
          <w:lang w:val="en-GB"/>
        </w:rPr>
        <w:t xml:space="preserve"> and stating that it was </w:t>
      </w:r>
      <w:r w:rsidR="009410A4">
        <w:rPr>
          <w:rFonts w:ascii="Calibri" w:hAnsi="Calibri"/>
          <w:lang w:val="en-GB"/>
        </w:rPr>
        <w:t xml:space="preserve">a retaliation for France’s military attacks on Isis </w:t>
      </w:r>
      <w:r w:rsidR="00370088">
        <w:rPr>
          <w:rFonts w:ascii="Calibri" w:hAnsi="Calibri"/>
          <w:lang w:val="en-GB"/>
        </w:rPr>
        <w:t xml:space="preserve">in Syria </w:t>
      </w:r>
      <w:r w:rsidR="009410A4">
        <w:rPr>
          <w:rFonts w:ascii="Calibri" w:hAnsi="Calibri"/>
          <w:lang w:val="en-GB"/>
        </w:rPr>
        <w:t>(</w:t>
      </w:r>
      <w:r w:rsidR="00370088">
        <w:rPr>
          <w:rFonts w:ascii="Calibri" w:hAnsi="Calibri"/>
          <w:lang w:val="en-GB"/>
        </w:rPr>
        <w:t>Callimachi, 2015; Walt, 2015, 10</w:t>
      </w:r>
      <w:r w:rsidR="009410A4">
        <w:rPr>
          <w:rFonts w:ascii="Calibri" w:hAnsi="Calibri"/>
          <w:lang w:val="en-GB"/>
        </w:rPr>
        <w:t xml:space="preserve">). The Paris attacks </w:t>
      </w:r>
      <w:r w:rsidR="00927EC9" w:rsidRPr="00880D5F">
        <w:rPr>
          <w:rFonts w:ascii="Calibri" w:hAnsi="Calibri"/>
          <w:lang w:val="en-GB"/>
        </w:rPr>
        <w:t>spurred reactions from all over the world</w:t>
      </w:r>
      <w:r w:rsidR="00075A12" w:rsidRPr="00880D5F">
        <w:rPr>
          <w:rFonts w:ascii="Calibri" w:hAnsi="Calibri"/>
          <w:lang w:val="en-GB"/>
        </w:rPr>
        <w:t xml:space="preserve"> (</w:t>
      </w:r>
      <w:r w:rsidR="00927EC9" w:rsidRPr="00880D5F">
        <w:rPr>
          <w:rFonts w:ascii="Calibri" w:hAnsi="Calibri"/>
          <w:lang w:val="en-GB"/>
        </w:rPr>
        <w:t>McCurry and Rawlinson, 2015</w:t>
      </w:r>
      <w:r w:rsidR="00075A12" w:rsidRPr="00880D5F">
        <w:rPr>
          <w:rFonts w:ascii="Calibri" w:hAnsi="Calibri"/>
          <w:lang w:val="en-GB"/>
        </w:rPr>
        <w:t xml:space="preserve">). </w:t>
      </w:r>
      <w:r w:rsidR="00927EC9" w:rsidRPr="00880D5F">
        <w:rPr>
          <w:rFonts w:ascii="Calibri" w:hAnsi="Calibri"/>
          <w:lang w:val="en-GB"/>
        </w:rPr>
        <w:t xml:space="preserve">Not </w:t>
      </w:r>
      <w:r w:rsidR="00D95998">
        <w:rPr>
          <w:rFonts w:ascii="Calibri" w:hAnsi="Calibri"/>
          <w:lang w:val="en-GB"/>
        </w:rPr>
        <w:t>only did world leaders such as P</w:t>
      </w:r>
      <w:r w:rsidR="00B549D5" w:rsidRPr="00880D5F">
        <w:rPr>
          <w:rFonts w:ascii="Calibri" w:hAnsi="Calibri"/>
          <w:lang w:val="en-GB"/>
        </w:rPr>
        <w:t>re</w:t>
      </w:r>
      <w:r w:rsidR="00D95998">
        <w:rPr>
          <w:rFonts w:ascii="Calibri" w:hAnsi="Calibri"/>
          <w:lang w:val="en-GB"/>
        </w:rPr>
        <w:t>sident Barack Obama of the United States</w:t>
      </w:r>
      <w:r>
        <w:rPr>
          <w:rFonts w:ascii="Calibri" w:hAnsi="Calibri"/>
          <w:lang w:val="en-GB"/>
        </w:rPr>
        <w:t xml:space="preserve"> and P</w:t>
      </w:r>
      <w:r w:rsidR="00B549D5" w:rsidRPr="00880D5F">
        <w:rPr>
          <w:rFonts w:ascii="Calibri" w:hAnsi="Calibri"/>
          <w:lang w:val="en-GB"/>
        </w:rPr>
        <w:t>resident Xi Jingping of the Republic of China react, but also citizens from a variety of countries</w:t>
      </w:r>
      <w:r w:rsidR="00927EC9" w:rsidRPr="00880D5F">
        <w:rPr>
          <w:rFonts w:ascii="Calibri" w:hAnsi="Calibri"/>
          <w:lang w:val="en-GB"/>
        </w:rPr>
        <w:t xml:space="preserve"> (McCurry and Rawlinson, 2015)</w:t>
      </w:r>
      <w:r w:rsidR="00B549D5" w:rsidRPr="00880D5F">
        <w:rPr>
          <w:rFonts w:ascii="Calibri" w:hAnsi="Calibri"/>
          <w:lang w:val="en-GB"/>
        </w:rPr>
        <w:t xml:space="preserve">. </w:t>
      </w:r>
      <w:r w:rsidR="00927EC9" w:rsidRPr="00880D5F">
        <w:rPr>
          <w:rFonts w:ascii="Calibri" w:hAnsi="Calibri"/>
          <w:lang w:val="en-GB"/>
        </w:rPr>
        <w:t>Updates about the attacks and their aftermath could be followed by the minute through the live blogs of news outlets. During the evening of the attacks, Facebook</w:t>
      </w:r>
      <w:r w:rsidR="00927EC9">
        <w:rPr>
          <w:rFonts w:ascii="Calibri" w:hAnsi="Calibri"/>
          <w:lang w:val="en-GB"/>
        </w:rPr>
        <w:t xml:space="preserve"> activated its Safety Check feature, which was up until that point reserved for natural disasters. It also allowed its users to cover their profile picture w</w:t>
      </w:r>
      <w:r w:rsidR="00880D5F">
        <w:rPr>
          <w:rFonts w:ascii="Calibri" w:hAnsi="Calibri"/>
          <w:lang w:val="en-GB"/>
        </w:rPr>
        <w:t>ith the French tricolour</w:t>
      </w:r>
      <w:r w:rsidR="00B549D5" w:rsidRPr="00173294">
        <w:rPr>
          <w:rFonts w:ascii="Calibri" w:hAnsi="Calibri"/>
          <w:lang w:val="en-GB"/>
        </w:rPr>
        <w:t xml:space="preserve">. </w:t>
      </w:r>
      <w:r w:rsidR="00D95998">
        <w:rPr>
          <w:rFonts w:ascii="Calibri" w:hAnsi="Calibri"/>
          <w:lang w:val="en-GB"/>
        </w:rPr>
        <w:t>It was the first terror attack in France</w:t>
      </w:r>
      <w:r>
        <w:rPr>
          <w:rFonts w:ascii="Calibri" w:hAnsi="Calibri"/>
          <w:lang w:val="en-GB"/>
        </w:rPr>
        <w:t xml:space="preserve"> since that </w:t>
      </w:r>
      <w:r w:rsidR="003A2572">
        <w:rPr>
          <w:rFonts w:ascii="Calibri" w:hAnsi="Calibri"/>
          <w:lang w:val="en-GB"/>
        </w:rPr>
        <w:t xml:space="preserve">on Charlie Hebdo </w:t>
      </w:r>
      <w:r w:rsidR="00A54D23">
        <w:rPr>
          <w:rFonts w:ascii="Calibri" w:hAnsi="Calibri"/>
          <w:lang w:val="en-GB"/>
        </w:rPr>
        <w:t>in January of the same year, after which a relative peace ensued. With the new attacks, the world once again became focused on what happened in Paris.</w:t>
      </w:r>
      <w:r w:rsidR="00B549D5">
        <w:rPr>
          <w:rFonts w:ascii="Calibri" w:hAnsi="Calibri"/>
          <w:lang w:val="en-GB"/>
        </w:rPr>
        <w:t xml:space="preserve"> </w:t>
      </w:r>
    </w:p>
    <w:p w14:paraId="7325E582" w14:textId="55AEDA51" w:rsidR="00B549D5" w:rsidRPr="00FF6C49" w:rsidRDefault="00B549D5" w:rsidP="00E52F0F">
      <w:pPr>
        <w:pStyle w:val="Normal1"/>
        <w:spacing w:after="0" w:line="360" w:lineRule="auto"/>
        <w:ind w:firstLine="709"/>
        <w:jc w:val="both"/>
        <w:rPr>
          <w:rFonts w:ascii="Calibri" w:hAnsi="Calibri"/>
          <w:lang w:val="en-GB"/>
        </w:rPr>
      </w:pPr>
      <w:r>
        <w:rPr>
          <w:rFonts w:ascii="Calibri" w:hAnsi="Calibri"/>
          <w:lang w:val="en-GB"/>
        </w:rPr>
        <w:t xml:space="preserve">Few people knew of those other </w:t>
      </w:r>
      <w:r w:rsidR="008940D8">
        <w:rPr>
          <w:rFonts w:ascii="Calibri" w:hAnsi="Calibri"/>
          <w:lang w:val="en-GB"/>
        </w:rPr>
        <w:t xml:space="preserve">terror </w:t>
      </w:r>
      <w:r>
        <w:rPr>
          <w:rFonts w:ascii="Calibri" w:hAnsi="Calibri"/>
          <w:lang w:val="en-GB"/>
        </w:rPr>
        <w:t>attacks that took place the day before</w:t>
      </w:r>
      <w:r w:rsidR="007E256C">
        <w:rPr>
          <w:rFonts w:ascii="Calibri" w:hAnsi="Calibri"/>
          <w:lang w:val="en-GB"/>
        </w:rPr>
        <w:t>, on the 12</w:t>
      </w:r>
      <w:r w:rsidR="007E256C" w:rsidRPr="007E256C">
        <w:rPr>
          <w:rFonts w:ascii="Calibri" w:hAnsi="Calibri"/>
          <w:vertAlign w:val="superscript"/>
          <w:lang w:val="en-GB"/>
        </w:rPr>
        <w:t>th</w:t>
      </w:r>
      <w:r w:rsidR="007E256C">
        <w:rPr>
          <w:rFonts w:ascii="Calibri" w:hAnsi="Calibri"/>
          <w:lang w:val="en-GB"/>
        </w:rPr>
        <w:t xml:space="preserve"> of November,</w:t>
      </w:r>
      <w:r w:rsidR="004C0078">
        <w:rPr>
          <w:rFonts w:ascii="Calibri" w:hAnsi="Calibri"/>
          <w:lang w:val="en-GB"/>
        </w:rPr>
        <w:t xml:space="preserve"> in Beirut. 43 p</w:t>
      </w:r>
      <w:r>
        <w:rPr>
          <w:rFonts w:ascii="Calibri" w:hAnsi="Calibri"/>
          <w:lang w:val="en-GB"/>
        </w:rPr>
        <w:t xml:space="preserve">eople </w:t>
      </w:r>
      <w:r w:rsidR="007E256C">
        <w:rPr>
          <w:rFonts w:ascii="Calibri" w:hAnsi="Calibri"/>
          <w:lang w:val="en-GB"/>
        </w:rPr>
        <w:t>die</w:t>
      </w:r>
      <w:r>
        <w:rPr>
          <w:rFonts w:ascii="Calibri" w:hAnsi="Calibri"/>
          <w:lang w:val="en-GB"/>
        </w:rPr>
        <w:t xml:space="preserve">, and </w:t>
      </w:r>
      <w:r w:rsidR="007E256C">
        <w:rPr>
          <w:rFonts w:ascii="Calibri" w:hAnsi="Calibri"/>
          <w:lang w:val="en-GB"/>
        </w:rPr>
        <w:t>239</w:t>
      </w:r>
      <w:r>
        <w:rPr>
          <w:rFonts w:ascii="Calibri" w:hAnsi="Calibri"/>
          <w:lang w:val="en-GB"/>
        </w:rPr>
        <w:t xml:space="preserve"> </w:t>
      </w:r>
      <w:r w:rsidR="004C0078">
        <w:rPr>
          <w:rFonts w:ascii="Calibri" w:hAnsi="Calibri"/>
          <w:lang w:val="en-GB"/>
        </w:rPr>
        <w:t>a</w:t>
      </w:r>
      <w:r w:rsidR="007E256C">
        <w:rPr>
          <w:rFonts w:ascii="Calibri" w:hAnsi="Calibri"/>
          <w:lang w:val="en-GB"/>
        </w:rPr>
        <w:t xml:space="preserve">re </w:t>
      </w:r>
      <w:r>
        <w:rPr>
          <w:rFonts w:ascii="Calibri" w:hAnsi="Calibri"/>
          <w:lang w:val="en-GB"/>
        </w:rPr>
        <w:t xml:space="preserve">injured in a </w:t>
      </w:r>
      <w:r w:rsidR="00880D5F">
        <w:rPr>
          <w:rFonts w:ascii="Calibri" w:hAnsi="Calibri"/>
          <w:lang w:val="en-GB"/>
        </w:rPr>
        <w:t xml:space="preserve">twin </w:t>
      </w:r>
      <w:r w:rsidR="007E256C">
        <w:rPr>
          <w:rFonts w:ascii="Calibri" w:hAnsi="Calibri"/>
          <w:lang w:val="en-GB"/>
        </w:rPr>
        <w:t>suicide bombing around 18:00 local time</w:t>
      </w:r>
      <w:r w:rsidR="00FC286B">
        <w:rPr>
          <w:rFonts w:ascii="Calibri" w:hAnsi="Calibri"/>
          <w:lang w:val="en-GB"/>
        </w:rPr>
        <w:t xml:space="preserve"> (Shaheen, 2015a)</w:t>
      </w:r>
      <w:r w:rsidR="007E256C">
        <w:rPr>
          <w:rFonts w:ascii="Calibri" w:hAnsi="Calibri"/>
          <w:lang w:val="en-GB"/>
        </w:rPr>
        <w:t>. Th</w:t>
      </w:r>
      <w:r w:rsidR="004C0078">
        <w:rPr>
          <w:rFonts w:ascii="Calibri" w:hAnsi="Calibri"/>
          <w:lang w:val="en-GB"/>
        </w:rPr>
        <w:t>e first suicide bomber detonates</w:t>
      </w:r>
      <w:r w:rsidR="007E256C">
        <w:rPr>
          <w:rFonts w:ascii="Calibri" w:hAnsi="Calibri"/>
          <w:lang w:val="en-GB"/>
        </w:rPr>
        <w:t xml:space="preserve"> his vest outside a mosque in the Burj al-Barajneh </w:t>
      </w:r>
      <w:r w:rsidR="007E256C">
        <w:rPr>
          <w:rFonts w:ascii="Calibri" w:hAnsi="Calibri"/>
          <w:lang w:val="en-GB"/>
        </w:rPr>
        <w:lastRenderedPageBreak/>
        <w:t xml:space="preserve">neighbourhood as people were leaving after sunset prayers. The second suicide bomber </w:t>
      </w:r>
      <w:r w:rsidR="004C0078">
        <w:rPr>
          <w:rFonts w:ascii="Calibri" w:hAnsi="Calibri"/>
          <w:lang w:val="en-GB"/>
        </w:rPr>
        <w:t>is</w:t>
      </w:r>
      <w:r w:rsidR="007E256C">
        <w:rPr>
          <w:rFonts w:ascii="Calibri" w:hAnsi="Calibri"/>
          <w:lang w:val="en-GB"/>
        </w:rPr>
        <w:t xml:space="preserve"> tackled by a bystander, </w:t>
      </w:r>
      <w:r w:rsidR="004C0078">
        <w:rPr>
          <w:rFonts w:ascii="Calibri" w:hAnsi="Calibri"/>
          <w:lang w:val="en-GB"/>
        </w:rPr>
        <w:t>forcing him to detonate</w:t>
      </w:r>
      <w:r w:rsidR="007E256C">
        <w:rPr>
          <w:rFonts w:ascii="Calibri" w:hAnsi="Calibri"/>
          <w:lang w:val="en-GB"/>
        </w:rPr>
        <w:t xml:space="preserve"> his vest early, about 50 metres from the first bomber near a bakery. A third bomber </w:t>
      </w:r>
      <w:r w:rsidR="004C0078">
        <w:rPr>
          <w:rFonts w:ascii="Calibri" w:hAnsi="Calibri"/>
          <w:lang w:val="en-GB"/>
        </w:rPr>
        <w:t>is</w:t>
      </w:r>
      <w:r w:rsidR="007E256C">
        <w:rPr>
          <w:rFonts w:ascii="Calibri" w:hAnsi="Calibri"/>
          <w:lang w:val="en-GB"/>
        </w:rPr>
        <w:t xml:space="preserve"> killed </w:t>
      </w:r>
      <w:r w:rsidR="004C0078">
        <w:rPr>
          <w:rFonts w:ascii="Calibri" w:hAnsi="Calibri"/>
          <w:lang w:val="en-GB"/>
        </w:rPr>
        <w:t>by the second blast before he can</w:t>
      </w:r>
      <w:r w:rsidR="007E256C">
        <w:rPr>
          <w:rFonts w:ascii="Calibri" w:hAnsi="Calibri"/>
          <w:lang w:val="en-GB"/>
        </w:rPr>
        <w:t xml:space="preserve"> detonate his vest. </w:t>
      </w:r>
      <w:r w:rsidR="004C0078">
        <w:rPr>
          <w:rFonts w:ascii="Calibri" w:hAnsi="Calibri"/>
          <w:lang w:val="en-GB"/>
        </w:rPr>
        <w:t>Isis also claims</w:t>
      </w:r>
      <w:r w:rsidR="0050307B">
        <w:rPr>
          <w:rFonts w:ascii="Calibri" w:hAnsi="Calibri"/>
          <w:lang w:val="en-GB"/>
        </w:rPr>
        <w:t xml:space="preserve"> responsibility for this attack, </w:t>
      </w:r>
      <w:r w:rsidR="008940D8">
        <w:rPr>
          <w:rFonts w:ascii="Calibri" w:hAnsi="Calibri"/>
          <w:lang w:val="en-GB"/>
        </w:rPr>
        <w:t>stating</w:t>
      </w:r>
      <w:r w:rsidR="0050307B">
        <w:rPr>
          <w:rFonts w:ascii="Calibri" w:hAnsi="Calibri"/>
          <w:lang w:val="en-GB"/>
        </w:rPr>
        <w:t xml:space="preserve"> i</w:t>
      </w:r>
      <w:r w:rsidR="00FC65F8">
        <w:rPr>
          <w:rFonts w:ascii="Calibri" w:hAnsi="Calibri"/>
          <w:lang w:val="en-GB"/>
        </w:rPr>
        <w:t xml:space="preserve">ts aim was to kill Shia Muslims, whom it regards as apostates, </w:t>
      </w:r>
      <w:r w:rsidR="0050307B">
        <w:rPr>
          <w:rFonts w:ascii="Calibri" w:hAnsi="Calibri"/>
          <w:lang w:val="en-GB"/>
        </w:rPr>
        <w:t xml:space="preserve">and </w:t>
      </w:r>
      <w:r w:rsidR="004C0078">
        <w:rPr>
          <w:rFonts w:ascii="Calibri" w:hAnsi="Calibri"/>
          <w:lang w:val="en-GB"/>
        </w:rPr>
        <w:t xml:space="preserve">to </w:t>
      </w:r>
      <w:r w:rsidR="0050307B">
        <w:rPr>
          <w:rFonts w:ascii="Calibri" w:hAnsi="Calibri"/>
          <w:lang w:val="en-GB"/>
        </w:rPr>
        <w:t xml:space="preserve">retaliate for Hezbollah’s </w:t>
      </w:r>
      <w:r w:rsidR="00FC65F8">
        <w:rPr>
          <w:rFonts w:ascii="Calibri" w:hAnsi="Calibri"/>
          <w:lang w:val="en-GB"/>
        </w:rPr>
        <w:t xml:space="preserve">military involvement in the war against Isis (Shaheen, 2015a; Barnard </w:t>
      </w:r>
      <w:r w:rsidR="00BE553E">
        <w:rPr>
          <w:rFonts w:ascii="Calibri" w:hAnsi="Calibri"/>
          <w:lang w:val="en-GB"/>
        </w:rPr>
        <w:t>and</w:t>
      </w:r>
      <w:r w:rsidR="00FC65F8">
        <w:rPr>
          <w:rFonts w:ascii="Calibri" w:hAnsi="Calibri"/>
          <w:lang w:val="en-GB"/>
        </w:rPr>
        <w:t xml:space="preserve"> Saad, 2015).</w:t>
      </w:r>
      <w:r w:rsidR="00DB09A8">
        <w:rPr>
          <w:rFonts w:ascii="Calibri" w:hAnsi="Calibri"/>
          <w:lang w:val="en-GB"/>
        </w:rPr>
        <w:t xml:space="preserve"> In contrast to the Paris attacks, however, these bombings did not spur reactions from all over the world. Although </w:t>
      </w:r>
      <w:r w:rsidR="000853B0">
        <w:rPr>
          <w:rFonts w:ascii="Calibri" w:hAnsi="Calibri"/>
          <w:lang w:val="en-GB"/>
        </w:rPr>
        <w:t>several states express</w:t>
      </w:r>
      <w:r w:rsidR="004C0078">
        <w:rPr>
          <w:rFonts w:ascii="Calibri" w:hAnsi="Calibri"/>
          <w:lang w:val="en-GB"/>
        </w:rPr>
        <w:t>ed</w:t>
      </w:r>
      <w:r w:rsidR="000853B0">
        <w:rPr>
          <w:rFonts w:ascii="Calibri" w:hAnsi="Calibri"/>
          <w:lang w:val="en-GB"/>
        </w:rPr>
        <w:t xml:space="preserve"> their condemnation of the attack</w:t>
      </w:r>
      <w:r w:rsidR="004C0078">
        <w:rPr>
          <w:rFonts w:ascii="Calibri" w:hAnsi="Calibri"/>
          <w:lang w:val="en-GB"/>
        </w:rPr>
        <w:t>s</w:t>
      </w:r>
      <w:r w:rsidR="000853B0">
        <w:rPr>
          <w:rFonts w:ascii="Calibri" w:hAnsi="Calibri"/>
          <w:lang w:val="en-GB"/>
        </w:rPr>
        <w:t xml:space="preserve"> and condolences for the victims’ families – such as the Unit</w:t>
      </w:r>
      <w:r w:rsidR="004C0078">
        <w:rPr>
          <w:rFonts w:ascii="Calibri" w:hAnsi="Calibri"/>
          <w:lang w:val="en-GB"/>
        </w:rPr>
        <w:t xml:space="preserve">ed States, France, Iran, and Jordan </w:t>
      </w:r>
      <w:r w:rsidR="000853B0">
        <w:rPr>
          <w:rFonts w:ascii="Calibri" w:hAnsi="Calibri"/>
          <w:lang w:val="en-GB"/>
        </w:rPr>
        <w:t xml:space="preserve">–, they did so through their embassies located in Beirut or through their ministries, not by an issue of the heads of state themselves (Frost, 2015; ‘US condemns ‘horrific terrorist attacks’ in Beirut, 2015; </w:t>
      </w:r>
      <w:r w:rsidR="00190AD6">
        <w:rPr>
          <w:rFonts w:ascii="Calibri" w:hAnsi="Calibri"/>
          <w:lang w:val="en-GB"/>
        </w:rPr>
        <w:t>A</w:t>
      </w:r>
      <w:r w:rsidR="00F95964">
        <w:rPr>
          <w:rFonts w:ascii="Calibri" w:hAnsi="Calibri"/>
          <w:lang w:val="en-GB"/>
        </w:rPr>
        <w:t xml:space="preserve">ssociated </w:t>
      </w:r>
      <w:r w:rsidR="00190AD6">
        <w:rPr>
          <w:rFonts w:ascii="Calibri" w:hAnsi="Calibri"/>
          <w:lang w:val="en-GB"/>
        </w:rPr>
        <w:t>P</w:t>
      </w:r>
      <w:r w:rsidR="00F95964">
        <w:rPr>
          <w:rFonts w:ascii="Calibri" w:hAnsi="Calibri"/>
          <w:lang w:val="en-GB"/>
        </w:rPr>
        <w:t>ress</w:t>
      </w:r>
      <w:r w:rsidR="00190AD6">
        <w:rPr>
          <w:rFonts w:ascii="Calibri" w:hAnsi="Calibri"/>
          <w:lang w:val="en-GB"/>
        </w:rPr>
        <w:t>, 2015</w:t>
      </w:r>
      <w:r w:rsidR="00FC286B">
        <w:rPr>
          <w:rFonts w:ascii="Calibri" w:hAnsi="Calibri"/>
          <w:lang w:val="en-GB"/>
        </w:rPr>
        <w:t>b</w:t>
      </w:r>
      <w:r w:rsidR="00190AD6">
        <w:rPr>
          <w:rFonts w:ascii="Calibri" w:hAnsi="Calibri"/>
          <w:lang w:val="en-GB"/>
        </w:rPr>
        <w:t xml:space="preserve">; Amman, </w:t>
      </w:r>
      <w:r w:rsidR="00190AD6" w:rsidRPr="004C0078">
        <w:rPr>
          <w:rFonts w:ascii="Calibri" w:hAnsi="Calibri"/>
          <w:lang w:val="en-GB"/>
        </w:rPr>
        <w:t xml:space="preserve">2015). </w:t>
      </w:r>
      <w:r w:rsidR="00FC286B" w:rsidRPr="004C0078">
        <w:rPr>
          <w:rFonts w:ascii="Calibri" w:hAnsi="Calibri"/>
          <w:lang w:val="en-GB"/>
        </w:rPr>
        <w:t>International n</w:t>
      </w:r>
      <w:r w:rsidR="00793DF6" w:rsidRPr="004C0078">
        <w:rPr>
          <w:rFonts w:ascii="Calibri" w:hAnsi="Calibri"/>
          <w:lang w:val="en-GB"/>
        </w:rPr>
        <w:t>ews outlets did cover the bombings, but did not do so in the same way as the Paris attacks. Whereas for the latter hundreds of articles were published, for the former usually no more than three articles were thought necessary.</w:t>
      </w:r>
      <w:r w:rsidR="00793DF6" w:rsidRPr="004C0078">
        <w:rPr>
          <w:rStyle w:val="FootnoteReference"/>
          <w:rFonts w:ascii="Calibri" w:hAnsi="Calibri"/>
          <w:lang w:val="en-GB"/>
        </w:rPr>
        <w:footnoteReference w:id="1"/>
      </w:r>
      <w:r w:rsidR="00793DF6" w:rsidRPr="004C0078">
        <w:rPr>
          <w:rFonts w:ascii="Calibri" w:hAnsi="Calibri"/>
          <w:lang w:val="en-GB"/>
        </w:rPr>
        <w:t xml:space="preserve"> </w:t>
      </w:r>
      <w:r w:rsidR="00190AD6" w:rsidRPr="004C0078">
        <w:rPr>
          <w:rFonts w:ascii="Calibri" w:hAnsi="Calibri"/>
          <w:lang w:val="en-GB"/>
        </w:rPr>
        <w:t xml:space="preserve">Neither did Facebook activate its Safety Feature, or enable its users to cover their profile picture with the Lebanese flag. </w:t>
      </w:r>
      <w:r w:rsidR="00653110" w:rsidRPr="004C0078">
        <w:rPr>
          <w:rFonts w:ascii="Calibri" w:hAnsi="Calibri"/>
          <w:lang w:val="en-GB"/>
        </w:rPr>
        <w:t xml:space="preserve">However, the severity </w:t>
      </w:r>
      <w:r w:rsidR="00106FC1">
        <w:rPr>
          <w:rFonts w:ascii="Calibri" w:hAnsi="Calibri"/>
          <w:lang w:val="en-GB"/>
        </w:rPr>
        <w:t xml:space="preserve">of these attacks </w:t>
      </w:r>
      <w:r w:rsidR="00653110" w:rsidRPr="004C0078">
        <w:rPr>
          <w:rFonts w:ascii="Calibri" w:hAnsi="Calibri"/>
          <w:lang w:val="en-GB"/>
        </w:rPr>
        <w:t xml:space="preserve">for Beirut </w:t>
      </w:r>
      <w:r w:rsidR="00CB4196" w:rsidRPr="004C0078">
        <w:rPr>
          <w:rFonts w:ascii="Calibri" w:hAnsi="Calibri"/>
          <w:lang w:val="en-GB"/>
        </w:rPr>
        <w:t xml:space="preserve">– once called </w:t>
      </w:r>
      <w:r w:rsidR="00106FC1">
        <w:rPr>
          <w:rFonts w:ascii="Calibri" w:hAnsi="Calibri"/>
          <w:lang w:val="en-GB"/>
        </w:rPr>
        <w:t xml:space="preserve">the </w:t>
      </w:r>
      <w:r w:rsidR="00CB4196" w:rsidRPr="004C0078">
        <w:rPr>
          <w:rFonts w:ascii="Calibri" w:hAnsi="Calibri"/>
          <w:lang w:val="en-GB"/>
        </w:rPr>
        <w:t>Paris</w:t>
      </w:r>
      <w:r w:rsidR="00CB4196">
        <w:rPr>
          <w:rFonts w:ascii="Calibri" w:hAnsi="Calibri"/>
          <w:lang w:val="en-GB"/>
        </w:rPr>
        <w:t xml:space="preserve"> of the Middle East – </w:t>
      </w:r>
      <w:r w:rsidR="00653110">
        <w:rPr>
          <w:rFonts w:ascii="Calibri" w:hAnsi="Calibri"/>
          <w:lang w:val="en-GB"/>
        </w:rPr>
        <w:t>was similar as the severity of attacks for Paris</w:t>
      </w:r>
      <w:r w:rsidR="00570042">
        <w:rPr>
          <w:rFonts w:ascii="Calibri" w:hAnsi="Calibri"/>
          <w:lang w:val="en-GB"/>
        </w:rPr>
        <w:t xml:space="preserve">, </w:t>
      </w:r>
      <w:r w:rsidR="00106FC1">
        <w:rPr>
          <w:rFonts w:ascii="Calibri" w:hAnsi="Calibri"/>
          <w:lang w:val="en-GB"/>
        </w:rPr>
        <w:t>since</w:t>
      </w:r>
      <w:r w:rsidR="00653110">
        <w:rPr>
          <w:rFonts w:ascii="Calibri" w:hAnsi="Calibri"/>
          <w:lang w:val="en-GB"/>
        </w:rPr>
        <w:t xml:space="preserve"> the blasts</w:t>
      </w:r>
      <w:r w:rsidR="00ED2A7D">
        <w:rPr>
          <w:rFonts w:ascii="Calibri" w:hAnsi="Calibri"/>
          <w:lang w:val="en-GB"/>
        </w:rPr>
        <w:t xml:space="preserve"> happened after a year of relative calm and</w:t>
      </w:r>
      <w:r w:rsidR="00653110">
        <w:rPr>
          <w:rFonts w:ascii="Calibri" w:hAnsi="Calibri"/>
          <w:lang w:val="en-GB"/>
        </w:rPr>
        <w:t xml:space="preserve"> were the </w:t>
      </w:r>
      <w:r w:rsidR="004C0078">
        <w:rPr>
          <w:rFonts w:ascii="Calibri" w:hAnsi="Calibri"/>
          <w:lang w:val="en-GB"/>
        </w:rPr>
        <w:t>deadliest attacks</w:t>
      </w:r>
      <w:r w:rsidR="00ED2A7D">
        <w:rPr>
          <w:rFonts w:ascii="Calibri" w:hAnsi="Calibri"/>
          <w:lang w:val="en-GB"/>
        </w:rPr>
        <w:t xml:space="preserve"> since 1990 </w:t>
      </w:r>
      <w:r w:rsidR="00570042">
        <w:rPr>
          <w:rFonts w:ascii="Calibri" w:hAnsi="Calibri"/>
          <w:lang w:val="en-GB"/>
        </w:rPr>
        <w:t>(</w:t>
      </w:r>
      <w:r w:rsidR="00570042" w:rsidRPr="00FF6C49">
        <w:rPr>
          <w:rFonts w:ascii="Calibri" w:hAnsi="Calibri"/>
          <w:lang w:val="en-GB"/>
        </w:rPr>
        <w:t>Graham, 2015; Shaheen, 2015a).</w:t>
      </w:r>
    </w:p>
    <w:p w14:paraId="438176B9" w14:textId="1A7DE984" w:rsidR="0054687E" w:rsidRPr="00173294" w:rsidRDefault="00B549D5" w:rsidP="00E52F0F">
      <w:pPr>
        <w:pStyle w:val="Normal1"/>
        <w:spacing w:after="0" w:line="360" w:lineRule="auto"/>
        <w:ind w:firstLine="709"/>
        <w:jc w:val="both"/>
        <w:rPr>
          <w:rFonts w:ascii="Calibri" w:hAnsi="Calibri"/>
          <w:lang w:val="en-GB"/>
        </w:rPr>
      </w:pPr>
      <w:r w:rsidRPr="00FF6C49">
        <w:rPr>
          <w:rFonts w:ascii="Calibri" w:hAnsi="Calibri"/>
          <w:lang w:val="en-GB"/>
        </w:rPr>
        <w:t xml:space="preserve">Nevertheless, the difference in coverage and reactions did not pass unnoticed. </w:t>
      </w:r>
      <w:r w:rsidR="00CA4C45" w:rsidRPr="00FF6C49">
        <w:rPr>
          <w:rFonts w:ascii="Calibri" w:hAnsi="Calibri"/>
          <w:lang w:val="en-GB"/>
        </w:rPr>
        <w:t>On November 13</w:t>
      </w:r>
      <w:r w:rsidR="00CA4C45" w:rsidRPr="00FF6C49">
        <w:rPr>
          <w:rFonts w:ascii="Calibri" w:hAnsi="Calibri"/>
          <w:vertAlign w:val="superscript"/>
          <w:lang w:val="en-GB"/>
        </w:rPr>
        <w:t>th</w:t>
      </w:r>
      <w:r w:rsidR="00CA4C45" w:rsidRPr="00FF6C49">
        <w:rPr>
          <w:rFonts w:ascii="Calibri" w:hAnsi="Calibri"/>
          <w:lang w:val="en-GB"/>
        </w:rPr>
        <w:t xml:space="preserve">, almost directly after the Paris attacks, Twitter </w:t>
      </w:r>
      <w:r w:rsidR="00286A78" w:rsidRPr="00FF6C49">
        <w:rPr>
          <w:rFonts w:ascii="Calibri" w:hAnsi="Calibri"/>
          <w:lang w:val="en-GB"/>
        </w:rPr>
        <w:t xml:space="preserve">users </w:t>
      </w:r>
      <w:r w:rsidR="00CA4C45" w:rsidRPr="00FF6C49">
        <w:rPr>
          <w:rFonts w:ascii="Calibri" w:hAnsi="Calibri"/>
          <w:lang w:val="en-GB"/>
        </w:rPr>
        <w:t>started using the hashtag #PrayingforBeirut</w:t>
      </w:r>
      <w:r w:rsidR="00ED2A7D" w:rsidRPr="00FF6C49">
        <w:rPr>
          <w:rFonts w:ascii="Calibri" w:hAnsi="Calibri"/>
          <w:lang w:val="en-GB"/>
        </w:rPr>
        <w:t xml:space="preserve"> besides #PrayingforParis</w:t>
      </w:r>
      <w:r w:rsidR="00CA4C45" w:rsidRPr="00FF6C49">
        <w:rPr>
          <w:rFonts w:ascii="Calibri" w:hAnsi="Calibri"/>
          <w:lang w:val="en-GB"/>
        </w:rPr>
        <w:t xml:space="preserve"> to show their solidarity with Beirut and frustration at the difference in coverage (e.g. Hersch, 2015</w:t>
      </w:r>
      <w:r w:rsidR="006935A6" w:rsidRPr="00FF6C49">
        <w:rPr>
          <w:rFonts w:ascii="Calibri" w:hAnsi="Calibri"/>
          <w:lang w:val="en-GB"/>
        </w:rPr>
        <w:t>; Narine, 2015</w:t>
      </w:r>
      <w:r w:rsidR="00CA4C45" w:rsidRPr="00FF6C49">
        <w:rPr>
          <w:rFonts w:ascii="Calibri" w:hAnsi="Calibri"/>
          <w:lang w:val="en-GB"/>
        </w:rPr>
        <w:t xml:space="preserve">). </w:t>
      </w:r>
      <w:r w:rsidR="006935A6" w:rsidRPr="00FF6C49">
        <w:rPr>
          <w:rFonts w:ascii="Calibri" w:hAnsi="Calibri"/>
          <w:lang w:val="en-GB"/>
        </w:rPr>
        <w:t>Furthermore</w:t>
      </w:r>
      <w:r w:rsidR="006935A6">
        <w:rPr>
          <w:rFonts w:ascii="Calibri" w:hAnsi="Calibri"/>
          <w:lang w:val="en-GB"/>
        </w:rPr>
        <w:t xml:space="preserve">, </w:t>
      </w:r>
      <w:r w:rsidR="00286A78">
        <w:rPr>
          <w:rFonts w:ascii="Calibri" w:hAnsi="Calibri"/>
          <w:lang w:val="en-GB"/>
        </w:rPr>
        <w:t>social media users</w:t>
      </w:r>
      <w:r w:rsidR="006935A6">
        <w:rPr>
          <w:rFonts w:ascii="Calibri" w:hAnsi="Calibri"/>
          <w:lang w:val="en-GB"/>
        </w:rPr>
        <w:t xml:space="preserve"> </w:t>
      </w:r>
      <w:r w:rsidRPr="00173294">
        <w:rPr>
          <w:rFonts w:ascii="Calibri" w:hAnsi="Calibri"/>
          <w:lang w:val="en-GB"/>
        </w:rPr>
        <w:t xml:space="preserve">wrote blogs, issued </w:t>
      </w:r>
      <w:r w:rsidR="006935A6">
        <w:rPr>
          <w:rFonts w:ascii="Calibri" w:hAnsi="Calibri"/>
          <w:lang w:val="en-GB"/>
        </w:rPr>
        <w:t>statements on F</w:t>
      </w:r>
      <w:r w:rsidRPr="00173294">
        <w:rPr>
          <w:rFonts w:ascii="Calibri" w:hAnsi="Calibri"/>
          <w:lang w:val="en-GB"/>
        </w:rPr>
        <w:t xml:space="preserve">acebook, and criticised </w:t>
      </w:r>
      <w:r>
        <w:rPr>
          <w:rFonts w:ascii="Calibri" w:hAnsi="Calibri"/>
          <w:lang w:val="en-GB"/>
        </w:rPr>
        <w:t>heads of states and</w:t>
      </w:r>
      <w:r w:rsidRPr="00173294">
        <w:rPr>
          <w:rFonts w:ascii="Calibri" w:hAnsi="Calibri"/>
          <w:lang w:val="en-GB"/>
        </w:rPr>
        <w:t xml:space="preserve"> mass media for not </w:t>
      </w:r>
      <w:r w:rsidR="00FC286B">
        <w:rPr>
          <w:rFonts w:ascii="Calibri" w:hAnsi="Calibri"/>
          <w:lang w:val="en-GB"/>
        </w:rPr>
        <w:t>responding</w:t>
      </w:r>
      <w:r>
        <w:rPr>
          <w:rFonts w:ascii="Calibri" w:hAnsi="Calibri"/>
          <w:lang w:val="en-GB"/>
        </w:rPr>
        <w:t xml:space="preserve"> </w:t>
      </w:r>
      <w:r w:rsidRPr="00173294">
        <w:rPr>
          <w:rFonts w:ascii="Calibri" w:hAnsi="Calibri"/>
          <w:lang w:val="en-GB"/>
        </w:rPr>
        <w:t xml:space="preserve">in a similar way </w:t>
      </w:r>
      <w:r>
        <w:rPr>
          <w:rFonts w:ascii="Calibri" w:hAnsi="Calibri"/>
          <w:lang w:val="en-GB"/>
        </w:rPr>
        <w:t>to</w:t>
      </w:r>
      <w:r w:rsidRPr="00173294">
        <w:rPr>
          <w:rFonts w:ascii="Calibri" w:hAnsi="Calibri"/>
          <w:lang w:val="en-GB"/>
        </w:rPr>
        <w:t xml:space="preserve"> the Beirut attacks as</w:t>
      </w:r>
      <w:r>
        <w:rPr>
          <w:rFonts w:ascii="Calibri" w:hAnsi="Calibri"/>
          <w:lang w:val="en-GB"/>
        </w:rPr>
        <w:t xml:space="preserve"> to</w:t>
      </w:r>
      <w:r w:rsidRPr="00173294">
        <w:rPr>
          <w:rFonts w:ascii="Calibri" w:hAnsi="Calibri"/>
          <w:lang w:val="en-GB"/>
        </w:rPr>
        <w:t xml:space="preserve"> the </w:t>
      </w:r>
      <w:r w:rsidR="00FF6C49">
        <w:rPr>
          <w:rFonts w:ascii="Calibri" w:hAnsi="Calibri"/>
          <w:lang w:val="en-GB"/>
        </w:rPr>
        <w:t>Paris attacks</w:t>
      </w:r>
      <w:r w:rsidR="006935A6">
        <w:rPr>
          <w:rFonts w:ascii="Calibri" w:hAnsi="Calibri"/>
          <w:lang w:val="en-GB"/>
        </w:rPr>
        <w:t xml:space="preserve"> (e.g. Barnard, 2015; Brändlin, 2015)</w:t>
      </w:r>
      <w:r>
        <w:rPr>
          <w:rFonts w:ascii="Calibri" w:hAnsi="Calibri"/>
          <w:lang w:val="en-GB"/>
        </w:rPr>
        <w:t xml:space="preserve">. </w:t>
      </w:r>
      <w:r w:rsidR="00793DF6">
        <w:rPr>
          <w:rFonts w:ascii="Calibri" w:hAnsi="Calibri"/>
          <w:lang w:val="en-GB"/>
        </w:rPr>
        <w:t>Aimed primarily at news outlets, social media users</w:t>
      </w:r>
      <w:r>
        <w:rPr>
          <w:rFonts w:ascii="Calibri" w:hAnsi="Calibri"/>
          <w:lang w:val="en-GB"/>
        </w:rPr>
        <w:t xml:space="preserve"> </w:t>
      </w:r>
      <w:r w:rsidRPr="00173294">
        <w:rPr>
          <w:rFonts w:ascii="Calibri" w:hAnsi="Calibri"/>
          <w:lang w:val="en-GB"/>
        </w:rPr>
        <w:t>criticise</w:t>
      </w:r>
      <w:r w:rsidR="00FF6C49">
        <w:rPr>
          <w:rFonts w:ascii="Calibri" w:hAnsi="Calibri"/>
          <w:lang w:val="en-GB"/>
        </w:rPr>
        <w:t>d</w:t>
      </w:r>
      <w:r w:rsidRPr="00173294">
        <w:rPr>
          <w:rFonts w:ascii="Calibri" w:hAnsi="Calibri"/>
          <w:lang w:val="en-GB"/>
        </w:rPr>
        <w:t xml:space="preserve"> the number of articles devoted respectively to Beirut and Paris</w:t>
      </w:r>
      <w:r w:rsidR="00106FC1">
        <w:rPr>
          <w:rFonts w:ascii="Calibri" w:hAnsi="Calibri"/>
          <w:lang w:val="en-GB"/>
        </w:rPr>
        <w:t>,</w:t>
      </w:r>
      <w:r w:rsidRPr="00173294">
        <w:rPr>
          <w:rFonts w:ascii="Calibri" w:hAnsi="Calibri"/>
          <w:lang w:val="en-GB"/>
        </w:rPr>
        <w:t xml:space="preserve"> </w:t>
      </w:r>
      <w:r w:rsidR="00FF6C49">
        <w:rPr>
          <w:rFonts w:ascii="Calibri" w:hAnsi="Calibri"/>
          <w:lang w:val="en-GB"/>
        </w:rPr>
        <w:t>as well as</w:t>
      </w:r>
      <w:r w:rsidRPr="00173294">
        <w:rPr>
          <w:rFonts w:ascii="Calibri" w:hAnsi="Calibri"/>
          <w:lang w:val="en-GB"/>
        </w:rPr>
        <w:t xml:space="preserve"> the language used in those articles. </w:t>
      </w:r>
      <w:r w:rsidR="00F62D52">
        <w:rPr>
          <w:rFonts w:ascii="Calibri" w:hAnsi="Calibri"/>
          <w:lang w:val="en-GB"/>
        </w:rPr>
        <w:t>They argued that the victims of Paris were humanised, whereas those of Beirut were dehumanised (Battah, 2015; Ajaka, 2015). Furthermore, they critiqued the implicit assumption in some news articles that an attack in Beirut was to be expected (e.g. Battah, 2015). Generally speaking</w:t>
      </w:r>
      <w:r w:rsidRPr="00173294">
        <w:rPr>
          <w:rFonts w:ascii="Calibri" w:hAnsi="Calibri"/>
          <w:lang w:val="en-GB"/>
        </w:rPr>
        <w:t>, the critique</w:t>
      </w:r>
      <w:r w:rsidR="00F62D52">
        <w:rPr>
          <w:rFonts w:ascii="Calibri" w:hAnsi="Calibri"/>
          <w:lang w:val="en-GB"/>
        </w:rPr>
        <w:t>s</w:t>
      </w:r>
      <w:r w:rsidRPr="00173294">
        <w:rPr>
          <w:rFonts w:ascii="Calibri" w:hAnsi="Calibri"/>
          <w:lang w:val="en-GB"/>
        </w:rPr>
        <w:t xml:space="preserve"> stated that the coverage made the pe</w:t>
      </w:r>
      <w:r w:rsidR="00793DF6">
        <w:rPr>
          <w:rFonts w:ascii="Calibri" w:hAnsi="Calibri"/>
          <w:lang w:val="en-GB"/>
        </w:rPr>
        <w:t>ople of Beirut seem unimportant in comparison to the people of Paris</w:t>
      </w:r>
      <w:r w:rsidRPr="00173294">
        <w:rPr>
          <w:rFonts w:ascii="Calibri" w:hAnsi="Calibri"/>
          <w:lang w:val="en-GB"/>
        </w:rPr>
        <w:t xml:space="preserve">. Several </w:t>
      </w:r>
      <w:r w:rsidR="00FF6C49" w:rsidRPr="00173294">
        <w:rPr>
          <w:rFonts w:ascii="Calibri" w:hAnsi="Calibri"/>
          <w:lang w:val="en-GB"/>
        </w:rPr>
        <w:t>reports</w:t>
      </w:r>
      <w:r w:rsidRPr="00173294">
        <w:rPr>
          <w:rFonts w:ascii="Calibri" w:hAnsi="Calibri"/>
          <w:lang w:val="en-GB"/>
        </w:rPr>
        <w:t xml:space="preserve"> of news outlets followed, </w:t>
      </w:r>
      <w:r w:rsidR="00ED2A7D">
        <w:rPr>
          <w:rFonts w:ascii="Calibri" w:hAnsi="Calibri"/>
          <w:lang w:val="en-GB"/>
        </w:rPr>
        <w:t xml:space="preserve">discussing and sometimes aiming to justify </w:t>
      </w:r>
      <w:r w:rsidRPr="00173294">
        <w:rPr>
          <w:rFonts w:ascii="Calibri" w:hAnsi="Calibri"/>
          <w:lang w:val="en-GB"/>
        </w:rPr>
        <w:t>the variance in their coverage</w:t>
      </w:r>
      <w:r w:rsidR="00793DF6">
        <w:rPr>
          <w:rFonts w:ascii="Calibri" w:hAnsi="Calibri"/>
          <w:lang w:val="en-GB"/>
        </w:rPr>
        <w:t xml:space="preserve"> </w:t>
      </w:r>
      <w:r w:rsidR="00653110">
        <w:rPr>
          <w:rFonts w:ascii="Calibri" w:hAnsi="Calibri"/>
          <w:lang w:val="en-GB"/>
        </w:rPr>
        <w:t xml:space="preserve">(e.g. Glaser, 2015; </w:t>
      </w:r>
      <w:r w:rsidR="00ED2A7D">
        <w:rPr>
          <w:rFonts w:ascii="Calibri" w:hAnsi="Calibri"/>
          <w:lang w:val="en-GB"/>
        </w:rPr>
        <w:t>Barnard, 2015)</w:t>
      </w:r>
      <w:r w:rsidRPr="00173294">
        <w:rPr>
          <w:rFonts w:ascii="Calibri" w:hAnsi="Calibri"/>
          <w:lang w:val="en-GB"/>
        </w:rPr>
        <w:t xml:space="preserve">. The argument mostly hailed was that the people </w:t>
      </w:r>
      <w:r>
        <w:rPr>
          <w:rFonts w:ascii="Calibri" w:hAnsi="Calibri"/>
          <w:lang w:val="en-GB"/>
        </w:rPr>
        <w:t>living in Western Europe</w:t>
      </w:r>
      <w:r w:rsidRPr="00173294">
        <w:rPr>
          <w:rFonts w:ascii="Calibri" w:hAnsi="Calibri"/>
          <w:lang w:val="en-GB"/>
        </w:rPr>
        <w:t xml:space="preserve"> or </w:t>
      </w:r>
      <w:r>
        <w:rPr>
          <w:rFonts w:ascii="Calibri" w:hAnsi="Calibri"/>
          <w:lang w:val="en-GB"/>
        </w:rPr>
        <w:t>the Anglosphere</w:t>
      </w:r>
      <w:r>
        <w:rPr>
          <w:rStyle w:val="FootnoteReference"/>
          <w:rFonts w:ascii="Calibri" w:hAnsi="Calibri"/>
          <w:lang w:val="en-GB"/>
        </w:rPr>
        <w:footnoteReference w:id="2"/>
      </w:r>
      <w:r w:rsidRPr="00173294">
        <w:rPr>
          <w:rFonts w:ascii="Calibri" w:hAnsi="Calibri"/>
          <w:lang w:val="en-GB"/>
        </w:rPr>
        <w:t xml:space="preserve"> could more easily identify with the people in Paris than with those in Beirut because of geographical and cultural proximity</w:t>
      </w:r>
      <w:r>
        <w:rPr>
          <w:rFonts w:ascii="Calibri" w:hAnsi="Calibri"/>
          <w:lang w:val="en-GB"/>
        </w:rPr>
        <w:t xml:space="preserve">, and that the media was only tailoring to that </w:t>
      </w:r>
      <w:r>
        <w:rPr>
          <w:rFonts w:ascii="Calibri" w:hAnsi="Calibri"/>
          <w:lang w:val="en-GB"/>
        </w:rPr>
        <w:lastRenderedPageBreak/>
        <w:t>identification</w:t>
      </w:r>
      <w:r w:rsidRPr="00173294">
        <w:rPr>
          <w:rFonts w:ascii="Calibri" w:hAnsi="Calibri"/>
          <w:lang w:val="en-GB"/>
        </w:rPr>
        <w:t>. Some agreed, some did not. And some were wondering to what extent the criticisms were right.</w:t>
      </w:r>
    </w:p>
    <w:p w14:paraId="06374720" w14:textId="3898E991" w:rsidR="00B549D5" w:rsidRDefault="00B549D5" w:rsidP="00E52F0F">
      <w:pPr>
        <w:pStyle w:val="Normal1"/>
        <w:spacing w:after="0" w:line="360" w:lineRule="auto"/>
        <w:ind w:firstLine="709"/>
        <w:jc w:val="both"/>
        <w:rPr>
          <w:rFonts w:ascii="Calibri" w:hAnsi="Calibri"/>
          <w:lang w:val="en-GB"/>
        </w:rPr>
      </w:pPr>
      <w:r w:rsidRPr="00173294">
        <w:rPr>
          <w:rFonts w:ascii="Calibri" w:hAnsi="Calibri"/>
          <w:lang w:val="en-GB"/>
        </w:rPr>
        <w:t>One of those latter people was me. Although my moral intuition told me something was wrong with the coverage, I felt the need to research to what exten</w:t>
      </w:r>
      <w:r w:rsidR="00FC286B">
        <w:rPr>
          <w:rFonts w:ascii="Calibri" w:hAnsi="Calibri"/>
          <w:lang w:val="en-GB"/>
        </w:rPr>
        <w:t>t my intuition was correct, or whether</w:t>
      </w:r>
      <w:r w:rsidRPr="00173294">
        <w:rPr>
          <w:rFonts w:ascii="Calibri" w:hAnsi="Calibri"/>
          <w:lang w:val="en-GB"/>
        </w:rPr>
        <w:t xml:space="preserve"> there was something I was missing. Moreover, I considered it to be a very interesting question</w:t>
      </w:r>
      <w:r w:rsidR="00FC286B">
        <w:rPr>
          <w:rFonts w:ascii="Calibri" w:hAnsi="Calibri"/>
          <w:lang w:val="en-GB"/>
        </w:rPr>
        <w:t xml:space="preserve">: what did </w:t>
      </w:r>
      <w:r w:rsidRPr="00173294">
        <w:rPr>
          <w:rFonts w:ascii="Calibri" w:hAnsi="Calibri"/>
          <w:lang w:val="en-GB"/>
        </w:rPr>
        <w:t>the articles explicitly a</w:t>
      </w:r>
      <w:r w:rsidR="00FC286B">
        <w:rPr>
          <w:rFonts w:ascii="Calibri" w:hAnsi="Calibri"/>
          <w:lang w:val="en-GB"/>
        </w:rPr>
        <w:t>nd implicitly state, and what does</w:t>
      </w:r>
      <w:r w:rsidRPr="00173294">
        <w:rPr>
          <w:rFonts w:ascii="Calibri" w:hAnsi="Calibri"/>
          <w:lang w:val="en-GB"/>
        </w:rPr>
        <w:t xml:space="preserve"> that say about the power relations that </w:t>
      </w:r>
      <w:r w:rsidR="00FC286B">
        <w:rPr>
          <w:rFonts w:ascii="Calibri" w:hAnsi="Calibri"/>
          <w:lang w:val="en-GB"/>
        </w:rPr>
        <w:t>a</w:t>
      </w:r>
      <w:r w:rsidRPr="00173294">
        <w:rPr>
          <w:rFonts w:ascii="Calibri" w:hAnsi="Calibri"/>
          <w:lang w:val="en-GB"/>
        </w:rPr>
        <w:t xml:space="preserve">re behind the texts? </w:t>
      </w:r>
      <w:r>
        <w:rPr>
          <w:rFonts w:ascii="Calibri" w:hAnsi="Calibri"/>
          <w:lang w:val="en-GB"/>
        </w:rPr>
        <w:t>These questions were the beginning of my research. Within my dissertation, I turned them into the following research question:</w:t>
      </w:r>
    </w:p>
    <w:p w14:paraId="11B04AEE" w14:textId="77777777" w:rsidR="00B549D5" w:rsidRPr="00173294" w:rsidRDefault="00B549D5" w:rsidP="00E52F0F">
      <w:pPr>
        <w:pStyle w:val="Normal1"/>
        <w:spacing w:after="0" w:line="360" w:lineRule="auto"/>
        <w:ind w:firstLine="851"/>
        <w:jc w:val="both"/>
        <w:rPr>
          <w:rFonts w:ascii="Calibri" w:hAnsi="Calibri"/>
          <w:lang w:val="en-GB"/>
        </w:rPr>
      </w:pPr>
    </w:p>
    <w:p w14:paraId="333737B2" w14:textId="229DE04A" w:rsidR="00B549D5" w:rsidRPr="00173294" w:rsidRDefault="00FC286B" w:rsidP="00E52F0F">
      <w:pPr>
        <w:pStyle w:val="Normal1"/>
        <w:spacing w:after="0" w:line="360" w:lineRule="auto"/>
        <w:ind w:left="1134" w:right="713"/>
        <w:jc w:val="both"/>
        <w:rPr>
          <w:rFonts w:ascii="Calibri" w:hAnsi="Calibri"/>
          <w:i/>
          <w:lang w:val="en-GB"/>
        </w:rPr>
      </w:pPr>
      <w:r>
        <w:rPr>
          <w:rFonts w:ascii="Calibri" w:hAnsi="Calibri"/>
          <w:i/>
          <w:lang w:val="en-GB"/>
        </w:rPr>
        <w:t>Which</w:t>
      </w:r>
      <w:r w:rsidR="00B549D5" w:rsidRPr="00173294">
        <w:rPr>
          <w:rFonts w:ascii="Calibri" w:hAnsi="Calibri"/>
          <w:i/>
          <w:lang w:val="en-GB"/>
        </w:rPr>
        <w:t xml:space="preserve"> power relations are reflected</w:t>
      </w:r>
      <w:r w:rsidR="00B549D5">
        <w:rPr>
          <w:rFonts w:ascii="Calibri" w:hAnsi="Calibri"/>
          <w:i/>
          <w:lang w:val="en-GB"/>
        </w:rPr>
        <w:t xml:space="preserve"> and </w:t>
      </w:r>
      <w:r w:rsidR="00A14FE6">
        <w:rPr>
          <w:rFonts w:ascii="Calibri" w:hAnsi="Calibri"/>
          <w:i/>
          <w:lang w:val="en-GB"/>
        </w:rPr>
        <w:t>(re)</w:t>
      </w:r>
      <w:r w:rsidR="00B549D5">
        <w:rPr>
          <w:rFonts w:ascii="Calibri" w:hAnsi="Calibri"/>
          <w:i/>
          <w:lang w:val="en-GB"/>
        </w:rPr>
        <w:t>produced</w:t>
      </w:r>
      <w:r w:rsidR="00B549D5" w:rsidRPr="00173294">
        <w:rPr>
          <w:rFonts w:ascii="Calibri" w:hAnsi="Calibri"/>
          <w:i/>
          <w:lang w:val="en-GB"/>
        </w:rPr>
        <w:t xml:space="preserve"> in the</w:t>
      </w:r>
      <w:r w:rsidR="00B549D5">
        <w:rPr>
          <w:rFonts w:ascii="Calibri" w:hAnsi="Calibri"/>
          <w:i/>
          <w:lang w:val="en-GB"/>
        </w:rPr>
        <w:t xml:space="preserve"> Guardian’s</w:t>
      </w:r>
      <w:r w:rsidR="00B549D5" w:rsidRPr="00173294">
        <w:rPr>
          <w:rFonts w:ascii="Calibri" w:hAnsi="Calibri"/>
          <w:i/>
          <w:lang w:val="en-GB"/>
        </w:rPr>
        <w:t xml:space="preserve"> coverage of the </w:t>
      </w:r>
      <w:r w:rsidR="00D029BF">
        <w:rPr>
          <w:rFonts w:ascii="Calibri" w:hAnsi="Calibri"/>
          <w:i/>
          <w:lang w:val="en-GB"/>
        </w:rPr>
        <w:t>v</w:t>
      </w:r>
      <w:r w:rsidR="00185338">
        <w:rPr>
          <w:rFonts w:ascii="Calibri" w:hAnsi="Calibri"/>
          <w:i/>
          <w:lang w:val="en-GB"/>
        </w:rPr>
        <w:t>ictims,</w:t>
      </w:r>
      <w:r w:rsidR="00D029BF">
        <w:rPr>
          <w:rFonts w:ascii="Calibri" w:hAnsi="Calibri"/>
          <w:i/>
          <w:lang w:val="en-GB"/>
        </w:rPr>
        <w:t xml:space="preserve"> witnesses</w:t>
      </w:r>
      <w:r w:rsidR="00185338">
        <w:rPr>
          <w:rFonts w:ascii="Calibri" w:hAnsi="Calibri"/>
          <w:i/>
          <w:lang w:val="en-GB"/>
        </w:rPr>
        <w:t>, and their relatives</w:t>
      </w:r>
      <w:r w:rsidR="00D029BF">
        <w:rPr>
          <w:rFonts w:ascii="Calibri" w:hAnsi="Calibri"/>
          <w:i/>
          <w:lang w:val="en-GB"/>
        </w:rPr>
        <w:t xml:space="preserve"> </w:t>
      </w:r>
      <w:r w:rsidR="00185338">
        <w:rPr>
          <w:rFonts w:ascii="Calibri" w:hAnsi="Calibri"/>
          <w:i/>
          <w:lang w:val="en-GB"/>
        </w:rPr>
        <w:t>affected by</w:t>
      </w:r>
      <w:r w:rsidR="00B549D5" w:rsidRPr="00173294">
        <w:rPr>
          <w:rFonts w:ascii="Calibri" w:hAnsi="Calibri"/>
          <w:i/>
          <w:lang w:val="en-GB"/>
        </w:rPr>
        <w:t xml:space="preserve"> the November 2015 </w:t>
      </w:r>
      <w:r w:rsidR="00B549D5">
        <w:rPr>
          <w:rFonts w:ascii="Calibri" w:hAnsi="Calibri"/>
          <w:i/>
          <w:lang w:val="en-GB"/>
        </w:rPr>
        <w:t>attacks in Beirut and Paris</w:t>
      </w:r>
      <w:r w:rsidR="00B549D5" w:rsidRPr="00173294">
        <w:rPr>
          <w:rFonts w:ascii="Calibri" w:hAnsi="Calibri"/>
          <w:i/>
          <w:lang w:val="en-GB"/>
        </w:rPr>
        <w:t>?</w:t>
      </w:r>
    </w:p>
    <w:p w14:paraId="68607A15" w14:textId="77777777" w:rsidR="00B549D5" w:rsidRPr="00173294" w:rsidRDefault="00B549D5" w:rsidP="00E52F0F">
      <w:pPr>
        <w:pStyle w:val="Normal1"/>
        <w:spacing w:after="0" w:line="360" w:lineRule="auto"/>
        <w:ind w:firstLine="851"/>
        <w:jc w:val="both"/>
        <w:rPr>
          <w:rFonts w:ascii="Calibri" w:hAnsi="Calibri"/>
          <w:lang w:val="en-GB"/>
        </w:rPr>
      </w:pPr>
    </w:p>
    <w:p w14:paraId="58387056" w14:textId="0DBF93A6" w:rsidR="00B549D5" w:rsidRPr="00173294" w:rsidRDefault="00B549D5" w:rsidP="00106FC1">
      <w:pPr>
        <w:pStyle w:val="Normal1"/>
        <w:spacing w:after="0" w:line="360" w:lineRule="auto"/>
        <w:jc w:val="both"/>
        <w:rPr>
          <w:rFonts w:ascii="Calibri" w:hAnsi="Calibri"/>
          <w:lang w:val="en-GB"/>
        </w:rPr>
      </w:pPr>
      <w:r w:rsidRPr="00173294">
        <w:rPr>
          <w:rFonts w:ascii="Calibri" w:hAnsi="Calibri"/>
          <w:lang w:val="en-GB"/>
        </w:rPr>
        <w:t>Three things might immediately be noticed that I have not yet explained. Firstly, why would I focus on the power relations</w:t>
      </w:r>
      <w:r w:rsidR="00FC286B">
        <w:rPr>
          <w:rFonts w:ascii="Calibri" w:hAnsi="Calibri"/>
          <w:lang w:val="en-GB"/>
        </w:rPr>
        <w:t xml:space="preserve"> that are reflected and (re)produ</w:t>
      </w:r>
      <w:r w:rsidR="00286A78">
        <w:rPr>
          <w:rFonts w:ascii="Calibri" w:hAnsi="Calibri"/>
          <w:lang w:val="en-GB"/>
        </w:rPr>
        <w:t>c</w:t>
      </w:r>
      <w:r w:rsidR="00FC286B">
        <w:rPr>
          <w:rFonts w:ascii="Calibri" w:hAnsi="Calibri"/>
          <w:lang w:val="en-GB"/>
        </w:rPr>
        <w:t>ed</w:t>
      </w:r>
      <w:r w:rsidRPr="00173294">
        <w:rPr>
          <w:rFonts w:ascii="Calibri" w:hAnsi="Calibri"/>
          <w:lang w:val="en-GB"/>
        </w:rPr>
        <w:t xml:space="preserve">? Secondly, why </w:t>
      </w:r>
      <w:r>
        <w:rPr>
          <w:rFonts w:ascii="Calibri" w:hAnsi="Calibri"/>
          <w:lang w:val="en-GB"/>
        </w:rPr>
        <w:t>the Guardian</w:t>
      </w:r>
      <w:r w:rsidRPr="00173294">
        <w:rPr>
          <w:rFonts w:ascii="Calibri" w:hAnsi="Calibri"/>
          <w:lang w:val="en-GB"/>
        </w:rPr>
        <w:t xml:space="preserve">? And thirdly, why </w:t>
      </w:r>
      <w:r>
        <w:rPr>
          <w:rFonts w:ascii="Calibri" w:hAnsi="Calibri"/>
          <w:lang w:val="en-GB"/>
        </w:rPr>
        <w:t>focus on th</w:t>
      </w:r>
      <w:r w:rsidR="00FF6C49">
        <w:rPr>
          <w:rFonts w:ascii="Calibri" w:hAnsi="Calibri"/>
          <w:lang w:val="en-GB"/>
        </w:rPr>
        <w:t>ose</w:t>
      </w:r>
      <w:r>
        <w:rPr>
          <w:rFonts w:ascii="Calibri" w:hAnsi="Calibri"/>
          <w:lang w:val="en-GB"/>
        </w:rPr>
        <w:t xml:space="preserve"> people instead of the attack itself</w:t>
      </w:r>
      <w:r w:rsidRPr="00173294">
        <w:rPr>
          <w:rFonts w:ascii="Calibri" w:hAnsi="Calibri"/>
          <w:lang w:val="en-GB"/>
        </w:rPr>
        <w:t xml:space="preserve">? Let me explain this point by point. </w:t>
      </w:r>
    </w:p>
    <w:p w14:paraId="083A84FD" w14:textId="6CFEDDB4" w:rsidR="00B549D5" w:rsidRPr="00173294" w:rsidRDefault="00B549D5" w:rsidP="00E52F0F">
      <w:pPr>
        <w:pStyle w:val="Normal1"/>
        <w:spacing w:after="0" w:line="360" w:lineRule="auto"/>
        <w:ind w:firstLine="709"/>
        <w:jc w:val="both"/>
        <w:rPr>
          <w:rFonts w:ascii="Calibri" w:hAnsi="Calibri"/>
          <w:lang w:val="en-GB"/>
        </w:rPr>
      </w:pPr>
      <w:r w:rsidRPr="00173294">
        <w:rPr>
          <w:rFonts w:ascii="Calibri" w:hAnsi="Calibri"/>
          <w:lang w:val="en-GB"/>
        </w:rPr>
        <w:t xml:space="preserve">Firstly, </w:t>
      </w:r>
      <w:r w:rsidR="00FF6C49">
        <w:rPr>
          <w:rFonts w:ascii="Calibri" w:hAnsi="Calibri"/>
          <w:lang w:val="en-GB"/>
        </w:rPr>
        <w:t>my focus on the power relations</w:t>
      </w:r>
      <w:r w:rsidRPr="00173294">
        <w:rPr>
          <w:rFonts w:ascii="Calibri" w:hAnsi="Calibri"/>
          <w:lang w:val="en-GB"/>
        </w:rPr>
        <w:t xml:space="preserve"> instead of</w:t>
      </w:r>
      <w:r w:rsidR="00FF6C49">
        <w:rPr>
          <w:rFonts w:ascii="Calibri" w:hAnsi="Calibri"/>
          <w:lang w:val="en-GB"/>
        </w:rPr>
        <w:t>,</w:t>
      </w:r>
      <w:r w:rsidRPr="00173294">
        <w:rPr>
          <w:rFonts w:ascii="Calibri" w:hAnsi="Calibri"/>
          <w:lang w:val="en-GB"/>
        </w:rPr>
        <w:t xml:space="preserve"> for example</w:t>
      </w:r>
      <w:r w:rsidR="00FF6C49">
        <w:rPr>
          <w:rFonts w:ascii="Calibri" w:hAnsi="Calibri"/>
          <w:lang w:val="en-GB"/>
        </w:rPr>
        <w:t>,</w:t>
      </w:r>
      <w:r w:rsidRPr="00173294">
        <w:rPr>
          <w:rFonts w:ascii="Calibri" w:hAnsi="Calibri"/>
          <w:lang w:val="en-GB"/>
        </w:rPr>
        <w:t xml:space="preserve"> directly and only </w:t>
      </w:r>
      <w:r w:rsidR="00FF6C49">
        <w:rPr>
          <w:rFonts w:ascii="Calibri" w:hAnsi="Calibri"/>
          <w:lang w:val="en-GB"/>
        </w:rPr>
        <w:t xml:space="preserve">on </w:t>
      </w:r>
      <w:r w:rsidRPr="00173294">
        <w:rPr>
          <w:rFonts w:ascii="Calibri" w:hAnsi="Calibri"/>
          <w:lang w:val="en-GB"/>
        </w:rPr>
        <w:t xml:space="preserve">the language used, is because my interests lies with the effect the language and coverage has on people. And, as </w:t>
      </w:r>
      <w:r w:rsidR="009A2A5B">
        <w:rPr>
          <w:rFonts w:ascii="Calibri" w:hAnsi="Calibri"/>
          <w:lang w:val="en-GB"/>
        </w:rPr>
        <w:t>is clarified</w:t>
      </w:r>
      <w:r w:rsidRPr="00173294">
        <w:rPr>
          <w:rFonts w:ascii="Calibri" w:hAnsi="Calibri"/>
          <w:lang w:val="en-GB"/>
        </w:rPr>
        <w:t xml:space="preserve"> in the next chapter, power relations are about the relations of people. While language is in obvious ways always tied up with people, </w:t>
      </w:r>
      <w:r w:rsidR="009A2A5B">
        <w:rPr>
          <w:rFonts w:ascii="Calibri" w:hAnsi="Calibri"/>
          <w:lang w:val="en-GB"/>
        </w:rPr>
        <w:t>they</w:t>
      </w:r>
      <w:r w:rsidRPr="00173294">
        <w:rPr>
          <w:rFonts w:ascii="Calibri" w:hAnsi="Calibri"/>
          <w:lang w:val="en-GB"/>
        </w:rPr>
        <w:t xml:space="preserve"> may be only </w:t>
      </w:r>
      <w:r w:rsidR="00FF6C49">
        <w:rPr>
          <w:rFonts w:ascii="Calibri" w:hAnsi="Calibri"/>
          <w:lang w:val="en-GB"/>
        </w:rPr>
        <w:t xml:space="preserve">of </w:t>
      </w:r>
      <w:r w:rsidRPr="00173294">
        <w:rPr>
          <w:rFonts w:ascii="Calibri" w:hAnsi="Calibri"/>
          <w:lang w:val="en-GB"/>
        </w:rPr>
        <w:t xml:space="preserve">secondary interest </w:t>
      </w:r>
      <w:r w:rsidR="00FF6C49">
        <w:rPr>
          <w:rFonts w:ascii="Calibri" w:hAnsi="Calibri"/>
          <w:lang w:val="en-GB"/>
        </w:rPr>
        <w:t>to</w:t>
      </w:r>
      <w:r w:rsidRPr="00173294">
        <w:rPr>
          <w:rFonts w:ascii="Calibri" w:hAnsi="Calibri"/>
          <w:lang w:val="en-GB"/>
        </w:rPr>
        <w:t xml:space="preserve"> those investigating language. In this </w:t>
      </w:r>
      <w:r>
        <w:rPr>
          <w:rFonts w:ascii="Calibri" w:hAnsi="Calibri"/>
          <w:lang w:val="en-GB"/>
        </w:rPr>
        <w:t>thesis</w:t>
      </w:r>
      <w:r w:rsidRPr="00173294">
        <w:rPr>
          <w:rFonts w:ascii="Calibri" w:hAnsi="Calibri"/>
          <w:lang w:val="en-GB"/>
        </w:rPr>
        <w:t>, the language</w:t>
      </w:r>
      <w:r>
        <w:rPr>
          <w:rFonts w:ascii="Calibri" w:hAnsi="Calibri"/>
          <w:lang w:val="en-GB"/>
        </w:rPr>
        <w:t xml:space="preserve"> used</w:t>
      </w:r>
      <w:r w:rsidRPr="00173294">
        <w:rPr>
          <w:rFonts w:ascii="Calibri" w:hAnsi="Calibri"/>
          <w:lang w:val="en-GB"/>
        </w:rPr>
        <w:t xml:space="preserve"> is important because it is one of the ways in which power relations are reflected</w:t>
      </w:r>
      <w:r>
        <w:rPr>
          <w:rFonts w:ascii="Calibri" w:hAnsi="Calibri"/>
          <w:lang w:val="en-GB"/>
        </w:rPr>
        <w:t xml:space="preserve"> and </w:t>
      </w:r>
      <w:r w:rsidR="00286A78">
        <w:rPr>
          <w:rFonts w:ascii="Calibri" w:hAnsi="Calibri"/>
          <w:lang w:val="en-GB"/>
        </w:rPr>
        <w:t>(re)</w:t>
      </w:r>
      <w:r>
        <w:rPr>
          <w:rFonts w:ascii="Calibri" w:hAnsi="Calibri"/>
          <w:lang w:val="en-GB"/>
        </w:rPr>
        <w:t>produced</w:t>
      </w:r>
      <w:r w:rsidRPr="00173294">
        <w:rPr>
          <w:rFonts w:ascii="Calibri" w:hAnsi="Calibri"/>
          <w:lang w:val="en-GB"/>
        </w:rPr>
        <w:t xml:space="preserve">. </w:t>
      </w:r>
      <w:r w:rsidR="00286A78">
        <w:rPr>
          <w:rFonts w:ascii="Calibri" w:hAnsi="Calibri"/>
          <w:lang w:val="en-GB"/>
        </w:rPr>
        <w:t>The language we use may implicitly and e</w:t>
      </w:r>
      <w:r w:rsidR="008C2F23">
        <w:rPr>
          <w:rFonts w:ascii="Calibri" w:hAnsi="Calibri"/>
          <w:lang w:val="en-GB"/>
        </w:rPr>
        <w:t>xplicitly reflect what we think. F</w:t>
      </w:r>
      <w:r w:rsidR="00286A78">
        <w:rPr>
          <w:rFonts w:ascii="Calibri" w:hAnsi="Calibri"/>
          <w:lang w:val="en-GB"/>
        </w:rPr>
        <w:t>or example</w:t>
      </w:r>
      <w:r w:rsidR="008C2F23">
        <w:rPr>
          <w:rFonts w:ascii="Calibri" w:hAnsi="Calibri"/>
          <w:lang w:val="en-GB"/>
        </w:rPr>
        <w:t xml:space="preserve">, a common view is that </w:t>
      </w:r>
      <w:r w:rsidR="00286A78">
        <w:rPr>
          <w:rFonts w:ascii="Calibri" w:hAnsi="Calibri"/>
          <w:lang w:val="en-GB"/>
        </w:rPr>
        <w:t>terrorists</w:t>
      </w:r>
      <w:r w:rsidR="008C2F23">
        <w:rPr>
          <w:rFonts w:ascii="Calibri" w:hAnsi="Calibri"/>
          <w:lang w:val="en-GB"/>
        </w:rPr>
        <w:t xml:space="preserve"> </w:t>
      </w:r>
      <w:r w:rsidR="00286A78">
        <w:rPr>
          <w:rFonts w:ascii="Calibri" w:hAnsi="Calibri"/>
          <w:lang w:val="en-GB"/>
        </w:rPr>
        <w:t xml:space="preserve">are criminal, </w:t>
      </w:r>
      <w:r w:rsidR="008C2F23">
        <w:rPr>
          <w:rFonts w:ascii="Calibri" w:hAnsi="Calibri"/>
          <w:lang w:val="en-GB"/>
        </w:rPr>
        <w:t xml:space="preserve">and </w:t>
      </w:r>
      <w:r w:rsidR="00286A78">
        <w:rPr>
          <w:rFonts w:ascii="Calibri" w:hAnsi="Calibri"/>
          <w:lang w:val="en-GB"/>
        </w:rPr>
        <w:t xml:space="preserve">sometimes </w:t>
      </w:r>
      <w:r w:rsidR="008C2F23">
        <w:rPr>
          <w:rFonts w:ascii="Calibri" w:hAnsi="Calibri"/>
          <w:lang w:val="en-GB"/>
        </w:rPr>
        <w:t>are even</w:t>
      </w:r>
      <w:r w:rsidR="00286A78">
        <w:rPr>
          <w:rFonts w:ascii="Calibri" w:hAnsi="Calibri"/>
          <w:lang w:val="en-GB"/>
        </w:rPr>
        <w:t xml:space="preserve"> regarded as evil and inhuman. </w:t>
      </w:r>
      <w:r w:rsidR="008C2F23">
        <w:rPr>
          <w:rFonts w:ascii="Calibri" w:hAnsi="Calibri"/>
          <w:lang w:val="en-GB"/>
        </w:rPr>
        <w:t>By using these words to describe them, language reflects power relations: terrorists should not be part of any society. Moreover, it also reproduces these power relations, because it reaffirms our thoughts when we read such a message. And lastly, language can produce power relations, by making people think or believe certain things, for example that all measures possible should be used to capture terrorists. Hence, l</w:t>
      </w:r>
      <w:r w:rsidRPr="00173294">
        <w:rPr>
          <w:rFonts w:ascii="Calibri" w:hAnsi="Calibri"/>
          <w:lang w:val="en-GB"/>
        </w:rPr>
        <w:t xml:space="preserve">anguage is one of the means to access information about power relations. </w:t>
      </w:r>
      <w:r>
        <w:rPr>
          <w:rFonts w:ascii="Calibri" w:hAnsi="Calibri"/>
          <w:lang w:val="en-GB"/>
        </w:rPr>
        <w:t>And since the</w:t>
      </w:r>
      <w:r w:rsidRPr="00173294">
        <w:rPr>
          <w:rFonts w:ascii="Calibri" w:hAnsi="Calibri"/>
          <w:lang w:val="en-GB"/>
        </w:rPr>
        <w:t xml:space="preserve"> research question </w:t>
      </w:r>
      <w:r>
        <w:rPr>
          <w:rFonts w:ascii="Calibri" w:hAnsi="Calibri"/>
          <w:lang w:val="en-GB"/>
        </w:rPr>
        <w:t>is focused on the end</w:t>
      </w:r>
      <w:r w:rsidRPr="00173294">
        <w:rPr>
          <w:rFonts w:ascii="Calibri" w:hAnsi="Calibri"/>
          <w:lang w:val="en-GB"/>
        </w:rPr>
        <w:t xml:space="preserve">, and not the means, the power relations instead of the descriptions are the </w:t>
      </w:r>
      <w:r>
        <w:rPr>
          <w:rFonts w:ascii="Calibri" w:hAnsi="Calibri"/>
          <w:lang w:val="en-GB"/>
        </w:rPr>
        <w:t>main object</w:t>
      </w:r>
      <w:r w:rsidR="00FF6C49">
        <w:rPr>
          <w:rFonts w:ascii="Calibri" w:hAnsi="Calibri"/>
          <w:lang w:val="en-GB"/>
        </w:rPr>
        <w:t>s</w:t>
      </w:r>
      <w:r>
        <w:rPr>
          <w:rFonts w:ascii="Calibri" w:hAnsi="Calibri"/>
          <w:lang w:val="en-GB"/>
        </w:rPr>
        <w:t xml:space="preserve"> of study</w:t>
      </w:r>
      <w:r w:rsidRPr="00173294">
        <w:rPr>
          <w:rFonts w:ascii="Calibri" w:hAnsi="Calibri"/>
          <w:lang w:val="en-GB"/>
        </w:rPr>
        <w:t xml:space="preserve">. </w:t>
      </w:r>
    </w:p>
    <w:p w14:paraId="480C870C" w14:textId="247712F8" w:rsidR="00B549D5" w:rsidRPr="00173294" w:rsidRDefault="00B549D5" w:rsidP="00E52F0F">
      <w:pPr>
        <w:pStyle w:val="Normal1"/>
        <w:spacing w:after="0" w:line="360" w:lineRule="auto"/>
        <w:ind w:firstLine="709"/>
        <w:jc w:val="both"/>
        <w:rPr>
          <w:rFonts w:ascii="Calibri" w:hAnsi="Calibri"/>
          <w:lang w:val="en-GB"/>
        </w:rPr>
      </w:pPr>
      <w:r>
        <w:rPr>
          <w:rFonts w:ascii="Calibri" w:hAnsi="Calibri"/>
          <w:lang w:val="en-GB"/>
        </w:rPr>
        <w:t>Secondly</w:t>
      </w:r>
      <w:r w:rsidRPr="00173294">
        <w:rPr>
          <w:rFonts w:ascii="Calibri" w:hAnsi="Calibri"/>
          <w:lang w:val="en-GB"/>
        </w:rPr>
        <w:t xml:space="preserve">, why did I choose to study the Guardian? This was a </w:t>
      </w:r>
      <w:r>
        <w:rPr>
          <w:rFonts w:ascii="Calibri" w:hAnsi="Calibri"/>
          <w:lang w:val="en-GB"/>
        </w:rPr>
        <w:t xml:space="preserve">three-step process. </w:t>
      </w:r>
      <w:r w:rsidRPr="00173294">
        <w:rPr>
          <w:rFonts w:ascii="Calibri" w:hAnsi="Calibri"/>
          <w:lang w:val="en-GB"/>
        </w:rPr>
        <w:t xml:space="preserve">The </w:t>
      </w:r>
      <w:r>
        <w:rPr>
          <w:rFonts w:ascii="Calibri" w:hAnsi="Calibri"/>
          <w:lang w:val="en-GB"/>
        </w:rPr>
        <w:t>first</w:t>
      </w:r>
      <w:r w:rsidRPr="00173294">
        <w:rPr>
          <w:rFonts w:ascii="Calibri" w:hAnsi="Calibri"/>
          <w:lang w:val="en-GB"/>
        </w:rPr>
        <w:t xml:space="preserve"> was choosing </w:t>
      </w:r>
      <w:r>
        <w:rPr>
          <w:rFonts w:ascii="Calibri" w:hAnsi="Calibri"/>
          <w:lang w:val="en-GB"/>
        </w:rPr>
        <w:t>which sphere of language to investigate. There is</w:t>
      </w:r>
      <w:r w:rsidR="00FF6C49">
        <w:rPr>
          <w:rFonts w:ascii="Calibri" w:hAnsi="Calibri"/>
          <w:lang w:val="en-GB"/>
        </w:rPr>
        <w:t xml:space="preserve"> no shortage of possibilities:</w:t>
      </w:r>
      <w:r>
        <w:rPr>
          <w:rFonts w:ascii="Calibri" w:hAnsi="Calibri"/>
          <w:lang w:val="en-GB"/>
        </w:rPr>
        <w:t xml:space="preserve"> I could examine the statements of politicians, the messages on social media, or the articles of news organ</w:t>
      </w:r>
      <w:r w:rsidR="008C2F23">
        <w:rPr>
          <w:rFonts w:ascii="Calibri" w:hAnsi="Calibri"/>
          <w:lang w:val="en-GB"/>
        </w:rPr>
        <w:t>isations. The choice for the la</w:t>
      </w:r>
      <w:r>
        <w:rPr>
          <w:rFonts w:ascii="Calibri" w:hAnsi="Calibri"/>
          <w:lang w:val="en-GB"/>
        </w:rPr>
        <w:t>t</w:t>
      </w:r>
      <w:r w:rsidR="008C2F23">
        <w:rPr>
          <w:rFonts w:ascii="Calibri" w:hAnsi="Calibri"/>
          <w:lang w:val="en-GB"/>
        </w:rPr>
        <w:t>ter</w:t>
      </w:r>
      <w:r>
        <w:rPr>
          <w:rFonts w:ascii="Calibri" w:hAnsi="Calibri"/>
          <w:lang w:val="en-GB"/>
        </w:rPr>
        <w:t xml:space="preserve"> comes from my interest in power relations. Although </w:t>
      </w:r>
      <w:r w:rsidRPr="00173294">
        <w:rPr>
          <w:rFonts w:ascii="Calibri" w:hAnsi="Calibri"/>
          <w:lang w:val="en-GB"/>
        </w:rPr>
        <w:t xml:space="preserve">statements of politicians </w:t>
      </w:r>
      <w:r>
        <w:rPr>
          <w:rFonts w:ascii="Calibri" w:hAnsi="Calibri"/>
          <w:lang w:val="en-GB"/>
        </w:rPr>
        <w:t>do</w:t>
      </w:r>
      <w:r w:rsidRPr="00173294">
        <w:rPr>
          <w:rFonts w:ascii="Calibri" w:hAnsi="Calibri"/>
          <w:lang w:val="en-GB"/>
        </w:rPr>
        <w:t xml:space="preserve"> demonstrate </w:t>
      </w:r>
      <w:r w:rsidR="00FF6C49">
        <w:rPr>
          <w:rFonts w:ascii="Calibri" w:hAnsi="Calibri"/>
          <w:lang w:val="en-GB"/>
        </w:rPr>
        <w:t>these</w:t>
      </w:r>
      <w:r w:rsidRPr="00173294">
        <w:rPr>
          <w:rFonts w:ascii="Calibri" w:hAnsi="Calibri"/>
          <w:lang w:val="en-GB"/>
        </w:rPr>
        <w:t xml:space="preserve"> relations, they are tied to power relations in the international governmental sphere. </w:t>
      </w:r>
      <w:r>
        <w:rPr>
          <w:rFonts w:ascii="Calibri" w:hAnsi="Calibri"/>
          <w:lang w:val="en-GB"/>
        </w:rPr>
        <w:t>Instead, my wish was to examine</w:t>
      </w:r>
      <w:r w:rsidRPr="00173294">
        <w:rPr>
          <w:rFonts w:ascii="Calibri" w:hAnsi="Calibri"/>
          <w:lang w:val="en-GB"/>
        </w:rPr>
        <w:t xml:space="preserve"> the power relations present i</w:t>
      </w:r>
      <w:r w:rsidR="00545211">
        <w:rPr>
          <w:rFonts w:ascii="Calibri" w:hAnsi="Calibri"/>
          <w:lang w:val="en-GB"/>
        </w:rPr>
        <w:t>n society, among all people, rather than</w:t>
      </w:r>
      <w:r>
        <w:rPr>
          <w:rFonts w:ascii="Calibri" w:hAnsi="Calibri"/>
          <w:lang w:val="en-GB"/>
        </w:rPr>
        <w:t xml:space="preserve"> only</w:t>
      </w:r>
      <w:r w:rsidRPr="00173294">
        <w:rPr>
          <w:rFonts w:ascii="Calibri" w:hAnsi="Calibri"/>
          <w:lang w:val="en-GB"/>
        </w:rPr>
        <w:t xml:space="preserve"> among the people </w:t>
      </w:r>
      <w:r w:rsidRPr="00173294">
        <w:rPr>
          <w:rFonts w:ascii="Calibri" w:hAnsi="Calibri"/>
          <w:lang w:val="en-GB"/>
        </w:rPr>
        <w:lastRenderedPageBreak/>
        <w:t xml:space="preserve">of the </w:t>
      </w:r>
      <w:r w:rsidRPr="00FF6C49">
        <w:rPr>
          <w:rFonts w:ascii="Calibri" w:hAnsi="Calibri"/>
          <w:lang w:val="en-GB"/>
        </w:rPr>
        <w:t>government.</w:t>
      </w:r>
      <w:r w:rsidR="008C2F23" w:rsidRPr="00FF6C49">
        <w:rPr>
          <w:rFonts w:ascii="Calibri" w:hAnsi="Calibri"/>
          <w:lang w:val="en-GB"/>
        </w:rPr>
        <w:t xml:space="preserve"> I.e., I wished to research what people thought about the people in Paris versus those in Beirut, and how they acted in that regard.</w:t>
      </w:r>
      <w:r w:rsidRPr="00173294">
        <w:rPr>
          <w:rFonts w:ascii="Calibri" w:hAnsi="Calibri"/>
          <w:lang w:val="en-GB"/>
        </w:rPr>
        <w:t xml:space="preserve"> </w:t>
      </w:r>
      <w:r>
        <w:rPr>
          <w:rFonts w:ascii="Calibri" w:hAnsi="Calibri"/>
          <w:lang w:val="en-GB"/>
        </w:rPr>
        <w:t xml:space="preserve">Although social media do tie in with this desire, they mostly provided critiques aimed at the reactions and </w:t>
      </w:r>
      <w:r w:rsidR="00FF6C49">
        <w:rPr>
          <w:rFonts w:ascii="Calibri" w:hAnsi="Calibri"/>
          <w:lang w:val="en-GB"/>
        </w:rPr>
        <w:t>news coverage of the events. M</w:t>
      </w:r>
      <w:r>
        <w:rPr>
          <w:rFonts w:ascii="Calibri" w:hAnsi="Calibri"/>
          <w:lang w:val="en-GB"/>
        </w:rPr>
        <w:t xml:space="preserve">y intent was to research whether these critiques are valid, </w:t>
      </w:r>
      <w:r w:rsidR="009A2A5B">
        <w:rPr>
          <w:rFonts w:ascii="Calibri" w:hAnsi="Calibri"/>
          <w:lang w:val="en-GB"/>
        </w:rPr>
        <w:t xml:space="preserve">making </w:t>
      </w:r>
      <w:r>
        <w:rPr>
          <w:rFonts w:ascii="Calibri" w:hAnsi="Calibri"/>
          <w:lang w:val="en-GB"/>
        </w:rPr>
        <w:t xml:space="preserve">it necessary to move to the source. Hence my choice for news outlets. </w:t>
      </w:r>
      <w:r w:rsidR="008C2F23">
        <w:rPr>
          <w:rFonts w:ascii="Calibri" w:hAnsi="Calibri"/>
          <w:lang w:val="en-GB"/>
        </w:rPr>
        <w:t>Most n</w:t>
      </w:r>
      <w:r>
        <w:rPr>
          <w:rFonts w:ascii="Calibri" w:hAnsi="Calibri"/>
          <w:lang w:val="en-GB"/>
        </w:rPr>
        <w:t xml:space="preserve">ews outlets are created </w:t>
      </w:r>
      <w:r w:rsidR="008C2F23">
        <w:rPr>
          <w:rFonts w:ascii="Calibri" w:hAnsi="Calibri"/>
          <w:lang w:val="en-GB"/>
        </w:rPr>
        <w:t xml:space="preserve">for a large part of </w:t>
      </w:r>
      <w:r>
        <w:rPr>
          <w:rFonts w:ascii="Calibri" w:hAnsi="Calibri"/>
          <w:lang w:val="en-GB"/>
        </w:rPr>
        <w:t>the general population</w:t>
      </w:r>
      <w:r w:rsidR="008C2F23">
        <w:rPr>
          <w:rFonts w:ascii="Calibri" w:hAnsi="Calibri"/>
          <w:lang w:val="en-GB"/>
        </w:rPr>
        <w:t xml:space="preserve">, as well as by </w:t>
      </w:r>
      <w:r w:rsidR="009A2A5B">
        <w:rPr>
          <w:rFonts w:ascii="Calibri" w:hAnsi="Calibri"/>
          <w:lang w:val="en-GB"/>
        </w:rPr>
        <w:t xml:space="preserve">those who are part of </w:t>
      </w:r>
      <w:r w:rsidR="008C2F23">
        <w:rPr>
          <w:rFonts w:ascii="Calibri" w:hAnsi="Calibri"/>
          <w:lang w:val="en-GB"/>
        </w:rPr>
        <w:t>the general population. Furthermore, they</w:t>
      </w:r>
      <w:r>
        <w:rPr>
          <w:rFonts w:ascii="Calibri" w:hAnsi="Calibri"/>
          <w:lang w:val="en-GB"/>
        </w:rPr>
        <w:t xml:space="preserve"> are </w:t>
      </w:r>
      <w:r w:rsidRPr="009A2A5B">
        <w:rPr>
          <w:rFonts w:ascii="Calibri" w:hAnsi="Calibri"/>
          <w:lang w:val="en-GB"/>
        </w:rPr>
        <w:t xml:space="preserve">one of the types of knowledge that people are </w:t>
      </w:r>
      <w:r w:rsidR="008C2F23" w:rsidRPr="009A2A5B">
        <w:rPr>
          <w:rFonts w:ascii="Calibri" w:hAnsi="Calibri"/>
          <w:lang w:val="en-GB"/>
        </w:rPr>
        <w:t xml:space="preserve">most </w:t>
      </w:r>
      <w:r w:rsidRPr="009A2A5B">
        <w:rPr>
          <w:rFonts w:ascii="Calibri" w:hAnsi="Calibri"/>
          <w:lang w:val="en-GB"/>
        </w:rPr>
        <w:t>commonly exposed to</w:t>
      </w:r>
      <w:r w:rsidR="008C2F23" w:rsidRPr="009A2A5B">
        <w:rPr>
          <w:rFonts w:ascii="Calibri" w:hAnsi="Calibri"/>
          <w:lang w:val="en-GB"/>
        </w:rPr>
        <w:t xml:space="preserve">, </w:t>
      </w:r>
      <w:r w:rsidR="00097C59" w:rsidRPr="009A2A5B">
        <w:rPr>
          <w:rFonts w:ascii="Calibri" w:hAnsi="Calibri"/>
          <w:lang w:val="en-GB"/>
        </w:rPr>
        <w:t>and are hence major opinion</w:t>
      </w:r>
      <w:r w:rsidR="009A2A5B" w:rsidRPr="009A2A5B">
        <w:rPr>
          <w:rFonts w:ascii="Calibri" w:hAnsi="Calibri"/>
          <w:lang w:val="en-GB"/>
        </w:rPr>
        <w:t xml:space="preserve"> </w:t>
      </w:r>
      <w:r w:rsidR="00097C59" w:rsidRPr="009A2A5B">
        <w:rPr>
          <w:rFonts w:ascii="Calibri" w:hAnsi="Calibri"/>
          <w:lang w:val="en-GB"/>
        </w:rPr>
        <w:t>maker</w:t>
      </w:r>
      <w:r w:rsidR="009A2A5B" w:rsidRPr="009A2A5B">
        <w:rPr>
          <w:rFonts w:ascii="Calibri" w:hAnsi="Calibri"/>
          <w:lang w:val="en-GB"/>
        </w:rPr>
        <w:t>s</w:t>
      </w:r>
      <w:r w:rsidRPr="009A2A5B">
        <w:rPr>
          <w:rFonts w:ascii="Calibri" w:hAnsi="Calibri"/>
          <w:lang w:val="en-GB"/>
        </w:rPr>
        <w:t>. Therefore, they reflect and produce power relations that are present in society. Moreover, news outlets</w:t>
      </w:r>
      <w:r>
        <w:rPr>
          <w:rFonts w:ascii="Calibri" w:hAnsi="Calibri"/>
          <w:lang w:val="en-GB"/>
        </w:rPr>
        <w:t xml:space="preserve"> described the people involved in the Beirut and Paris attacks, </w:t>
      </w:r>
      <w:r w:rsidR="009A2A5B">
        <w:rPr>
          <w:rFonts w:ascii="Calibri" w:hAnsi="Calibri"/>
          <w:lang w:val="en-GB"/>
        </w:rPr>
        <w:t>instead of</w:t>
      </w:r>
      <w:r>
        <w:rPr>
          <w:rFonts w:ascii="Calibri" w:hAnsi="Calibri"/>
          <w:lang w:val="en-GB"/>
        </w:rPr>
        <w:t xml:space="preserve"> merely provid</w:t>
      </w:r>
      <w:r w:rsidR="009A2A5B">
        <w:rPr>
          <w:rFonts w:ascii="Calibri" w:hAnsi="Calibri"/>
          <w:lang w:val="en-GB"/>
        </w:rPr>
        <w:t>ing</w:t>
      </w:r>
      <w:r>
        <w:rPr>
          <w:rFonts w:ascii="Calibri" w:hAnsi="Calibri"/>
          <w:lang w:val="en-GB"/>
        </w:rPr>
        <w:t xml:space="preserve"> a critique of this description. The second step was to decide on a particular type of news outlet</w:t>
      </w:r>
      <w:r w:rsidRPr="00173294">
        <w:rPr>
          <w:rFonts w:ascii="Calibri" w:hAnsi="Calibri"/>
          <w:lang w:val="en-GB"/>
        </w:rPr>
        <w:t xml:space="preserve">. </w:t>
      </w:r>
      <w:r>
        <w:rPr>
          <w:rFonts w:ascii="Calibri" w:hAnsi="Calibri"/>
          <w:lang w:val="en-GB"/>
        </w:rPr>
        <w:t>I selected online newspapers: these</w:t>
      </w:r>
      <w:r w:rsidRPr="00173294">
        <w:rPr>
          <w:rFonts w:ascii="Calibri" w:hAnsi="Calibri"/>
          <w:lang w:val="en-GB"/>
        </w:rPr>
        <w:t xml:space="preserve"> were among the first to react to both events, are usually considered to relatively objective and independent</w:t>
      </w:r>
      <w:r>
        <w:rPr>
          <w:rFonts w:ascii="Calibri" w:hAnsi="Calibri"/>
          <w:lang w:val="en-GB"/>
        </w:rPr>
        <w:t>, and are widely accessible for all those with internet</w:t>
      </w:r>
      <w:r w:rsidRPr="00173294">
        <w:rPr>
          <w:rFonts w:ascii="Calibri" w:hAnsi="Calibri"/>
          <w:lang w:val="en-GB"/>
        </w:rPr>
        <w:t xml:space="preserve">. The choice for newspapers instead of newscasters was </w:t>
      </w:r>
      <w:r>
        <w:rPr>
          <w:rFonts w:ascii="Calibri" w:hAnsi="Calibri"/>
          <w:lang w:val="en-GB"/>
        </w:rPr>
        <w:t>in part</w:t>
      </w:r>
      <w:r w:rsidRPr="00173294">
        <w:rPr>
          <w:rFonts w:ascii="Calibri" w:hAnsi="Calibri"/>
          <w:lang w:val="en-GB"/>
        </w:rPr>
        <w:t xml:space="preserve"> a practical choice. In my research I investigate the difference in coverage, and mostly the difference in descriptions. Having a text to analyse instead of a radio or television broadcast that first has to be transcribed </w:t>
      </w:r>
      <w:r>
        <w:rPr>
          <w:rFonts w:ascii="Calibri" w:hAnsi="Calibri"/>
          <w:lang w:val="en-GB"/>
        </w:rPr>
        <w:t xml:space="preserve">before it can be analysed </w:t>
      </w:r>
      <w:r w:rsidRPr="00173294">
        <w:rPr>
          <w:rFonts w:ascii="Calibri" w:hAnsi="Calibri"/>
          <w:lang w:val="en-GB"/>
        </w:rPr>
        <w:t xml:space="preserve">is </w:t>
      </w:r>
      <w:r>
        <w:rPr>
          <w:rFonts w:ascii="Calibri" w:hAnsi="Calibri"/>
          <w:lang w:val="en-GB"/>
        </w:rPr>
        <w:t xml:space="preserve">simply </w:t>
      </w:r>
      <w:r w:rsidRPr="00173294">
        <w:rPr>
          <w:rFonts w:ascii="Calibri" w:hAnsi="Calibri"/>
          <w:lang w:val="en-GB"/>
        </w:rPr>
        <w:t xml:space="preserve">more efficient. </w:t>
      </w:r>
      <w:r>
        <w:rPr>
          <w:rFonts w:ascii="Calibri" w:hAnsi="Calibri"/>
          <w:lang w:val="en-GB"/>
        </w:rPr>
        <w:t>Besides this practical feature</w:t>
      </w:r>
      <w:r w:rsidRPr="00173294">
        <w:rPr>
          <w:rFonts w:ascii="Calibri" w:hAnsi="Calibri"/>
          <w:lang w:val="en-GB"/>
        </w:rPr>
        <w:t xml:space="preserve">, there is often more information in articles than in radio or television news, since these latter channels discuss all major news events in a time span of three to eight minutes. In contrast, the same time may be used to read a </w:t>
      </w:r>
      <w:r>
        <w:rPr>
          <w:rFonts w:ascii="Calibri" w:hAnsi="Calibri"/>
          <w:lang w:val="en-GB"/>
        </w:rPr>
        <w:t xml:space="preserve">single </w:t>
      </w:r>
      <w:r w:rsidRPr="00173294">
        <w:rPr>
          <w:rFonts w:ascii="Calibri" w:hAnsi="Calibri"/>
          <w:lang w:val="en-GB"/>
        </w:rPr>
        <w:t xml:space="preserve">newspaper article. Articles thus are more likely to </w:t>
      </w:r>
      <w:r>
        <w:rPr>
          <w:rFonts w:ascii="Calibri" w:hAnsi="Calibri"/>
          <w:lang w:val="en-GB"/>
        </w:rPr>
        <w:t>have extra information regarding the descriptions. Last</w:t>
      </w:r>
      <w:r w:rsidRPr="00173294">
        <w:rPr>
          <w:rFonts w:ascii="Calibri" w:hAnsi="Calibri"/>
          <w:lang w:val="en-GB"/>
        </w:rPr>
        <w:t xml:space="preserve"> was </w:t>
      </w:r>
      <w:r>
        <w:rPr>
          <w:rFonts w:ascii="Calibri" w:hAnsi="Calibri"/>
          <w:lang w:val="en-GB"/>
        </w:rPr>
        <w:t>the choice for a</w:t>
      </w:r>
      <w:r w:rsidRPr="00173294">
        <w:rPr>
          <w:rFonts w:ascii="Calibri" w:hAnsi="Calibri"/>
          <w:lang w:val="en-GB"/>
        </w:rPr>
        <w:t xml:space="preserve"> particular </w:t>
      </w:r>
      <w:r>
        <w:rPr>
          <w:rFonts w:ascii="Calibri" w:hAnsi="Calibri"/>
          <w:lang w:val="en-GB"/>
        </w:rPr>
        <w:t xml:space="preserve">online </w:t>
      </w:r>
      <w:r w:rsidRPr="00173294">
        <w:rPr>
          <w:rFonts w:ascii="Calibri" w:hAnsi="Calibri"/>
          <w:lang w:val="en-GB"/>
        </w:rPr>
        <w:t xml:space="preserve">newspaper. The Guardian </w:t>
      </w:r>
      <w:r w:rsidR="00DA70E5">
        <w:rPr>
          <w:rFonts w:ascii="Calibri" w:hAnsi="Calibri"/>
          <w:lang w:val="en-GB"/>
        </w:rPr>
        <w:t>was</w:t>
      </w:r>
      <w:r w:rsidRPr="00173294">
        <w:rPr>
          <w:rFonts w:ascii="Calibri" w:hAnsi="Calibri"/>
          <w:lang w:val="en-GB"/>
        </w:rPr>
        <w:t xml:space="preserve"> </w:t>
      </w:r>
      <w:r w:rsidR="00DA70E5">
        <w:rPr>
          <w:rFonts w:ascii="Calibri" w:hAnsi="Calibri"/>
          <w:lang w:val="en-GB"/>
        </w:rPr>
        <w:t xml:space="preserve">internationally </w:t>
      </w:r>
      <w:r w:rsidRPr="00173294">
        <w:rPr>
          <w:rFonts w:ascii="Calibri" w:hAnsi="Calibri"/>
          <w:lang w:val="en-GB"/>
        </w:rPr>
        <w:t xml:space="preserve">the </w:t>
      </w:r>
      <w:r w:rsidR="00DA70E5">
        <w:rPr>
          <w:rFonts w:ascii="Calibri" w:hAnsi="Calibri"/>
          <w:lang w:val="en-GB"/>
        </w:rPr>
        <w:t>third</w:t>
      </w:r>
      <w:r w:rsidRPr="00173294">
        <w:rPr>
          <w:rFonts w:ascii="Calibri" w:hAnsi="Calibri"/>
          <w:lang w:val="en-GB"/>
        </w:rPr>
        <w:t xml:space="preserve"> most-read English language newspaper</w:t>
      </w:r>
      <w:r w:rsidR="00DA70E5">
        <w:rPr>
          <w:rFonts w:ascii="Calibri" w:hAnsi="Calibri"/>
          <w:lang w:val="en-GB"/>
        </w:rPr>
        <w:t xml:space="preserve"> in 2012, taking the second place in October 2014, and overall having the second place in the United Kingdom (Radwanick, 2012; Sweney, 2014; “Guardian key stats”, 2016)</w:t>
      </w:r>
      <w:r w:rsidRPr="00173294">
        <w:rPr>
          <w:rFonts w:ascii="Calibri" w:hAnsi="Calibri"/>
          <w:lang w:val="en-GB"/>
        </w:rPr>
        <w:t xml:space="preserve">. </w:t>
      </w:r>
      <w:r w:rsidR="00DA70E5">
        <w:rPr>
          <w:rFonts w:ascii="Calibri" w:hAnsi="Calibri"/>
          <w:lang w:val="en-GB"/>
        </w:rPr>
        <w:t>First in the list is the Daily Mail,</w:t>
      </w:r>
      <w:r w:rsidRPr="00173294">
        <w:rPr>
          <w:rFonts w:ascii="Calibri" w:hAnsi="Calibri"/>
          <w:lang w:val="en-GB"/>
        </w:rPr>
        <w:t xml:space="preserve"> but since this is a tabloid newspaper</w:t>
      </w:r>
      <w:r w:rsidR="009A2A5B">
        <w:rPr>
          <w:rFonts w:ascii="Calibri" w:hAnsi="Calibri"/>
          <w:lang w:val="en-GB"/>
        </w:rPr>
        <w:t xml:space="preserve"> – focusing on sensational stories –</w:t>
      </w:r>
      <w:r w:rsidRPr="00173294">
        <w:rPr>
          <w:rFonts w:ascii="Calibri" w:hAnsi="Calibri"/>
          <w:lang w:val="en-GB"/>
        </w:rPr>
        <w:t xml:space="preserve"> it is usually c</w:t>
      </w:r>
      <w:r w:rsidR="00097C59">
        <w:rPr>
          <w:rFonts w:ascii="Calibri" w:hAnsi="Calibri"/>
          <w:lang w:val="en-GB"/>
        </w:rPr>
        <w:t>onsidered to be less objective</w:t>
      </w:r>
      <w:r w:rsidR="00707CE8">
        <w:rPr>
          <w:rFonts w:ascii="Calibri" w:hAnsi="Calibri"/>
          <w:lang w:val="en-GB"/>
        </w:rPr>
        <w:t xml:space="preserve"> </w:t>
      </w:r>
      <w:r w:rsidR="00DA70E5">
        <w:rPr>
          <w:rFonts w:ascii="Calibri" w:hAnsi="Calibri"/>
          <w:lang w:val="en-GB"/>
        </w:rPr>
        <w:t>(Radwanick, 2012; “Guardian key stats”, 2016)</w:t>
      </w:r>
      <w:r w:rsidR="00097C59">
        <w:rPr>
          <w:rFonts w:ascii="Calibri" w:hAnsi="Calibri"/>
          <w:lang w:val="en-GB"/>
        </w:rPr>
        <w:t xml:space="preserve">. </w:t>
      </w:r>
      <w:r w:rsidR="00707CE8">
        <w:rPr>
          <w:rFonts w:ascii="Calibri" w:hAnsi="Calibri"/>
          <w:lang w:val="en-GB"/>
        </w:rPr>
        <w:t xml:space="preserve">The more objective or neutral a paper claims to be, the more it should use similar language for similar events. By researching a newspaper that claims to be objective – such as the Guardian –, any differences in coverage will be more significant. </w:t>
      </w:r>
      <w:r>
        <w:rPr>
          <w:rFonts w:ascii="Calibri" w:hAnsi="Calibri"/>
          <w:lang w:val="en-GB"/>
        </w:rPr>
        <w:t>Moreover, a</w:t>
      </w:r>
      <w:r w:rsidRPr="00173294">
        <w:rPr>
          <w:rFonts w:ascii="Calibri" w:hAnsi="Calibri"/>
          <w:lang w:val="en-GB"/>
        </w:rPr>
        <w:t xml:space="preserve">ll articles of the Guardian can be read online for free and without registration, increasing its accessibility. </w:t>
      </w:r>
      <w:r>
        <w:rPr>
          <w:rFonts w:ascii="Calibri" w:hAnsi="Calibri"/>
          <w:lang w:val="en-GB"/>
        </w:rPr>
        <w:t>Additionally</w:t>
      </w:r>
      <w:r w:rsidRPr="00173294">
        <w:rPr>
          <w:rFonts w:ascii="Calibri" w:hAnsi="Calibri"/>
          <w:lang w:val="en-GB"/>
        </w:rPr>
        <w:t xml:space="preserve">, </w:t>
      </w:r>
      <w:r w:rsidR="00E51348">
        <w:rPr>
          <w:rFonts w:ascii="Calibri" w:hAnsi="Calibri"/>
          <w:lang w:val="en-GB"/>
        </w:rPr>
        <w:t>while being based in Europe</w:t>
      </w:r>
      <w:r w:rsidR="00E51348" w:rsidRPr="00173294">
        <w:rPr>
          <w:rFonts w:ascii="Calibri" w:hAnsi="Calibri"/>
          <w:lang w:val="en-GB"/>
        </w:rPr>
        <w:t xml:space="preserve"> </w:t>
      </w:r>
      <w:r w:rsidRPr="00173294">
        <w:rPr>
          <w:rFonts w:ascii="Calibri" w:hAnsi="Calibri"/>
          <w:lang w:val="en-GB"/>
        </w:rPr>
        <w:t xml:space="preserve">it is an international newspaper, with four editions: </w:t>
      </w:r>
      <w:r w:rsidR="00E51348">
        <w:rPr>
          <w:rFonts w:ascii="Calibri" w:hAnsi="Calibri"/>
          <w:lang w:val="en-GB"/>
        </w:rPr>
        <w:t>for the United Kingdom, the United Stated, Australia, as well as an international edition</w:t>
      </w:r>
      <w:r w:rsidR="00DA70E5">
        <w:rPr>
          <w:rFonts w:ascii="Calibri" w:hAnsi="Calibri"/>
          <w:lang w:val="en-GB"/>
        </w:rPr>
        <w:t xml:space="preserve">. </w:t>
      </w:r>
      <w:r w:rsidR="00DA491E">
        <w:rPr>
          <w:rFonts w:ascii="Calibri" w:hAnsi="Calibri"/>
          <w:lang w:val="en-GB"/>
        </w:rPr>
        <w:t>Moreover, in November 2015</w:t>
      </w:r>
      <w:r w:rsidR="00DA70E5">
        <w:rPr>
          <w:rFonts w:ascii="Calibri" w:hAnsi="Calibri"/>
          <w:lang w:val="en-GB"/>
        </w:rPr>
        <w:t xml:space="preserve"> the Guardian reported record digital traffic, having 158,511,243 monthly unique visitors, which is even higher than the current</w:t>
      </w:r>
      <w:r w:rsidR="00DA491E">
        <w:rPr>
          <w:rFonts w:ascii="Calibri" w:hAnsi="Calibri"/>
          <w:lang w:val="en-GB"/>
        </w:rPr>
        <w:t xml:space="preserve"> 78.1</w:t>
      </w:r>
      <w:r w:rsidR="00DA70E5">
        <w:rPr>
          <w:rFonts w:ascii="Calibri" w:hAnsi="Calibri"/>
          <w:lang w:val="en-GB"/>
        </w:rPr>
        <w:t xml:space="preserve"> million monthly unique visitors of the New York Times (GNM press office, 2015; The New York Times Media Kit, 2016). </w:t>
      </w:r>
      <w:r w:rsidR="00521E98">
        <w:rPr>
          <w:rFonts w:ascii="Calibri" w:hAnsi="Calibri"/>
          <w:lang w:val="en-GB"/>
        </w:rPr>
        <w:t xml:space="preserve">With more than 150 million visitors, the Guardian thus had one of the largest newspaper audiences in the </w:t>
      </w:r>
      <w:r w:rsidR="00E51348">
        <w:rPr>
          <w:rFonts w:ascii="Calibri" w:hAnsi="Calibri"/>
          <w:lang w:val="en-GB"/>
        </w:rPr>
        <w:t xml:space="preserve">beginning of the </w:t>
      </w:r>
      <w:r w:rsidR="00521E98">
        <w:rPr>
          <w:rFonts w:ascii="Calibri" w:hAnsi="Calibri"/>
          <w:lang w:val="en-GB"/>
        </w:rPr>
        <w:t>period that I research</w:t>
      </w:r>
      <w:r w:rsidR="00E51348">
        <w:rPr>
          <w:rFonts w:ascii="Calibri" w:hAnsi="Calibri"/>
          <w:lang w:val="en-GB"/>
        </w:rPr>
        <w:t>ed</w:t>
      </w:r>
      <w:r w:rsidR="00521E98">
        <w:rPr>
          <w:rFonts w:ascii="Calibri" w:hAnsi="Calibri"/>
          <w:lang w:val="en-GB"/>
        </w:rPr>
        <w:t>.</w:t>
      </w:r>
    </w:p>
    <w:p w14:paraId="23A5A67C" w14:textId="6003BB79" w:rsidR="00B549D5" w:rsidRPr="00173294" w:rsidRDefault="00B549D5" w:rsidP="00E52F0F">
      <w:pPr>
        <w:pStyle w:val="Normal1"/>
        <w:spacing w:after="0" w:line="360" w:lineRule="auto"/>
        <w:ind w:firstLine="709"/>
        <w:jc w:val="both"/>
        <w:rPr>
          <w:rFonts w:ascii="Calibri" w:hAnsi="Calibri"/>
          <w:lang w:val="en-GB"/>
        </w:rPr>
      </w:pPr>
      <w:r w:rsidRPr="00173294">
        <w:rPr>
          <w:rFonts w:ascii="Calibri" w:hAnsi="Calibri"/>
          <w:lang w:val="en-GB"/>
        </w:rPr>
        <w:t>T</w:t>
      </w:r>
      <w:r>
        <w:rPr>
          <w:rFonts w:ascii="Calibri" w:hAnsi="Calibri"/>
          <w:lang w:val="en-GB"/>
        </w:rPr>
        <w:t>he last point concerns</w:t>
      </w:r>
      <w:r w:rsidRPr="00173294">
        <w:rPr>
          <w:rFonts w:ascii="Calibri" w:hAnsi="Calibri"/>
          <w:lang w:val="en-GB"/>
        </w:rPr>
        <w:t xml:space="preserve"> the focus on the </w:t>
      </w:r>
      <w:r w:rsidR="00E51348">
        <w:rPr>
          <w:rFonts w:ascii="Calibri" w:hAnsi="Calibri"/>
          <w:lang w:val="en-GB"/>
        </w:rPr>
        <w:t>victims, witnesses, and their relatives</w:t>
      </w:r>
      <w:r w:rsidRPr="00173294">
        <w:rPr>
          <w:rFonts w:ascii="Calibri" w:hAnsi="Calibri"/>
          <w:lang w:val="en-GB"/>
        </w:rPr>
        <w:t xml:space="preserve"> involved in the attacks. Why would I research the descriptions of the people instead of the attack? Why would this tell me more about the power relations than another </w:t>
      </w:r>
      <w:r>
        <w:rPr>
          <w:rFonts w:ascii="Calibri" w:hAnsi="Calibri"/>
          <w:lang w:val="en-GB"/>
        </w:rPr>
        <w:t>aspect</w:t>
      </w:r>
      <w:r w:rsidRPr="00173294">
        <w:rPr>
          <w:rFonts w:ascii="Calibri" w:hAnsi="Calibri"/>
          <w:lang w:val="en-GB"/>
        </w:rPr>
        <w:t xml:space="preserve">? There is a twofold reason for this. Firstly, people are </w:t>
      </w:r>
      <w:r w:rsidRPr="00173294">
        <w:rPr>
          <w:rFonts w:ascii="Calibri" w:hAnsi="Calibri"/>
          <w:lang w:val="en-GB"/>
        </w:rPr>
        <w:lastRenderedPageBreak/>
        <w:t>the basis and effect of power relations: power relations (as referred to in social science and humanities at least) are, in the end, always about human</w:t>
      </w:r>
      <w:r w:rsidRPr="00E51348">
        <w:rPr>
          <w:rFonts w:ascii="Calibri" w:hAnsi="Calibri"/>
          <w:lang w:val="en-GB"/>
        </w:rPr>
        <w:t>s.</w:t>
      </w:r>
      <w:r w:rsidRPr="00173294">
        <w:rPr>
          <w:rFonts w:ascii="Calibri" w:hAnsi="Calibri"/>
          <w:lang w:val="en-GB"/>
        </w:rPr>
        <w:t xml:space="preserve"> Secondly, the outcry on social media regarding the discrepancy in the coverage of the Beirut and Paris attacks concerned the value put on </w:t>
      </w:r>
      <w:r w:rsidR="00E51348">
        <w:rPr>
          <w:rFonts w:ascii="Calibri" w:hAnsi="Calibri"/>
          <w:lang w:val="en-GB"/>
        </w:rPr>
        <w:t xml:space="preserve">the </w:t>
      </w:r>
      <w:r w:rsidRPr="00173294">
        <w:rPr>
          <w:rFonts w:ascii="Calibri" w:hAnsi="Calibri"/>
          <w:lang w:val="en-GB"/>
        </w:rPr>
        <w:t>human lives</w:t>
      </w:r>
      <w:r w:rsidR="00E51348">
        <w:rPr>
          <w:rFonts w:ascii="Calibri" w:hAnsi="Calibri"/>
          <w:lang w:val="en-GB"/>
        </w:rPr>
        <w:t xml:space="preserve"> involuntarily affected</w:t>
      </w:r>
      <w:r w:rsidRPr="00173294">
        <w:rPr>
          <w:rFonts w:ascii="Calibri" w:hAnsi="Calibri"/>
          <w:lang w:val="en-GB"/>
        </w:rPr>
        <w:t xml:space="preserve">, not the value put on the attacks. Therefore, researching the people </w:t>
      </w:r>
      <w:r w:rsidR="00E51348">
        <w:rPr>
          <w:rFonts w:ascii="Calibri" w:hAnsi="Calibri"/>
          <w:lang w:val="en-GB"/>
        </w:rPr>
        <w:t>involuntary affected by</w:t>
      </w:r>
      <w:r w:rsidRPr="00173294">
        <w:rPr>
          <w:rFonts w:ascii="Calibri" w:hAnsi="Calibri"/>
          <w:lang w:val="en-GB"/>
        </w:rPr>
        <w:t xml:space="preserve"> the attacks is the most direct way of investigating the power relations reflected in the articles.</w:t>
      </w:r>
    </w:p>
    <w:p w14:paraId="24F0B5B2" w14:textId="3C9864AB" w:rsidR="00B549D5" w:rsidRDefault="00B549D5" w:rsidP="00E52F0F">
      <w:pPr>
        <w:pStyle w:val="Normal1"/>
        <w:spacing w:after="0" w:line="360" w:lineRule="auto"/>
        <w:ind w:firstLine="709"/>
        <w:jc w:val="both"/>
        <w:rPr>
          <w:rFonts w:ascii="Calibri" w:hAnsi="Calibri"/>
          <w:lang w:val="en-GB"/>
        </w:rPr>
      </w:pPr>
      <w:r>
        <w:rPr>
          <w:rFonts w:ascii="Calibri" w:hAnsi="Calibri"/>
          <w:lang w:val="en-GB"/>
        </w:rPr>
        <w:t xml:space="preserve">However, just having a research question does not bring this study any further. </w:t>
      </w:r>
      <w:r w:rsidRPr="000562CA">
        <w:rPr>
          <w:rFonts w:ascii="Calibri" w:hAnsi="Calibri"/>
          <w:lang w:val="en-GB"/>
        </w:rPr>
        <w:t>For what are these power relations? How are they connected to information such as that produced by the Guar</w:t>
      </w:r>
      <w:r w:rsidR="00D029BF">
        <w:rPr>
          <w:rFonts w:ascii="Calibri" w:hAnsi="Calibri"/>
          <w:lang w:val="en-GB"/>
        </w:rPr>
        <w:t xml:space="preserve">dian? And </w:t>
      </w:r>
      <w:r w:rsidR="00185338">
        <w:rPr>
          <w:rFonts w:ascii="Calibri" w:hAnsi="Calibri"/>
          <w:lang w:val="en-GB"/>
        </w:rPr>
        <w:t>how</w:t>
      </w:r>
      <w:r w:rsidR="00D029BF">
        <w:rPr>
          <w:rFonts w:ascii="Calibri" w:hAnsi="Calibri"/>
          <w:lang w:val="en-GB"/>
        </w:rPr>
        <w:t xml:space="preserve"> are these victims, witnesses</w:t>
      </w:r>
      <w:r w:rsidR="00185338">
        <w:rPr>
          <w:rFonts w:ascii="Calibri" w:hAnsi="Calibri"/>
          <w:lang w:val="en-GB"/>
        </w:rPr>
        <w:t>, and relatives</w:t>
      </w:r>
      <w:r w:rsidR="00D029BF">
        <w:rPr>
          <w:rFonts w:ascii="Calibri" w:hAnsi="Calibri"/>
          <w:lang w:val="en-GB"/>
        </w:rPr>
        <w:t xml:space="preserve"> </w:t>
      </w:r>
      <w:r w:rsidRPr="000562CA">
        <w:rPr>
          <w:rFonts w:ascii="Calibri" w:hAnsi="Calibri"/>
          <w:lang w:val="en-GB"/>
        </w:rPr>
        <w:t>I am talking about</w:t>
      </w:r>
      <w:r w:rsidR="00185338">
        <w:rPr>
          <w:rFonts w:ascii="Calibri" w:hAnsi="Calibri"/>
          <w:lang w:val="en-GB"/>
        </w:rPr>
        <w:t xml:space="preserve"> described</w:t>
      </w:r>
      <w:r w:rsidRPr="000562CA">
        <w:rPr>
          <w:rFonts w:ascii="Calibri" w:hAnsi="Calibri"/>
          <w:lang w:val="en-GB"/>
        </w:rPr>
        <w:t>?</w:t>
      </w:r>
      <w:r w:rsidR="00006D3D">
        <w:rPr>
          <w:rFonts w:ascii="Calibri" w:hAnsi="Calibri"/>
          <w:lang w:val="en-GB"/>
        </w:rPr>
        <w:t xml:space="preserve"> These inquiries are the sub-</w:t>
      </w:r>
      <w:r>
        <w:rPr>
          <w:rFonts w:ascii="Calibri" w:hAnsi="Calibri"/>
          <w:lang w:val="en-GB"/>
        </w:rPr>
        <w:t xml:space="preserve">questions of my thesis. The answers to the former two are based on Michel Foucault’s power theory. Foucault is a </w:t>
      </w:r>
      <w:r w:rsidRPr="00173294">
        <w:rPr>
          <w:rFonts w:ascii="Calibri" w:hAnsi="Calibri"/>
          <w:lang w:val="en-GB"/>
        </w:rPr>
        <w:t xml:space="preserve">late French historian and philosopher who wrote on power, knowledge, and the subject. Not only did he have a great influence in a wide range of social scientific and humanistic disciplines during his life, this influence continued after his death in 1984. He wrote on the connection between language and power, on the history of punishment and imprisonment, on the history of madness and medicine, and on sexuality in previous and modern ages, besides writing an astonishing amount of essays connected with </w:t>
      </w:r>
      <w:r>
        <w:rPr>
          <w:rFonts w:ascii="Calibri" w:hAnsi="Calibri"/>
          <w:lang w:val="en-GB"/>
        </w:rPr>
        <w:t>all t</w:t>
      </w:r>
      <w:r w:rsidRPr="00173294">
        <w:rPr>
          <w:rFonts w:ascii="Calibri" w:hAnsi="Calibri"/>
          <w:lang w:val="en-GB"/>
        </w:rPr>
        <w:t>his work.</w:t>
      </w:r>
      <w:r>
        <w:rPr>
          <w:rFonts w:ascii="Calibri" w:hAnsi="Calibri"/>
          <w:lang w:val="en-GB"/>
        </w:rPr>
        <w:t xml:space="preserve"> Moreover, throughout his publications</w:t>
      </w:r>
      <w:r w:rsidRPr="00173294">
        <w:rPr>
          <w:rFonts w:ascii="Calibri" w:hAnsi="Calibri"/>
          <w:lang w:val="en-GB"/>
        </w:rPr>
        <w:t xml:space="preserve"> he demonstrate</w:t>
      </w:r>
      <w:r>
        <w:rPr>
          <w:rFonts w:ascii="Calibri" w:hAnsi="Calibri"/>
          <w:lang w:val="en-GB"/>
        </w:rPr>
        <w:t>d</w:t>
      </w:r>
      <w:r w:rsidRPr="00173294">
        <w:rPr>
          <w:rFonts w:ascii="Calibri" w:hAnsi="Calibri"/>
          <w:lang w:val="en-GB"/>
        </w:rPr>
        <w:t xml:space="preserve"> how knowledge and power relations are interconnected, and how diffuse and complex these relations are. Furthermore, </w:t>
      </w:r>
      <w:r>
        <w:rPr>
          <w:rFonts w:ascii="Calibri" w:hAnsi="Calibri"/>
          <w:lang w:val="en-GB"/>
        </w:rPr>
        <w:t>Foucault</w:t>
      </w:r>
      <w:r w:rsidRPr="00173294">
        <w:rPr>
          <w:rFonts w:ascii="Calibri" w:hAnsi="Calibri"/>
          <w:lang w:val="en-GB"/>
        </w:rPr>
        <w:t xml:space="preserve"> explicitly focused on how people fitted in this framework of power relations. Due to the combination of these three areas – power, knowledge, and people – his work is extraordinarily useful as the theoretical framew</w:t>
      </w:r>
      <w:r>
        <w:rPr>
          <w:rFonts w:ascii="Calibri" w:hAnsi="Calibri"/>
          <w:lang w:val="en-GB"/>
        </w:rPr>
        <w:t>ork for this study. Alt</w:t>
      </w:r>
      <w:r w:rsidRPr="00173294">
        <w:rPr>
          <w:rFonts w:ascii="Calibri" w:hAnsi="Calibri"/>
          <w:lang w:val="en-GB"/>
        </w:rPr>
        <w:t xml:space="preserve">hough there are many other theories on power, none are as suited to this project as the one of Foucault. In chapter two I explain why this is the case by providing a general overview of the other theories, and by showing what is missing in them that is necessary for this research, which is covered by Foucault. </w:t>
      </w:r>
      <w:r>
        <w:rPr>
          <w:rFonts w:ascii="Calibri" w:hAnsi="Calibri"/>
          <w:lang w:val="en-GB"/>
        </w:rPr>
        <w:t>In chapter three I</w:t>
      </w:r>
      <w:r w:rsidRPr="00173294">
        <w:rPr>
          <w:rFonts w:ascii="Calibri" w:hAnsi="Calibri"/>
          <w:lang w:val="en-GB"/>
        </w:rPr>
        <w:t xml:space="preserve"> explain the th</w:t>
      </w:r>
      <w:r>
        <w:rPr>
          <w:rFonts w:ascii="Calibri" w:hAnsi="Calibri"/>
          <w:lang w:val="en-GB"/>
        </w:rPr>
        <w:t xml:space="preserve">eory of Foucault himself, taking into account several critiques that he has received throughout the years. </w:t>
      </w:r>
    </w:p>
    <w:p w14:paraId="00995231" w14:textId="3D5AC455" w:rsidR="00B93FA9" w:rsidRPr="00840922" w:rsidRDefault="00006D3D" w:rsidP="00E52F0F">
      <w:pPr>
        <w:pStyle w:val="Normal1"/>
        <w:spacing w:after="0" w:line="360" w:lineRule="auto"/>
        <w:ind w:firstLine="709"/>
        <w:jc w:val="both"/>
        <w:rPr>
          <w:rFonts w:ascii="Calibri" w:hAnsi="Calibri"/>
          <w:lang w:val="en-GB"/>
        </w:rPr>
      </w:pPr>
      <w:r>
        <w:rPr>
          <w:rFonts w:ascii="Calibri" w:hAnsi="Calibri"/>
          <w:lang w:val="en-GB"/>
        </w:rPr>
        <w:t>With regard to the last sub-</w:t>
      </w:r>
      <w:r w:rsidR="00B549D5">
        <w:rPr>
          <w:rFonts w:ascii="Calibri" w:hAnsi="Calibri"/>
          <w:lang w:val="en-GB"/>
        </w:rPr>
        <w:t xml:space="preserve">question, </w:t>
      </w:r>
      <w:r w:rsidR="00185338">
        <w:rPr>
          <w:rFonts w:ascii="Calibri" w:hAnsi="Calibri"/>
          <w:lang w:val="en-GB"/>
        </w:rPr>
        <w:t>the</w:t>
      </w:r>
      <w:r w:rsidR="004417ED">
        <w:rPr>
          <w:rFonts w:ascii="Calibri" w:hAnsi="Calibri"/>
          <w:lang w:val="en-GB"/>
        </w:rPr>
        <w:t xml:space="preserve"> answer is provided in chapter five</w:t>
      </w:r>
      <w:r w:rsidR="00185338">
        <w:rPr>
          <w:rFonts w:ascii="Calibri" w:hAnsi="Calibri"/>
          <w:lang w:val="en-GB"/>
        </w:rPr>
        <w:t xml:space="preserve">, the results section. With victims, I means those who died or were injured during the attack. The witnesses thus experienced the attacks, but were not physically harmed. Relatives refer to the friends and family of the victims and witnesses. Besides analysing the description of these groups, I also examined the </w:t>
      </w:r>
      <w:r w:rsidR="00B549D5">
        <w:rPr>
          <w:rFonts w:ascii="Calibri" w:hAnsi="Calibri"/>
          <w:lang w:val="en-GB"/>
        </w:rPr>
        <w:t xml:space="preserve">information published about the place of and scene during and after the </w:t>
      </w:r>
      <w:r w:rsidR="00B549D5" w:rsidRPr="00840922">
        <w:rPr>
          <w:rFonts w:ascii="Calibri" w:hAnsi="Calibri"/>
          <w:lang w:val="en-GB"/>
        </w:rPr>
        <w:t>attack, because it may state some features of the people living in the neighbourhoods where the attac</w:t>
      </w:r>
      <w:r w:rsidR="00C42068" w:rsidRPr="00840922">
        <w:rPr>
          <w:rFonts w:ascii="Calibri" w:hAnsi="Calibri"/>
          <w:lang w:val="en-GB"/>
        </w:rPr>
        <w:t>ks took place</w:t>
      </w:r>
      <w:r w:rsidR="00185338" w:rsidRPr="00840922">
        <w:rPr>
          <w:rFonts w:ascii="Calibri" w:hAnsi="Calibri"/>
          <w:lang w:val="en-GB"/>
        </w:rPr>
        <w:t xml:space="preserve"> – which is likely to include the specific groups researched in this thesis. </w:t>
      </w:r>
      <w:r w:rsidR="002C682A" w:rsidRPr="00840922">
        <w:rPr>
          <w:rFonts w:ascii="Calibri" w:hAnsi="Calibri"/>
          <w:lang w:val="en-GB"/>
        </w:rPr>
        <w:t xml:space="preserve">I decided to not investigate the </w:t>
      </w:r>
      <w:r w:rsidR="00840922" w:rsidRPr="00840922">
        <w:rPr>
          <w:rFonts w:ascii="Calibri" w:hAnsi="Calibri"/>
          <w:lang w:val="en-GB"/>
        </w:rPr>
        <w:t>coverage of</w:t>
      </w:r>
      <w:r w:rsidR="002C682A" w:rsidRPr="00840922">
        <w:rPr>
          <w:rFonts w:ascii="Calibri" w:hAnsi="Calibri"/>
          <w:lang w:val="en-GB"/>
        </w:rPr>
        <w:t xml:space="preserve"> the attackers for </w:t>
      </w:r>
      <w:r w:rsidR="00840922" w:rsidRPr="00840922">
        <w:rPr>
          <w:rFonts w:ascii="Calibri" w:hAnsi="Calibri"/>
          <w:lang w:val="en-GB"/>
        </w:rPr>
        <w:t>two</w:t>
      </w:r>
      <w:r w:rsidR="002C682A" w:rsidRPr="00840922">
        <w:rPr>
          <w:rFonts w:ascii="Calibri" w:hAnsi="Calibri"/>
          <w:lang w:val="en-GB"/>
        </w:rPr>
        <w:t xml:space="preserve"> reasons. Firstly, social media</w:t>
      </w:r>
      <w:r w:rsidR="008B601F" w:rsidRPr="00840922">
        <w:rPr>
          <w:rFonts w:ascii="Calibri" w:hAnsi="Calibri"/>
          <w:lang w:val="en-GB"/>
        </w:rPr>
        <w:t xml:space="preserve"> users</w:t>
      </w:r>
      <w:r w:rsidR="002C682A" w:rsidRPr="00840922">
        <w:rPr>
          <w:rFonts w:ascii="Calibri" w:hAnsi="Calibri"/>
          <w:lang w:val="en-GB"/>
        </w:rPr>
        <w:t xml:space="preserve"> did not argue there was a difference in the descriptions of the attackers</w:t>
      </w:r>
      <w:r w:rsidR="00840922" w:rsidRPr="00840922">
        <w:rPr>
          <w:rFonts w:ascii="Calibri" w:hAnsi="Calibri"/>
          <w:lang w:val="en-GB"/>
        </w:rPr>
        <w:t xml:space="preserve"> in Beirut versus in Paris</w:t>
      </w:r>
      <w:r w:rsidR="002C682A" w:rsidRPr="00840922">
        <w:rPr>
          <w:rFonts w:ascii="Calibri" w:hAnsi="Calibri"/>
          <w:lang w:val="en-GB"/>
        </w:rPr>
        <w:t xml:space="preserve">. Secondly, the assailants are different from the victims, witnesses, and their relatives due to their – at least assumed – voluntary involvement. </w:t>
      </w:r>
      <w:r w:rsidR="008B601F" w:rsidRPr="00840922">
        <w:rPr>
          <w:rFonts w:ascii="Calibri" w:hAnsi="Calibri"/>
          <w:lang w:val="en-GB"/>
        </w:rPr>
        <w:t>This means that they are likely to be distinguished from those invo</w:t>
      </w:r>
      <w:r w:rsidR="00840922" w:rsidRPr="00840922">
        <w:rPr>
          <w:rFonts w:ascii="Calibri" w:hAnsi="Calibri"/>
          <w:lang w:val="en-GB"/>
        </w:rPr>
        <w:t>luntary affected by the attacks in the coverage, and are thus less likely to significantly influence the categorisation of the victims, witnesses, and their relatives. Moreover, whenever the attackers were connected to those involuntary affected by the attacks, it is included in my analysis</w:t>
      </w:r>
      <w:r w:rsidR="00840922">
        <w:rPr>
          <w:rFonts w:ascii="Calibri" w:hAnsi="Calibri"/>
          <w:lang w:val="en-GB"/>
        </w:rPr>
        <w:t xml:space="preserve"> of the latter.</w:t>
      </w:r>
    </w:p>
    <w:p w14:paraId="6E20BFA5" w14:textId="5E2AC8B1" w:rsidR="00C42068" w:rsidRDefault="00185338" w:rsidP="00E52F0F">
      <w:pPr>
        <w:pStyle w:val="Normal1"/>
        <w:spacing w:after="0" w:line="360" w:lineRule="auto"/>
        <w:ind w:firstLine="709"/>
        <w:jc w:val="both"/>
        <w:rPr>
          <w:rFonts w:ascii="Calibri" w:hAnsi="Calibri"/>
          <w:lang w:val="en-GB"/>
        </w:rPr>
      </w:pPr>
      <w:r w:rsidRPr="00840922">
        <w:rPr>
          <w:rFonts w:ascii="Calibri" w:hAnsi="Calibri"/>
          <w:lang w:val="en-GB"/>
        </w:rPr>
        <w:lastRenderedPageBreak/>
        <w:t>All in all, the research and</w:t>
      </w:r>
      <w:r w:rsidR="00006D3D">
        <w:rPr>
          <w:rFonts w:ascii="Calibri" w:hAnsi="Calibri"/>
          <w:lang w:val="en-GB"/>
        </w:rPr>
        <w:t xml:space="preserve"> sub-</w:t>
      </w:r>
      <w:r w:rsidR="00C42068" w:rsidRPr="00840922">
        <w:rPr>
          <w:rFonts w:ascii="Calibri" w:hAnsi="Calibri"/>
          <w:lang w:val="en-GB"/>
        </w:rPr>
        <w:t xml:space="preserve">questions thus connect </w:t>
      </w:r>
      <w:r w:rsidR="00664E3A" w:rsidRPr="00840922">
        <w:rPr>
          <w:rFonts w:ascii="Calibri" w:hAnsi="Calibri"/>
          <w:lang w:val="en-GB"/>
        </w:rPr>
        <w:t xml:space="preserve">Foucault with </w:t>
      </w:r>
      <w:r w:rsidR="00840922" w:rsidRPr="00840922">
        <w:rPr>
          <w:rFonts w:ascii="Calibri" w:hAnsi="Calibri"/>
          <w:lang w:val="en-GB"/>
        </w:rPr>
        <w:t xml:space="preserve">coverage of </w:t>
      </w:r>
      <w:r w:rsidR="00664E3A" w:rsidRPr="00840922">
        <w:rPr>
          <w:rFonts w:ascii="Calibri" w:hAnsi="Calibri"/>
          <w:lang w:val="en-GB"/>
        </w:rPr>
        <w:t>terror attacks</w:t>
      </w:r>
      <w:r w:rsidR="00840922" w:rsidRPr="00840922">
        <w:rPr>
          <w:rFonts w:ascii="Calibri" w:hAnsi="Calibri"/>
          <w:lang w:val="en-GB"/>
        </w:rPr>
        <w:t xml:space="preserve">, and thus with discourses – i.e. </w:t>
      </w:r>
      <w:r w:rsidR="00840922" w:rsidRPr="00840922">
        <w:rPr>
          <w:lang w:val="en-GB"/>
        </w:rPr>
        <w:t xml:space="preserve">systems of thoughts consisting of ideas, actions, practices, beliefs, and attitudes – on terror attacks. </w:t>
      </w:r>
      <w:r w:rsidR="00840922" w:rsidRPr="00840922">
        <w:rPr>
          <w:rFonts w:ascii="Calibri" w:hAnsi="Calibri"/>
          <w:lang w:val="en-GB"/>
        </w:rPr>
        <w:t xml:space="preserve"> </w:t>
      </w:r>
      <w:r w:rsidR="00C42068" w:rsidRPr="00840922">
        <w:rPr>
          <w:rFonts w:ascii="Calibri" w:hAnsi="Calibri"/>
          <w:lang w:val="en-GB"/>
        </w:rPr>
        <w:t>As such,</w:t>
      </w:r>
      <w:r w:rsidR="00664E3A" w:rsidRPr="00840922">
        <w:rPr>
          <w:rFonts w:ascii="Calibri" w:hAnsi="Calibri"/>
          <w:lang w:val="en-GB"/>
        </w:rPr>
        <w:t xml:space="preserve"> this thesis contributes to a relatively new field in academic theory</w:t>
      </w:r>
      <w:r w:rsidR="00E84703" w:rsidRPr="00840922">
        <w:rPr>
          <w:rFonts w:ascii="Calibri" w:hAnsi="Calibri"/>
          <w:lang w:val="en-GB"/>
        </w:rPr>
        <w:t>:</w:t>
      </w:r>
      <w:r w:rsidR="00664E3A" w:rsidRPr="00840922">
        <w:rPr>
          <w:rFonts w:ascii="Calibri" w:hAnsi="Calibri"/>
          <w:lang w:val="en-GB"/>
        </w:rPr>
        <w:t xml:space="preserve"> terror s</w:t>
      </w:r>
      <w:r w:rsidR="00FB74C3" w:rsidRPr="00840922">
        <w:rPr>
          <w:rFonts w:ascii="Calibri" w:hAnsi="Calibri"/>
          <w:lang w:val="en-GB"/>
        </w:rPr>
        <w:t>tudies. Since the</w:t>
      </w:r>
      <w:r w:rsidR="00E84703" w:rsidRPr="00840922">
        <w:rPr>
          <w:rFonts w:ascii="Calibri" w:hAnsi="Calibri"/>
          <w:lang w:val="en-GB"/>
        </w:rPr>
        <w:t xml:space="preserve"> </w:t>
      </w:r>
      <w:r w:rsidR="00FB74C3" w:rsidRPr="00840922">
        <w:rPr>
          <w:rFonts w:ascii="Calibri" w:hAnsi="Calibri"/>
          <w:lang w:val="en-GB"/>
        </w:rPr>
        <w:t>attacks in 2001</w:t>
      </w:r>
      <w:r w:rsidR="00FB74C3">
        <w:rPr>
          <w:rFonts w:ascii="Calibri" w:hAnsi="Calibri"/>
          <w:lang w:val="en-GB"/>
        </w:rPr>
        <w:t xml:space="preserve"> in the United States, </w:t>
      </w:r>
      <w:r w:rsidR="00C42068">
        <w:rPr>
          <w:rFonts w:ascii="Calibri" w:hAnsi="Calibri"/>
          <w:lang w:val="en-GB"/>
        </w:rPr>
        <w:t xml:space="preserve">scholars increasingly founded </w:t>
      </w:r>
      <w:r w:rsidR="00FB74C3">
        <w:rPr>
          <w:rFonts w:ascii="Calibri" w:hAnsi="Calibri"/>
          <w:lang w:val="en-GB"/>
        </w:rPr>
        <w:t xml:space="preserve">journals concerned with terrorism (Tinnes, 2013). </w:t>
      </w:r>
      <w:r w:rsidR="00C42068">
        <w:rPr>
          <w:rFonts w:ascii="Calibri" w:hAnsi="Calibri"/>
          <w:lang w:val="en-GB"/>
        </w:rPr>
        <w:t xml:space="preserve">However, almost </w:t>
      </w:r>
      <w:r w:rsidR="00E84703">
        <w:rPr>
          <w:rFonts w:ascii="Calibri" w:hAnsi="Calibri"/>
          <w:lang w:val="en-GB"/>
        </w:rPr>
        <w:t>these</w:t>
      </w:r>
      <w:r w:rsidR="00C42068">
        <w:rPr>
          <w:rFonts w:ascii="Calibri" w:hAnsi="Calibri"/>
          <w:lang w:val="en-GB"/>
        </w:rPr>
        <w:t xml:space="preserve"> journals are within the field of empirical political science, such as international relations (Tinnes, 2013). </w:t>
      </w:r>
      <w:r w:rsidR="00E84703">
        <w:rPr>
          <w:rFonts w:ascii="Calibri" w:hAnsi="Calibri"/>
          <w:lang w:val="en-GB"/>
        </w:rPr>
        <w:t>Currently there is</w:t>
      </w:r>
      <w:r w:rsidR="00C42068">
        <w:rPr>
          <w:rFonts w:ascii="Calibri" w:hAnsi="Calibri"/>
          <w:lang w:val="en-GB"/>
        </w:rPr>
        <w:t xml:space="preserve"> no journal specifically focused on political theories concerned with terrorism. As such, my thesis not only contributes by analysing recent events, but also by researching discourses on terror attacks from the perspective of political theory. </w:t>
      </w:r>
    </w:p>
    <w:p w14:paraId="1441BC9B" w14:textId="57BF53BB" w:rsidR="00B549D5" w:rsidRPr="00173294" w:rsidRDefault="00C43E56" w:rsidP="00E52F0F">
      <w:pPr>
        <w:pStyle w:val="Normal1"/>
        <w:spacing w:after="0" w:line="360" w:lineRule="auto"/>
        <w:ind w:firstLine="709"/>
        <w:jc w:val="both"/>
        <w:rPr>
          <w:rFonts w:ascii="Calibri" w:hAnsi="Calibri"/>
          <w:lang w:val="en-GB"/>
        </w:rPr>
      </w:pPr>
      <w:r>
        <w:rPr>
          <w:rFonts w:ascii="Calibri" w:hAnsi="Calibri"/>
          <w:lang w:val="en-GB"/>
        </w:rPr>
        <w:t xml:space="preserve">Before </w:t>
      </w:r>
      <w:r w:rsidR="00804960">
        <w:rPr>
          <w:rFonts w:ascii="Calibri" w:hAnsi="Calibri"/>
          <w:lang w:val="en-GB"/>
        </w:rPr>
        <w:t>interpreting these discourses with the help of Foucault</w:t>
      </w:r>
      <w:r>
        <w:rPr>
          <w:rFonts w:ascii="Calibri" w:hAnsi="Calibri"/>
          <w:lang w:val="en-GB"/>
        </w:rPr>
        <w:t>, however, another cha</w:t>
      </w:r>
      <w:r w:rsidR="00804960">
        <w:rPr>
          <w:rFonts w:ascii="Calibri" w:hAnsi="Calibri"/>
          <w:lang w:val="en-GB"/>
        </w:rPr>
        <w:t xml:space="preserve">pter is needed to connect them: </w:t>
      </w:r>
      <w:r w:rsidR="00B549D5">
        <w:rPr>
          <w:rFonts w:ascii="Calibri" w:hAnsi="Calibri"/>
          <w:lang w:val="en-GB"/>
        </w:rPr>
        <w:t>the m</w:t>
      </w:r>
      <w:r w:rsidR="00804960">
        <w:rPr>
          <w:rFonts w:ascii="Calibri" w:hAnsi="Calibri"/>
          <w:lang w:val="en-GB"/>
        </w:rPr>
        <w:t>ethodology chapter</w:t>
      </w:r>
      <w:r w:rsidR="00B549D5" w:rsidRPr="00173294">
        <w:rPr>
          <w:rFonts w:ascii="Calibri" w:hAnsi="Calibri"/>
          <w:lang w:val="en-GB"/>
        </w:rPr>
        <w:t>. Despite the match of Foucault’s theory and my research, and moreover, despite the fact that Foucault has written on his method</w:t>
      </w:r>
      <w:r w:rsidR="00B549D5">
        <w:rPr>
          <w:rFonts w:ascii="Calibri" w:hAnsi="Calibri"/>
          <w:lang w:val="en-GB"/>
        </w:rPr>
        <w:t>s</w:t>
      </w:r>
      <w:r w:rsidR="00B549D5" w:rsidRPr="00173294">
        <w:rPr>
          <w:rFonts w:ascii="Calibri" w:hAnsi="Calibri"/>
          <w:lang w:val="en-GB"/>
        </w:rPr>
        <w:t xml:space="preserve">, his work does not provide the tools needed to execute </w:t>
      </w:r>
      <w:r w:rsidR="00B549D5">
        <w:rPr>
          <w:rFonts w:ascii="Calibri" w:hAnsi="Calibri"/>
          <w:lang w:val="en-GB"/>
        </w:rPr>
        <w:t>the</w:t>
      </w:r>
      <w:r w:rsidR="00B549D5" w:rsidRPr="00173294">
        <w:rPr>
          <w:rFonts w:ascii="Calibri" w:hAnsi="Calibri"/>
          <w:lang w:val="en-GB"/>
        </w:rPr>
        <w:t xml:space="preserve"> analyses of the articles. This is mostly because Foucault’s statements abo</w:t>
      </w:r>
      <w:r w:rsidR="00804960">
        <w:rPr>
          <w:rFonts w:ascii="Calibri" w:hAnsi="Calibri"/>
          <w:lang w:val="en-GB"/>
        </w:rPr>
        <w:t>ut his methods are rather vague</w:t>
      </w:r>
      <w:r w:rsidR="00B549D5" w:rsidRPr="00173294">
        <w:rPr>
          <w:rFonts w:ascii="Calibri" w:hAnsi="Calibri"/>
          <w:lang w:val="en-GB"/>
        </w:rPr>
        <w:t xml:space="preserve"> and difficu</w:t>
      </w:r>
      <w:r w:rsidR="00B549D5">
        <w:rPr>
          <w:rFonts w:ascii="Calibri" w:hAnsi="Calibri"/>
          <w:lang w:val="en-GB"/>
        </w:rPr>
        <w:t xml:space="preserve">lt to implement. Hence, I turn to a </w:t>
      </w:r>
      <w:r w:rsidR="00B549D5" w:rsidRPr="00173294">
        <w:rPr>
          <w:rFonts w:ascii="Calibri" w:hAnsi="Calibri"/>
          <w:lang w:val="en-GB"/>
        </w:rPr>
        <w:t xml:space="preserve">method tailored to an analysis of media discourses that was to a great extent based on Foucault’s work, namely the Critical Discourse Analysis approach of Siegfried Jäger. In chapter </w:t>
      </w:r>
      <w:r w:rsidR="00B549D5">
        <w:rPr>
          <w:rFonts w:ascii="Calibri" w:hAnsi="Calibri"/>
          <w:lang w:val="en-GB"/>
        </w:rPr>
        <w:t>four</w:t>
      </w:r>
      <w:r w:rsidR="00B549D5" w:rsidRPr="00173294">
        <w:rPr>
          <w:rFonts w:ascii="Calibri" w:hAnsi="Calibri"/>
          <w:lang w:val="en-GB"/>
        </w:rPr>
        <w:t xml:space="preserve"> I explain my choice for this method, as well as what the method theoretically and empirically entails.</w:t>
      </w:r>
      <w:r w:rsidR="00B549D5">
        <w:rPr>
          <w:rFonts w:ascii="Calibri" w:hAnsi="Calibri"/>
          <w:lang w:val="en-GB"/>
        </w:rPr>
        <w:t xml:space="preserve"> The chapter</w:t>
      </w:r>
      <w:r w:rsidR="00B549D5" w:rsidRPr="00173294">
        <w:rPr>
          <w:rFonts w:ascii="Calibri" w:hAnsi="Calibri"/>
          <w:lang w:val="en-GB"/>
        </w:rPr>
        <w:t xml:space="preserve"> also includes the reasoning behind </w:t>
      </w:r>
      <w:r w:rsidR="00B549D5">
        <w:rPr>
          <w:rFonts w:ascii="Calibri" w:hAnsi="Calibri"/>
          <w:lang w:val="en-GB"/>
        </w:rPr>
        <w:t>the sample of articles</w:t>
      </w:r>
      <w:r w:rsidR="00CB4196">
        <w:rPr>
          <w:rFonts w:ascii="Calibri" w:hAnsi="Calibri"/>
          <w:lang w:val="en-GB"/>
        </w:rPr>
        <w:t xml:space="preserve"> and </w:t>
      </w:r>
      <w:r w:rsidR="00804960">
        <w:rPr>
          <w:rFonts w:ascii="Calibri" w:hAnsi="Calibri"/>
          <w:lang w:val="en-GB"/>
        </w:rPr>
        <w:t>its</w:t>
      </w:r>
      <w:r w:rsidR="00CB4196">
        <w:rPr>
          <w:rFonts w:ascii="Calibri" w:hAnsi="Calibri"/>
          <w:lang w:val="en-GB"/>
        </w:rPr>
        <w:t xml:space="preserve"> possible limitations.</w:t>
      </w:r>
    </w:p>
    <w:p w14:paraId="38ED3092" w14:textId="336E889A" w:rsidR="00B549D5" w:rsidRPr="00173294" w:rsidRDefault="00B549D5" w:rsidP="00E52F0F">
      <w:pPr>
        <w:pStyle w:val="Normal1"/>
        <w:spacing w:after="0" w:line="360" w:lineRule="auto"/>
        <w:ind w:firstLine="709"/>
        <w:jc w:val="both"/>
        <w:rPr>
          <w:rFonts w:ascii="Calibri" w:hAnsi="Calibri"/>
          <w:lang w:val="en-GB"/>
        </w:rPr>
      </w:pPr>
      <w:r>
        <w:rPr>
          <w:rFonts w:ascii="Calibri" w:hAnsi="Calibri"/>
          <w:lang w:val="en-GB"/>
        </w:rPr>
        <w:t>As stated, c</w:t>
      </w:r>
      <w:r w:rsidRPr="00173294">
        <w:rPr>
          <w:rFonts w:ascii="Calibri" w:hAnsi="Calibri"/>
          <w:lang w:val="en-GB"/>
        </w:rPr>
        <w:t xml:space="preserve">hapter </w:t>
      </w:r>
      <w:r>
        <w:rPr>
          <w:rFonts w:ascii="Calibri" w:hAnsi="Calibri"/>
          <w:lang w:val="en-GB"/>
        </w:rPr>
        <w:t>five</w:t>
      </w:r>
      <w:r w:rsidRPr="00173294">
        <w:rPr>
          <w:rFonts w:ascii="Calibri" w:hAnsi="Calibri"/>
          <w:lang w:val="en-GB"/>
        </w:rPr>
        <w:t xml:space="preserve"> demonstrates the results of the implementation of Jäger’s method. It present</w:t>
      </w:r>
      <w:r>
        <w:rPr>
          <w:rFonts w:ascii="Calibri" w:hAnsi="Calibri"/>
          <w:lang w:val="en-GB"/>
        </w:rPr>
        <w:t>s</w:t>
      </w:r>
      <w:r w:rsidRPr="00173294">
        <w:rPr>
          <w:rFonts w:ascii="Calibri" w:hAnsi="Calibri"/>
          <w:lang w:val="en-GB"/>
        </w:rPr>
        <w:t xml:space="preserve"> the both the ‘tangible’ results, meaning those results that show what words and styles are used to described the people </w:t>
      </w:r>
      <w:r w:rsidR="00804960">
        <w:rPr>
          <w:rFonts w:ascii="Calibri" w:hAnsi="Calibri"/>
          <w:lang w:val="en-GB"/>
        </w:rPr>
        <w:t>affected by</w:t>
      </w:r>
      <w:r w:rsidRPr="00173294">
        <w:rPr>
          <w:rFonts w:ascii="Calibri" w:hAnsi="Calibri"/>
          <w:lang w:val="en-GB"/>
        </w:rPr>
        <w:t xml:space="preserve"> the attacks, and the ‘intangible’ results, namely what the texts – including that which is not stated – tells us about the power relations. As will probably be expected after reading the theoretical framework, the results do not present a clear black-and-white picture, with one dominant discourse portraying the bad and the good guys. Instead, they </w:t>
      </w:r>
      <w:r>
        <w:rPr>
          <w:rFonts w:ascii="Calibri" w:hAnsi="Calibri"/>
          <w:lang w:val="en-GB"/>
        </w:rPr>
        <w:t>draw</w:t>
      </w:r>
      <w:r w:rsidRPr="00173294">
        <w:rPr>
          <w:rFonts w:ascii="Calibri" w:hAnsi="Calibri"/>
          <w:lang w:val="en-GB"/>
        </w:rPr>
        <w:t xml:space="preserve"> a complex picture with </w:t>
      </w:r>
      <w:r>
        <w:rPr>
          <w:rFonts w:ascii="Calibri" w:hAnsi="Calibri"/>
          <w:lang w:val="en-GB"/>
        </w:rPr>
        <w:t>some</w:t>
      </w:r>
      <w:r w:rsidRPr="00173294">
        <w:rPr>
          <w:rFonts w:ascii="Calibri" w:hAnsi="Calibri"/>
          <w:lang w:val="en-GB"/>
        </w:rPr>
        <w:t xml:space="preserve"> power relations that often return, but which are simultaneously </w:t>
      </w:r>
      <w:r>
        <w:rPr>
          <w:rFonts w:ascii="Calibri" w:hAnsi="Calibri"/>
          <w:lang w:val="en-GB"/>
        </w:rPr>
        <w:t>challenged</w:t>
      </w:r>
      <w:r w:rsidRPr="00173294">
        <w:rPr>
          <w:rFonts w:ascii="Calibri" w:hAnsi="Calibri"/>
          <w:lang w:val="en-GB"/>
        </w:rPr>
        <w:t xml:space="preserve"> in other aspects of the discourse. </w:t>
      </w:r>
      <w:r>
        <w:rPr>
          <w:rFonts w:ascii="Calibri" w:hAnsi="Calibri"/>
          <w:lang w:val="en-GB"/>
        </w:rPr>
        <w:t xml:space="preserve">Despite this complexity, the last section of the chapter provides some more general conclusions regarding the language and power relations reflected and </w:t>
      </w:r>
      <w:r w:rsidR="00804960">
        <w:rPr>
          <w:rFonts w:ascii="Calibri" w:hAnsi="Calibri"/>
          <w:lang w:val="en-GB"/>
        </w:rPr>
        <w:t>(re)</w:t>
      </w:r>
      <w:r>
        <w:rPr>
          <w:rFonts w:ascii="Calibri" w:hAnsi="Calibri"/>
          <w:lang w:val="en-GB"/>
        </w:rPr>
        <w:t xml:space="preserve">produced by the Guardian. </w:t>
      </w:r>
    </w:p>
    <w:p w14:paraId="48778CC1" w14:textId="213137F8" w:rsidR="001525B2" w:rsidRPr="00173294" w:rsidRDefault="00CB4196" w:rsidP="00E52F0F">
      <w:pPr>
        <w:pStyle w:val="Normal1"/>
        <w:spacing w:after="0" w:line="360" w:lineRule="auto"/>
        <w:ind w:firstLine="709"/>
        <w:jc w:val="both"/>
        <w:rPr>
          <w:rFonts w:ascii="Calibri" w:hAnsi="Calibri"/>
          <w:lang w:val="en-GB"/>
        </w:rPr>
      </w:pPr>
      <w:r>
        <w:rPr>
          <w:rFonts w:ascii="Calibri" w:hAnsi="Calibri"/>
          <w:lang w:val="en-GB"/>
        </w:rPr>
        <w:t>As the limitations of the theory and methodology have been discussed in chapter three and four respectively, this thesis continues with the conclusion instead of a discussion after the results. In the conclusion, the</w:t>
      </w:r>
      <w:r w:rsidR="00B549D5" w:rsidRPr="00173294">
        <w:rPr>
          <w:rFonts w:ascii="Calibri" w:hAnsi="Calibri"/>
          <w:lang w:val="en-GB"/>
        </w:rPr>
        <w:t xml:space="preserve"> entire thesis is brought together one last time. Besides </w:t>
      </w:r>
      <w:r w:rsidR="00804960">
        <w:rPr>
          <w:rFonts w:ascii="Calibri" w:hAnsi="Calibri"/>
          <w:lang w:val="en-GB"/>
        </w:rPr>
        <w:t>combining</w:t>
      </w:r>
      <w:r w:rsidR="00B549D5" w:rsidRPr="00173294">
        <w:rPr>
          <w:rFonts w:ascii="Calibri" w:hAnsi="Calibri"/>
          <w:lang w:val="en-GB"/>
        </w:rPr>
        <w:t xml:space="preserve"> all </w:t>
      </w:r>
      <w:r>
        <w:rPr>
          <w:rFonts w:ascii="Calibri" w:hAnsi="Calibri"/>
          <w:lang w:val="en-GB"/>
        </w:rPr>
        <w:t xml:space="preserve">different parts, </w:t>
      </w:r>
      <w:r w:rsidRPr="00173294">
        <w:rPr>
          <w:rFonts w:ascii="Calibri" w:hAnsi="Calibri"/>
          <w:lang w:val="en-GB"/>
        </w:rPr>
        <w:t>it clarifies what the implica</w:t>
      </w:r>
      <w:r w:rsidR="00592CC5">
        <w:rPr>
          <w:rFonts w:ascii="Calibri" w:hAnsi="Calibri"/>
          <w:lang w:val="en-GB"/>
        </w:rPr>
        <w:t>tions of the results are</w:t>
      </w:r>
      <w:r w:rsidRPr="00173294">
        <w:rPr>
          <w:rFonts w:ascii="Calibri" w:hAnsi="Calibri"/>
          <w:lang w:val="en-GB"/>
        </w:rPr>
        <w:t xml:space="preserve"> and</w:t>
      </w:r>
      <w:r>
        <w:rPr>
          <w:rFonts w:ascii="Calibri" w:hAnsi="Calibri"/>
          <w:lang w:val="en-GB"/>
        </w:rPr>
        <w:t xml:space="preserve"> what</w:t>
      </w:r>
      <w:r w:rsidRPr="00173294">
        <w:rPr>
          <w:rFonts w:ascii="Calibri" w:hAnsi="Calibri"/>
          <w:lang w:val="en-GB"/>
        </w:rPr>
        <w:t xml:space="preserve"> should be done in light of these results</w:t>
      </w:r>
      <w:r w:rsidR="00B549D5" w:rsidRPr="00173294">
        <w:rPr>
          <w:rFonts w:ascii="Calibri" w:hAnsi="Calibri"/>
          <w:lang w:val="en-GB"/>
        </w:rPr>
        <w:t xml:space="preserve">. </w:t>
      </w:r>
      <w:r w:rsidR="00B549D5">
        <w:rPr>
          <w:rFonts w:ascii="Calibri" w:hAnsi="Calibri"/>
          <w:lang w:val="en-GB"/>
        </w:rPr>
        <w:t>Additionally,</w:t>
      </w:r>
      <w:r w:rsidRPr="00CB4196">
        <w:rPr>
          <w:rFonts w:ascii="Calibri" w:hAnsi="Calibri"/>
          <w:lang w:val="en-GB"/>
        </w:rPr>
        <w:t xml:space="preserve"> </w:t>
      </w:r>
      <w:r>
        <w:rPr>
          <w:rFonts w:ascii="Calibri" w:hAnsi="Calibri"/>
          <w:lang w:val="en-GB"/>
        </w:rPr>
        <w:t>it</w:t>
      </w:r>
      <w:r w:rsidRPr="00173294">
        <w:rPr>
          <w:rFonts w:ascii="Calibri" w:hAnsi="Calibri"/>
          <w:lang w:val="en-GB"/>
        </w:rPr>
        <w:t xml:space="preserve"> presents thoughts for further resea</w:t>
      </w:r>
      <w:r w:rsidR="00592CC5">
        <w:rPr>
          <w:rFonts w:ascii="Calibri" w:hAnsi="Calibri"/>
          <w:lang w:val="en-GB"/>
        </w:rPr>
        <w:t>rch</w:t>
      </w:r>
      <w:r w:rsidR="00B549D5" w:rsidRPr="00173294">
        <w:rPr>
          <w:rFonts w:ascii="Calibri" w:hAnsi="Calibri"/>
          <w:lang w:val="en-GB"/>
        </w:rPr>
        <w:t>.</w:t>
      </w:r>
      <w:r w:rsidR="00840922">
        <w:rPr>
          <w:rFonts w:ascii="Calibri" w:hAnsi="Calibri"/>
          <w:lang w:val="en-GB"/>
        </w:rPr>
        <w:t xml:space="preserve"> Mostly, however, it once more clarifies the aim of this thesis: creating awareness of the power relations that are continuously reflected and (re)produced in the discourses on terror attacks.</w:t>
      </w:r>
    </w:p>
    <w:p w14:paraId="0BF1AD20" w14:textId="6613D57B" w:rsidR="00DF5C20" w:rsidRPr="00C45D4D" w:rsidRDefault="00B549D5" w:rsidP="00C45D4D">
      <w:pPr>
        <w:spacing w:line="360" w:lineRule="auto"/>
        <w:rPr>
          <w:lang w:val="en-GB"/>
        </w:rPr>
      </w:pPr>
      <w:r>
        <w:rPr>
          <w:lang w:val="en-GB"/>
        </w:rPr>
        <w:br w:type="page"/>
      </w:r>
    </w:p>
    <w:p w14:paraId="3EF4DBBC" w14:textId="2743CF52" w:rsidR="00B549D5" w:rsidRPr="00270B55" w:rsidRDefault="00CC3E8E" w:rsidP="00E52F0F">
      <w:pPr>
        <w:pStyle w:val="Heading1"/>
        <w:spacing w:line="360" w:lineRule="auto"/>
        <w:rPr>
          <w:lang w:val="en-GB"/>
        </w:rPr>
      </w:pPr>
      <w:bookmarkStart w:id="11" w:name="_Toc458983391"/>
      <w:r>
        <w:rPr>
          <w:lang w:val="en-GB"/>
        </w:rPr>
        <w:lastRenderedPageBreak/>
        <w:t xml:space="preserve">2. </w:t>
      </w:r>
      <w:r w:rsidR="00B549D5" w:rsidRPr="00270B55">
        <w:rPr>
          <w:lang w:val="en-GB"/>
        </w:rPr>
        <w:t xml:space="preserve">Power </w:t>
      </w:r>
      <w:r w:rsidR="00B549D5">
        <w:rPr>
          <w:lang w:val="en-GB"/>
        </w:rPr>
        <w:t>t</w:t>
      </w:r>
      <w:r w:rsidR="00B549D5" w:rsidRPr="00270B55">
        <w:rPr>
          <w:lang w:val="en-GB"/>
        </w:rPr>
        <w:t xml:space="preserve">heory: </w:t>
      </w:r>
      <w:r w:rsidR="00B549D5">
        <w:rPr>
          <w:lang w:val="en-GB"/>
        </w:rPr>
        <w:t xml:space="preserve">The </w:t>
      </w:r>
      <w:r w:rsidR="00C43E56">
        <w:rPr>
          <w:lang w:val="en-GB"/>
        </w:rPr>
        <w:t>varied</w:t>
      </w:r>
      <w:r w:rsidR="00B549D5">
        <w:rPr>
          <w:lang w:val="en-GB"/>
        </w:rPr>
        <w:t xml:space="preserve"> field in a general overview</w:t>
      </w:r>
      <w:bookmarkEnd w:id="11"/>
    </w:p>
    <w:p w14:paraId="62541C60" w14:textId="77777777" w:rsidR="002566CB" w:rsidRDefault="002566CB" w:rsidP="00E52F0F">
      <w:pPr>
        <w:spacing w:after="0" w:line="360" w:lineRule="auto"/>
        <w:jc w:val="both"/>
        <w:rPr>
          <w:lang w:val="en-GB"/>
        </w:rPr>
      </w:pPr>
    </w:p>
    <w:p w14:paraId="529EA026" w14:textId="0A4A0E4B" w:rsidR="00B549D5" w:rsidRPr="00270B55" w:rsidRDefault="00B549D5" w:rsidP="00E52F0F">
      <w:pPr>
        <w:spacing w:after="0" w:line="360" w:lineRule="auto"/>
        <w:jc w:val="both"/>
        <w:rPr>
          <w:lang w:val="en-GB"/>
        </w:rPr>
      </w:pPr>
      <w:r>
        <w:rPr>
          <w:lang w:val="en-GB"/>
        </w:rPr>
        <w:t xml:space="preserve">The objective of this research is to study the </w:t>
      </w:r>
      <w:r w:rsidR="00E35E69">
        <w:rPr>
          <w:lang w:val="en-GB"/>
        </w:rPr>
        <w:t xml:space="preserve">power relations that are </w:t>
      </w:r>
      <w:r w:rsidR="00C43E56">
        <w:rPr>
          <w:lang w:val="en-GB"/>
        </w:rPr>
        <w:t>reflected</w:t>
      </w:r>
      <w:r w:rsidR="00E35E69">
        <w:rPr>
          <w:lang w:val="en-GB"/>
        </w:rPr>
        <w:t xml:space="preserve"> and (re)produced</w:t>
      </w:r>
      <w:r w:rsidR="00074908">
        <w:rPr>
          <w:lang w:val="en-GB"/>
        </w:rPr>
        <w:t xml:space="preserve"> in the descriptions </w:t>
      </w:r>
      <w:r>
        <w:rPr>
          <w:lang w:val="en-GB"/>
        </w:rPr>
        <w:t xml:space="preserve">of the people involved in the terrorist attacks in Beirut and Paris in November 2015. </w:t>
      </w:r>
      <w:r w:rsidR="00E35E69">
        <w:rPr>
          <w:lang w:val="en-GB"/>
        </w:rPr>
        <w:t xml:space="preserve">As the focus is on power relations, more than on the actual media, the focus of this literature review is also on power instead of media theory. Moreover, it does not cover the literature on the </w:t>
      </w:r>
      <w:r w:rsidR="00074908">
        <w:rPr>
          <w:lang w:val="en-GB"/>
        </w:rPr>
        <w:t>‘</w:t>
      </w:r>
      <w:r w:rsidR="00E35E69">
        <w:rPr>
          <w:lang w:val="en-GB"/>
        </w:rPr>
        <w:t>East</w:t>
      </w:r>
      <w:r w:rsidR="00074908">
        <w:rPr>
          <w:lang w:val="en-GB"/>
        </w:rPr>
        <w:t>’</w:t>
      </w:r>
      <w:r w:rsidR="00E35E69">
        <w:rPr>
          <w:lang w:val="en-GB"/>
        </w:rPr>
        <w:t xml:space="preserve"> versus </w:t>
      </w:r>
      <w:r w:rsidR="00074908">
        <w:rPr>
          <w:lang w:val="en-GB"/>
        </w:rPr>
        <w:t>‘</w:t>
      </w:r>
      <w:r w:rsidR="00E35E69">
        <w:rPr>
          <w:lang w:val="en-GB"/>
        </w:rPr>
        <w:t>West</w:t>
      </w:r>
      <w:r w:rsidR="00074908">
        <w:rPr>
          <w:lang w:val="en-GB"/>
        </w:rPr>
        <w:t>’</w:t>
      </w:r>
      <w:r w:rsidR="00E35E69">
        <w:rPr>
          <w:lang w:val="en-GB"/>
        </w:rPr>
        <w:t>, sometimes called Orientalism. Although po</w:t>
      </w:r>
      <w:r w:rsidR="00074908">
        <w:rPr>
          <w:lang w:val="en-GB"/>
        </w:rPr>
        <w:t xml:space="preserve">wer relations certainly play a significant </w:t>
      </w:r>
      <w:r w:rsidR="00E35E69">
        <w:rPr>
          <w:lang w:val="en-GB"/>
        </w:rPr>
        <w:t>role in those studies, this thesis is aimed at scientifically contributing to t</w:t>
      </w:r>
      <w:r w:rsidR="00E9412B">
        <w:rPr>
          <w:lang w:val="en-GB"/>
        </w:rPr>
        <w:t>he combination of t</w:t>
      </w:r>
      <w:r w:rsidR="00E35E69">
        <w:rPr>
          <w:lang w:val="en-GB"/>
        </w:rPr>
        <w:t xml:space="preserve">errorist and power studies, the former of which is a relatively new </w:t>
      </w:r>
      <w:r w:rsidR="00E9412B">
        <w:rPr>
          <w:lang w:val="en-GB"/>
        </w:rPr>
        <w:t xml:space="preserve">field within academia. </w:t>
      </w:r>
      <w:r>
        <w:rPr>
          <w:lang w:val="en-GB"/>
        </w:rPr>
        <w:t xml:space="preserve">It is impossible to </w:t>
      </w:r>
      <w:r w:rsidR="00E9412B">
        <w:rPr>
          <w:lang w:val="en-GB"/>
        </w:rPr>
        <w:t>contribute to</w:t>
      </w:r>
      <w:r>
        <w:rPr>
          <w:lang w:val="en-GB"/>
        </w:rPr>
        <w:t xml:space="preserve"> such an issue without having an idea of</w:t>
      </w:r>
      <w:r w:rsidR="00074908">
        <w:rPr>
          <w:lang w:val="en-GB"/>
        </w:rPr>
        <w:t xml:space="preserve"> what power is or how it works: </w:t>
      </w:r>
      <w:r>
        <w:rPr>
          <w:lang w:val="en-GB"/>
        </w:rPr>
        <w:t xml:space="preserve">a theory on power that explains these aspects is needed. </w:t>
      </w:r>
      <w:r w:rsidRPr="00270B55">
        <w:rPr>
          <w:lang w:val="en-GB"/>
        </w:rPr>
        <w:t xml:space="preserve">The English word power comes from the Latin word </w:t>
      </w:r>
      <w:r w:rsidRPr="00270B55">
        <w:rPr>
          <w:i/>
          <w:lang w:val="en-GB"/>
        </w:rPr>
        <w:t>potestas</w:t>
      </w:r>
      <w:r w:rsidRPr="00270B55">
        <w:rPr>
          <w:lang w:val="en-GB"/>
        </w:rPr>
        <w:t xml:space="preserve">. </w:t>
      </w:r>
      <w:r w:rsidR="00074908">
        <w:rPr>
          <w:lang w:val="en-GB"/>
        </w:rPr>
        <w:t>Nevertheless</w:t>
      </w:r>
      <w:r w:rsidRPr="00270B55">
        <w:rPr>
          <w:lang w:val="en-GB"/>
        </w:rPr>
        <w:t xml:space="preserve">, </w:t>
      </w:r>
      <w:r w:rsidRPr="00270B55">
        <w:rPr>
          <w:i/>
          <w:lang w:val="en-GB"/>
        </w:rPr>
        <w:t>potestas</w:t>
      </w:r>
      <w:r w:rsidRPr="00270B55">
        <w:rPr>
          <w:lang w:val="en-GB"/>
        </w:rPr>
        <w:t xml:space="preserve"> is not the only word that is translated to power in English, </w:t>
      </w:r>
      <w:r w:rsidR="00571B51">
        <w:rPr>
          <w:i/>
          <w:lang w:val="en-GB"/>
        </w:rPr>
        <w:t>potentia</w:t>
      </w:r>
      <w:r w:rsidRPr="00270B55">
        <w:rPr>
          <w:i/>
          <w:lang w:val="en-GB"/>
        </w:rPr>
        <w:t xml:space="preserve"> </w:t>
      </w:r>
      <w:r w:rsidRPr="00270B55">
        <w:rPr>
          <w:lang w:val="en-GB"/>
        </w:rPr>
        <w:t>is as wel</w:t>
      </w:r>
      <w:r w:rsidR="00074908">
        <w:rPr>
          <w:lang w:val="en-GB"/>
        </w:rPr>
        <w:t>l. As Michael Hardt notices</w:t>
      </w:r>
      <w:r w:rsidRPr="00270B55">
        <w:rPr>
          <w:lang w:val="en-GB"/>
        </w:rPr>
        <w:t xml:space="preserve">, most European languages have two distinct terms </w:t>
      </w:r>
      <w:r w:rsidR="00CC3E8E">
        <w:rPr>
          <w:lang w:val="en-GB"/>
        </w:rPr>
        <w:t>–</w:t>
      </w:r>
      <w:r w:rsidRPr="00270B55">
        <w:rPr>
          <w:lang w:val="en-GB"/>
        </w:rPr>
        <w:t xml:space="preserve"> </w:t>
      </w:r>
      <w:r w:rsidRPr="00270B55">
        <w:rPr>
          <w:i/>
          <w:lang w:val="en-GB"/>
        </w:rPr>
        <w:t>potere</w:t>
      </w:r>
      <w:r w:rsidRPr="00270B55">
        <w:rPr>
          <w:lang w:val="en-GB"/>
        </w:rPr>
        <w:t xml:space="preserve"> and </w:t>
      </w:r>
      <w:r w:rsidR="00571B51">
        <w:rPr>
          <w:i/>
          <w:lang w:val="en-GB"/>
        </w:rPr>
        <w:t>potenza</w:t>
      </w:r>
      <w:r w:rsidRPr="00270B55">
        <w:rPr>
          <w:lang w:val="en-GB"/>
        </w:rPr>
        <w:t xml:space="preserve"> in Italian, </w:t>
      </w:r>
      <w:r w:rsidRPr="00270B55">
        <w:rPr>
          <w:i/>
          <w:lang w:val="en-GB"/>
        </w:rPr>
        <w:t xml:space="preserve">Macht </w:t>
      </w:r>
      <w:r w:rsidRPr="00270B55">
        <w:rPr>
          <w:lang w:val="en-GB"/>
        </w:rPr>
        <w:t xml:space="preserve">and </w:t>
      </w:r>
      <w:r w:rsidRPr="00270B55">
        <w:rPr>
          <w:i/>
          <w:lang w:val="en-GB"/>
        </w:rPr>
        <w:t>Vermögen</w:t>
      </w:r>
      <w:r w:rsidRPr="00270B55">
        <w:rPr>
          <w:lang w:val="en-GB"/>
        </w:rPr>
        <w:t xml:space="preserve"> in German, </w:t>
      </w:r>
      <w:r w:rsidRPr="00270B55">
        <w:rPr>
          <w:i/>
          <w:lang w:val="en-GB"/>
        </w:rPr>
        <w:t>pouvoir</w:t>
      </w:r>
      <w:r w:rsidRPr="00270B55">
        <w:rPr>
          <w:lang w:val="en-GB"/>
        </w:rPr>
        <w:t xml:space="preserve"> and </w:t>
      </w:r>
      <w:r w:rsidRPr="00270B55">
        <w:rPr>
          <w:i/>
          <w:lang w:val="en-GB"/>
        </w:rPr>
        <w:t>puissance</w:t>
      </w:r>
      <w:r w:rsidRPr="00270B55">
        <w:rPr>
          <w:lang w:val="en-GB"/>
        </w:rPr>
        <w:t xml:space="preserve"> in French -, whereas English just </w:t>
      </w:r>
      <w:r w:rsidR="00F7200D">
        <w:rPr>
          <w:lang w:val="en-GB"/>
        </w:rPr>
        <w:t>has one to denote both (1991,</w:t>
      </w:r>
      <w:r w:rsidR="00074908">
        <w:rPr>
          <w:lang w:val="en-GB"/>
        </w:rPr>
        <w:t xml:space="preserve"> xi). Alt</w:t>
      </w:r>
      <w:r w:rsidRPr="00270B55">
        <w:rPr>
          <w:lang w:val="en-GB"/>
        </w:rPr>
        <w:t xml:space="preserve">hough the English word </w:t>
      </w:r>
      <w:r w:rsidRPr="00270B55">
        <w:rPr>
          <w:i/>
          <w:lang w:val="en-GB"/>
        </w:rPr>
        <w:t>might</w:t>
      </w:r>
      <w:r w:rsidRPr="00270B55">
        <w:rPr>
          <w:lang w:val="en-GB"/>
        </w:rPr>
        <w:t xml:space="preserve"> is directly derived from the German word </w:t>
      </w:r>
      <w:r w:rsidRPr="00270B55">
        <w:rPr>
          <w:i/>
          <w:lang w:val="en-GB"/>
        </w:rPr>
        <w:t>Macht</w:t>
      </w:r>
      <w:r w:rsidRPr="00270B55">
        <w:rPr>
          <w:lang w:val="en-GB"/>
        </w:rPr>
        <w:t xml:space="preserve">, is it not commonly used by scholars of power, nor in everyday usage (Wallimann, 1977). Despite using a single term, </w:t>
      </w:r>
      <w:r w:rsidR="00074908">
        <w:rPr>
          <w:lang w:val="en-GB"/>
        </w:rPr>
        <w:t xml:space="preserve">however, </w:t>
      </w:r>
      <w:r w:rsidRPr="00270B55">
        <w:rPr>
          <w:lang w:val="en-GB"/>
        </w:rPr>
        <w:t xml:space="preserve">English literature on power has taken into consideration the different meanings of power. One of the ways in which the literature can be divided is in </w:t>
      </w:r>
      <w:r w:rsidRPr="00270B55">
        <w:rPr>
          <w:i/>
          <w:lang w:val="en-GB"/>
        </w:rPr>
        <w:t>power to</w:t>
      </w:r>
      <w:r w:rsidRPr="00270B55">
        <w:rPr>
          <w:lang w:val="en-GB"/>
        </w:rPr>
        <w:t xml:space="preserve"> versus </w:t>
      </w:r>
      <w:r w:rsidRPr="00270B55">
        <w:rPr>
          <w:i/>
          <w:lang w:val="en-GB"/>
        </w:rPr>
        <w:t>power over</w:t>
      </w:r>
      <w:r w:rsidR="00074908">
        <w:rPr>
          <w:lang w:val="en-GB"/>
        </w:rPr>
        <w:t>. This distinction</w:t>
      </w:r>
      <w:r w:rsidRPr="00270B55">
        <w:rPr>
          <w:lang w:val="en-GB"/>
        </w:rPr>
        <w:t xml:space="preserve"> was first introduced by Hanna Pitkin (1972), and elaborated upon by a whole range of other scholars, one of which is Gerard Göhler (2009). In this general distinction, </w:t>
      </w:r>
      <w:r w:rsidRPr="00270B55">
        <w:rPr>
          <w:i/>
          <w:lang w:val="en-GB"/>
        </w:rPr>
        <w:t>power to</w:t>
      </w:r>
      <w:r w:rsidRPr="00270B55">
        <w:rPr>
          <w:lang w:val="en-GB"/>
        </w:rPr>
        <w:t xml:space="preserve"> refers to power as ability, as an ability to act autonomously </w:t>
      </w:r>
      <w:r>
        <w:rPr>
          <w:lang w:val="en-GB"/>
        </w:rPr>
        <w:t xml:space="preserve">(which in Latin would be </w:t>
      </w:r>
      <w:r w:rsidR="00571B51">
        <w:rPr>
          <w:lang w:val="en-GB"/>
        </w:rPr>
        <w:t>potentia</w:t>
      </w:r>
      <w:r>
        <w:rPr>
          <w:lang w:val="en-GB"/>
        </w:rPr>
        <w:t xml:space="preserve">) </w:t>
      </w:r>
      <w:r w:rsidRPr="00270B55">
        <w:rPr>
          <w:lang w:val="en-GB"/>
        </w:rPr>
        <w:t xml:space="preserve">(Göhler, 2009). </w:t>
      </w:r>
      <w:r w:rsidRPr="00270B55">
        <w:rPr>
          <w:i/>
          <w:lang w:val="en-GB"/>
        </w:rPr>
        <w:t>Power over</w:t>
      </w:r>
      <w:r w:rsidRPr="00270B55">
        <w:rPr>
          <w:lang w:val="en-GB"/>
        </w:rPr>
        <w:t xml:space="preserve">, on the contrary, refers to the control over others </w:t>
      </w:r>
      <w:r>
        <w:rPr>
          <w:lang w:val="en-GB"/>
        </w:rPr>
        <w:t xml:space="preserve">(in Latin more closely related to potestas) </w:t>
      </w:r>
      <w:r w:rsidRPr="00270B55">
        <w:rPr>
          <w:lang w:val="en-GB"/>
        </w:rPr>
        <w:t>(</w:t>
      </w:r>
      <w:r w:rsidR="00853EAA">
        <w:rPr>
          <w:lang w:val="en-GB"/>
        </w:rPr>
        <w:t>Göhler, 2009</w:t>
      </w:r>
      <w:r w:rsidRPr="00270B55">
        <w:rPr>
          <w:lang w:val="en-GB"/>
        </w:rPr>
        <w:t>).</w:t>
      </w:r>
    </w:p>
    <w:p w14:paraId="2A72BE61" w14:textId="2BA21B76" w:rsidR="00B549D5" w:rsidRPr="00270B55" w:rsidRDefault="00074908" w:rsidP="00E52F0F">
      <w:pPr>
        <w:spacing w:after="0" w:line="360" w:lineRule="auto"/>
        <w:ind w:firstLine="720"/>
        <w:jc w:val="both"/>
        <w:rPr>
          <w:lang w:val="en-GB"/>
        </w:rPr>
      </w:pPr>
      <w:r>
        <w:rPr>
          <w:lang w:val="en-GB"/>
        </w:rPr>
        <w:t xml:space="preserve">In this </w:t>
      </w:r>
      <w:r w:rsidR="00B549D5">
        <w:rPr>
          <w:lang w:val="en-GB"/>
        </w:rPr>
        <w:t>chapter</w:t>
      </w:r>
      <w:r w:rsidR="00B549D5" w:rsidRPr="00270B55">
        <w:rPr>
          <w:lang w:val="en-GB"/>
        </w:rPr>
        <w:t xml:space="preserve">, both </w:t>
      </w:r>
      <w:r w:rsidR="00B549D5">
        <w:rPr>
          <w:lang w:val="en-GB"/>
        </w:rPr>
        <w:t>aspects</w:t>
      </w:r>
      <w:r w:rsidR="00B549D5" w:rsidRPr="00270B55">
        <w:rPr>
          <w:lang w:val="en-GB"/>
        </w:rPr>
        <w:t xml:space="preserve"> of power are reviewed</w:t>
      </w:r>
      <w:r w:rsidR="00B549D5">
        <w:rPr>
          <w:lang w:val="en-GB"/>
        </w:rPr>
        <w:t xml:space="preserve"> to generate a broad </w:t>
      </w:r>
      <w:r>
        <w:rPr>
          <w:lang w:val="en-GB"/>
        </w:rPr>
        <w:t>outline of</w:t>
      </w:r>
      <w:r w:rsidR="00B549D5">
        <w:rPr>
          <w:lang w:val="en-GB"/>
        </w:rPr>
        <w:t xml:space="preserve"> power theory</w:t>
      </w:r>
      <w:r w:rsidR="00B549D5" w:rsidRPr="00270B55">
        <w:rPr>
          <w:lang w:val="en-GB"/>
        </w:rPr>
        <w:t xml:space="preserve">. </w:t>
      </w:r>
      <w:r w:rsidR="00E9412B">
        <w:rPr>
          <w:lang w:val="en-GB"/>
        </w:rPr>
        <w:t>Alt</w:t>
      </w:r>
      <w:r w:rsidR="00B549D5" w:rsidRPr="00270B55">
        <w:rPr>
          <w:lang w:val="en-GB"/>
        </w:rPr>
        <w:t>hough it is a helpful simplification, it is not without its problems, which is illustrated through a brief exploration of Hannah Arendt’s and Michel Foucault’s concepts of power</w:t>
      </w:r>
      <w:r w:rsidR="00B549D5">
        <w:rPr>
          <w:lang w:val="en-GB"/>
        </w:rPr>
        <w:t xml:space="preserve"> in </w:t>
      </w:r>
      <w:r>
        <w:rPr>
          <w:lang w:val="en-GB"/>
        </w:rPr>
        <w:t xml:space="preserve">section </w:t>
      </w:r>
      <w:r w:rsidR="00B549D5">
        <w:rPr>
          <w:lang w:val="en-GB"/>
        </w:rPr>
        <w:t>2.3.</w:t>
      </w:r>
      <w:r w:rsidR="00B549D5" w:rsidRPr="00270B55">
        <w:rPr>
          <w:lang w:val="en-GB"/>
        </w:rPr>
        <w:t xml:space="preserve"> Amy Allen (1999) and Göhler (2009) present other ways of </w:t>
      </w:r>
      <w:r w:rsidR="00B549D5">
        <w:rPr>
          <w:lang w:val="en-GB"/>
        </w:rPr>
        <w:t>showing</w:t>
      </w:r>
      <w:r w:rsidR="00B549D5" w:rsidRPr="00270B55">
        <w:rPr>
          <w:lang w:val="en-GB"/>
        </w:rPr>
        <w:t xml:space="preserve"> the different dimensi</w:t>
      </w:r>
      <w:r w:rsidR="00B549D5">
        <w:rPr>
          <w:lang w:val="en-GB"/>
        </w:rPr>
        <w:t xml:space="preserve">ons of power. Nevertheless, neither allows for a satisfying background </w:t>
      </w:r>
      <w:r w:rsidR="00B549D5" w:rsidRPr="00270B55">
        <w:rPr>
          <w:lang w:val="en-GB"/>
        </w:rPr>
        <w:t xml:space="preserve">for </w:t>
      </w:r>
      <w:r w:rsidR="00B549D5">
        <w:rPr>
          <w:lang w:val="en-GB"/>
        </w:rPr>
        <w:t xml:space="preserve">conducting </w:t>
      </w:r>
      <w:r w:rsidR="00B549D5" w:rsidRPr="00270B55">
        <w:rPr>
          <w:lang w:val="en-GB"/>
        </w:rPr>
        <w:t>the current project</w:t>
      </w:r>
      <w:r w:rsidR="00B549D5">
        <w:rPr>
          <w:lang w:val="en-GB"/>
        </w:rPr>
        <w:t xml:space="preserve">, for reasons which are explained in section 2.5., together with an explanation </w:t>
      </w:r>
      <w:r>
        <w:rPr>
          <w:lang w:val="en-GB"/>
        </w:rPr>
        <w:t>of</w:t>
      </w:r>
      <w:r w:rsidR="00B549D5">
        <w:rPr>
          <w:lang w:val="en-GB"/>
        </w:rPr>
        <w:t xml:space="preserve"> why Foucault does provide a useful theory. This last section turns to some theories that expanded on Foucault’s work, in order to clarify my choice for Foucault instead of newer work, which has everything to do with the broader topic of my research: how power relations are </w:t>
      </w:r>
      <w:r w:rsidR="00243F0F">
        <w:rPr>
          <w:lang w:val="en-GB"/>
        </w:rPr>
        <w:t>reflected</w:t>
      </w:r>
      <w:r w:rsidR="00B549D5">
        <w:rPr>
          <w:lang w:val="en-GB"/>
        </w:rPr>
        <w:t xml:space="preserve"> and </w:t>
      </w:r>
      <w:r w:rsidR="00243F0F">
        <w:rPr>
          <w:lang w:val="en-GB"/>
        </w:rPr>
        <w:t>(</w:t>
      </w:r>
      <w:r w:rsidR="00B549D5">
        <w:rPr>
          <w:lang w:val="en-GB"/>
        </w:rPr>
        <w:t>re</w:t>
      </w:r>
      <w:r w:rsidR="00243F0F">
        <w:rPr>
          <w:lang w:val="en-GB"/>
        </w:rPr>
        <w:t>)</w:t>
      </w:r>
      <w:r w:rsidR="00B549D5">
        <w:rPr>
          <w:lang w:val="en-GB"/>
        </w:rPr>
        <w:t>produced in media discourses.</w:t>
      </w:r>
      <w:r w:rsidR="00E9412B">
        <w:rPr>
          <w:lang w:val="en-GB"/>
        </w:rPr>
        <w:t xml:space="preserve"> </w:t>
      </w:r>
    </w:p>
    <w:p w14:paraId="0EFE4A49" w14:textId="77777777" w:rsidR="00B549D5" w:rsidRPr="00270B55" w:rsidRDefault="00B549D5" w:rsidP="00E52F0F">
      <w:pPr>
        <w:spacing w:line="360" w:lineRule="auto"/>
        <w:rPr>
          <w:lang w:val="en-GB"/>
        </w:rPr>
      </w:pPr>
    </w:p>
    <w:p w14:paraId="4C748B17" w14:textId="5B845491" w:rsidR="00B549D5" w:rsidRPr="00270B55" w:rsidRDefault="00CC3E8E" w:rsidP="00E52F0F">
      <w:pPr>
        <w:pStyle w:val="Heading2"/>
        <w:spacing w:line="360" w:lineRule="auto"/>
        <w:ind w:left="-6"/>
        <w:rPr>
          <w:lang w:val="en-GB"/>
        </w:rPr>
      </w:pPr>
      <w:bookmarkStart w:id="12" w:name="h.52ydykz41m6p" w:colFirst="0" w:colLast="0"/>
      <w:bookmarkStart w:id="13" w:name="_Toc458983392"/>
      <w:bookmarkEnd w:id="12"/>
      <w:r>
        <w:rPr>
          <w:lang w:val="en-GB"/>
        </w:rPr>
        <w:t>2.1.</w:t>
      </w:r>
      <w:r w:rsidR="00686942">
        <w:rPr>
          <w:lang w:val="en-GB"/>
        </w:rPr>
        <w:t xml:space="preserve"> </w:t>
      </w:r>
      <w:r w:rsidR="00B549D5" w:rsidRPr="00270B55">
        <w:rPr>
          <w:lang w:val="en-GB"/>
        </w:rPr>
        <w:t>Power to</w:t>
      </w:r>
      <w:bookmarkEnd w:id="13"/>
    </w:p>
    <w:p w14:paraId="2E08D084" w14:textId="409E89F6" w:rsidR="00B549D5" w:rsidRPr="00270B55" w:rsidRDefault="00B549D5" w:rsidP="00E52F0F">
      <w:pPr>
        <w:spacing w:after="0" w:line="360" w:lineRule="auto"/>
        <w:jc w:val="both"/>
        <w:rPr>
          <w:lang w:val="en-GB"/>
        </w:rPr>
      </w:pPr>
      <w:r w:rsidRPr="00270B55">
        <w:rPr>
          <w:lang w:val="en-GB"/>
        </w:rPr>
        <w:t xml:space="preserve">As mentioned, </w:t>
      </w:r>
      <w:r w:rsidRPr="00270B55">
        <w:rPr>
          <w:i/>
          <w:lang w:val="en-GB"/>
        </w:rPr>
        <w:t xml:space="preserve">power to </w:t>
      </w:r>
      <w:r w:rsidRPr="00270B55">
        <w:rPr>
          <w:lang w:val="en-GB"/>
        </w:rPr>
        <w:t>is a disposition, an ability. As such, it is invisible</w:t>
      </w:r>
      <w:r>
        <w:rPr>
          <w:lang w:val="en-GB"/>
        </w:rPr>
        <w:t xml:space="preserve"> and remains unexercised: it is</w:t>
      </w:r>
      <w:r w:rsidRPr="00270B55">
        <w:rPr>
          <w:lang w:val="en-GB"/>
        </w:rPr>
        <w:t xml:space="preserve"> a potentiality as opposed to an actuality (Wrong, 1979; Morris 1987; Dowding 1996). There are two general </w:t>
      </w:r>
      <w:r w:rsidRPr="00270B55">
        <w:rPr>
          <w:lang w:val="en-GB"/>
        </w:rPr>
        <w:lastRenderedPageBreak/>
        <w:t xml:space="preserve">ways to consider </w:t>
      </w:r>
      <w:r w:rsidRPr="00270B55">
        <w:rPr>
          <w:i/>
          <w:lang w:val="en-GB"/>
        </w:rPr>
        <w:t>power to</w:t>
      </w:r>
      <w:r w:rsidRPr="00270B55">
        <w:rPr>
          <w:lang w:val="en-GB"/>
        </w:rPr>
        <w:t xml:space="preserve">, according to Göhler (2009). The first is to </w:t>
      </w:r>
      <w:r>
        <w:rPr>
          <w:lang w:val="en-GB"/>
        </w:rPr>
        <w:t>interpret</w:t>
      </w:r>
      <w:r w:rsidRPr="00270B55">
        <w:rPr>
          <w:lang w:val="en-GB"/>
        </w:rPr>
        <w:t xml:space="preserve"> it as preceding </w:t>
      </w:r>
      <w:r>
        <w:rPr>
          <w:i/>
          <w:lang w:val="en-GB"/>
        </w:rPr>
        <w:t xml:space="preserve">power </w:t>
      </w:r>
      <w:r w:rsidRPr="00270B55">
        <w:rPr>
          <w:i/>
          <w:lang w:val="en-GB"/>
        </w:rPr>
        <w:t>o</w:t>
      </w:r>
      <w:r>
        <w:rPr>
          <w:i/>
          <w:lang w:val="en-GB"/>
        </w:rPr>
        <w:t>ver</w:t>
      </w:r>
      <w:r>
        <w:rPr>
          <w:lang w:val="en-GB"/>
        </w:rPr>
        <w:t xml:space="preserve"> someone or something, thus</w:t>
      </w:r>
      <w:r w:rsidRPr="00270B55">
        <w:rPr>
          <w:lang w:val="en-GB"/>
        </w:rPr>
        <w:t xml:space="preserve"> defining the preconditions for power relations </w:t>
      </w:r>
      <w:r>
        <w:rPr>
          <w:lang w:val="en-GB"/>
        </w:rPr>
        <w:t>(</w:t>
      </w:r>
      <w:r w:rsidRPr="00270B55">
        <w:rPr>
          <w:lang w:val="en-GB"/>
        </w:rPr>
        <w:t>Dowding</w:t>
      </w:r>
      <w:r>
        <w:rPr>
          <w:lang w:val="en-GB"/>
        </w:rPr>
        <w:t>, 1996;</w:t>
      </w:r>
      <w:r w:rsidRPr="00270B55">
        <w:rPr>
          <w:lang w:val="en-GB"/>
        </w:rPr>
        <w:t xml:space="preserve"> Morris</w:t>
      </w:r>
      <w:r>
        <w:rPr>
          <w:lang w:val="en-GB"/>
        </w:rPr>
        <w:t xml:space="preserve">, </w:t>
      </w:r>
      <w:r w:rsidRPr="00270B55">
        <w:rPr>
          <w:lang w:val="en-GB"/>
        </w:rPr>
        <w:t>1987</w:t>
      </w:r>
      <w:r>
        <w:rPr>
          <w:lang w:val="en-GB"/>
        </w:rPr>
        <w:t>)</w:t>
      </w:r>
      <w:r w:rsidRPr="00270B55">
        <w:rPr>
          <w:lang w:val="en-GB"/>
        </w:rPr>
        <w:t xml:space="preserve">. </w:t>
      </w:r>
      <w:r>
        <w:rPr>
          <w:lang w:val="en-GB"/>
        </w:rPr>
        <w:t xml:space="preserve">In this reading, having a certain ability provides the power to do something. </w:t>
      </w:r>
      <w:r w:rsidR="00243F0F">
        <w:rPr>
          <w:lang w:val="en-GB"/>
        </w:rPr>
        <w:t>Secondly, it can be regarded</w:t>
      </w:r>
      <w:r w:rsidRPr="00270B55">
        <w:rPr>
          <w:lang w:val="en-GB"/>
        </w:rPr>
        <w:t xml:space="preserve"> not as a precondition, but as a form of power in itself, and as such, as an essential dimension of soc</w:t>
      </w:r>
      <w:r w:rsidR="00F7200D">
        <w:rPr>
          <w:lang w:val="en-GB"/>
        </w:rPr>
        <w:t xml:space="preserve">ial relations (Göhler, 2009, </w:t>
      </w:r>
      <w:r w:rsidRPr="00270B55">
        <w:rPr>
          <w:lang w:val="en-GB"/>
        </w:rPr>
        <w:t xml:space="preserve">31). Because </w:t>
      </w:r>
      <w:r w:rsidRPr="00270B55">
        <w:rPr>
          <w:i/>
          <w:lang w:val="en-GB"/>
        </w:rPr>
        <w:t>power to</w:t>
      </w:r>
      <w:r w:rsidRPr="00270B55">
        <w:rPr>
          <w:lang w:val="en-GB"/>
        </w:rPr>
        <w:t xml:space="preserve"> is generally aimed at individuals or groups themselves, </w:t>
      </w:r>
      <w:r>
        <w:rPr>
          <w:lang w:val="en-GB"/>
        </w:rPr>
        <w:t>at</w:t>
      </w:r>
      <w:r w:rsidRPr="00270B55">
        <w:rPr>
          <w:lang w:val="en-GB"/>
        </w:rPr>
        <w:t xml:space="preserve"> the ability to act autonomously instead of </w:t>
      </w:r>
      <w:r>
        <w:rPr>
          <w:lang w:val="en-GB"/>
        </w:rPr>
        <w:t>at</w:t>
      </w:r>
      <w:r w:rsidRPr="00270B55">
        <w:rPr>
          <w:lang w:val="en-GB"/>
        </w:rPr>
        <w:t xml:space="preserve"> the consequences of the exercise of power for others, it is often </w:t>
      </w:r>
      <w:r>
        <w:rPr>
          <w:lang w:val="en-GB"/>
        </w:rPr>
        <w:t>viewed</w:t>
      </w:r>
      <w:r w:rsidR="00F7200D">
        <w:rPr>
          <w:lang w:val="en-GB"/>
        </w:rPr>
        <w:t xml:space="preserve"> favourably (Göhler, 2009, </w:t>
      </w:r>
      <w:r w:rsidRPr="00270B55">
        <w:rPr>
          <w:lang w:val="en-GB"/>
        </w:rPr>
        <w:t>28). After all, gaining or having an ability sounds more positive than exercising control over others.</w:t>
      </w:r>
      <w:r>
        <w:rPr>
          <w:lang w:val="en-GB"/>
        </w:rPr>
        <w:t xml:space="preserve"> The fact that power in </w:t>
      </w:r>
      <w:r>
        <w:rPr>
          <w:i/>
          <w:lang w:val="en-GB"/>
        </w:rPr>
        <w:t>power to</w:t>
      </w:r>
      <w:r>
        <w:rPr>
          <w:lang w:val="en-GB"/>
        </w:rPr>
        <w:t xml:space="preserve"> is not interpreted in the framework of a zero-sum game – if I gain power, you lose power – is an important feature adding to this positive outlook.</w:t>
      </w:r>
      <w:r w:rsidRPr="00270B55">
        <w:rPr>
          <w:lang w:val="en-GB"/>
        </w:rPr>
        <w:t xml:space="preserve"> </w:t>
      </w:r>
      <w:r>
        <w:rPr>
          <w:lang w:val="en-GB"/>
        </w:rPr>
        <w:t>In accordance</w:t>
      </w:r>
      <w:r w:rsidRPr="00270B55">
        <w:rPr>
          <w:lang w:val="en-GB"/>
        </w:rPr>
        <w:t xml:space="preserve">, as is demonstrated by the possibility of an individual having </w:t>
      </w:r>
      <w:r w:rsidRPr="00270B55">
        <w:rPr>
          <w:i/>
          <w:lang w:val="en-GB"/>
        </w:rPr>
        <w:t>power to</w:t>
      </w:r>
      <w:r w:rsidRPr="00270B55">
        <w:rPr>
          <w:lang w:val="en-GB"/>
        </w:rPr>
        <w:t xml:space="preserve">, it is not necessarily relational (Pitkin, 1972). Essential aspects of this conceptualisation of </w:t>
      </w:r>
      <w:r w:rsidRPr="00270B55">
        <w:rPr>
          <w:i/>
          <w:lang w:val="en-GB"/>
        </w:rPr>
        <w:t>power to</w:t>
      </w:r>
      <w:r w:rsidRPr="00270B55">
        <w:rPr>
          <w:lang w:val="en-GB"/>
        </w:rPr>
        <w:t xml:space="preserve"> </w:t>
      </w:r>
      <w:r w:rsidR="00243F0F" w:rsidRPr="00270B55">
        <w:rPr>
          <w:lang w:val="en-GB"/>
        </w:rPr>
        <w:t xml:space="preserve">thus </w:t>
      </w:r>
      <w:r w:rsidRPr="00270B55">
        <w:rPr>
          <w:lang w:val="en-GB"/>
        </w:rPr>
        <w:t xml:space="preserve">are its meaning as an ability, its potential character, and </w:t>
      </w:r>
      <w:r>
        <w:rPr>
          <w:lang w:val="en-GB"/>
        </w:rPr>
        <w:t>that it can be</w:t>
      </w:r>
      <w:r w:rsidRPr="00270B55">
        <w:rPr>
          <w:lang w:val="en-GB"/>
        </w:rPr>
        <w:t xml:space="preserve"> accorded to a group or an individual. </w:t>
      </w:r>
    </w:p>
    <w:p w14:paraId="233425A8" w14:textId="43F601F3" w:rsidR="00B549D5" w:rsidRDefault="00B549D5" w:rsidP="00E52F0F">
      <w:pPr>
        <w:spacing w:after="0" w:line="360" w:lineRule="auto"/>
        <w:ind w:firstLine="720"/>
        <w:jc w:val="both"/>
        <w:rPr>
          <w:lang w:val="en-GB"/>
        </w:rPr>
      </w:pPr>
      <w:r>
        <w:rPr>
          <w:lang w:val="en-GB"/>
        </w:rPr>
        <w:t>Nonetheless, some political theorists disagree with this conceptualisation or, in Göhler’s terms, make i</w:t>
      </w:r>
      <w:r w:rsidR="00F7200D">
        <w:rPr>
          <w:lang w:val="en-GB"/>
        </w:rPr>
        <w:t xml:space="preserve">t radically normative (2009, </w:t>
      </w:r>
      <w:r>
        <w:rPr>
          <w:lang w:val="en-GB"/>
        </w:rPr>
        <w:t>32). One of these scholars is Hannah Arendt</w:t>
      </w:r>
      <w:r w:rsidRPr="00270B55">
        <w:rPr>
          <w:lang w:val="en-GB"/>
        </w:rPr>
        <w:t xml:space="preserve">. In Arendt’s perspective, power “springs up between </w:t>
      </w:r>
      <w:r w:rsidR="00EC07F0">
        <w:rPr>
          <w:lang w:val="en-GB"/>
        </w:rPr>
        <w:t>men</w:t>
      </w:r>
      <w:r w:rsidRPr="00270B55">
        <w:rPr>
          <w:lang w:val="en-GB"/>
        </w:rPr>
        <w:t xml:space="preserve"> when they act together and vanishes the m</w:t>
      </w:r>
      <w:r w:rsidR="00F7200D">
        <w:rPr>
          <w:lang w:val="en-GB"/>
        </w:rPr>
        <w:t xml:space="preserve">oment they disperse.” (1998, </w:t>
      </w:r>
      <w:r w:rsidRPr="00270B55">
        <w:rPr>
          <w:lang w:val="en-GB"/>
        </w:rPr>
        <w:t>200)</w:t>
      </w:r>
      <w:r w:rsidR="00EC07F0">
        <w:rPr>
          <w:rStyle w:val="FootnoteReference"/>
          <w:lang w:val="en-GB"/>
        </w:rPr>
        <w:footnoteReference w:id="3"/>
      </w:r>
      <w:r w:rsidRPr="00270B55">
        <w:rPr>
          <w:lang w:val="en-GB"/>
        </w:rPr>
        <w:t xml:space="preserve"> So, although Arendt agrees with power’s potential character, she does not therefore think </w:t>
      </w:r>
      <w:r>
        <w:rPr>
          <w:lang w:val="en-GB"/>
        </w:rPr>
        <w:t xml:space="preserve">that </w:t>
      </w:r>
      <w:r w:rsidRPr="00270B55">
        <w:rPr>
          <w:lang w:val="en-GB"/>
        </w:rPr>
        <w:t>it cannot be a</w:t>
      </w:r>
      <w:r>
        <w:rPr>
          <w:lang w:val="en-GB"/>
        </w:rPr>
        <w:t>ctualised (</w:t>
      </w:r>
      <w:r w:rsidR="00F7200D">
        <w:rPr>
          <w:lang w:val="en-GB"/>
        </w:rPr>
        <w:t xml:space="preserve">1998, </w:t>
      </w:r>
      <w:r w:rsidR="00853EAA">
        <w:rPr>
          <w:lang w:val="en-GB"/>
        </w:rPr>
        <w:t>200</w:t>
      </w:r>
      <w:r>
        <w:rPr>
          <w:lang w:val="en-GB"/>
        </w:rPr>
        <w:t>). On the contrary, for Arendt power</w:t>
      </w:r>
      <w:r w:rsidRPr="00270B55">
        <w:rPr>
          <w:lang w:val="en-GB"/>
        </w:rPr>
        <w:t xml:space="preserve"> “exists only in its actual</w:t>
      </w:r>
      <w:r>
        <w:rPr>
          <w:lang w:val="en-GB"/>
        </w:rPr>
        <w:t>isation.” (</w:t>
      </w:r>
      <w:r w:rsidR="00F7200D">
        <w:rPr>
          <w:lang w:val="en-GB"/>
        </w:rPr>
        <w:t xml:space="preserve">1998, </w:t>
      </w:r>
      <w:r w:rsidR="00853EAA">
        <w:rPr>
          <w:lang w:val="en-GB"/>
        </w:rPr>
        <w:t>200</w:t>
      </w:r>
      <w:r>
        <w:rPr>
          <w:lang w:val="en-GB"/>
        </w:rPr>
        <w:t xml:space="preserve">). She explains her understanding of power more fully in </w:t>
      </w:r>
      <w:r>
        <w:rPr>
          <w:i/>
          <w:lang w:val="en-GB"/>
        </w:rPr>
        <w:t>On Violence:</w:t>
      </w:r>
    </w:p>
    <w:p w14:paraId="22955F5F" w14:textId="77777777" w:rsidR="00B549D5" w:rsidRDefault="00B549D5" w:rsidP="00E52F0F">
      <w:pPr>
        <w:spacing w:after="0" w:line="360" w:lineRule="auto"/>
        <w:ind w:firstLine="720"/>
        <w:jc w:val="both"/>
        <w:rPr>
          <w:lang w:val="en-GB"/>
        </w:rPr>
      </w:pPr>
    </w:p>
    <w:p w14:paraId="577881F9" w14:textId="79A3D4D3" w:rsidR="00B549D5" w:rsidRPr="00A93C1E" w:rsidRDefault="00B549D5" w:rsidP="00E52F0F">
      <w:pPr>
        <w:spacing w:after="0" w:line="360" w:lineRule="auto"/>
        <w:ind w:left="1134" w:right="708"/>
        <w:jc w:val="both"/>
        <w:rPr>
          <w:lang w:val="en-GB"/>
        </w:rPr>
      </w:pPr>
      <w:r>
        <w:rPr>
          <w:lang w:val="en-GB"/>
        </w:rPr>
        <w:t xml:space="preserve">Power corresponds to the human ability not just to act but to act in concert. Power is never the property of an individual; it belongs to a group and remains in existence only so long as the group keeps together. When we say of somebody that he is “in power” we actually refer to his being empowered by a certain number of people to act in their name. The moment the group, from which the power originated to begin with </w:t>
      </w:r>
      <w:r w:rsidRPr="00243F0F">
        <w:rPr>
          <w:lang w:val="en-GB"/>
        </w:rPr>
        <w:t>(</w:t>
      </w:r>
      <w:r w:rsidR="00243F0F" w:rsidRPr="00243F0F">
        <w:rPr>
          <w:lang w:val="en-GB"/>
        </w:rPr>
        <w:t>…</w:t>
      </w:r>
      <w:r w:rsidRPr="00243F0F">
        <w:rPr>
          <w:lang w:val="en-GB"/>
        </w:rPr>
        <w:t>),</w:t>
      </w:r>
      <w:r>
        <w:rPr>
          <w:lang w:val="en-GB"/>
        </w:rPr>
        <w:t xml:space="preserve"> disappears; “his </w:t>
      </w:r>
      <w:r w:rsidR="00F7200D">
        <w:rPr>
          <w:lang w:val="en-GB"/>
        </w:rPr>
        <w:t xml:space="preserve">power” also vanishes. (1972, </w:t>
      </w:r>
      <w:r>
        <w:rPr>
          <w:lang w:val="en-GB"/>
        </w:rPr>
        <w:t>143)</w:t>
      </w:r>
    </w:p>
    <w:p w14:paraId="451F0BB8" w14:textId="77777777" w:rsidR="00B549D5" w:rsidRDefault="00B549D5" w:rsidP="00E52F0F">
      <w:pPr>
        <w:spacing w:after="0" w:line="360" w:lineRule="auto"/>
        <w:ind w:firstLine="720"/>
        <w:jc w:val="both"/>
        <w:rPr>
          <w:lang w:val="en-GB"/>
        </w:rPr>
      </w:pPr>
    </w:p>
    <w:p w14:paraId="5AC434E6" w14:textId="6B9E0EE9" w:rsidR="00800051" w:rsidRPr="00800051" w:rsidRDefault="00243F0F" w:rsidP="0075373B">
      <w:pPr>
        <w:spacing w:after="0" w:line="360" w:lineRule="auto"/>
        <w:jc w:val="both"/>
        <w:rPr>
          <w:lang w:val="en-GB"/>
        </w:rPr>
      </w:pPr>
      <w:r>
        <w:rPr>
          <w:lang w:val="en-GB"/>
        </w:rPr>
        <w:t>Hence, p</w:t>
      </w:r>
      <w:r w:rsidR="00B549D5" w:rsidRPr="006C254D">
        <w:rPr>
          <w:lang w:val="en-GB"/>
        </w:rPr>
        <w:t xml:space="preserve">ower in Arendt’s theory can be seen as empowerment, and is commonly categorised as such (e.g. Beiner, 1990; Honig, 1995). It is </w:t>
      </w:r>
      <w:r w:rsidR="00703C9F" w:rsidRPr="006C254D">
        <w:rPr>
          <w:lang w:val="en-GB"/>
        </w:rPr>
        <w:t>a</w:t>
      </w:r>
      <w:r w:rsidR="00B549D5" w:rsidRPr="006C254D">
        <w:rPr>
          <w:lang w:val="en-GB"/>
        </w:rPr>
        <w:t xml:space="preserve"> </w:t>
      </w:r>
      <w:r w:rsidR="00C43E56">
        <w:rPr>
          <w:lang w:val="en-GB"/>
        </w:rPr>
        <w:t>useful</w:t>
      </w:r>
      <w:r w:rsidR="00B549D5" w:rsidRPr="006C254D">
        <w:rPr>
          <w:lang w:val="en-GB"/>
        </w:rPr>
        <w:t xml:space="preserve"> theory for horizontal political movements, such as the Occupy movement, because of its focus on the experience of those involved with power and on the potential of power to change the world (T</w:t>
      </w:r>
      <w:r w:rsidR="00F7200D">
        <w:rPr>
          <w:lang w:val="en-GB"/>
        </w:rPr>
        <w:t xml:space="preserve">opolski, 2015, </w:t>
      </w:r>
      <w:r w:rsidR="00B549D5" w:rsidRPr="006C254D">
        <w:rPr>
          <w:lang w:val="en-GB"/>
        </w:rPr>
        <w:t xml:space="preserve">65). But it does problematize the above conception of </w:t>
      </w:r>
      <w:r w:rsidR="00B549D5" w:rsidRPr="006C254D">
        <w:rPr>
          <w:i/>
          <w:lang w:val="en-GB"/>
        </w:rPr>
        <w:t>power to</w:t>
      </w:r>
      <w:r w:rsidR="00B549D5" w:rsidRPr="006C254D">
        <w:rPr>
          <w:lang w:val="en-GB"/>
        </w:rPr>
        <w:t xml:space="preserve">, which is focused on ability – a non-actualised potential – and thus may belong to an individual. </w:t>
      </w:r>
      <w:r w:rsidR="00B549D5">
        <w:rPr>
          <w:lang w:val="en-GB"/>
        </w:rPr>
        <w:t xml:space="preserve">For Arendt, power can only exist if people act together in the public sphere. </w:t>
      </w:r>
      <w:r w:rsidR="00800051">
        <w:rPr>
          <w:lang w:val="en-GB"/>
        </w:rPr>
        <w:t xml:space="preserve">Arendt’s conceptualisation of </w:t>
      </w:r>
      <w:r w:rsidR="00800051">
        <w:rPr>
          <w:lang w:val="en-GB"/>
        </w:rPr>
        <w:lastRenderedPageBreak/>
        <w:t xml:space="preserve">power as empowerment thus does not fit in the category of </w:t>
      </w:r>
      <w:r w:rsidR="00800051">
        <w:rPr>
          <w:i/>
          <w:lang w:val="en-GB"/>
        </w:rPr>
        <w:t>power to</w:t>
      </w:r>
      <w:r w:rsidR="00800051">
        <w:rPr>
          <w:lang w:val="en-GB"/>
        </w:rPr>
        <w:t xml:space="preserve">, but also not in </w:t>
      </w:r>
      <w:r w:rsidR="00800051">
        <w:rPr>
          <w:i/>
          <w:lang w:val="en-GB"/>
        </w:rPr>
        <w:t>power over,</w:t>
      </w:r>
      <w:r w:rsidR="00800051">
        <w:rPr>
          <w:lang w:val="en-GB"/>
        </w:rPr>
        <w:t xml:space="preserve"> as empowerment does not give one power over another (1970).</w:t>
      </w:r>
    </w:p>
    <w:p w14:paraId="5B82CB18" w14:textId="77777777" w:rsidR="00B549D5" w:rsidRPr="00270B55" w:rsidRDefault="00B549D5" w:rsidP="00E52F0F">
      <w:pPr>
        <w:spacing w:line="360" w:lineRule="auto"/>
        <w:rPr>
          <w:lang w:val="en-GB"/>
        </w:rPr>
      </w:pPr>
    </w:p>
    <w:p w14:paraId="43B63C0C" w14:textId="5612FDC4" w:rsidR="00B549D5" w:rsidRPr="00270B55" w:rsidRDefault="00CC3E8E" w:rsidP="00E52F0F">
      <w:pPr>
        <w:pStyle w:val="Heading2"/>
        <w:spacing w:line="360" w:lineRule="auto"/>
        <w:ind w:left="-6"/>
        <w:rPr>
          <w:lang w:val="en-GB"/>
        </w:rPr>
      </w:pPr>
      <w:bookmarkStart w:id="14" w:name="h.i13l1lhua3w2" w:colFirst="0" w:colLast="0"/>
      <w:bookmarkStart w:id="15" w:name="_Toc458983393"/>
      <w:bookmarkEnd w:id="14"/>
      <w:r>
        <w:rPr>
          <w:lang w:val="en-GB"/>
        </w:rPr>
        <w:t>2.2.</w:t>
      </w:r>
      <w:r w:rsidR="00686942">
        <w:rPr>
          <w:lang w:val="en-GB"/>
        </w:rPr>
        <w:t xml:space="preserve"> </w:t>
      </w:r>
      <w:r w:rsidR="00B549D5" w:rsidRPr="00270B55">
        <w:rPr>
          <w:lang w:val="en-GB"/>
        </w:rPr>
        <w:t>Power over</w:t>
      </w:r>
      <w:bookmarkEnd w:id="15"/>
    </w:p>
    <w:p w14:paraId="412A7A84" w14:textId="7254ADFB" w:rsidR="00B549D5" w:rsidRPr="00270B55" w:rsidRDefault="00800051" w:rsidP="00E52F0F">
      <w:pPr>
        <w:spacing w:after="0" w:line="360" w:lineRule="auto"/>
        <w:jc w:val="both"/>
        <w:rPr>
          <w:lang w:val="en-GB"/>
        </w:rPr>
      </w:pPr>
      <w:r>
        <w:rPr>
          <w:lang w:val="en-GB"/>
        </w:rPr>
        <w:t xml:space="preserve">Prevailing over others is essentially how </w:t>
      </w:r>
      <w:r w:rsidRPr="00800051">
        <w:rPr>
          <w:i/>
          <w:lang w:val="en-GB"/>
        </w:rPr>
        <w:t>p</w:t>
      </w:r>
      <w:r w:rsidR="00B549D5" w:rsidRPr="00800051">
        <w:rPr>
          <w:i/>
          <w:lang w:val="en-GB"/>
        </w:rPr>
        <w:t>ower</w:t>
      </w:r>
      <w:r w:rsidR="00B549D5" w:rsidRPr="00270B55">
        <w:rPr>
          <w:i/>
          <w:lang w:val="en-GB"/>
        </w:rPr>
        <w:t xml:space="preserve"> over</w:t>
      </w:r>
      <w:r w:rsidR="00B549D5" w:rsidRPr="00270B55">
        <w:rPr>
          <w:lang w:val="en-GB"/>
        </w:rPr>
        <w:t xml:space="preserve"> </w:t>
      </w:r>
      <w:r>
        <w:rPr>
          <w:lang w:val="en-GB"/>
        </w:rPr>
        <w:t xml:space="preserve">is </w:t>
      </w:r>
      <w:r w:rsidR="0075373B">
        <w:rPr>
          <w:lang w:val="en-GB"/>
        </w:rPr>
        <w:t xml:space="preserve">essentially </w:t>
      </w:r>
      <w:r>
        <w:rPr>
          <w:lang w:val="en-GB"/>
        </w:rPr>
        <w:t xml:space="preserve">considered </w:t>
      </w:r>
      <w:r w:rsidR="00F7200D">
        <w:rPr>
          <w:lang w:val="en-GB"/>
        </w:rPr>
        <w:t xml:space="preserve">(Göhler, 2009, </w:t>
      </w:r>
      <w:r w:rsidR="00B549D5" w:rsidRPr="00270B55">
        <w:rPr>
          <w:lang w:val="en-GB"/>
        </w:rPr>
        <w:t>29).</w:t>
      </w:r>
      <w:r w:rsidR="00B549D5">
        <w:rPr>
          <w:lang w:val="en-GB"/>
        </w:rPr>
        <w:t xml:space="preserve"> One way to understand the difference between </w:t>
      </w:r>
      <w:r w:rsidR="00B549D5">
        <w:rPr>
          <w:i/>
          <w:lang w:val="en-GB"/>
        </w:rPr>
        <w:t>power to</w:t>
      </w:r>
      <w:r w:rsidR="00B549D5">
        <w:rPr>
          <w:lang w:val="en-GB"/>
        </w:rPr>
        <w:t xml:space="preserve"> and </w:t>
      </w:r>
      <w:r w:rsidR="00B549D5">
        <w:rPr>
          <w:i/>
          <w:lang w:val="en-GB"/>
        </w:rPr>
        <w:t>power over</w:t>
      </w:r>
      <w:r w:rsidR="00B549D5">
        <w:rPr>
          <w:lang w:val="en-GB"/>
        </w:rPr>
        <w:t xml:space="preserve"> is to consider them as respectively horizontal and vertical power. Whereas </w:t>
      </w:r>
      <w:r w:rsidR="00B549D5">
        <w:rPr>
          <w:i/>
          <w:lang w:val="en-GB"/>
        </w:rPr>
        <w:t>power to</w:t>
      </w:r>
      <w:r w:rsidR="00B549D5">
        <w:rPr>
          <w:lang w:val="en-GB"/>
        </w:rPr>
        <w:t xml:space="preserve"> </w:t>
      </w:r>
      <w:r w:rsidR="00C43E56">
        <w:rPr>
          <w:lang w:val="en-GB"/>
        </w:rPr>
        <w:t>is interpreted</w:t>
      </w:r>
      <w:r w:rsidR="00B549D5">
        <w:rPr>
          <w:lang w:val="en-GB"/>
        </w:rPr>
        <w:t xml:space="preserve"> as something all persons may have, </w:t>
      </w:r>
      <w:r w:rsidR="00B549D5">
        <w:rPr>
          <w:i/>
          <w:lang w:val="en-GB"/>
        </w:rPr>
        <w:t>power over</w:t>
      </w:r>
      <w:r w:rsidR="00B549D5">
        <w:rPr>
          <w:lang w:val="en-GB"/>
        </w:rPr>
        <w:t xml:space="preserve"> only belongs to some while ruling over others. </w:t>
      </w:r>
      <w:r w:rsidR="00B549D5">
        <w:rPr>
          <w:i/>
          <w:lang w:val="en-GB"/>
        </w:rPr>
        <w:t>Power over</w:t>
      </w:r>
      <w:r w:rsidR="00B549D5" w:rsidRPr="00270B55">
        <w:rPr>
          <w:lang w:val="en-GB"/>
        </w:rPr>
        <w:t xml:space="preserve"> is </w:t>
      </w:r>
      <w:r w:rsidR="00B549D5">
        <w:rPr>
          <w:lang w:val="en-GB"/>
        </w:rPr>
        <w:t>thus</w:t>
      </w:r>
      <w:r w:rsidR="00B549D5" w:rsidRPr="00270B55">
        <w:rPr>
          <w:lang w:val="en-GB"/>
        </w:rPr>
        <w:t xml:space="preserve"> the enforcement of one person’s interests over those of other</w:t>
      </w:r>
      <w:r w:rsidR="00E828CD">
        <w:rPr>
          <w:lang w:val="en-GB"/>
        </w:rPr>
        <w:t xml:space="preserve"> persons</w:t>
      </w:r>
      <w:r w:rsidR="00B549D5" w:rsidRPr="00270B55">
        <w:rPr>
          <w:lang w:val="en-GB"/>
        </w:rPr>
        <w:t xml:space="preserve"> (</w:t>
      </w:r>
      <w:r w:rsidR="00F7200D">
        <w:rPr>
          <w:lang w:val="en-GB"/>
        </w:rPr>
        <w:t xml:space="preserve">Göhler, 2009, </w:t>
      </w:r>
      <w:r w:rsidR="00853EAA">
        <w:rPr>
          <w:lang w:val="en-GB"/>
        </w:rPr>
        <w:t>29</w:t>
      </w:r>
      <w:r w:rsidR="00B549D5" w:rsidRPr="00270B55">
        <w:rPr>
          <w:lang w:val="en-GB"/>
        </w:rPr>
        <w:t xml:space="preserve">). According to Göhler, it limits the possible actions of those subjected to it, and therefore always produces a negative result for those people </w:t>
      </w:r>
      <w:r w:rsidR="00F7200D">
        <w:rPr>
          <w:lang w:val="en-GB"/>
        </w:rPr>
        <w:t xml:space="preserve">(2009, </w:t>
      </w:r>
      <w:r w:rsidR="00E828CD">
        <w:rPr>
          <w:lang w:val="en-GB"/>
        </w:rPr>
        <w:t xml:space="preserve">28). It is negative because it always means less power for those subjected to it, even </w:t>
      </w:r>
      <w:r w:rsidR="00B549D5" w:rsidRPr="00270B55">
        <w:rPr>
          <w:lang w:val="en-GB"/>
        </w:rPr>
        <w:t xml:space="preserve">if the intentions of the person exercising </w:t>
      </w:r>
      <w:r w:rsidR="00B549D5" w:rsidRPr="00270B55">
        <w:rPr>
          <w:i/>
          <w:lang w:val="en-GB"/>
        </w:rPr>
        <w:t>power over</w:t>
      </w:r>
      <w:r w:rsidR="00B549D5" w:rsidRPr="00270B55">
        <w:rPr>
          <w:lang w:val="en-GB"/>
        </w:rPr>
        <w:t xml:space="preserve"> others are </w:t>
      </w:r>
      <w:r w:rsidR="00BE6177" w:rsidRPr="00270B55">
        <w:rPr>
          <w:lang w:val="en-GB"/>
        </w:rPr>
        <w:t>honourable</w:t>
      </w:r>
      <w:r w:rsidR="00B549D5" w:rsidRPr="00270B55">
        <w:rPr>
          <w:lang w:val="en-GB"/>
        </w:rPr>
        <w:t xml:space="preserve"> or if the </w:t>
      </w:r>
      <w:r w:rsidR="00BE6177">
        <w:rPr>
          <w:lang w:val="en-GB"/>
        </w:rPr>
        <w:t>consequences</w:t>
      </w:r>
      <w:r w:rsidR="00B549D5" w:rsidRPr="00270B55">
        <w:rPr>
          <w:lang w:val="en-GB"/>
        </w:rPr>
        <w:t xml:space="preserve"> </w:t>
      </w:r>
      <w:r w:rsidR="00B549D5">
        <w:rPr>
          <w:lang w:val="en-GB"/>
        </w:rPr>
        <w:t>are</w:t>
      </w:r>
      <w:r w:rsidR="00B549D5" w:rsidRPr="00270B55">
        <w:rPr>
          <w:lang w:val="en-GB"/>
        </w:rPr>
        <w:t xml:space="preserve"> positive</w:t>
      </w:r>
      <w:r w:rsidR="00E828CD">
        <w:rPr>
          <w:lang w:val="en-GB"/>
        </w:rPr>
        <w:t xml:space="preserve"> for the subjected</w:t>
      </w:r>
      <w:r w:rsidR="00B549D5" w:rsidRPr="00270B55">
        <w:rPr>
          <w:lang w:val="en-GB"/>
        </w:rPr>
        <w:t xml:space="preserve"> (</w:t>
      </w:r>
      <w:r w:rsidR="00F7200D">
        <w:rPr>
          <w:lang w:val="en-GB"/>
        </w:rPr>
        <w:t xml:space="preserve">2009, </w:t>
      </w:r>
      <w:r w:rsidR="00853EAA">
        <w:rPr>
          <w:lang w:val="en-GB"/>
        </w:rPr>
        <w:t>28</w:t>
      </w:r>
      <w:r w:rsidR="00B549D5" w:rsidRPr="00270B55">
        <w:rPr>
          <w:lang w:val="en-GB"/>
        </w:rPr>
        <w:t xml:space="preserve">). </w:t>
      </w:r>
    </w:p>
    <w:p w14:paraId="15AAF1D9" w14:textId="42C4B14D" w:rsidR="00B549D5" w:rsidRPr="00270B55" w:rsidRDefault="00B549D5" w:rsidP="00E52F0F">
      <w:pPr>
        <w:spacing w:after="0" w:line="360" w:lineRule="auto"/>
        <w:ind w:firstLine="720"/>
        <w:jc w:val="both"/>
        <w:rPr>
          <w:lang w:val="en-GB"/>
        </w:rPr>
      </w:pPr>
      <w:r w:rsidRPr="00270B55">
        <w:rPr>
          <w:lang w:val="en-GB"/>
        </w:rPr>
        <w:t xml:space="preserve">A classic definition of </w:t>
      </w:r>
      <w:r w:rsidRPr="00270B55">
        <w:rPr>
          <w:i/>
          <w:lang w:val="en-GB"/>
        </w:rPr>
        <w:t>power over</w:t>
      </w:r>
      <w:r w:rsidRPr="00270B55">
        <w:rPr>
          <w:lang w:val="en-GB"/>
        </w:rPr>
        <w:t xml:space="preserve"> is given by Max Weber: “[w]ithin a social relationship, power mea</w:t>
      </w:r>
      <w:r w:rsidR="002A3E36">
        <w:rPr>
          <w:lang w:val="en-GB"/>
        </w:rPr>
        <w:t>ns any chance, (no matter where</w:t>
      </w:r>
      <w:r w:rsidR="002A3E36" w:rsidRPr="00270B55">
        <w:rPr>
          <w:lang w:val="en-GB"/>
        </w:rPr>
        <w:t xml:space="preserve"> on</w:t>
      </w:r>
      <w:r w:rsidRPr="00270B55">
        <w:rPr>
          <w:lang w:val="en-GB"/>
        </w:rPr>
        <w:t xml:space="preserve"> this chance is based) to carry through one’s [individual or collective] own will (even against resistance).” (</w:t>
      </w:r>
      <w:r>
        <w:rPr>
          <w:lang w:val="en-GB"/>
        </w:rPr>
        <w:t xml:space="preserve">translation by </w:t>
      </w:r>
      <w:r w:rsidR="00F7200D">
        <w:rPr>
          <w:lang w:val="en-GB"/>
        </w:rPr>
        <w:t xml:space="preserve">Wallimann, 1977, </w:t>
      </w:r>
      <w:r w:rsidRPr="00270B55">
        <w:rPr>
          <w:lang w:val="en-GB"/>
        </w:rPr>
        <w:t xml:space="preserve">234) Robert Dahl further develops this definition and brings it from </w:t>
      </w:r>
      <w:r w:rsidR="00864CDD">
        <w:rPr>
          <w:lang w:val="en-GB"/>
        </w:rPr>
        <w:t xml:space="preserve">Weber’s sociological field to </w:t>
      </w:r>
      <w:r w:rsidRPr="00270B55">
        <w:rPr>
          <w:lang w:val="en-GB"/>
        </w:rPr>
        <w:t xml:space="preserve">political theory (1957). The more “intuitive idea of power”, </w:t>
      </w:r>
      <w:r w:rsidR="00864CDD">
        <w:rPr>
          <w:lang w:val="en-GB"/>
        </w:rPr>
        <w:t>Dahl states</w:t>
      </w:r>
      <w:r w:rsidRPr="00270B55">
        <w:rPr>
          <w:lang w:val="en-GB"/>
        </w:rPr>
        <w:t>, is that “A has power over B to the extent that he can get B to do something that B w</w:t>
      </w:r>
      <w:r w:rsidR="00F7200D">
        <w:rPr>
          <w:lang w:val="en-GB"/>
        </w:rPr>
        <w:t>ould not otherwise do.” (1957, 202-20</w:t>
      </w:r>
      <w:r w:rsidRPr="00270B55">
        <w:rPr>
          <w:lang w:val="en-GB"/>
        </w:rPr>
        <w:t>3) From his work</w:t>
      </w:r>
      <w:r>
        <w:rPr>
          <w:lang w:val="en-GB"/>
        </w:rPr>
        <w:t>,</w:t>
      </w:r>
      <w:r w:rsidRPr="00270B55">
        <w:rPr>
          <w:lang w:val="en-GB"/>
        </w:rPr>
        <w:t xml:space="preserve"> a classic </w:t>
      </w:r>
      <w:r w:rsidRPr="00270B55">
        <w:rPr>
          <w:i/>
          <w:lang w:val="en-GB"/>
        </w:rPr>
        <w:t>power over</w:t>
      </w:r>
      <w:r w:rsidRPr="00270B55">
        <w:rPr>
          <w:lang w:val="en-GB"/>
        </w:rPr>
        <w:t xml:space="preserve"> debate arose over the different dimensions of power that went on to well in the 1970s. The main engagers in this debate, besides Robert Dahl, were firstly Peter Bachrach and Morton Baratz (1962), and secondly Steven Lukes (1974). Lukes has summarised the </w:t>
      </w:r>
      <w:r w:rsidR="00864CDD">
        <w:rPr>
          <w:lang w:val="en-GB"/>
        </w:rPr>
        <w:t>main critiques within the debate</w:t>
      </w:r>
      <w:r w:rsidRPr="00270B55">
        <w:rPr>
          <w:lang w:val="en-GB"/>
        </w:rPr>
        <w:t xml:space="preserve">, denominating Dahl´s view as the one-dimensional view on power, Bachrach and Baratz´s perspective </w:t>
      </w:r>
      <w:r>
        <w:rPr>
          <w:lang w:val="en-GB"/>
        </w:rPr>
        <w:t xml:space="preserve">as </w:t>
      </w:r>
      <w:r w:rsidRPr="00270B55">
        <w:rPr>
          <w:lang w:val="en-GB"/>
        </w:rPr>
        <w:t xml:space="preserve">the two-dimensional view, and his own </w:t>
      </w:r>
      <w:r>
        <w:rPr>
          <w:lang w:val="en-GB"/>
        </w:rPr>
        <w:t xml:space="preserve">as </w:t>
      </w:r>
      <w:r w:rsidRPr="00270B55">
        <w:rPr>
          <w:lang w:val="en-GB"/>
        </w:rPr>
        <w:t xml:space="preserve">the three-dimensional view (1974). As the debate provides a good overview of the discussion around power, it will be reviewed somewhat more in depth than the other notions of </w:t>
      </w:r>
      <w:r>
        <w:rPr>
          <w:i/>
          <w:lang w:val="en-GB"/>
        </w:rPr>
        <w:t>power over</w:t>
      </w:r>
      <w:r w:rsidRPr="00270B55">
        <w:rPr>
          <w:lang w:val="en-GB"/>
        </w:rPr>
        <w:t xml:space="preserve">. </w:t>
      </w:r>
    </w:p>
    <w:p w14:paraId="5A0CC7C7" w14:textId="4C1344AC" w:rsidR="00B549D5" w:rsidRPr="00270B55" w:rsidRDefault="00B549D5" w:rsidP="00E52F0F">
      <w:pPr>
        <w:spacing w:after="0" w:line="360" w:lineRule="auto"/>
        <w:ind w:firstLine="720"/>
        <w:jc w:val="both"/>
        <w:rPr>
          <w:lang w:val="en-GB"/>
        </w:rPr>
      </w:pPr>
      <w:r w:rsidRPr="00270B55">
        <w:rPr>
          <w:lang w:val="en-GB"/>
        </w:rPr>
        <w:t>The reason that Lukes describes Dahl</w:t>
      </w:r>
      <w:r w:rsidR="00CC3E8E">
        <w:rPr>
          <w:lang w:val="en-GB"/>
        </w:rPr>
        <w:t>’</w:t>
      </w:r>
      <w:r w:rsidRPr="00270B55">
        <w:rPr>
          <w:lang w:val="en-GB"/>
        </w:rPr>
        <w:t>s theory as one-dimensional is that Dahl stresses the need to research concrete, observable behaviour (</w:t>
      </w:r>
      <w:r w:rsidR="00D133F1">
        <w:rPr>
          <w:lang w:val="en-GB"/>
        </w:rPr>
        <w:t>1974</w:t>
      </w:r>
      <w:r w:rsidRPr="00270B55">
        <w:rPr>
          <w:lang w:val="en-GB"/>
        </w:rPr>
        <w:t>). This means that one has to study the decision making and the results of decision</w:t>
      </w:r>
      <w:r w:rsidR="00CF1F6B">
        <w:rPr>
          <w:lang w:val="en-GB"/>
        </w:rPr>
        <w:t>s</w:t>
      </w:r>
      <w:r w:rsidRPr="00270B55">
        <w:rPr>
          <w:lang w:val="en-GB"/>
        </w:rPr>
        <w:t xml:space="preserve"> in order t</w:t>
      </w:r>
      <w:r w:rsidR="00F7200D">
        <w:rPr>
          <w:lang w:val="en-GB"/>
        </w:rPr>
        <w:t xml:space="preserve">o analyse power (Dahl, 1958, </w:t>
      </w:r>
      <w:r w:rsidRPr="00270B55">
        <w:rPr>
          <w:lang w:val="en-GB"/>
        </w:rPr>
        <w:t>466</w:t>
      </w:r>
      <w:r w:rsidR="00864CDD">
        <w:rPr>
          <w:lang w:val="en-GB"/>
        </w:rPr>
        <w:t>; 1961, 336</w:t>
      </w:r>
      <w:r w:rsidRPr="00270B55">
        <w:rPr>
          <w:lang w:val="en-GB"/>
        </w:rPr>
        <w:t xml:space="preserve">). </w:t>
      </w:r>
      <w:r w:rsidR="00FD7124">
        <w:rPr>
          <w:lang w:val="en-GB"/>
        </w:rPr>
        <w:t>Dahl</w:t>
      </w:r>
      <w:r w:rsidRPr="00270B55">
        <w:rPr>
          <w:lang w:val="en-GB"/>
        </w:rPr>
        <w:t xml:space="preserve"> assumed that decisions were concerned with direct conflict, </w:t>
      </w:r>
      <w:r w:rsidR="00864CDD">
        <w:rPr>
          <w:lang w:val="en-GB"/>
        </w:rPr>
        <w:t>i.e.</w:t>
      </w:r>
      <w:r w:rsidRPr="00270B55">
        <w:rPr>
          <w:lang w:val="en-GB"/>
        </w:rPr>
        <w:t xml:space="preserve"> with actual disagreement regarding the preferences o</w:t>
      </w:r>
      <w:r w:rsidR="00F7200D">
        <w:rPr>
          <w:lang w:val="en-GB"/>
        </w:rPr>
        <w:t xml:space="preserve">f at least two groups (1958, </w:t>
      </w:r>
      <w:r w:rsidRPr="00270B55">
        <w:rPr>
          <w:lang w:val="en-GB"/>
        </w:rPr>
        <w:t xml:space="preserve">467). </w:t>
      </w:r>
      <w:r w:rsidR="00FD7124">
        <w:rPr>
          <w:lang w:val="en-GB"/>
        </w:rPr>
        <w:t>He</w:t>
      </w:r>
      <w:r w:rsidRPr="00270B55">
        <w:rPr>
          <w:lang w:val="en-GB"/>
        </w:rPr>
        <w:t xml:space="preserve"> argued that this actual and observable conflict was a necessary </w:t>
      </w:r>
      <w:r w:rsidR="00CC3E8E">
        <w:rPr>
          <w:lang w:val="en-GB"/>
        </w:rPr>
        <w:t>–</w:t>
      </w:r>
      <w:r w:rsidRPr="00270B55">
        <w:rPr>
          <w:lang w:val="en-GB"/>
        </w:rPr>
        <w:t xml:space="preserve"> though perhaps not sufficient </w:t>
      </w:r>
      <w:r w:rsidR="00CC3E8E">
        <w:rPr>
          <w:lang w:val="en-GB"/>
        </w:rPr>
        <w:t>–</w:t>
      </w:r>
      <w:r w:rsidRPr="00270B55">
        <w:rPr>
          <w:lang w:val="en-GB"/>
        </w:rPr>
        <w:t xml:space="preserve"> condition of key issues (</w:t>
      </w:r>
      <w:r w:rsidR="00F7200D">
        <w:rPr>
          <w:lang w:val="en-GB"/>
        </w:rPr>
        <w:t xml:space="preserve">1958, </w:t>
      </w:r>
      <w:r w:rsidR="00D133F1">
        <w:rPr>
          <w:lang w:val="en-GB"/>
        </w:rPr>
        <w:t>467</w:t>
      </w:r>
      <w:r w:rsidRPr="00270B55">
        <w:rPr>
          <w:lang w:val="en-GB"/>
        </w:rPr>
        <w:t xml:space="preserve">). </w:t>
      </w:r>
      <w:r w:rsidR="00FD7124">
        <w:rPr>
          <w:lang w:val="en-GB"/>
        </w:rPr>
        <w:t>As such</w:t>
      </w:r>
      <w:r w:rsidRPr="00270B55">
        <w:rPr>
          <w:lang w:val="en-GB"/>
        </w:rPr>
        <w:t xml:space="preserve">, </w:t>
      </w:r>
      <w:r w:rsidR="00FD7124">
        <w:rPr>
          <w:lang w:val="en-GB"/>
        </w:rPr>
        <w:t>he</w:t>
      </w:r>
      <w:r w:rsidRPr="00270B55">
        <w:rPr>
          <w:lang w:val="en-GB"/>
        </w:rPr>
        <w:t xml:space="preserve"> analysed power by researching the behaviour during decision making regarding issues that concerned an observable conflict of preferences, which arose because of politica</w:t>
      </w:r>
      <w:r w:rsidR="00FD7124">
        <w:rPr>
          <w:lang w:val="en-GB"/>
        </w:rPr>
        <w:t>l participation</w:t>
      </w:r>
      <w:r>
        <w:rPr>
          <w:lang w:val="en-GB"/>
        </w:rPr>
        <w:t>.</w:t>
      </w:r>
    </w:p>
    <w:p w14:paraId="3759151B" w14:textId="2A622A02" w:rsidR="00B549D5" w:rsidRPr="00270B55" w:rsidRDefault="00CF1F6B" w:rsidP="00E52F0F">
      <w:pPr>
        <w:spacing w:after="0" w:line="360" w:lineRule="auto"/>
        <w:ind w:firstLine="720"/>
        <w:jc w:val="both"/>
        <w:rPr>
          <w:lang w:val="en-GB"/>
        </w:rPr>
      </w:pPr>
      <w:r>
        <w:rPr>
          <w:lang w:val="en-GB"/>
        </w:rPr>
        <w:t xml:space="preserve">Bachrach and Baratz, the </w:t>
      </w:r>
      <w:r w:rsidR="00B549D5" w:rsidRPr="00270B55">
        <w:rPr>
          <w:lang w:val="en-GB"/>
        </w:rPr>
        <w:t xml:space="preserve">first main critics of this view on power, </w:t>
      </w:r>
      <w:r>
        <w:rPr>
          <w:lang w:val="en-GB"/>
        </w:rPr>
        <w:t>argued</w:t>
      </w:r>
      <w:r w:rsidR="00B549D5">
        <w:rPr>
          <w:lang w:val="en-GB"/>
        </w:rPr>
        <w:t xml:space="preserve"> that Dahl ignored</w:t>
      </w:r>
      <w:r w:rsidR="00B549D5" w:rsidRPr="00270B55">
        <w:rPr>
          <w:lang w:val="en-GB"/>
        </w:rPr>
        <w:t xml:space="preserve"> another face of power (</w:t>
      </w:r>
      <w:r w:rsidR="00FD7124">
        <w:rPr>
          <w:lang w:val="en-GB"/>
        </w:rPr>
        <w:t>1970). Because Dahl only focused</w:t>
      </w:r>
      <w:r w:rsidR="00B549D5" w:rsidRPr="00270B55">
        <w:rPr>
          <w:lang w:val="en-GB"/>
        </w:rPr>
        <w:t xml:space="preserve"> on actual, observable conflict, he neglect</w:t>
      </w:r>
      <w:r w:rsidR="00FD7124">
        <w:rPr>
          <w:lang w:val="en-GB"/>
        </w:rPr>
        <w:t>ed</w:t>
      </w:r>
      <w:r w:rsidR="00B549D5" w:rsidRPr="00270B55">
        <w:rPr>
          <w:lang w:val="en-GB"/>
        </w:rPr>
        <w:t xml:space="preserve"> the process before the discussions about certain decisions. </w:t>
      </w:r>
      <w:r w:rsidR="00FD7124">
        <w:rPr>
          <w:lang w:val="en-GB"/>
        </w:rPr>
        <w:t xml:space="preserve">According to Bachrach and Baratz, </w:t>
      </w:r>
      <w:r>
        <w:rPr>
          <w:lang w:val="en-GB"/>
        </w:rPr>
        <w:t xml:space="preserve">in </w:t>
      </w:r>
      <w:r w:rsidR="00FD7124">
        <w:rPr>
          <w:lang w:val="en-GB"/>
        </w:rPr>
        <w:t xml:space="preserve">this process </w:t>
      </w:r>
      <w:r>
        <w:rPr>
          <w:lang w:val="en-GB"/>
        </w:rPr>
        <w:t xml:space="preserve">the </w:t>
      </w:r>
      <w:r w:rsidR="00B549D5" w:rsidRPr="00270B55">
        <w:rPr>
          <w:lang w:val="en-GB"/>
        </w:rPr>
        <w:t xml:space="preserve">issues </w:t>
      </w:r>
      <w:r w:rsidR="00FD7124">
        <w:rPr>
          <w:lang w:val="en-GB"/>
        </w:rPr>
        <w:lastRenderedPageBreak/>
        <w:t>to</w:t>
      </w:r>
      <w:r w:rsidR="00B549D5" w:rsidRPr="00270B55">
        <w:rPr>
          <w:lang w:val="en-GB"/>
        </w:rPr>
        <w:t xml:space="preserve"> be debated are chosen or rejected. As such, </w:t>
      </w:r>
      <w:r>
        <w:rPr>
          <w:lang w:val="en-GB"/>
        </w:rPr>
        <w:t>they</w:t>
      </w:r>
      <w:r w:rsidR="00B549D5" w:rsidRPr="00270B55">
        <w:rPr>
          <w:lang w:val="en-GB"/>
        </w:rPr>
        <w:t xml:space="preserve"> argue</w:t>
      </w:r>
      <w:r>
        <w:rPr>
          <w:lang w:val="en-GB"/>
        </w:rPr>
        <w:t>d</w:t>
      </w:r>
      <w:r w:rsidR="00B549D5" w:rsidRPr="00270B55">
        <w:rPr>
          <w:lang w:val="en-GB"/>
        </w:rPr>
        <w:t xml:space="preserve"> that the mobilisation of bias, i.e. the setting of the agenda, the inclusion and exclusion of specific issues in the political sphere, is a second face of power (1970). </w:t>
      </w:r>
      <w:r w:rsidR="00B549D5">
        <w:rPr>
          <w:lang w:val="en-GB"/>
        </w:rPr>
        <w:t>One way in which</w:t>
      </w:r>
      <w:r w:rsidR="00B549D5" w:rsidRPr="00270B55">
        <w:rPr>
          <w:lang w:val="en-GB"/>
        </w:rPr>
        <w:t xml:space="preserve"> issues </w:t>
      </w:r>
      <w:r w:rsidR="00B549D5">
        <w:rPr>
          <w:lang w:val="en-GB"/>
        </w:rPr>
        <w:t xml:space="preserve">can be excluded </w:t>
      </w:r>
      <w:r>
        <w:rPr>
          <w:lang w:val="en-GB"/>
        </w:rPr>
        <w:t>from the political sphere</w:t>
      </w:r>
      <w:r w:rsidR="00B549D5" w:rsidRPr="00270B55">
        <w:rPr>
          <w:lang w:val="en-GB"/>
        </w:rPr>
        <w:t xml:space="preserve"> </w:t>
      </w:r>
      <w:r w:rsidR="00B549D5">
        <w:rPr>
          <w:lang w:val="en-GB"/>
        </w:rPr>
        <w:t>is</w:t>
      </w:r>
      <w:r w:rsidR="00B549D5" w:rsidRPr="00270B55">
        <w:rPr>
          <w:lang w:val="en-GB"/>
        </w:rPr>
        <w:t xml:space="preserve"> when A creates or reinforces “social and political values and institutional practices” that will lead to consideration of only those issues that are relatively harm</w:t>
      </w:r>
      <w:r w:rsidR="00F7200D">
        <w:rPr>
          <w:lang w:val="en-GB"/>
        </w:rPr>
        <w:t xml:space="preserve">less to A´s interests (1970, </w:t>
      </w:r>
      <w:r w:rsidR="00B549D5" w:rsidRPr="00270B55">
        <w:rPr>
          <w:lang w:val="en-GB"/>
        </w:rPr>
        <w:t>7). When A devotes his/her energy to do</w:t>
      </w:r>
      <w:r>
        <w:rPr>
          <w:lang w:val="en-GB"/>
        </w:rPr>
        <w:t>ing so, power is also exercised:</w:t>
      </w:r>
      <w:r w:rsidR="00B549D5" w:rsidRPr="00270B55">
        <w:rPr>
          <w:lang w:val="en-GB"/>
        </w:rPr>
        <w:t xml:space="preserve"> it may lead to exclusion of issues that are of great importance to B (</w:t>
      </w:r>
      <w:r w:rsidR="00F7200D">
        <w:rPr>
          <w:lang w:val="en-GB"/>
        </w:rPr>
        <w:t xml:space="preserve">1970, </w:t>
      </w:r>
      <w:r w:rsidR="00D133F1">
        <w:rPr>
          <w:lang w:val="en-GB"/>
        </w:rPr>
        <w:t>7</w:t>
      </w:r>
      <w:r w:rsidR="00B549D5" w:rsidRPr="00270B55">
        <w:rPr>
          <w:lang w:val="en-GB"/>
        </w:rPr>
        <w:t>). Based on this view, Bachrach and Baratz argue for analysing power by studying not only the actual decisions, but also the ´non</w:t>
      </w:r>
      <w:r w:rsidR="00006D3D">
        <w:rPr>
          <w:lang w:val="en-GB"/>
        </w:rPr>
        <w:t>-</w:t>
      </w:r>
      <w:r w:rsidR="00B549D5" w:rsidRPr="00270B55">
        <w:rPr>
          <w:lang w:val="en-GB"/>
        </w:rPr>
        <w:t>decisions´, i.e. those decisions that limit the scope of decision making to the issues that are not a palpable challenge to the decision maker</w:t>
      </w:r>
      <w:r w:rsidR="00CC3E8E">
        <w:rPr>
          <w:lang w:val="en-GB"/>
        </w:rPr>
        <w:t>’</w:t>
      </w:r>
      <w:r w:rsidR="00B549D5" w:rsidRPr="00270B55">
        <w:rPr>
          <w:lang w:val="en-GB"/>
        </w:rPr>
        <w:t xml:space="preserve">s interests (1970). </w:t>
      </w:r>
    </w:p>
    <w:p w14:paraId="538624D5" w14:textId="20492ABB" w:rsidR="00B549D5" w:rsidRDefault="00B549D5" w:rsidP="00E52F0F">
      <w:pPr>
        <w:spacing w:after="0" w:line="360" w:lineRule="auto"/>
        <w:ind w:firstLine="720"/>
        <w:jc w:val="both"/>
        <w:rPr>
          <w:lang w:val="en-GB"/>
        </w:rPr>
      </w:pPr>
      <w:r w:rsidRPr="00270B55">
        <w:rPr>
          <w:lang w:val="en-GB"/>
        </w:rPr>
        <w:t>In Lukes´ view, Bachrach and Baratz are thereby actually redefining the boundaries of what count</w:t>
      </w:r>
      <w:r w:rsidR="00F7200D">
        <w:rPr>
          <w:lang w:val="en-GB"/>
        </w:rPr>
        <w:t xml:space="preserve">s as a political issue </w:t>
      </w:r>
      <w:r w:rsidR="00CF1F6B">
        <w:rPr>
          <w:lang w:val="en-GB"/>
        </w:rPr>
        <w:t>by</w:t>
      </w:r>
      <w:r w:rsidRPr="00270B55">
        <w:rPr>
          <w:lang w:val="en-GB"/>
        </w:rPr>
        <w:t xml:space="preserve"> including potential issues that could have been intr</w:t>
      </w:r>
      <w:r w:rsidR="00D133F1">
        <w:rPr>
          <w:lang w:val="en-GB"/>
        </w:rPr>
        <w:t>oduced in the political system</w:t>
      </w:r>
      <w:r w:rsidR="00CF1F6B">
        <w:rPr>
          <w:lang w:val="en-GB"/>
        </w:rPr>
        <w:t xml:space="preserve"> (1974, 23)</w:t>
      </w:r>
      <w:r w:rsidRPr="00270B55">
        <w:rPr>
          <w:lang w:val="en-GB"/>
        </w:rPr>
        <w:t xml:space="preserve">. </w:t>
      </w:r>
      <w:r>
        <w:rPr>
          <w:lang w:val="en-GB"/>
        </w:rPr>
        <w:t>Alt</w:t>
      </w:r>
      <w:r w:rsidRPr="00270B55">
        <w:rPr>
          <w:lang w:val="en-GB"/>
        </w:rPr>
        <w:t xml:space="preserve">hough Lukes </w:t>
      </w:r>
      <w:r>
        <w:rPr>
          <w:lang w:val="en-GB"/>
        </w:rPr>
        <w:t>certainly views this</w:t>
      </w:r>
      <w:r w:rsidRPr="00270B55">
        <w:rPr>
          <w:lang w:val="en-GB"/>
        </w:rPr>
        <w:t xml:space="preserve"> as an improvement </w:t>
      </w:r>
      <w:r w:rsidRPr="00F37D6F">
        <w:rPr>
          <w:lang w:val="en-GB"/>
        </w:rPr>
        <w:t>to</w:t>
      </w:r>
      <w:r w:rsidRPr="00270B55">
        <w:rPr>
          <w:lang w:val="en-GB"/>
        </w:rPr>
        <w:t xml:space="preserve"> Dahl</w:t>
      </w:r>
      <w:r w:rsidR="00CC3E8E">
        <w:rPr>
          <w:lang w:val="en-GB"/>
        </w:rPr>
        <w:t>’</w:t>
      </w:r>
      <w:r w:rsidRPr="00270B55">
        <w:rPr>
          <w:lang w:val="en-GB"/>
        </w:rPr>
        <w:t xml:space="preserve">s definition of power, he </w:t>
      </w:r>
      <w:r w:rsidR="00CF1F6B">
        <w:rPr>
          <w:lang w:val="en-GB"/>
        </w:rPr>
        <w:t>claims</w:t>
      </w:r>
      <w:r w:rsidRPr="00270B55">
        <w:rPr>
          <w:lang w:val="en-GB"/>
        </w:rPr>
        <w:t xml:space="preserve"> it </w:t>
      </w:r>
      <w:r w:rsidR="00CF1F6B">
        <w:rPr>
          <w:lang w:val="en-GB"/>
        </w:rPr>
        <w:t>still lacks</w:t>
      </w:r>
      <w:r w:rsidRPr="00270B55">
        <w:rPr>
          <w:lang w:val="en-GB"/>
        </w:rPr>
        <w:t xml:space="preserve"> consid</w:t>
      </w:r>
      <w:r>
        <w:rPr>
          <w:lang w:val="en-GB"/>
        </w:rPr>
        <w:t>er</w:t>
      </w:r>
      <w:r w:rsidR="00D133F1">
        <w:rPr>
          <w:lang w:val="en-GB"/>
        </w:rPr>
        <w:t>ation</w:t>
      </w:r>
      <w:r w:rsidR="00CF1F6B">
        <w:rPr>
          <w:lang w:val="en-GB"/>
        </w:rPr>
        <w:t xml:space="preserve"> of another dimension </w:t>
      </w:r>
      <w:r w:rsidRPr="00270B55">
        <w:rPr>
          <w:lang w:val="en-GB"/>
        </w:rPr>
        <w:t>due to two characteristic</w:t>
      </w:r>
      <w:r>
        <w:rPr>
          <w:lang w:val="en-GB"/>
        </w:rPr>
        <w:t>s</w:t>
      </w:r>
      <w:r w:rsidRPr="00270B55">
        <w:rPr>
          <w:lang w:val="en-GB"/>
        </w:rPr>
        <w:t xml:space="preserve"> </w:t>
      </w:r>
      <w:r w:rsidR="00CF1F6B">
        <w:rPr>
          <w:lang w:val="en-GB"/>
        </w:rPr>
        <w:t>shared in</w:t>
      </w:r>
      <w:r w:rsidRPr="00270B55">
        <w:rPr>
          <w:lang w:val="en-GB"/>
        </w:rPr>
        <w:t xml:space="preserve"> Dahl’s and Bachrach and Baratz’ </w:t>
      </w:r>
      <w:r w:rsidR="00E40BB4">
        <w:rPr>
          <w:lang w:val="en-GB"/>
        </w:rPr>
        <w:t>works</w:t>
      </w:r>
      <w:r w:rsidR="00CF1F6B">
        <w:rPr>
          <w:lang w:val="en-GB"/>
        </w:rPr>
        <w:t xml:space="preserve"> (1974, 23)</w:t>
      </w:r>
      <w:r w:rsidRPr="00270B55">
        <w:rPr>
          <w:lang w:val="en-GB"/>
        </w:rPr>
        <w:t>. Firstly, Lukes aims to overcome what he calls their methodological individualism, and secondly, he disagrees with the “association of power with actual,</w:t>
      </w:r>
      <w:r w:rsidR="00F7200D">
        <w:rPr>
          <w:lang w:val="en-GB"/>
        </w:rPr>
        <w:t xml:space="preserve"> observable conflict” (1974, </w:t>
      </w:r>
      <w:r w:rsidRPr="00270B55">
        <w:rPr>
          <w:lang w:val="en-GB"/>
        </w:rPr>
        <w:t xml:space="preserve">26). With the regard to the </w:t>
      </w:r>
      <w:r w:rsidR="00E40BB4">
        <w:rPr>
          <w:lang w:val="en-GB"/>
        </w:rPr>
        <w:t>former</w:t>
      </w:r>
      <w:r w:rsidRPr="00270B55">
        <w:rPr>
          <w:lang w:val="en-GB"/>
        </w:rPr>
        <w:t>, Lukes develops a theory that addresses not only the individual, but also the “phenomenon of collective action” and the “phenomenon of ‘systemic’ or organisational effects” (</w:t>
      </w:r>
      <w:r w:rsidR="00F7200D">
        <w:rPr>
          <w:lang w:val="en-GB"/>
        </w:rPr>
        <w:t xml:space="preserve">1974, </w:t>
      </w:r>
      <w:r w:rsidR="00D133F1">
        <w:rPr>
          <w:lang w:val="en-GB"/>
        </w:rPr>
        <w:t>26)</w:t>
      </w:r>
      <w:r w:rsidRPr="00270B55">
        <w:rPr>
          <w:lang w:val="en-GB"/>
        </w:rPr>
        <w:t xml:space="preserve">. As such, </w:t>
      </w:r>
      <w:r w:rsidR="00E40BB4">
        <w:rPr>
          <w:lang w:val="en-GB"/>
        </w:rPr>
        <w:t>his</w:t>
      </w:r>
      <w:r w:rsidRPr="00270B55">
        <w:rPr>
          <w:lang w:val="en-GB"/>
        </w:rPr>
        <w:t xml:space="preserve"> theory allows for the analysis of actions of a collectivity, where power cannot be traced</w:t>
      </w:r>
      <w:r w:rsidR="00E40BB4">
        <w:rPr>
          <w:lang w:val="en-GB"/>
        </w:rPr>
        <w:t xml:space="preserve"> back to particular individuals</w:t>
      </w:r>
      <w:r w:rsidRPr="00270B55">
        <w:rPr>
          <w:lang w:val="en-GB"/>
        </w:rPr>
        <w:t xml:space="preserve">. Regarding the </w:t>
      </w:r>
      <w:r w:rsidR="00E40BB4">
        <w:rPr>
          <w:lang w:val="en-GB"/>
        </w:rPr>
        <w:t>latter</w:t>
      </w:r>
      <w:r w:rsidRPr="00270B55">
        <w:rPr>
          <w:lang w:val="en-GB"/>
        </w:rPr>
        <w:t xml:space="preserve">, Lukes argues that associating power with observable conflict is </w:t>
      </w:r>
      <w:r w:rsidR="00E40BB4">
        <w:rPr>
          <w:lang w:val="en-GB"/>
        </w:rPr>
        <w:t>in</w:t>
      </w:r>
      <w:r w:rsidRPr="00270B55">
        <w:rPr>
          <w:lang w:val="en-GB"/>
        </w:rPr>
        <w:t>correc</w:t>
      </w:r>
      <w:r w:rsidR="00E40BB4">
        <w:rPr>
          <w:lang w:val="en-GB"/>
        </w:rPr>
        <w:t>t</w:t>
      </w:r>
      <w:r>
        <w:rPr>
          <w:lang w:val="en-GB"/>
        </w:rPr>
        <w:t xml:space="preserve"> for two reasons</w:t>
      </w:r>
      <w:r w:rsidRPr="00270B55">
        <w:rPr>
          <w:lang w:val="en-GB"/>
        </w:rPr>
        <w:t>. To begin with, it does not take into account those manipulation and authority</w:t>
      </w:r>
      <w:r w:rsidR="00E40BB4">
        <w:rPr>
          <w:lang w:val="en-GB"/>
        </w:rPr>
        <w:t>, which may not involve visible conflict</w:t>
      </w:r>
      <w:r w:rsidRPr="00270B55">
        <w:rPr>
          <w:lang w:val="en-GB"/>
        </w:rPr>
        <w:t xml:space="preserve"> (19</w:t>
      </w:r>
      <w:r w:rsidR="00F7200D">
        <w:rPr>
          <w:lang w:val="en-GB"/>
        </w:rPr>
        <w:t xml:space="preserve">74, </w:t>
      </w:r>
      <w:r w:rsidRPr="00270B55">
        <w:rPr>
          <w:lang w:val="en-GB"/>
        </w:rPr>
        <w:t xml:space="preserve">27). </w:t>
      </w:r>
      <w:r w:rsidR="00E40BB4">
        <w:rPr>
          <w:lang w:val="en-GB"/>
        </w:rPr>
        <w:t>In their defence, Bachrach and Baratz state each is an</w:t>
      </w:r>
      <w:r w:rsidRPr="00270B55">
        <w:rPr>
          <w:lang w:val="en-GB"/>
        </w:rPr>
        <w:t xml:space="preserve"> “agreement </w:t>
      </w:r>
      <w:r w:rsidR="00F7200D">
        <w:rPr>
          <w:lang w:val="en-GB"/>
        </w:rPr>
        <w:t xml:space="preserve">based upon reason” (1970, </w:t>
      </w:r>
      <w:r w:rsidRPr="00270B55">
        <w:rPr>
          <w:lang w:val="en-GB"/>
        </w:rPr>
        <w:t>20).</w:t>
      </w:r>
      <w:r w:rsidR="00E40BB4">
        <w:rPr>
          <w:lang w:val="en-GB"/>
        </w:rPr>
        <w:t xml:space="preserve"> I</w:t>
      </w:r>
      <w:r w:rsidRPr="00270B55">
        <w:rPr>
          <w:lang w:val="en-GB"/>
        </w:rPr>
        <w:t>n everyday life</w:t>
      </w:r>
      <w:r w:rsidR="00E40BB4">
        <w:rPr>
          <w:lang w:val="en-GB"/>
        </w:rPr>
        <w:t>, however,</w:t>
      </w:r>
      <w:r w:rsidRPr="00270B55">
        <w:rPr>
          <w:lang w:val="en-GB"/>
        </w:rPr>
        <w:t xml:space="preserve"> manipulation is not considered to be ‘agreement based upon reason’, since the persons who are manipulated are not in an equal position with regard to information or means as the </w:t>
      </w:r>
      <w:r>
        <w:rPr>
          <w:lang w:val="en-GB"/>
        </w:rPr>
        <w:t>manipulators</w:t>
      </w:r>
      <w:r w:rsidRPr="00270B55">
        <w:rPr>
          <w:lang w:val="en-GB"/>
        </w:rPr>
        <w:t xml:space="preserve">. Lukes, </w:t>
      </w:r>
      <w:r w:rsidR="00E40BB4">
        <w:rPr>
          <w:lang w:val="en-GB"/>
        </w:rPr>
        <w:t>moreover</w:t>
      </w:r>
      <w:r w:rsidRPr="00270B55">
        <w:rPr>
          <w:lang w:val="en-GB"/>
        </w:rPr>
        <w:t>, goes even further</w:t>
      </w:r>
      <w:r>
        <w:rPr>
          <w:lang w:val="en-GB"/>
        </w:rPr>
        <w:t>. H</w:t>
      </w:r>
      <w:r w:rsidRPr="00270B55">
        <w:rPr>
          <w:lang w:val="en-GB"/>
        </w:rPr>
        <w:t xml:space="preserve">e asks: “is it not the supreme exercise of power to get another or others to have the desires you want them to have </w:t>
      </w:r>
      <w:r w:rsidR="00CC3E8E">
        <w:rPr>
          <w:lang w:val="en-GB"/>
        </w:rPr>
        <w:t>–</w:t>
      </w:r>
      <w:r w:rsidRPr="00270B55">
        <w:rPr>
          <w:lang w:val="en-GB"/>
        </w:rPr>
        <w:t xml:space="preserve"> that is, to secure their compliance by controlling their t</w:t>
      </w:r>
      <w:r w:rsidR="00F7200D">
        <w:rPr>
          <w:lang w:val="en-GB"/>
        </w:rPr>
        <w:t xml:space="preserve">houghts and desires?” (1974, </w:t>
      </w:r>
      <w:r w:rsidRPr="00270B55">
        <w:rPr>
          <w:lang w:val="en-GB"/>
        </w:rPr>
        <w:t>27) If I have certain thoughts and desires that are actually the result of someone else controlling me unnoticeably, there is no form of observable conflict.</w:t>
      </w:r>
      <w:r w:rsidR="00E40BB4">
        <w:rPr>
          <w:lang w:val="en-GB"/>
        </w:rPr>
        <w:t xml:space="preserve"> Therefore,</w:t>
      </w:r>
      <w:r w:rsidRPr="00270B55">
        <w:rPr>
          <w:lang w:val="en-GB"/>
        </w:rPr>
        <w:t xml:space="preserve"> Lukes </w:t>
      </w:r>
      <w:r>
        <w:rPr>
          <w:lang w:val="en-GB"/>
        </w:rPr>
        <w:t>concludes that preventing</w:t>
      </w:r>
      <w:r w:rsidRPr="00270B55">
        <w:rPr>
          <w:lang w:val="en-GB"/>
        </w:rPr>
        <w:t xml:space="preserve"> the </w:t>
      </w:r>
      <w:r>
        <w:rPr>
          <w:lang w:val="en-GB"/>
        </w:rPr>
        <w:t>rise</w:t>
      </w:r>
      <w:r w:rsidRPr="00270B55">
        <w:rPr>
          <w:lang w:val="en-GB"/>
        </w:rPr>
        <w:t xml:space="preserve"> of conflict concerning overt or covert decisions or non</w:t>
      </w:r>
      <w:r>
        <w:rPr>
          <w:lang w:val="en-GB"/>
        </w:rPr>
        <w:t>-</w:t>
      </w:r>
      <w:r w:rsidRPr="00270B55">
        <w:rPr>
          <w:lang w:val="en-GB"/>
        </w:rPr>
        <w:t>decisions is “the most effective and insidious use of power” (</w:t>
      </w:r>
      <w:r w:rsidR="00F7200D">
        <w:rPr>
          <w:lang w:val="en-GB"/>
        </w:rPr>
        <w:t xml:space="preserve">1974, </w:t>
      </w:r>
      <w:r w:rsidR="00D133F1">
        <w:rPr>
          <w:lang w:val="en-GB"/>
        </w:rPr>
        <w:t>27</w:t>
      </w:r>
      <w:r w:rsidRPr="00270B55">
        <w:rPr>
          <w:lang w:val="en-GB"/>
        </w:rPr>
        <w:t>). Based on these criticism</w:t>
      </w:r>
      <w:r>
        <w:rPr>
          <w:lang w:val="en-GB"/>
        </w:rPr>
        <w:t>s</w:t>
      </w:r>
      <w:r w:rsidRPr="00270B55">
        <w:rPr>
          <w:lang w:val="en-GB"/>
        </w:rPr>
        <w:t xml:space="preserve">, Lukes proposes a three-dimensional view of power. He defines power by saying that “A exercises power over B when A </w:t>
      </w:r>
      <w:proofErr w:type="gramStart"/>
      <w:r w:rsidRPr="00270B55">
        <w:rPr>
          <w:lang w:val="en-GB"/>
        </w:rPr>
        <w:t>affects</w:t>
      </w:r>
      <w:proofErr w:type="gramEnd"/>
      <w:r w:rsidRPr="00270B55">
        <w:rPr>
          <w:lang w:val="en-GB"/>
        </w:rPr>
        <w:t xml:space="preserve"> B in a manner contrary to B’s interests.” (</w:t>
      </w:r>
      <w:r w:rsidR="00D133F1">
        <w:rPr>
          <w:lang w:val="en-GB"/>
        </w:rPr>
        <w:t>1974</w:t>
      </w:r>
      <w:r w:rsidR="00F7200D">
        <w:rPr>
          <w:lang w:val="en-GB"/>
        </w:rPr>
        <w:t xml:space="preserve">, </w:t>
      </w:r>
      <w:r w:rsidRPr="00270B55">
        <w:rPr>
          <w:lang w:val="en-GB"/>
        </w:rPr>
        <w:t xml:space="preserve">30) A conflict of interests is, as with Dahl’s and Bachrach and Baratz’ views, central to </w:t>
      </w:r>
      <w:r w:rsidR="00E40BB4">
        <w:rPr>
          <w:lang w:val="en-GB"/>
        </w:rPr>
        <w:t>his</w:t>
      </w:r>
      <w:r w:rsidRPr="00270B55">
        <w:rPr>
          <w:lang w:val="en-GB"/>
        </w:rPr>
        <w:t xml:space="preserve"> concept o</w:t>
      </w:r>
      <w:r>
        <w:rPr>
          <w:lang w:val="en-GB"/>
        </w:rPr>
        <w:t xml:space="preserve">f power. The </w:t>
      </w:r>
      <w:r w:rsidR="00E40BB4">
        <w:rPr>
          <w:lang w:val="en-GB"/>
        </w:rPr>
        <w:t>Lukes’ addition</w:t>
      </w:r>
      <w:r w:rsidRPr="00270B55">
        <w:rPr>
          <w:lang w:val="en-GB"/>
        </w:rPr>
        <w:t xml:space="preserve"> lies in its ‘radical’ view: according to Lukes, people’s interests “may themselves be a product of a system which works against their interests” (</w:t>
      </w:r>
      <w:r w:rsidR="00D133F1">
        <w:rPr>
          <w:lang w:val="en-GB"/>
        </w:rPr>
        <w:t>1974,</w:t>
      </w:r>
      <w:r w:rsidR="00F7200D">
        <w:rPr>
          <w:lang w:val="en-GB"/>
        </w:rPr>
        <w:t xml:space="preserve"> 3</w:t>
      </w:r>
      <w:r w:rsidRPr="00270B55">
        <w:rPr>
          <w:lang w:val="en-GB"/>
        </w:rPr>
        <w:t xml:space="preserve">8). </w:t>
      </w:r>
      <w:r w:rsidR="00E40BB4">
        <w:rPr>
          <w:lang w:val="en-GB"/>
        </w:rPr>
        <w:t>Due to</w:t>
      </w:r>
      <w:r w:rsidRPr="00270B55">
        <w:rPr>
          <w:lang w:val="en-GB"/>
        </w:rPr>
        <w:t xml:space="preserve"> this consideration, the three-dimensional view allows for deliberation of the various ways in which potential issues are denied entry into the political system, including through the workings of social forces and </w:t>
      </w:r>
      <w:r w:rsidRPr="00270B55">
        <w:rPr>
          <w:lang w:val="en-GB"/>
        </w:rPr>
        <w:lastRenderedPageBreak/>
        <w:t>institutions (</w:t>
      </w:r>
      <w:r w:rsidR="00D133F1">
        <w:rPr>
          <w:lang w:val="en-GB"/>
        </w:rPr>
        <w:t xml:space="preserve">1974, </w:t>
      </w:r>
      <w:r w:rsidRPr="00270B55">
        <w:rPr>
          <w:lang w:val="en-GB"/>
        </w:rPr>
        <w:t>28). As such, it becomes possible to analyse false or manipulate</w:t>
      </w:r>
      <w:r w:rsidR="00D133F1">
        <w:rPr>
          <w:lang w:val="en-GB"/>
        </w:rPr>
        <w:t>d consensus as a form of power</w:t>
      </w:r>
      <w:r w:rsidRPr="00270B55">
        <w:rPr>
          <w:lang w:val="en-GB"/>
        </w:rPr>
        <w:t xml:space="preserve">. </w:t>
      </w:r>
    </w:p>
    <w:p w14:paraId="5C3FF072" w14:textId="745A288B" w:rsidR="00B549D5" w:rsidRPr="00270B55" w:rsidRDefault="00B549D5" w:rsidP="00E52F0F">
      <w:pPr>
        <w:spacing w:after="0" w:line="360" w:lineRule="auto"/>
        <w:ind w:firstLine="720"/>
        <w:jc w:val="both"/>
        <w:rPr>
          <w:lang w:val="en-GB"/>
        </w:rPr>
      </w:pPr>
      <w:r>
        <w:rPr>
          <w:lang w:val="en-GB"/>
        </w:rPr>
        <w:t>The debate between Dahl, Bachrach and Baratz, and Lukes developed mainly in the setting of left-wing, Marxist so</w:t>
      </w:r>
      <w:r w:rsidR="00F7200D">
        <w:rPr>
          <w:lang w:val="en-GB"/>
        </w:rPr>
        <w:t xml:space="preserve">cial critique (Göhler, 2009, </w:t>
      </w:r>
      <w:r>
        <w:rPr>
          <w:lang w:val="en-GB"/>
        </w:rPr>
        <w:t xml:space="preserve">29). After the fall of the Berlin wall, people – including the engagers in the debate – became increasingly aware of the oppressive practices in the Soviet Union in the name of socialism. As this put strain on the debate between Dahl, Bachrach and Baratz, and Lukes, </w:t>
      </w:r>
      <w:r w:rsidR="00176FB3">
        <w:rPr>
          <w:lang w:val="en-GB"/>
        </w:rPr>
        <w:t>it</w:t>
      </w:r>
      <w:r>
        <w:rPr>
          <w:lang w:val="en-GB"/>
        </w:rPr>
        <w:t xml:space="preserve"> slowly ended</w:t>
      </w:r>
      <w:r w:rsidRPr="00270B55">
        <w:rPr>
          <w:lang w:val="en-GB"/>
        </w:rPr>
        <w:t xml:space="preserve"> (</w:t>
      </w:r>
      <w:r w:rsidR="00F7200D">
        <w:rPr>
          <w:lang w:val="en-GB"/>
        </w:rPr>
        <w:t xml:space="preserve">Phillips, 1991, </w:t>
      </w:r>
      <w:r>
        <w:rPr>
          <w:lang w:val="en-GB"/>
        </w:rPr>
        <w:t>12</w:t>
      </w:r>
      <w:r w:rsidRPr="00270B55">
        <w:rPr>
          <w:lang w:val="en-GB"/>
        </w:rPr>
        <w:t xml:space="preserve">; Ball, 1988; Clegg, 1989). </w:t>
      </w:r>
      <w:r>
        <w:rPr>
          <w:lang w:val="en-GB"/>
        </w:rPr>
        <w:t>Nevertheless</w:t>
      </w:r>
      <w:r w:rsidRPr="00270B55">
        <w:rPr>
          <w:lang w:val="en-GB"/>
        </w:rPr>
        <w:t xml:space="preserve">, </w:t>
      </w:r>
      <w:r>
        <w:rPr>
          <w:lang w:val="en-GB"/>
        </w:rPr>
        <w:t xml:space="preserve">a problem remains with the categorisation of power into </w:t>
      </w:r>
      <w:r>
        <w:rPr>
          <w:i/>
          <w:lang w:val="en-GB"/>
        </w:rPr>
        <w:t xml:space="preserve">power to </w:t>
      </w:r>
      <w:r>
        <w:rPr>
          <w:lang w:val="en-GB"/>
        </w:rPr>
        <w:t xml:space="preserve">and </w:t>
      </w:r>
      <w:r>
        <w:rPr>
          <w:i/>
          <w:lang w:val="en-GB"/>
        </w:rPr>
        <w:t xml:space="preserve">power </w:t>
      </w:r>
      <w:r w:rsidRPr="00F2567B">
        <w:rPr>
          <w:i/>
          <w:lang w:val="en-GB"/>
        </w:rPr>
        <w:t>over</w:t>
      </w:r>
      <w:r>
        <w:rPr>
          <w:lang w:val="en-GB"/>
        </w:rPr>
        <w:t>. Not only is it difficult to place Arendt’s theory within this model, Michel Foucault’s thoughts are also not suitable for either group.</w:t>
      </w:r>
    </w:p>
    <w:p w14:paraId="1BF822ED" w14:textId="77777777" w:rsidR="00B549D5" w:rsidRPr="00270B55" w:rsidRDefault="00B549D5" w:rsidP="00E52F0F">
      <w:pPr>
        <w:spacing w:line="360" w:lineRule="auto"/>
        <w:rPr>
          <w:lang w:val="en-GB"/>
        </w:rPr>
      </w:pPr>
    </w:p>
    <w:p w14:paraId="1960ABF3" w14:textId="36013807" w:rsidR="00B549D5" w:rsidRPr="00270B55" w:rsidRDefault="00CC3E8E" w:rsidP="00E52F0F">
      <w:pPr>
        <w:pStyle w:val="Heading2"/>
        <w:spacing w:line="360" w:lineRule="auto"/>
        <w:ind w:left="-6"/>
        <w:rPr>
          <w:lang w:val="en-GB"/>
        </w:rPr>
      </w:pPr>
      <w:bookmarkStart w:id="16" w:name="h.4k88ejia95q2" w:colFirst="0" w:colLast="0"/>
      <w:bookmarkStart w:id="17" w:name="_Toc458983394"/>
      <w:bookmarkEnd w:id="16"/>
      <w:r>
        <w:rPr>
          <w:lang w:val="en-GB"/>
        </w:rPr>
        <w:t>2.3.</w:t>
      </w:r>
      <w:r w:rsidR="00686942">
        <w:rPr>
          <w:lang w:val="en-GB"/>
        </w:rPr>
        <w:t xml:space="preserve"> </w:t>
      </w:r>
      <w:r w:rsidR="00B549D5" w:rsidRPr="00270B55">
        <w:rPr>
          <w:lang w:val="en-GB"/>
        </w:rPr>
        <w:t xml:space="preserve">Enter Foucault: </w:t>
      </w:r>
      <w:r w:rsidR="00B549D5">
        <w:rPr>
          <w:lang w:val="en-GB"/>
        </w:rPr>
        <w:t>Problematizing the categorisation</w:t>
      </w:r>
      <w:bookmarkEnd w:id="17"/>
      <w:r w:rsidR="003107A7">
        <w:rPr>
          <w:lang w:val="en-GB"/>
        </w:rPr>
        <w:t xml:space="preserve"> </w:t>
      </w:r>
    </w:p>
    <w:p w14:paraId="2CB1588E" w14:textId="6E58E57D" w:rsidR="00B549D5" w:rsidRPr="00270B55" w:rsidRDefault="00B549D5" w:rsidP="00E52F0F">
      <w:pPr>
        <w:spacing w:after="0" w:line="360" w:lineRule="auto"/>
        <w:jc w:val="both"/>
        <w:rPr>
          <w:lang w:val="en-GB"/>
        </w:rPr>
      </w:pPr>
      <w:r>
        <w:rPr>
          <w:lang w:val="en-GB"/>
        </w:rPr>
        <w:t>Foucault disagrees with the interpretation of power as ruling over someone or something. According to him, power is</w:t>
      </w:r>
      <w:r w:rsidRPr="00270B55">
        <w:rPr>
          <w:lang w:val="en-GB"/>
        </w:rPr>
        <w:t xml:space="preserve"> not merely repressive, as in the conception of </w:t>
      </w:r>
      <w:r w:rsidRPr="00270B55">
        <w:rPr>
          <w:i/>
          <w:lang w:val="en-GB"/>
        </w:rPr>
        <w:t>power over</w:t>
      </w:r>
      <w:r w:rsidRPr="00270B55">
        <w:rPr>
          <w:lang w:val="en-GB"/>
        </w:rPr>
        <w:t>, but also productive. According to Göhler</w:t>
      </w:r>
      <w:r w:rsidR="00B56D98">
        <w:rPr>
          <w:lang w:val="en-GB"/>
        </w:rPr>
        <w:t xml:space="preserve"> (2009, 29)</w:t>
      </w:r>
      <w:r w:rsidRPr="00270B55">
        <w:rPr>
          <w:lang w:val="en-GB"/>
        </w:rPr>
        <w:t>, Foucault shows this by his use of the word ‘subject’, which can have two mea</w:t>
      </w:r>
      <w:r w:rsidR="00F7200D">
        <w:rPr>
          <w:lang w:val="en-GB"/>
        </w:rPr>
        <w:t xml:space="preserve">nings (1982, </w:t>
      </w:r>
      <w:r w:rsidRPr="00270B55">
        <w:rPr>
          <w:lang w:val="en-GB"/>
        </w:rPr>
        <w:t xml:space="preserve">212). The first is in line with </w:t>
      </w:r>
      <w:r w:rsidRPr="00270B55">
        <w:rPr>
          <w:i/>
          <w:lang w:val="en-GB"/>
        </w:rPr>
        <w:t>power over</w:t>
      </w:r>
      <w:r w:rsidRPr="00270B55">
        <w:rPr>
          <w:lang w:val="en-GB"/>
        </w:rPr>
        <w:t>, namely being subject to someone else by control or</w:t>
      </w:r>
      <w:r w:rsidR="00F7200D">
        <w:rPr>
          <w:lang w:val="en-GB"/>
        </w:rPr>
        <w:t xml:space="preserve"> dependence (Foucault, 1982, </w:t>
      </w:r>
      <w:r w:rsidRPr="00270B55">
        <w:rPr>
          <w:lang w:val="en-GB"/>
        </w:rPr>
        <w:t xml:space="preserve">212). The second meaning, however, is less in line with </w:t>
      </w:r>
      <w:r w:rsidRPr="00270B55">
        <w:rPr>
          <w:i/>
          <w:lang w:val="en-GB"/>
        </w:rPr>
        <w:t>power over</w:t>
      </w:r>
      <w:r w:rsidRPr="00270B55">
        <w:rPr>
          <w:lang w:val="en-GB"/>
        </w:rPr>
        <w:t>, beca</w:t>
      </w:r>
      <w:r w:rsidR="007C5F30">
        <w:rPr>
          <w:lang w:val="en-GB"/>
        </w:rPr>
        <w:t>use it means to be “tied to his</w:t>
      </w:r>
      <w:r w:rsidRPr="00270B55">
        <w:rPr>
          <w:lang w:val="en-GB"/>
        </w:rPr>
        <w:t xml:space="preserve"> own identity by a conscience or self-knowledge” </w:t>
      </w:r>
      <w:r>
        <w:rPr>
          <w:lang w:val="en-GB"/>
        </w:rPr>
        <w:t>(</w:t>
      </w:r>
      <w:r w:rsidR="00F7200D">
        <w:rPr>
          <w:lang w:val="en-GB"/>
        </w:rPr>
        <w:t xml:space="preserve">1982, </w:t>
      </w:r>
      <w:r w:rsidR="00D133F1">
        <w:rPr>
          <w:lang w:val="en-GB"/>
        </w:rPr>
        <w:t>212</w:t>
      </w:r>
      <w:r>
        <w:rPr>
          <w:lang w:val="en-GB"/>
        </w:rPr>
        <w:t>). As such, it both represses</w:t>
      </w:r>
      <w:r w:rsidRPr="00270B55">
        <w:rPr>
          <w:lang w:val="en-GB"/>
        </w:rPr>
        <w:t>, but also produce</w:t>
      </w:r>
      <w:r>
        <w:rPr>
          <w:lang w:val="en-GB"/>
        </w:rPr>
        <w:t>s</w:t>
      </w:r>
      <w:r w:rsidRPr="00270B55">
        <w:rPr>
          <w:lang w:val="en-GB"/>
        </w:rPr>
        <w:t>. Persons are constituted as individuals with an identity only in the sense that they are subjects: by being subjected to social power relations, persons become subjects.</w:t>
      </w:r>
      <w:r>
        <w:rPr>
          <w:lang w:val="en-GB"/>
        </w:rPr>
        <w:t xml:space="preserve"> But these social relations only exist because they are reproduced by the subjects involved in them.</w:t>
      </w:r>
      <w:r w:rsidRPr="00270B55">
        <w:rPr>
          <w:lang w:val="en-GB"/>
        </w:rPr>
        <w:t xml:space="preserve"> </w:t>
      </w:r>
      <w:r>
        <w:rPr>
          <w:lang w:val="en-GB"/>
        </w:rPr>
        <w:t xml:space="preserve">Hence, Foucault’s conception of power does not fall in the category of </w:t>
      </w:r>
      <w:r>
        <w:rPr>
          <w:i/>
          <w:lang w:val="en-GB"/>
        </w:rPr>
        <w:t>power over</w:t>
      </w:r>
      <w:r>
        <w:rPr>
          <w:lang w:val="en-GB"/>
        </w:rPr>
        <w:t>,</w:t>
      </w:r>
      <w:r>
        <w:rPr>
          <w:i/>
          <w:lang w:val="en-GB"/>
        </w:rPr>
        <w:t xml:space="preserve"> </w:t>
      </w:r>
      <w:r>
        <w:rPr>
          <w:lang w:val="en-GB"/>
        </w:rPr>
        <w:t xml:space="preserve">but also not within the category of </w:t>
      </w:r>
      <w:r>
        <w:rPr>
          <w:i/>
          <w:lang w:val="en-GB"/>
        </w:rPr>
        <w:t xml:space="preserve">power </w:t>
      </w:r>
      <w:r w:rsidRPr="00F2567B">
        <w:rPr>
          <w:i/>
          <w:lang w:val="en-GB"/>
        </w:rPr>
        <w:t>to</w:t>
      </w:r>
      <w:r>
        <w:rPr>
          <w:lang w:val="en-GB"/>
        </w:rPr>
        <w:t xml:space="preserve">. Although Foucault considers power to be productive, it is not a merely a capacity of people so </w:t>
      </w:r>
      <w:r w:rsidR="00B56D98">
        <w:rPr>
          <w:lang w:val="en-GB"/>
        </w:rPr>
        <w:t>they can achieve certain things:</w:t>
      </w:r>
      <w:r>
        <w:rPr>
          <w:lang w:val="en-GB"/>
        </w:rPr>
        <w:t xml:space="preserve"> it also influences them in ways </w:t>
      </w:r>
      <w:r w:rsidR="008C4E87">
        <w:rPr>
          <w:lang w:val="en-GB"/>
        </w:rPr>
        <w:t xml:space="preserve">they do not consciously choose. </w:t>
      </w:r>
      <w:r>
        <w:rPr>
          <w:lang w:val="en-GB"/>
        </w:rPr>
        <w:t>Both Arendt, with her conceptual</w:t>
      </w:r>
      <w:r w:rsidR="00C00501">
        <w:rPr>
          <w:lang w:val="en-GB"/>
        </w:rPr>
        <w:t>isation of power as empowerment</w:t>
      </w:r>
      <w:r>
        <w:rPr>
          <w:lang w:val="en-GB"/>
        </w:rPr>
        <w:t xml:space="preserve">, and Foucault therefore show that a classification of </w:t>
      </w:r>
      <w:r>
        <w:rPr>
          <w:i/>
          <w:lang w:val="en-GB"/>
        </w:rPr>
        <w:t xml:space="preserve">power to </w:t>
      </w:r>
      <w:r>
        <w:rPr>
          <w:lang w:val="en-GB"/>
        </w:rPr>
        <w:t xml:space="preserve">and </w:t>
      </w:r>
      <w:r>
        <w:rPr>
          <w:i/>
          <w:lang w:val="en-GB"/>
        </w:rPr>
        <w:t xml:space="preserve">power over </w:t>
      </w:r>
      <w:r>
        <w:rPr>
          <w:lang w:val="en-GB"/>
        </w:rPr>
        <w:t xml:space="preserve">cannot provide an overarching model for all conceptions of power. </w:t>
      </w:r>
    </w:p>
    <w:p w14:paraId="2A9EF9CF" w14:textId="77777777" w:rsidR="00B549D5" w:rsidRPr="00270B55" w:rsidRDefault="00B549D5" w:rsidP="00E52F0F">
      <w:pPr>
        <w:spacing w:line="360" w:lineRule="auto"/>
        <w:rPr>
          <w:lang w:val="en-GB"/>
        </w:rPr>
      </w:pPr>
    </w:p>
    <w:p w14:paraId="2FE232D9" w14:textId="7708836A" w:rsidR="00B549D5" w:rsidRPr="00270B55" w:rsidRDefault="00CC3E8E" w:rsidP="00E52F0F">
      <w:pPr>
        <w:pStyle w:val="Heading2"/>
        <w:spacing w:line="360" w:lineRule="auto"/>
        <w:ind w:left="-6"/>
        <w:rPr>
          <w:lang w:val="en-GB"/>
        </w:rPr>
      </w:pPr>
      <w:bookmarkStart w:id="18" w:name="h.gi48z988vtn7" w:colFirst="0" w:colLast="0"/>
      <w:bookmarkStart w:id="19" w:name="_Toc458983395"/>
      <w:bookmarkEnd w:id="18"/>
      <w:r>
        <w:rPr>
          <w:lang w:val="en-GB"/>
        </w:rPr>
        <w:t>2.4.</w:t>
      </w:r>
      <w:r w:rsidR="00686942">
        <w:rPr>
          <w:lang w:val="en-GB"/>
        </w:rPr>
        <w:t xml:space="preserve"> </w:t>
      </w:r>
      <w:r w:rsidR="00B549D5" w:rsidRPr="00270B55">
        <w:rPr>
          <w:lang w:val="en-GB"/>
        </w:rPr>
        <w:t>Other divisions of power</w:t>
      </w:r>
      <w:bookmarkEnd w:id="19"/>
    </w:p>
    <w:p w14:paraId="13C56E99" w14:textId="3D3B8BD8" w:rsidR="00B549D5" w:rsidRPr="00270B55" w:rsidRDefault="00B549D5" w:rsidP="00E52F0F">
      <w:pPr>
        <w:spacing w:after="0" w:line="360" w:lineRule="auto"/>
        <w:jc w:val="both"/>
        <w:rPr>
          <w:lang w:val="en-GB"/>
        </w:rPr>
      </w:pPr>
      <w:r w:rsidRPr="00270B55">
        <w:rPr>
          <w:lang w:val="en-GB"/>
        </w:rPr>
        <w:t xml:space="preserve">Naturally, this issue </w:t>
      </w:r>
      <w:r>
        <w:rPr>
          <w:lang w:val="en-GB"/>
        </w:rPr>
        <w:t>did</w:t>
      </w:r>
      <w:r w:rsidRPr="00270B55">
        <w:rPr>
          <w:lang w:val="en-GB"/>
        </w:rPr>
        <w:t xml:space="preserve"> not remain unnoticed. Amy Allen </w:t>
      </w:r>
      <w:r>
        <w:rPr>
          <w:lang w:val="en-GB"/>
        </w:rPr>
        <w:t>aimed</w:t>
      </w:r>
      <w:r w:rsidRPr="00270B55">
        <w:rPr>
          <w:lang w:val="en-GB"/>
        </w:rPr>
        <w:t xml:space="preserve"> to overcome the distinction by bringing together Arendt, </w:t>
      </w:r>
      <w:r w:rsidR="00895ACF">
        <w:rPr>
          <w:lang w:val="en-GB"/>
        </w:rPr>
        <w:t xml:space="preserve">Foucault, and Judith Butler </w:t>
      </w:r>
      <w:r w:rsidRPr="00270B55">
        <w:rPr>
          <w:lang w:val="en-GB"/>
        </w:rPr>
        <w:t>in a feminist theory (1</w:t>
      </w:r>
      <w:r w:rsidR="00895ACF">
        <w:rPr>
          <w:lang w:val="en-GB"/>
        </w:rPr>
        <w:t xml:space="preserve">999). During her consistent </w:t>
      </w:r>
      <w:r w:rsidRPr="00270B55">
        <w:rPr>
          <w:lang w:val="en-GB"/>
        </w:rPr>
        <w:t xml:space="preserve">engagement with power theory, she developed her </w:t>
      </w:r>
      <w:r>
        <w:rPr>
          <w:lang w:val="en-GB"/>
        </w:rPr>
        <w:t xml:space="preserve">own </w:t>
      </w:r>
      <w:r w:rsidRPr="00270B55">
        <w:rPr>
          <w:lang w:val="en-GB"/>
        </w:rPr>
        <w:t xml:space="preserve">conceptualisation of power as </w:t>
      </w:r>
      <w:r w:rsidRPr="00270B55">
        <w:rPr>
          <w:i/>
          <w:lang w:val="en-GB"/>
        </w:rPr>
        <w:t>power with</w:t>
      </w:r>
      <w:r w:rsidRPr="00270B55">
        <w:rPr>
          <w:lang w:val="en-GB"/>
        </w:rPr>
        <w:t xml:space="preserve"> (</w:t>
      </w:r>
      <w:r w:rsidR="00D133F1">
        <w:rPr>
          <w:lang w:val="en-GB"/>
        </w:rPr>
        <w:t>1999</w:t>
      </w:r>
      <w:r w:rsidRPr="00270B55">
        <w:rPr>
          <w:lang w:val="en-GB"/>
        </w:rPr>
        <w:t xml:space="preserve">). </w:t>
      </w:r>
      <w:r>
        <w:rPr>
          <w:i/>
          <w:lang w:val="en-GB"/>
        </w:rPr>
        <w:t>P</w:t>
      </w:r>
      <w:r w:rsidRPr="00270B55">
        <w:rPr>
          <w:i/>
          <w:lang w:val="en-GB"/>
        </w:rPr>
        <w:t>ower with</w:t>
      </w:r>
      <w:r w:rsidRPr="00270B55">
        <w:rPr>
          <w:lang w:val="en-GB"/>
        </w:rPr>
        <w:t xml:space="preserve"> refers to the ability to act jointly and in solidarity, and arises from her conception of </w:t>
      </w:r>
      <w:r w:rsidRPr="00270B55">
        <w:rPr>
          <w:i/>
          <w:lang w:val="en-GB"/>
        </w:rPr>
        <w:t>power to</w:t>
      </w:r>
      <w:r w:rsidRPr="00270B55">
        <w:rPr>
          <w:lang w:val="en-GB"/>
        </w:rPr>
        <w:t xml:space="preserve"> as the ability of an individual to achieve something or to resist </w:t>
      </w:r>
      <w:r>
        <w:rPr>
          <w:lang w:val="en-GB"/>
        </w:rPr>
        <w:t>in combination with</w:t>
      </w:r>
      <w:r w:rsidRPr="00270B55">
        <w:rPr>
          <w:lang w:val="en-GB"/>
        </w:rPr>
        <w:t xml:space="preserve"> her conception of </w:t>
      </w:r>
      <w:r w:rsidRPr="00270B55">
        <w:rPr>
          <w:i/>
          <w:lang w:val="en-GB"/>
        </w:rPr>
        <w:t>power over</w:t>
      </w:r>
      <w:r w:rsidRPr="00270B55">
        <w:rPr>
          <w:lang w:val="en-GB"/>
        </w:rPr>
        <w:t xml:space="preserve"> as the ability to confine other’s opportunities for choice (</w:t>
      </w:r>
      <w:r>
        <w:rPr>
          <w:lang w:val="en-GB"/>
        </w:rPr>
        <w:t>1999</w:t>
      </w:r>
      <w:r w:rsidRPr="00270B55">
        <w:rPr>
          <w:lang w:val="en-GB"/>
        </w:rPr>
        <w:t xml:space="preserve">). </w:t>
      </w:r>
      <w:r>
        <w:rPr>
          <w:lang w:val="en-GB"/>
        </w:rPr>
        <w:t>Alt</w:t>
      </w:r>
      <w:r w:rsidRPr="00270B55">
        <w:rPr>
          <w:lang w:val="en-GB"/>
        </w:rPr>
        <w:t xml:space="preserve">hough it is a highly interesting categorisation, it does not solve the problem with the </w:t>
      </w:r>
      <w:r>
        <w:rPr>
          <w:lang w:val="en-GB"/>
        </w:rPr>
        <w:t>categorisation of</w:t>
      </w:r>
      <w:r w:rsidRPr="00270B55">
        <w:rPr>
          <w:lang w:val="en-GB"/>
        </w:rPr>
        <w:t xml:space="preserve"> </w:t>
      </w:r>
      <w:r w:rsidRPr="00270B55">
        <w:rPr>
          <w:i/>
          <w:lang w:val="en-GB"/>
        </w:rPr>
        <w:t>power to</w:t>
      </w:r>
      <w:r w:rsidRPr="00270B55">
        <w:rPr>
          <w:lang w:val="en-GB"/>
        </w:rPr>
        <w:t xml:space="preserve"> and </w:t>
      </w:r>
      <w:r w:rsidRPr="00270B55">
        <w:rPr>
          <w:i/>
          <w:lang w:val="en-GB"/>
        </w:rPr>
        <w:t>power over</w:t>
      </w:r>
      <w:r w:rsidRPr="00270B55">
        <w:rPr>
          <w:lang w:val="en-GB"/>
        </w:rPr>
        <w:t xml:space="preserve">. </w:t>
      </w:r>
      <w:r w:rsidR="00895ACF">
        <w:rPr>
          <w:lang w:val="en-GB"/>
        </w:rPr>
        <w:t xml:space="preserve">As </w:t>
      </w:r>
      <w:r w:rsidRPr="00270B55">
        <w:rPr>
          <w:lang w:val="en-GB"/>
        </w:rPr>
        <w:t>Göhler argues</w:t>
      </w:r>
      <w:r w:rsidR="00895ACF">
        <w:rPr>
          <w:lang w:val="en-GB"/>
        </w:rPr>
        <w:t>,</w:t>
      </w:r>
      <w:r w:rsidRPr="00270B55">
        <w:rPr>
          <w:lang w:val="en-GB"/>
        </w:rPr>
        <w:t xml:space="preserve"> Allen’s concept of </w:t>
      </w:r>
      <w:r w:rsidRPr="00270B55">
        <w:rPr>
          <w:i/>
          <w:lang w:val="en-GB"/>
        </w:rPr>
        <w:t>power with</w:t>
      </w:r>
      <w:r w:rsidRPr="00270B55">
        <w:rPr>
          <w:lang w:val="en-GB"/>
        </w:rPr>
        <w:t xml:space="preserve"> starts at a “whole different level” than </w:t>
      </w:r>
      <w:r w:rsidRPr="00270B55">
        <w:rPr>
          <w:i/>
          <w:lang w:val="en-GB"/>
        </w:rPr>
        <w:t xml:space="preserve">power to </w:t>
      </w:r>
      <w:r w:rsidRPr="00270B55">
        <w:rPr>
          <w:lang w:val="en-GB"/>
        </w:rPr>
        <w:t xml:space="preserve">and </w:t>
      </w:r>
      <w:r w:rsidRPr="00270B55">
        <w:rPr>
          <w:i/>
          <w:lang w:val="en-GB"/>
        </w:rPr>
        <w:t>power over</w:t>
      </w:r>
      <w:r w:rsidRPr="00270B55">
        <w:rPr>
          <w:lang w:val="en-GB"/>
        </w:rPr>
        <w:t xml:space="preserve">, because it cannot </w:t>
      </w:r>
      <w:r w:rsidRPr="00270B55">
        <w:rPr>
          <w:lang w:val="en-GB"/>
        </w:rPr>
        <w:lastRenderedPageBreak/>
        <w:t xml:space="preserve">be assumed to exist empirically, </w:t>
      </w:r>
      <w:r w:rsidR="00895ACF">
        <w:rPr>
          <w:lang w:val="en-GB"/>
        </w:rPr>
        <w:t>al</w:t>
      </w:r>
      <w:r w:rsidRPr="00270B55">
        <w:rPr>
          <w:lang w:val="en-GB"/>
        </w:rPr>
        <w:t>though it may be desirable</w:t>
      </w:r>
      <w:r>
        <w:rPr>
          <w:lang w:val="en-GB"/>
        </w:rPr>
        <w:t xml:space="preserve"> –</w:t>
      </w:r>
      <w:r w:rsidRPr="00270B55">
        <w:rPr>
          <w:lang w:val="en-GB"/>
        </w:rPr>
        <w:t xml:space="preserve"> </w:t>
      </w:r>
      <w:r>
        <w:rPr>
          <w:lang w:val="en-GB"/>
        </w:rPr>
        <w:t>perhaps</w:t>
      </w:r>
      <w:r w:rsidRPr="00270B55">
        <w:rPr>
          <w:lang w:val="en-GB"/>
        </w:rPr>
        <w:t xml:space="preserve"> even necessary </w:t>
      </w:r>
      <w:r>
        <w:rPr>
          <w:lang w:val="en-GB"/>
        </w:rPr>
        <w:t xml:space="preserve">– </w:t>
      </w:r>
      <w:r w:rsidRPr="00270B55">
        <w:rPr>
          <w:lang w:val="en-GB"/>
        </w:rPr>
        <w:t>from a</w:t>
      </w:r>
      <w:r w:rsidR="00F7200D">
        <w:rPr>
          <w:lang w:val="en-GB"/>
        </w:rPr>
        <w:t xml:space="preserve"> feminist perspective (2009, </w:t>
      </w:r>
      <w:r w:rsidRPr="00270B55">
        <w:rPr>
          <w:lang w:val="en-GB"/>
        </w:rPr>
        <w:t>34). This lead</w:t>
      </w:r>
      <w:r>
        <w:rPr>
          <w:lang w:val="en-GB"/>
        </w:rPr>
        <w:t>s</w:t>
      </w:r>
      <w:r w:rsidRPr="00270B55">
        <w:rPr>
          <w:lang w:val="en-GB"/>
        </w:rPr>
        <w:t xml:space="preserve"> to it being, according to Göhler, a category that is far more normative then either </w:t>
      </w:r>
      <w:r w:rsidRPr="00270B55">
        <w:rPr>
          <w:i/>
          <w:lang w:val="en-GB"/>
        </w:rPr>
        <w:t xml:space="preserve">power to </w:t>
      </w:r>
      <w:r w:rsidRPr="00270B55">
        <w:rPr>
          <w:lang w:val="en-GB"/>
        </w:rPr>
        <w:t xml:space="preserve">or </w:t>
      </w:r>
      <w:r w:rsidRPr="00270B55">
        <w:rPr>
          <w:i/>
          <w:lang w:val="en-GB"/>
        </w:rPr>
        <w:t>power over</w:t>
      </w:r>
      <w:r w:rsidR="00F7200D">
        <w:rPr>
          <w:lang w:val="en-GB"/>
        </w:rPr>
        <w:t xml:space="preserve"> (2009, </w:t>
      </w:r>
      <w:r>
        <w:rPr>
          <w:lang w:val="en-GB"/>
        </w:rPr>
        <w:t>34</w:t>
      </w:r>
      <w:r w:rsidRPr="00270B55">
        <w:rPr>
          <w:lang w:val="en-GB"/>
        </w:rPr>
        <w:t xml:space="preserve">). Moreover, </w:t>
      </w:r>
      <w:r w:rsidR="00D84350">
        <w:rPr>
          <w:lang w:val="en-GB"/>
        </w:rPr>
        <w:t>it</w:t>
      </w:r>
      <w:r w:rsidRPr="00270B55">
        <w:rPr>
          <w:lang w:val="en-GB"/>
        </w:rPr>
        <w:t xml:space="preserve"> remain</w:t>
      </w:r>
      <w:r w:rsidR="00D84350">
        <w:rPr>
          <w:lang w:val="en-GB"/>
        </w:rPr>
        <w:t>s</w:t>
      </w:r>
      <w:r w:rsidRPr="00270B55">
        <w:rPr>
          <w:lang w:val="en-GB"/>
        </w:rPr>
        <w:t xml:space="preserve"> in accordance with a view of the actor exercising this power, which contrast</w:t>
      </w:r>
      <w:r>
        <w:rPr>
          <w:lang w:val="en-GB"/>
        </w:rPr>
        <w:t>s</w:t>
      </w:r>
      <w:r w:rsidR="00895ACF">
        <w:rPr>
          <w:lang w:val="en-GB"/>
        </w:rPr>
        <w:t xml:space="preserve"> with Foucault’s conceptualisation </w:t>
      </w:r>
      <w:r w:rsidRPr="00270B55">
        <w:rPr>
          <w:lang w:val="en-GB"/>
        </w:rPr>
        <w:t>of power as productive and repressive at the same time (1978; 1982</w:t>
      </w:r>
      <w:r w:rsidR="00D84350">
        <w:rPr>
          <w:lang w:val="en-GB"/>
        </w:rPr>
        <w:t>; Allen, 1999</w:t>
      </w:r>
      <w:r w:rsidRPr="00270B55">
        <w:rPr>
          <w:lang w:val="en-GB"/>
        </w:rPr>
        <w:t xml:space="preserve">). </w:t>
      </w:r>
    </w:p>
    <w:p w14:paraId="1830AD2A" w14:textId="3903FD34" w:rsidR="00B549D5" w:rsidRDefault="00B549D5" w:rsidP="00E52F0F">
      <w:pPr>
        <w:spacing w:after="0" w:line="360" w:lineRule="auto"/>
        <w:ind w:firstLine="720"/>
        <w:jc w:val="both"/>
        <w:rPr>
          <w:lang w:val="en-GB"/>
        </w:rPr>
      </w:pPr>
      <w:r w:rsidRPr="00270B55">
        <w:rPr>
          <w:lang w:val="en-GB"/>
        </w:rPr>
        <w:t xml:space="preserve">Another scholar who has attempted to develop a comprehensive distinction between different forms of power is </w:t>
      </w:r>
      <w:r>
        <w:rPr>
          <w:lang w:val="en-GB"/>
        </w:rPr>
        <w:t xml:space="preserve">Gerard </w:t>
      </w:r>
      <w:r w:rsidRPr="00270B55">
        <w:rPr>
          <w:lang w:val="en-GB"/>
        </w:rPr>
        <w:t>Göhler (1997; 2</w:t>
      </w:r>
      <w:r>
        <w:rPr>
          <w:lang w:val="en-GB"/>
        </w:rPr>
        <w:t>000; 2009). After exploring</w:t>
      </w:r>
      <w:r w:rsidRPr="00270B55">
        <w:rPr>
          <w:lang w:val="en-GB"/>
        </w:rPr>
        <w:t xml:space="preserve"> different forms of </w:t>
      </w:r>
      <w:r w:rsidRPr="00270B55">
        <w:rPr>
          <w:i/>
          <w:lang w:val="en-GB"/>
        </w:rPr>
        <w:t>power to</w:t>
      </w:r>
      <w:r w:rsidRPr="00270B55">
        <w:rPr>
          <w:lang w:val="en-GB"/>
        </w:rPr>
        <w:t xml:space="preserve"> and </w:t>
      </w:r>
      <w:r w:rsidRPr="00270B55">
        <w:rPr>
          <w:i/>
          <w:lang w:val="en-GB"/>
        </w:rPr>
        <w:t>power over</w:t>
      </w:r>
      <w:r w:rsidRPr="00270B55">
        <w:rPr>
          <w:lang w:val="en-GB"/>
        </w:rPr>
        <w:t>, he argues that both can signify different things, “depending on their potentiality or actuality and on whether their point of reference is inside the group (self-referenc</w:t>
      </w:r>
      <w:r w:rsidR="00F7200D">
        <w:rPr>
          <w:lang w:val="en-GB"/>
        </w:rPr>
        <w:t xml:space="preserve">e) or outside” (2009, </w:t>
      </w:r>
      <w:r w:rsidRPr="00270B55">
        <w:rPr>
          <w:lang w:val="en-GB"/>
        </w:rPr>
        <w:t xml:space="preserve">35). </w:t>
      </w:r>
      <w:r w:rsidR="00D84350">
        <w:rPr>
          <w:lang w:val="en-GB"/>
        </w:rPr>
        <w:t>Hence, h</w:t>
      </w:r>
      <w:r w:rsidRPr="00270B55">
        <w:rPr>
          <w:lang w:val="en-GB"/>
        </w:rPr>
        <w:t xml:space="preserve">e develops a new categorisation. By transferring the characteristics of </w:t>
      </w:r>
      <w:r w:rsidRPr="00270B55">
        <w:rPr>
          <w:i/>
          <w:lang w:val="en-GB"/>
        </w:rPr>
        <w:t xml:space="preserve">power to </w:t>
      </w:r>
      <w:r w:rsidRPr="00270B55">
        <w:rPr>
          <w:lang w:val="en-GB"/>
        </w:rPr>
        <w:t xml:space="preserve">and </w:t>
      </w:r>
      <w:r w:rsidRPr="00270B55">
        <w:rPr>
          <w:i/>
          <w:lang w:val="en-GB"/>
        </w:rPr>
        <w:t>power over</w:t>
      </w:r>
      <w:r w:rsidRPr="00270B55">
        <w:rPr>
          <w:lang w:val="en-GB"/>
        </w:rPr>
        <w:t xml:space="preserve"> to his new categories</w:t>
      </w:r>
      <w:r>
        <w:rPr>
          <w:lang w:val="en-GB"/>
        </w:rPr>
        <w:t>,</w:t>
      </w:r>
      <w:r w:rsidRPr="00270B55">
        <w:rPr>
          <w:lang w:val="en-GB"/>
        </w:rPr>
        <w:t xml:space="preserve"> transitive and intransitive power, the characteristics are kept, but the ambiguity removed (</w:t>
      </w:r>
      <w:r w:rsidR="00D133F1">
        <w:rPr>
          <w:lang w:val="en-GB"/>
        </w:rPr>
        <w:t>2009)</w:t>
      </w:r>
      <w:r w:rsidRPr="00270B55">
        <w:rPr>
          <w:lang w:val="en-GB"/>
        </w:rPr>
        <w:t>. Transitive power refers to “power which translates the will of an actor into another actor’s will and thereby exercises influence”, while intransitive power concerns “power that is produced and preserved by itself, by society.” (</w:t>
      </w:r>
      <w:r w:rsidR="00F7200D">
        <w:rPr>
          <w:lang w:val="en-GB"/>
        </w:rPr>
        <w:t xml:space="preserve">2009, </w:t>
      </w:r>
      <w:r w:rsidR="00D133F1">
        <w:rPr>
          <w:lang w:val="en-GB"/>
        </w:rPr>
        <w:t>35</w:t>
      </w:r>
      <w:r w:rsidRPr="00270B55">
        <w:rPr>
          <w:lang w:val="en-GB"/>
        </w:rPr>
        <w:t>) Both can be actual and potential, leading to a taxonomy of four types of power: capacity, influence, se</w:t>
      </w:r>
      <w:r w:rsidR="00D133F1">
        <w:rPr>
          <w:lang w:val="en-GB"/>
        </w:rPr>
        <w:t xml:space="preserve">lf-binding, and empowerment </w:t>
      </w:r>
      <w:r>
        <w:rPr>
          <w:lang w:val="en-GB"/>
        </w:rPr>
        <w:t xml:space="preserve">(see table </w:t>
      </w:r>
      <w:r w:rsidR="00DF5C20">
        <w:rPr>
          <w:lang w:val="en-GB"/>
        </w:rPr>
        <w:t>2.</w:t>
      </w:r>
      <w:r>
        <w:rPr>
          <w:lang w:val="en-GB"/>
        </w:rPr>
        <w:t>1)</w:t>
      </w:r>
      <w:r w:rsidRPr="00270B55">
        <w:rPr>
          <w:lang w:val="en-GB"/>
        </w:rPr>
        <w:t xml:space="preserve">. </w:t>
      </w:r>
    </w:p>
    <w:p w14:paraId="1E6FE5F9" w14:textId="77777777" w:rsidR="00B549D5" w:rsidRDefault="00B549D5" w:rsidP="00E52F0F">
      <w:pPr>
        <w:spacing w:after="0" w:line="360" w:lineRule="auto"/>
        <w:ind w:firstLine="720"/>
        <w:rPr>
          <w:lang w:val="en-GB"/>
        </w:rPr>
      </w:pPr>
    </w:p>
    <w:tbl>
      <w:tblPr>
        <w:tblStyle w:val="GridTable1Light-Accent1"/>
        <w:tblW w:w="0" w:type="auto"/>
        <w:jc w:val="center"/>
        <w:tblLook w:val="04A0" w:firstRow="1" w:lastRow="0" w:firstColumn="1" w:lastColumn="0" w:noHBand="0" w:noVBand="1"/>
      </w:tblPr>
      <w:tblGrid>
        <w:gridCol w:w="4110"/>
        <w:gridCol w:w="1985"/>
        <w:gridCol w:w="1701"/>
      </w:tblGrid>
      <w:tr w:rsidR="00B549D5" w14:paraId="5A4FEB4A" w14:textId="77777777" w:rsidTr="00882D2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110" w:type="dxa"/>
            <w:tcBorders>
              <w:top w:val="nil"/>
              <w:left w:val="nil"/>
            </w:tcBorders>
          </w:tcPr>
          <w:p w14:paraId="45D64066" w14:textId="77777777" w:rsidR="00B549D5" w:rsidRPr="009A7E21" w:rsidRDefault="00B549D5" w:rsidP="00E52F0F">
            <w:pPr>
              <w:spacing w:after="0" w:line="360" w:lineRule="auto"/>
              <w:rPr>
                <w:b w:val="0"/>
                <w:i/>
                <w:lang w:val="en-GB"/>
              </w:rPr>
            </w:pPr>
          </w:p>
        </w:tc>
        <w:tc>
          <w:tcPr>
            <w:tcW w:w="1985" w:type="dxa"/>
            <w:tcBorders>
              <w:top w:val="nil"/>
            </w:tcBorders>
          </w:tcPr>
          <w:p w14:paraId="477152B6" w14:textId="77777777" w:rsidR="00B549D5" w:rsidRPr="009A7E21" w:rsidRDefault="00B549D5" w:rsidP="00E52F0F">
            <w:pPr>
              <w:spacing w:after="0" w:line="360" w:lineRule="auto"/>
              <w:cnfStyle w:val="100000000000" w:firstRow="1" w:lastRow="0" w:firstColumn="0" w:lastColumn="0" w:oddVBand="0" w:evenVBand="0" w:oddHBand="0" w:evenHBand="0" w:firstRowFirstColumn="0" w:firstRowLastColumn="0" w:lastRowFirstColumn="0" w:lastRowLastColumn="0"/>
              <w:rPr>
                <w:b w:val="0"/>
                <w:i/>
                <w:lang w:val="en-GB"/>
              </w:rPr>
            </w:pPr>
            <w:r w:rsidRPr="009A7E21">
              <w:rPr>
                <w:b w:val="0"/>
                <w:i/>
                <w:lang w:val="en-GB"/>
              </w:rPr>
              <w:t>Potential</w:t>
            </w:r>
          </w:p>
        </w:tc>
        <w:tc>
          <w:tcPr>
            <w:tcW w:w="1701" w:type="dxa"/>
            <w:tcBorders>
              <w:top w:val="nil"/>
            </w:tcBorders>
          </w:tcPr>
          <w:p w14:paraId="617ED8CC" w14:textId="77777777" w:rsidR="00B549D5" w:rsidRPr="009A7E21" w:rsidRDefault="00B549D5" w:rsidP="00E52F0F">
            <w:pPr>
              <w:spacing w:after="0" w:line="360" w:lineRule="auto"/>
              <w:cnfStyle w:val="100000000000" w:firstRow="1" w:lastRow="0" w:firstColumn="0" w:lastColumn="0" w:oddVBand="0" w:evenVBand="0" w:oddHBand="0" w:evenHBand="0" w:firstRowFirstColumn="0" w:firstRowLastColumn="0" w:lastRowFirstColumn="0" w:lastRowLastColumn="0"/>
              <w:rPr>
                <w:b w:val="0"/>
                <w:i/>
                <w:lang w:val="en-GB"/>
              </w:rPr>
            </w:pPr>
            <w:r w:rsidRPr="009A7E21">
              <w:rPr>
                <w:b w:val="0"/>
                <w:i/>
                <w:lang w:val="en-GB"/>
              </w:rPr>
              <w:t>Actual</w:t>
            </w:r>
          </w:p>
        </w:tc>
      </w:tr>
      <w:tr w:rsidR="00B549D5" w14:paraId="49B69F3F" w14:textId="77777777" w:rsidTr="00882D21">
        <w:trPr>
          <w:jc w:val="center"/>
        </w:trPr>
        <w:tc>
          <w:tcPr>
            <w:cnfStyle w:val="001000000000" w:firstRow="0" w:lastRow="0" w:firstColumn="1" w:lastColumn="0" w:oddVBand="0" w:evenVBand="0" w:oddHBand="0" w:evenHBand="0" w:firstRowFirstColumn="0" w:firstRowLastColumn="0" w:lastRowFirstColumn="0" w:lastRowLastColumn="0"/>
            <w:tcW w:w="4110" w:type="dxa"/>
            <w:tcBorders>
              <w:left w:val="nil"/>
            </w:tcBorders>
          </w:tcPr>
          <w:p w14:paraId="47026646" w14:textId="77777777" w:rsidR="00B549D5" w:rsidRPr="009A7E21" w:rsidRDefault="00B549D5" w:rsidP="00E52F0F">
            <w:pPr>
              <w:spacing w:after="0" w:line="360" w:lineRule="auto"/>
              <w:rPr>
                <w:b w:val="0"/>
                <w:i/>
                <w:lang w:val="en-GB"/>
              </w:rPr>
            </w:pPr>
            <w:r w:rsidRPr="009A7E21">
              <w:rPr>
                <w:b w:val="0"/>
                <w:i/>
                <w:lang w:val="en-GB"/>
              </w:rPr>
              <w:t>Transitive power: reference to the outside</w:t>
            </w:r>
          </w:p>
        </w:tc>
        <w:tc>
          <w:tcPr>
            <w:tcW w:w="1985" w:type="dxa"/>
          </w:tcPr>
          <w:p w14:paraId="421A76F4" w14:textId="77777777" w:rsidR="00B549D5" w:rsidRDefault="00B549D5" w:rsidP="00E52F0F">
            <w:pPr>
              <w:spacing w:after="0" w:line="360" w:lineRule="auto"/>
              <w:cnfStyle w:val="000000000000" w:firstRow="0" w:lastRow="0" w:firstColumn="0" w:lastColumn="0" w:oddVBand="0" w:evenVBand="0" w:oddHBand="0" w:evenHBand="0" w:firstRowFirstColumn="0" w:firstRowLastColumn="0" w:lastRowFirstColumn="0" w:lastRowLastColumn="0"/>
              <w:rPr>
                <w:lang w:val="en-GB"/>
              </w:rPr>
            </w:pPr>
            <w:r>
              <w:rPr>
                <w:lang w:val="en-GB"/>
              </w:rPr>
              <w:t>Capacity</w:t>
            </w:r>
          </w:p>
        </w:tc>
        <w:tc>
          <w:tcPr>
            <w:tcW w:w="1701" w:type="dxa"/>
          </w:tcPr>
          <w:p w14:paraId="0C523B39" w14:textId="77777777" w:rsidR="00B549D5" w:rsidRDefault="00B549D5" w:rsidP="00E52F0F">
            <w:pPr>
              <w:spacing w:after="0" w:line="360" w:lineRule="auto"/>
              <w:cnfStyle w:val="000000000000" w:firstRow="0" w:lastRow="0" w:firstColumn="0" w:lastColumn="0" w:oddVBand="0" w:evenVBand="0" w:oddHBand="0" w:evenHBand="0" w:firstRowFirstColumn="0" w:firstRowLastColumn="0" w:lastRowFirstColumn="0" w:lastRowLastColumn="0"/>
              <w:rPr>
                <w:lang w:val="en-GB"/>
              </w:rPr>
            </w:pPr>
            <w:r>
              <w:rPr>
                <w:lang w:val="en-GB"/>
              </w:rPr>
              <w:t>Influence</w:t>
            </w:r>
          </w:p>
        </w:tc>
      </w:tr>
      <w:tr w:rsidR="00B549D5" w14:paraId="22AC004F" w14:textId="77777777" w:rsidTr="00882D21">
        <w:trPr>
          <w:jc w:val="center"/>
        </w:trPr>
        <w:tc>
          <w:tcPr>
            <w:cnfStyle w:val="001000000000" w:firstRow="0" w:lastRow="0" w:firstColumn="1" w:lastColumn="0" w:oddVBand="0" w:evenVBand="0" w:oddHBand="0" w:evenHBand="0" w:firstRowFirstColumn="0" w:firstRowLastColumn="0" w:lastRowFirstColumn="0" w:lastRowLastColumn="0"/>
            <w:tcW w:w="4110" w:type="dxa"/>
            <w:tcBorders>
              <w:left w:val="nil"/>
            </w:tcBorders>
          </w:tcPr>
          <w:p w14:paraId="7E080DCC" w14:textId="77777777" w:rsidR="00B549D5" w:rsidRPr="009A7E21" w:rsidRDefault="00B549D5" w:rsidP="00E52F0F">
            <w:pPr>
              <w:spacing w:after="0" w:line="360" w:lineRule="auto"/>
              <w:rPr>
                <w:b w:val="0"/>
                <w:i/>
                <w:lang w:val="en-GB"/>
              </w:rPr>
            </w:pPr>
            <w:r w:rsidRPr="009A7E21">
              <w:rPr>
                <w:b w:val="0"/>
                <w:i/>
                <w:lang w:val="en-GB"/>
              </w:rPr>
              <w:t>Intransitive power: self-reference</w:t>
            </w:r>
          </w:p>
        </w:tc>
        <w:tc>
          <w:tcPr>
            <w:tcW w:w="1985" w:type="dxa"/>
          </w:tcPr>
          <w:p w14:paraId="16064A1E" w14:textId="77777777" w:rsidR="00B549D5" w:rsidRDefault="00B549D5" w:rsidP="00E52F0F">
            <w:pPr>
              <w:spacing w:after="0" w:line="360" w:lineRule="auto"/>
              <w:cnfStyle w:val="000000000000" w:firstRow="0" w:lastRow="0" w:firstColumn="0" w:lastColumn="0" w:oddVBand="0" w:evenVBand="0" w:oddHBand="0" w:evenHBand="0" w:firstRowFirstColumn="0" w:firstRowLastColumn="0" w:lastRowFirstColumn="0" w:lastRowLastColumn="0"/>
              <w:rPr>
                <w:lang w:val="en-GB"/>
              </w:rPr>
            </w:pPr>
            <w:r>
              <w:rPr>
                <w:lang w:val="en-GB"/>
              </w:rPr>
              <w:t>Self-binding</w:t>
            </w:r>
          </w:p>
        </w:tc>
        <w:tc>
          <w:tcPr>
            <w:tcW w:w="1701" w:type="dxa"/>
          </w:tcPr>
          <w:p w14:paraId="0A560FE2" w14:textId="393FC2AE" w:rsidR="00B549D5" w:rsidRDefault="00C43E56" w:rsidP="00E52F0F">
            <w:pPr>
              <w:keepNext/>
              <w:spacing w:after="0" w:line="360" w:lineRule="auto"/>
              <w:cnfStyle w:val="000000000000" w:firstRow="0" w:lastRow="0" w:firstColumn="0" w:lastColumn="0" w:oddVBand="0" w:evenVBand="0" w:oddHBand="0" w:evenHBand="0" w:firstRowFirstColumn="0" w:firstRowLastColumn="0" w:lastRowFirstColumn="0" w:lastRowLastColumn="0"/>
              <w:rPr>
                <w:lang w:val="en-GB"/>
              </w:rPr>
            </w:pPr>
            <w:r>
              <w:rPr>
                <w:lang w:val="en-GB"/>
              </w:rPr>
              <w:t>E</w:t>
            </w:r>
            <w:r w:rsidR="00B549D5">
              <w:rPr>
                <w:lang w:val="en-GB"/>
              </w:rPr>
              <w:t>mpowerment</w:t>
            </w:r>
          </w:p>
        </w:tc>
      </w:tr>
    </w:tbl>
    <w:p w14:paraId="3B949ACF" w14:textId="5C5B48AD" w:rsidR="00B549D5" w:rsidRPr="00AD6FD3" w:rsidRDefault="00B549D5" w:rsidP="00E52F0F">
      <w:pPr>
        <w:spacing w:after="0" w:line="360" w:lineRule="auto"/>
        <w:ind w:firstLine="708"/>
        <w:rPr>
          <w:lang w:val="en-GB"/>
        </w:rPr>
      </w:pPr>
      <w:r w:rsidRPr="00AD6FD3">
        <w:rPr>
          <w:lang w:val="en-GB"/>
        </w:rPr>
        <w:t xml:space="preserve">Table 2.1: Göhler’s categorisation of transitive </w:t>
      </w:r>
      <w:r w:rsidR="00F7200D">
        <w:rPr>
          <w:lang w:val="en-GB"/>
        </w:rPr>
        <w:t>and intransitive power (2009,</w:t>
      </w:r>
      <w:r w:rsidRPr="00AD6FD3">
        <w:rPr>
          <w:lang w:val="en-GB"/>
        </w:rPr>
        <w:t xml:space="preserve"> 35)</w:t>
      </w:r>
    </w:p>
    <w:p w14:paraId="4F03D54F" w14:textId="77777777" w:rsidR="00B549D5" w:rsidRDefault="00B549D5" w:rsidP="00E52F0F">
      <w:pPr>
        <w:spacing w:after="0" w:line="360" w:lineRule="auto"/>
        <w:ind w:firstLine="720"/>
        <w:rPr>
          <w:lang w:val="en-GB"/>
        </w:rPr>
      </w:pPr>
    </w:p>
    <w:p w14:paraId="611B16EE" w14:textId="4CD5A352" w:rsidR="00B549D5" w:rsidRPr="00270B55" w:rsidRDefault="00B549D5" w:rsidP="0075373B">
      <w:pPr>
        <w:spacing w:after="0" w:line="360" w:lineRule="auto"/>
        <w:jc w:val="both"/>
        <w:rPr>
          <w:lang w:val="en-GB"/>
        </w:rPr>
      </w:pPr>
      <w:r w:rsidRPr="00270B55">
        <w:rPr>
          <w:lang w:val="en-GB"/>
        </w:rPr>
        <w:t xml:space="preserve">Capacity and influence are both transitive, the former potential and the latter actual, </w:t>
      </w:r>
      <w:r>
        <w:rPr>
          <w:lang w:val="en-GB"/>
        </w:rPr>
        <w:t>and</w:t>
      </w:r>
      <w:r w:rsidRPr="00270B55">
        <w:rPr>
          <w:lang w:val="en-GB"/>
        </w:rPr>
        <w:t xml:space="preserve"> self-binding </w:t>
      </w:r>
      <w:r>
        <w:rPr>
          <w:lang w:val="en-GB"/>
        </w:rPr>
        <w:t xml:space="preserve">power </w:t>
      </w:r>
      <w:r w:rsidRPr="00270B55">
        <w:rPr>
          <w:lang w:val="en-GB"/>
        </w:rPr>
        <w:t xml:space="preserve">and empowerment are intransitive, </w:t>
      </w:r>
      <w:r>
        <w:rPr>
          <w:lang w:val="en-GB"/>
        </w:rPr>
        <w:t xml:space="preserve">also respectively </w:t>
      </w:r>
      <w:r w:rsidR="00D133F1">
        <w:rPr>
          <w:lang w:val="en-GB"/>
        </w:rPr>
        <w:t>potential and actual</w:t>
      </w:r>
      <w:r w:rsidRPr="00270B55">
        <w:rPr>
          <w:lang w:val="en-GB"/>
        </w:rPr>
        <w:t xml:space="preserve">. Göhler takes Arendt’s theory as an example </w:t>
      </w:r>
      <w:r>
        <w:rPr>
          <w:lang w:val="en-GB"/>
        </w:rPr>
        <w:t>of how</w:t>
      </w:r>
      <w:r w:rsidRPr="00270B55">
        <w:rPr>
          <w:lang w:val="en-GB"/>
        </w:rPr>
        <w:t xml:space="preserve"> his taxonomy allows for a categorisation of </w:t>
      </w:r>
      <w:r>
        <w:rPr>
          <w:lang w:val="en-GB"/>
        </w:rPr>
        <w:t>theories that are normally difficult to place</w:t>
      </w:r>
      <w:r w:rsidRPr="00270B55">
        <w:rPr>
          <w:lang w:val="en-GB"/>
        </w:rPr>
        <w:t xml:space="preserve"> (</w:t>
      </w:r>
      <w:r w:rsidR="00D133F1">
        <w:rPr>
          <w:lang w:val="en-GB"/>
        </w:rPr>
        <w:t>2009</w:t>
      </w:r>
      <w:r w:rsidR="00F7200D">
        <w:rPr>
          <w:lang w:val="en-GB"/>
        </w:rPr>
        <w:t xml:space="preserve">, </w:t>
      </w:r>
      <w:r w:rsidRPr="00270B55">
        <w:rPr>
          <w:lang w:val="en-GB"/>
        </w:rPr>
        <w:t>36). According to Göhler, Arendt’s concept of power is intransitive: “it is a relation people produce by acting and communicating together; it is not primarily directed on others.” (</w:t>
      </w:r>
      <w:r w:rsidR="00F7200D">
        <w:rPr>
          <w:lang w:val="en-GB"/>
        </w:rPr>
        <w:t xml:space="preserve">2009, </w:t>
      </w:r>
      <w:r w:rsidR="00D133F1">
        <w:rPr>
          <w:lang w:val="en-GB"/>
        </w:rPr>
        <w:t>36</w:t>
      </w:r>
      <w:r w:rsidRPr="00270B55">
        <w:rPr>
          <w:lang w:val="en-GB"/>
        </w:rPr>
        <w:t xml:space="preserve">) </w:t>
      </w:r>
      <w:r>
        <w:rPr>
          <w:lang w:val="en-GB"/>
        </w:rPr>
        <w:t>And it is</w:t>
      </w:r>
      <w:r w:rsidRPr="00270B55">
        <w:rPr>
          <w:lang w:val="en-GB"/>
        </w:rPr>
        <w:t xml:space="preserve"> only power when realized in the public sphere, </w:t>
      </w:r>
      <w:r>
        <w:rPr>
          <w:lang w:val="en-GB"/>
        </w:rPr>
        <w:t>meaning that it is actual intransitive</w:t>
      </w:r>
      <w:r w:rsidR="00686942">
        <w:rPr>
          <w:lang w:val="en-GB"/>
        </w:rPr>
        <w:t xml:space="preserve"> power</w:t>
      </w:r>
      <w:r>
        <w:rPr>
          <w:lang w:val="en-GB"/>
        </w:rPr>
        <w:t>:</w:t>
      </w:r>
      <w:r w:rsidR="00AD6FD3">
        <w:rPr>
          <w:lang w:val="en-GB"/>
        </w:rPr>
        <w:t xml:space="preserve"> empowerment</w:t>
      </w:r>
      <w:r w:rsidRPr="00270B55">
        <w:rPr>
          <w:lang w:val="en-GB"/>
        </w:rPr>
        <w:t xml:space="preserve">. As such, Arendt’s definition of power falls within Göhler’s typology. </w:t>
      </w:r>
    </w:p>
    <w:p w14:paraId="674BA37E" w14:textId="44E7C0FA" w:rsidR="00B549D5" w:rsidRPr="00270B55" w:rsidRDefault="00B549D5" w:rsidP="00E52F0F">
      <w:pPr>
        <w:spacing w:after="0" w:line="360" w:lineRule="auto"/>
        <w:ind w:firstLine="720"/>
        <w:jc w:val="both"/>
        <w:rPr>
          <w:lang w:val="en-GB"/>
        </w:rPr>
      </w:pPr>
      <w:r w:rsidRPr="00270B55">
        <w:rPr>
          <w:lang w:val="en-GB"/>
        </w:rPr>
        <w:t xml:space="preserve">However, </w:t>
      </w:r>
      <w:r w:rsidR="00686942">
        <w:rPr>
          <w:lang w:val="en-GB"/>
        </w:rPr>
        <w:t>the</w:t>
      </w:r>
      <w:r w:rsidRPr="00270B55">
        <w:rPr>
          <w:lang w:val="en-GB"/>
        </w:rPr>
        <w:t xml:space="preserve"> typology remains problematic when trying to fit in Foucault’s concept of power. </w:t>
      </w:r>
      <w:r w:rsidR="00686942">
        <w:rPr>
          <w:lang w:val="en-GB"/>
        </w:rPr>
        <w:t>This</w:t>
      </w:r>
      <w:r w:rsidRPr="00270B55">
        <w:rPr>
          <w:lang w:val="en-GB"/>
        </w:rPr>
        <w:t xml:space="preserve"> would fall within the category of intransitive power, since Foucault would reject Göhler’s definition of transitive power. According to Foucault, the individual means the human material entity that is prior to becoming a subject (</w:t>
      </w:r>
      <w:r>
        <w:rPr>
          <w:lang w:val="en-GB"/>
        </w:rPr>
        <w:t>1982</w:t>
      </w:r>
      <w:r w:rsidRPr="00270B55">
        <w:rPr>
          <w:lang w:val="en-GB"/>
        </w:rPr>
        <w:t xml:space="preserve">), which is different from the everyday use of the word as a single human being. Though the definition Göhler provides of transitive power </w:t>
      </w:r>
      <w:r w:rsidR="00CC3E8E">
        <w:rPr>
          <w:lang w:val="en-GB"/>
        </w:rPr>
        <w:t>–</w:t>
      </w:r>
      <w:r w:rsidRPr="00270B55">
        <w:rPr>
          <w:lang w:val="en-GB"/>
        </w:rPr>
        <w:t xml:space="preserve"> “power which translates the will of an actor into another actor’s will and thereby exercises influence” </w:t>
      </w:r>
      <w:r w:rsidR="00CC3E8E">
        <w:rPr>
          <w:lang w:val="en-GB"/>
        </w:rPr>
        <w:t>–</w:t>
      </w:r>
      <w:r w:rsidRPr="00270B55">
        <w:rPr>
          <w:lang w:val="en-GB"/>
        </w:rPr>
        <w:t xml:space="preserve"> does not include the word ‘individual’, it does seem to start from the same idea, assuming human agency</w:t>
      </w:r>
      <w:r>
        <w:rPr>
          <w:lang w:val="en-GB"/>
        </w:rPr>
        <w:t xml:space="preserve"> to an extent not theorised by Foucault</w:t>
      </w:r>
      <w:r w:rsidR="00F7200D">
        <w:rPr>
          <w:lang w:val="en-GB"/>
        </w:rPr>
        <w:t xml:space="preserve"> (2009, </w:t>
      </w:r>
      <w:r w:rsidRPr="00270B55">
        <w:rPr>
          <w:lang w:val="en-GB"/>
        </w:rPr>
        <w:t>35). Hence, Foucault’s concept of power would</w:t>
      </w:r>
      <w:r>
        <w:rPr>
          <w:lang w:val="en-GB"/>
        </w:rPr>
        <w:t xml:space="preserve"> need to</w:t>
      </w:r>
      <w:r w:rsidRPr="00270B55">
        <w:rPr>
          <w:lang w:val="en-GB"/>
        </w:rPr>
        <w:t xml:space="preserve"> fall in the category of intransitive power instead</w:t>
      </w:r>
      <w:r>
        <w:rPr>
          <w:lang w:val="en-GB"/>
        </w:rPr>
        <w:t xml:space="preserve">. </w:t>
      </w:r>
      <w:r>
        <w:rPr>
          <w:lang w:val="en-GB"/>
        </w:rPr>
        <w:lastRenderedPageBreak/>
        <w:t>As such,</w:t>
      </w:r>
      <w:r w:rsidRPr="00270B55">
        <w:rPr>
          <w:lang w:val="en-GB"/>
        </w:rPr>
        <w:t xml:space="preserve"> it would have to be either self-binding</w:t>
      </w:r>
      <w:r>
        <w:rPr>
          <w:lang w:val="en-GB"/>
        </w:rPr>
        <w:t xml:space="preserve"> power</w:t>
      </w:r>
      <w:r w:rsidRPr="00270B55">
        <w:rPr>
          <w:lang w:val="en-GB"/>
        </w:rPr>
        <w:t xml:space="preserve"> or empowerment, or both.</w:t>
      </w:r>
      <w:r>
        <w:rPr>
          <w:lang w:val="en-GB"/>
        </w:rPr>
        <w:t xml:space="preserve"> S</w:t>
      </w:r>
      <w:r w:rsidRPr="00270B55">
        <w:rPr>
          <w:lang w:val="en-GB"/>
        </w:rPr>
        <w:t xml:space="preserve">ince Foucault maintains that power only exists when actualised, the only category remaining is power as empowerment. </w:t>
      </w:r>
      <w:r>
        <w:rPr>
          <w:lang w:val="en-GB"/>
        </w:rPr>
        <w:t>As is clarified in section 2.6., this is not in accordance with his theory of power, because Foucault conceptualises power as something that both produces and represses.</w:t>
      </w:r>
      <w:r w:rsidRPr="00270B55">
        <w:rPr>
          <w:lang w:val="en-GB"/>
        </w:rPr>
        <w:t xml:space="preserve"> </w:t>
      </w:r>
    </w:p>
    <w:p w14:paraId="5BCBFC5A" w14:textId="77777777" w:rsidR="00B549D5" w:rsidRPr="00270B55" w:rsidRDefault="00B549D5" w:rsidP="00E52F0F">
      <w:pPr>
        <w:spacing w:line="360" w:lineRule="auto"/>
        <w:rPr>
          <w:lang w:val="en-GB"/>
        </w:rPr>
      </w:pPr>
    </w:p>
    <w:p w14:paraId="3B9CF1E5" w14:textId="77777777" w:rsidR="00B549D5" w:rsidRPr="00270B55" w:rsidRDefault="00B549D5" w:rsidP="00E52F0F">
      <w:pPr>
        <w:pStyle w:val="Heading2"/>
        <w:spacing w:line="360" w:lineRule="auto"/>
        <w:rPr>
          <w:lang w:val="en-GB"/>
        </w:rPr>
      </w:pPr>
      <w:bookmarkStart w:id="20" w:name="h.33arfmwvl64d" w:colFirst="0" w:colLast="0"/>
      <w:bookmarkStart w:id="21" w:name="_Toc458983396"/>
      <w:bookmarkEnd w:id="20"/>
      <w:r w:rsidRPr="00270B55">
        <w:rPr>
          <w:lang w:val="en-GB"/>
        </w:rPr>
        <w:t>2.5. Why Foucault?</w:t>
      </w:r>
      <w:bookmarkEnd w:id="21"/>
    </w:p>
    <w:p w14:paraId="0EF8B8EF" w14:textId="5707F37E" w:rsidR="00B549D5" w:rsidRPr="00270B55" w:rsidRDefault="00B549D5" w:rsidP="00E52F0F">
      <w:pPr>
        <w:spacing w:after="0" w:line="360" w:lineRule="auto"/>
        <w:jc w:val="both"/>
        <w:rPr>
          <w:lang w:val="en-GB"/>
        </w:rPr>
      </w:pPr>
      <w:r w:rsidRPr="00270B55">
        <w:rPr>
          <w:lang w:val="en-GB"/>
        </w:rPr>
        <w:t xml:space="preserve">Foucault’s thoughts thus seems hard to categorise, which is not least due to his innovative approach and interlinking of notions such as power, </w:t>
      </w:r>
      <w:r w:rsidR="009C71DA">
        <w:rPr>
          <w:lang w:val="en-GB"/>
        </w:rPr>
        <w:t>knowledge</w:t>
      </w:r>
      <w:r w:rsidRPr="00270B55">
        <w:rPr>
          <w:lang w:val="en-GB"/>
        </w:rPr>
        <w:t>, the subject, and objectification/subjectification</w:t>
      </w:r>
      <w:r w:rsidR="009C71DA">
        <w:rPr>
          <w:lang w:val="en-GB"/>
        </w:rPr>
        <w:t xml:space="preserve"> – i.e. the way in which humans are turned into objects and subjects to be known</w:t>
      </w:r>
      <w:r w:rsidRPr="00270B55">
        <w:rPr>
          <w:lang w:val="en-GB"/>
        </w:rPr>
        <w:t xml:space="preserve">. Moreover, his thoughts continue to be relevant for analysis of contemporary problems. This is not only visible in the establishment and continuation of an entire journal based on and named after his work </w:t>
      </w:r>
      <w:r>
        <w:rPr>
          <w:lang w:val="en-GB"/>
        </w:rPr>
        <w:t>–</w:t>
      </w:r>
      <w:r w:rsidRPr="00270B55">
        <w:rPr>
          <w:lang w:val="en-GB"/>
        </w:rPr>
        <w:t xml:space="preserve"> </w:t>
      </w:r>
      <w:r w:rsidRPr="00270B55">
        <w:rPr>
          <w:i/>
          <w:lang w:val="en-GB"/>
        </w:rPr>
        <w:t xml:space="preserve">Foucault Studies </w:t>
      </w:r>
      <w:r>
        <w:rPr>
          <w:lang w:val="en-GB"/>
        </w:rPr>
        <w:t>–</w:t>
      </w:r>
      <w:r w:rsidRPr="00270B55">
        <w:rPr>
          <w:lang w:val="en-GB"/>
        </w:rPr>
        <w:t>, but also in the existence of several centres committed to his thoughts: amongst others, the Centre Michel Foucault in France, the Foucault Circle in the U</w:t>
      </w:r>
      <w:r>
        <w:rPr>
          <w:lang w:val="en-GB"/>
        </w:rPr>
        <w:t>nited States</w:t>
      </w:r>
      <w:r w:rsidRPr="00270B55">
        <w:rPr>
          <w:lang w:val="en-GB"/>
        </w:rPr>
        <w:t xml:space="preserve">, and the Centro de Estudios Multidisciplinarios Michel Foucault in Mexico. Part of the reason why his thoughts continue to be revolutionizing for the wider community of scholars is because much of his work is still in the process of being translated into English, such as lectures and his shorter writings. </w:t>
      </w:r>
    </w:p>
    <w:p w14:paraId="76DB5B06" w14:textId="04B74A7D" w:rsidR="00B549D5" w:rsidRDefault="00B549D5" w:rsidP="00E52F0F">
      <w:pPr>
        <w:spacing w:after="0" w:line="360" w:lineRule="auto"/>
        <w:ind w:firstLine="809"/>
        <w:jc w:val="both"/>
        <w:rPr>
          <w:lang w:val="en-GB"/>
        </w:rPr>
      </w:pPr>
      <w:r w:rsidRPr="00270B55">
        <w:rPr>
          <w:lang w:val="en-GB"/>
        </w:rPr>
        <w:t xml:space="preserve">However, this is </w:t>
      </w:r>
      <w:r w:rsidR="009C71DA">
        <w:rPr>
          <w:lang w:val="en-GB"/>
        </w:rPr>
        <w:t>naturally</w:t>
      </w:r>
      <w:r w:rsidRPr="00270B55">
        <w:rPr>
          <w:lang w:val="en-GB"/>
        </w:rPr>
        <w:t xml:space="preserve"> not </w:t>
      </w:r>
      <w:r w:rsidR="0075373B">
        <w:rPr>
          <w:lang w:val="en-GB"/>
        </w:rPr>
        <w:t>the only reason why his theory</w:t>
      </w:r>
      <w:r w:rsidRPr="00270B55">
        <w:rPr>
          <w:lang w:val="en-GB"/>
        </w:rPr>
        <w:t xml:space="preserve"> continue</w:t>
      </w:r>
      <w:r w:rsidR="0075373B">
        <w:rPr>
          <w:lang w:val="en-GB"/>
        </w:rPr>
        <w:t>s</w:t>
      </w:r>
      <w:r w:rsidRPr="00270B55">
        <w:rPr>
          <w:lang w:val="en-GB"/>
        </w:rPr>
        <w:t xml:space="preserve"> to be used. </w:t>
      </w:r>
      <w:r w:rsidR="0075373B">
        <w:rPr>
          <w:lang w:val="en-GB"/>
        </w:rPr>
        <w:t>It</w:t>
      </w:r>
      <w:r w:rsidR="009C71DA">
        <w:rPr>
          <w:lang w:val="en-GB"/>
        </w:rPr>
        <w:t xml:space="preserve"> also</w:t>
      </w:r>
      <w:r w:rsidRPr="00270B55">
        <w:rPr>
          <w:lang w:val="en-GB"/>
        </w:rPr>
        <w:t xml:space="preserve"> provide</w:t>
      </w:r>
      <w:r w:rsidR="0075373B">
        <w:rPr>
          <w:lang w:val="en-GB"/>
        </w:rPr>
        <w:t>s</w:t>
      </w:r>
      <w:r w:rsidRPr="00270B55">
        <w:rPr>
          <w:lang w:val="en-GB"/>
        </w:rPr>
        <w:t xml:space="preserve"> </w:t>
      </w:r>
      <w:r w:rsidR="00C43E56">
        <w:rPr>
          <w:lang w:val="en-GB"/>
        </w:rPr>
        <w:t>a highly useful</w:t>
      </w:r>
      <w:r w:rsidRPr="00270B55">
        <w:rPr>
          <w:lang w:val="en-GB"/>
        </w:rPr>
        <w:t xml:space="preserve"> way of analysing issues within society</w:t>
      </w:r>
      <w:r w:rsidR="009C71DA">
        <w:rPr>
          <w:lang w:val="en-GB"/>
        </w:rPr>
        <w:t xml:space="preserve">, for example when it </w:t>
      </w:r>
      <w:r w:rsidRPr="00270B55">
        <w:rPr>
          <w:lang w:val="en-GB"/>
        </w:rPr>
        <w:t>is concerned with objectification and/or subjectification</w:t>
      </w:r>
      <w:r w:rsidR="009C71DA">
        <w:rPr>
          <w:lang w:val="en-GB"/>
        </w:rPr>
        <w:t xml:space="preserve">, </w:t>
      </w:r>
      <w:r w:rsidRPr="00270B55">
        <w:rPr>
          <w:lang w:val="en-GB"/>
        </w:rPr>
        <w:t>as i</w:t>
      </w:r>
      <w:r w:rsidR="009C71DA">
        <w:rPr>
          <w:lang w:val="en-GB"/>
        </w:rPr>
        <w:t>s the case in</w:t>
      </w:r>
      <w:r w:rsidRPr="00270B55">
        <w:rPr>
          <w:lang w:val="en-GB"/>
        </w:rPr>
        <w:t xml:space="preserve"> </w:t>
      </w:r>
      <w:r w:rsidR="00C43E56">
        <w:rPr>
          <w:lang w:val="en-GB"/>
        </w:rPr>
        <w:t>this dissertation</w:t>
      </w:r>
      <w:r w:rsidRPr="00270B55">
        <w:rPr>
          <w:lang w:val="en-GB"/>
        </w:rPr>
        <w:t xml:space="preserve">. </w:t>
      </w:r>
      <w:r>
        <w:rPr>
          <w:lang w:val="en-GB"/>
        </w:rPr>
        <w:t xml:space="preserve">Foucault provides </w:t>
      </w:r>
      <w:r w:rsidRPr="00270B55">
        <w:rPr>
          <w:lang w:val="en-GB"/>
        </w:rPr>
        <w:t xml:space="preserve">not only a theorisation of the concept of objectification, but also an explanation of how this is </w:t>
      </w:r>
      <w:r>
        <w:rPr>
          <w:lang w:val="en-GB"/>
        </w:rPr>
        <w:t>linked to power</w:t>
      </w:r>
      <w:r w:rsidR="009C71DA">
        <w:rPr>
          <w:lang w:val="en-GB"/>
        </w:rPr>
        <w:t>, knowledge,</w:t>
      </w:r>
      <w:r>
        <w:rPr>
          <w:lang w:val="en-GB"/>
        </w:rPr>
        <w:t xml:space="preserve"> and the subject. Hence, he</w:t>
      </w:r>
      <w:r w:rsidRPr="00270B55">
        <w:rPr>
          <w:lang w:val="en-GB"/>
        </w:rPr>
        <w:t xml:space="preserve"> </w:t>
      </w:r>
      <w:r>
        <w:rPr>
          <w:lang w:val="en-GB"/>
        </w:rPr>
        <w:t>helps us understand</w:t>
      </w:r>
      <w:r w:rsidRPr="00270B55">
        <w:rPr>
          <w:lang w:val="en-GB"/>
        </w:rPr>
        <w:t xml:space="preserve"> how certain issues may be more objectifying than they at first sight appear to be, due to our construction in a web of power relations. </w:t>
      </w:r>
      <w:r>
        <w:rPr>
          <w:lang w:val="en-GB"/>
        </w:rPr>
        <w:t xml:space="preserve">Although other theories, such as that of Lukes, also explain how power may influence our perception of certain issues, they are focused on a different aspect. In the case of Lukes, the focus is, in the end, on the political sphere. Although news may greatly influence discussions and decisions in politics, it is not normally considered to be part of the political sphere. Moreover, this research is about the connection between the broader power relations in society and information disseminated in news media. Still, there are other power theories </w:t>
      </w:r>
      <w:r w:rsidR="009C71DA">
        <w:rPr>
          <w:lang w:val="en-GB"/>
        </w:rPr>
        <w:t>that are</w:t>
      </w:r>
      <w:r>
        <w:rPr>
          <w:lang w:val="en-GB"/>
        </w:rPr>
        <w:t xml:space="preserve"> concerned with this </w:t>
      </w:r>
      <w:r w:rsidR="009C71DA">
        <w:rPr>
          <w:lang w:val="en-GB"/>
        </w:rPr>
        <w:t xml:space="preserve">topic </w:t>
      </w:r>
      <w:r>
        <w:rPr>
          <w:lang w:val="en-GB"/>
        </w:rPr>
        <w:t>or at least similar topics. Several of those actually were based on Foucault’s thoughts, but aimed to go beyond them. I briefly revisit the most relevant theories and show wh</w:t>
      </w:r>
      <w:r w:rsidR="009C71DA">
        <w:rPr>
          <w:lang w:val="en-GB"/>
        </w:rPr>
        <w:t xml:space="preserve">y they are not suitable for this </w:t>
      </w:r>
      <w:r>
        <w:rPr>
          <w:lang w:val="en-GB"/>
        </w:rPr>
        <w:t>research.</w:t>
      </w:r>
    </w:p>
    <w:p w14:paraId="583FE9D8" w14:textId="3BE08EF6" w:rsidR="00B549D5" w:rsidRDefault="00B549D5" w:rsidP="00E52F0F">
      <w:pPr>
        <w:spacing w:after="0" w:line="360" w:lineRule="auto"/>
        <w:ind w:firstLine="809"/>
        <w:jc w:val="both"/>
        <w:rPr>
          <w:rFonts w:ascii="Calibri" w:hAnsi="Calibri"/>
          <w:color w:val="000000"/>
          <w:sz w:val="22"/>
          <w:szCs w:val="22"/>
          <w:lang w:val="en-GB"/>
        </w:rPr>
      </w:pPr>
      <w:r>
        <w:rPr>
          <w:lang w:val="en-GB"/>
        </w:rPr>
        <w:t xml:space="preserve">Firstly, there is Edward Said, whose famous book </w:t>
      </w:r>
      <w:r>
        <w:rPr>
          <w:i/>
          <w:lang w:val="en-GB"/>
        </w:rPr>
        <w:t>Orientalism</w:t>
      </w:r>
      <w:r>
        <w:rPr>
          <w:lang w:val="en-GB"/>
        </w:rPr>
        <w:t xml:space="preserve"> has been republished at least four times in English,</w:t>
      </w:r>
      <w:r w:rsidR="009C71DA">
        <w:rPr>
          <w:lang w:val="en-GB"/>
        </w:rPr>
        <w:t xml:space="preserve"> once as a Penguin Classic, and</w:t>
      </w:r>
      <w:r>
        <w:rPr>
          <w:lang w:val="en-GB"/>
        </w:rPr>
        <w:t xml:space="preserve"> has bee</w:t>
      </w:r>
      <w:r w:rsidR="00675AE2">
        <w:rPr>
          <w:lang w:val="en-GB"/>
        </w:rPr>
        <w:t>n translated into 36 languages</w:t>
      </w:r>
      <w:r w:rsidR="009C71DA">
        <w:rPr>
          <w:lang w:val="en-GB"/>
        </w:rPr>
        <w:t xml:space="preserve"> </w:t>
      </w:r>
      <w:r>
        <w:rPr>
          <w:lang w:val="en-GB"/>
        </w:rPr>
        <w:t xml:space="preserve">(2003). </w:t>
      </w:r>
      <w:r w:rsidRPr="00821AED">
        <w:rPr>
          <w:rFonts w:ascii="Calibri" w:hAnsi="Calibri"/>
          <w:color w:val="000000"/>
          <w:sz w:val="22"/>
          <w:szCs w:val="22"/>
          <w:lang w:val="en-GB"/>
        </w:rPr>
        <w:t xml:space="preserve">In this </w:t>
      </w:r>
      <w:r w:rsidR="009C71DA">
        <w:rPr>
          <w:rFonts w:ascii="Calibri" w:hAnsi="Calibri"/>
          <w:color w:val="000000"/>
          <w:sz w:val="22"/>
          <w:szCs w:val="22"/>
          <w:lang w:val="en-GB"/>
        </w:rPr>
        <w:t>work</w:t>
      </w:r>
      <w:r w:rsidRPr="00821AED">
        <w:rPr>
          <w:rFonts w:ascii="Calibri" w:hAnsi="Calibri"/>
          <w:color w:val="000000"/>
          <w:sz w:val="22"/>
          <w:szCs w:val="22"/>
          <w:lang w:val="en-GB"/>
        </w:rPr>
        <w:t>, he studies the “whole network of interests inevitably brought to bear on (and therefore always involved in) any occasion when that peculiar entity “the Ori</w:t>
      </w:r>
      <w:r w:rsidR="00F7200D">
        <w:rPr>
          <w:rFonts w:ascii="Calibri" w:hAnsi="Calibri"/>
          <w:color w:val="000000"/>
          <w:sz w:val="22"/>
          <w:szCs w:val="22"/>
          <w:lang w:val="en-GB"/>
        </w:rPr>
        <w:t xml:space="preserve">ent” is in question.” (2003, </w:t>
      </w:r>
      <w:r w:rsidRPr="00821AED">
        <w:rPr>
          <w:rFonts w:ascii="Calibri" w:hAnsi="Calibri"/>
          <w:color w:val="000000"/>
          <w:sz w:val="22"/>
          <w:szCs w:val="22"/>
          <w:lang w:val="en-GB"/>
        </w:rPr>
        <w:t xml:space="preserve">3) Orientalism </w:t>
      </w:r>
      <w:r w:rsidR="00C43E56">
        <w:rPr>
          <w:rFonts w:ascii="Calibri" w:hAnsi="Calibri"/>
          <w:color w:val="000000"/>
          <w:sz w:val="22"/>
          <w:szCs w:val="22"/>
          <w:lang w:val="en-GB"/>
        </w:rPr>
        <w:t xml:space="preserve">is </w:t>
      </w:r>
      <w:r w:rsidRPr="00821AED">
        <w:rPr>
          <w:rFonts w:ascii="Calibri" w:hAnsi="Calibri"/>
          <w:color w:val="000000"/>
          <w:sz w:val="22"/>
          <w:szCs w:val="22"/>
          <w:lang w:val="en-GB"/>
        </w:rPr>
        <w:t>b</w:t>
      </w:r>
      <w:r w:rsidR="00C43E56">
        <w:rPr>
          <w:rFonts w:ascii="Calibri" w:hAnsi="Calibri"/>
          <w:color w:val="000000"/>
          <w:sz w:val="22"/>
          <w:szCs w:val="22"/>
          <w:lang w:val="en-GB"/>
        </w:rPr>
        <w:t>asically concerned with studying how ‘the West’</w:t>
      </w:r>
      <w:r w:rsidRPr="00821AED">
        <w:rPr>
          <w:rFonts w:ascii="Calibri" w:hAnsi="Calibri"/>
          <w:color w:val="000000"/>
          <w:sz w:val="22"/>
          <w:szCs w:val="22"/>
          <w:lang w:val="en-GB"/>
        </w:rPr>
        <w:t xml:space="preserve"> </w:t>
      </w:r>
      <w:r>
        <w:rPr>
          <w:rFonts w:ascii="Calibri" w:hAnsi="Calibri"/>
          <w:color w:val="000000"/>
          <w:sz w:val="22"/>
          <w:szCs w:val="22"/>
          <w:lang w:val="en-GB"/>
        </w:rPr>
        <w:t xml:space="preserve">– those countries which had a wide range of </w:t>
      </w:r>
      <w:r>
        <w:rPr>
          <w:rFonts w:ascii="Calibri" w:hAnsi="Calibri"/>
          <w:color w:val="000000"/>
          <w:sz w:val="22"/>
          <w:szCs w:val="22"/>
          <w:lang w:val="en-GB"/>
        </w:rPr>
        <w:lastRenderedPageBreak/>
        <w:t xml:space="preserve">colonies – </w:t>
      </w:r>
      <w:r w:rsidR="00C43E56">
        <w:rPr>
          <w:rFonts w:ascii="Calibri" w:hAnsi="Calibri"/>
          <w:color w:val="000000"/>
          <w:sz w:val="22"/>
          <w:szCs w:val="22"/>
          <w:lang w:val="en-GB"/>
        </w:rPr>
        <w:t>dealt</w:t>
      </w:r>
      <w:r w:rsidRPr="00821AED">
        <w:rPr>
          <w:rFonts w:ascii="Calibri" w:hAnsi="Calibri"/>
          <w:color w:val="000000"/>
          <w:sz w:val="22"/>
          <w:szCs w:val="22"/>
          <w:lang w:val="en-GB"/>
        </w:rPr>
        <w:t xml:space="preserve"> with the people from </w:t>
      </w:r>
      <w:r>
        <w:rPr>
          <w:rFonts w:ascii="Calibri" w:hAnsi="Calibri"/>
          <w:color w:val="000000"/>
          <w:sz w:val="22"/>
          <w:szCs w:val="22"/>
          <w:lang w:val="en-GB"/>
        </w:rPr>
        <w:t xml:space="preserve">‘the East’, </w:t>
      </w:r>
      <w:r w:rsidR="009C71DA">
        <w:rPr>
          <w:rFonts w:ascii="Calibri" w:hAnsi="Calibri"/>
          <w:color w:val="000000"/>
          <w:sz w:val="22"/>
          <w:szCs w:val="22"/>
          <w:lang w:val="en-GB"/>
        </w:rPr>
        <w:t>i.e.</w:t>
      </w:r>
      <w:r>
        <w:rPr>
          <w:rFonts w:ascii="Calibri" w:hAnsi="Calibri"/>
          <w:color w:val="000000"/>
          <w:sz w:val="22"/>
          <w:szCs w:val="22"/>
          <w:lang w:val="en-GB"/>
        </w:rPr>
        <w:t xml:space="preserve"> the regions of Asia, North Africa, and the Middle East. Said explains his study in the following manner:</w:t>
      </w:r>
    </w:p>
    <w:p w14:paraId="26FAD644" w14:textId="77777777" w:rsidR="00B549D5" w:rsidRDefault="00B549D5" w:rsidP="00E52F0F">
      <w:pPr>
        <w:spacing w:after="0" w:line="360" w:lineRule="auto"/>
        <w:ind w:firstLine="809"/>
        <w:jc w:val="both"/>
        <w:rPr>
          <w:rFonts w:ascii="Calibri" w:hAnsi="Calibri"/>
          <w:color w:val="000000"/>
          <w:sz w:val="22"/>
          <w:szCs w:val="22"/>
          <w:lang w:val="en-GB"/>
        </w:rPr>
      </w:pPr>
    </w:p>
    <w:p w14:paraId="7FFABD86" w14:textId="50708230" w:rsidR="00B549D5" w:rsidRPr="00BB1CD6" w:rsidRDefault="00B549D5" w:rsidP="00E52F0F">
      <w:pPr>
        <w:pStyle w:val="NormalWeb"/>
        <w:spacing w:before="0" w:beforeAutospacing="0" w:after="0" w:afterAutospacing="0" w:line="360" w:lineRule="auto"/>
        <w:ind w:left="1134" w:right="708"/>
        <w:jc w:val="both"/>
        <w:rPr>
          <w:lang w:val="en-GB"/>
        </w:rPr>
      </w:pPr>
      <w:r>
        <w:rPr>
          <w:rFonts w:ascii="Calibri" w:hAnsi="Calibri"/>
          <w:color w:val="000000"/>
          <w:sz w:val="22"/>
          <w:szCs w:val="22"/>
          <w:lang w:val="en-GB"/>
        </w:rPr>
        <w:t>[Orientalism]</w:t>
      </w:r>
      <w:r w:rsidRPr="00BB1CD6">
        <w:rPr>
          <w:rFonts w:ascii="Calibri" w:hAnsi="Calibri"/>
          <w:color w:val="000000"/>
          <w:sz w:val="22"/>
          <w:szCs w:val="22"/>
          <w:lang w:val="en-GB"/>
        </w:rPr>
        <w:t xml:space="preserve"> is, above all, a discourse that is by no means in </w:t>
      </w:r>
      <w:r w:rsidR="00707F14">
        <w:rPr>
          <w:rFonts w:ascii="Calibri" w:hAnsi="Calibri"/>
          <w:color w:val="000000"/>
          <w:sz w:val="22"/>
          <w:szCs w:val="22"/>
          <w:lang w:val="en-GB"/>
        </w:rPr>
        <w:t xml:space="preserve">a </w:t>
      </w:r>
      <w:r w:rsidRPr="00BB1CD6">
        <w:rPr>
          <w:rFonts w:ascii="Calibri" w:hAnsi="Calibri"/>
          <w:color w:val="000000"/>
          <w:sz w:val="22"/>
          <w:szCs w:val="22"/>
          <w:lang w:val="en-GB"/>
        </w:rPr>
        <w:t xml:space="preserve">direct, corresponding relationship with political power in the raw, but rather is produced and exists in an uneven exchange with various kinds of power, shaped to a degree by the exchange with power political (as with a colonial or imperial establishment), power intellectual (as with reigning sciences like comparative linguistics or anatomy, or any of the modern policy sciences), power cultural (as with orthodoxies and canons of taste, texts, values), power moral (as with ideas about what </w:t>
      </w:r>
      <w:r w:rsidR="00CC3E8E">
        <w:rPr>
          <w:rFonts w:ascii="Calibri" w:hAnsi="Calibri"/>
          <w:color w:val="000000"/>
          <w:sz w:val="22"/>
          <w:szCs w:val="22"/>
          <w:lang w:val="en-GB"/>
        </w:rPr>
        <w:t>“</w:t>
      </w:r>
      <w:r w:rsidRPr="00BB1CD6">
        <w:rPr>
          <w:rFonts w:ascii="Calibri" w:hAnsi="Calibri"/>
          <w:color w:val="000000"/>
          <w:sz w:val="22"/>
          <w:szCs w:val="22"/>
          <w:lang w:val="en-GB"/>
        </w:rPr>
        <w:t>we</w:t>
      </w:r>
      <w:r w:rsidR="00CC3E8E">
        <w:rPr>
          <w:rFonts w:ascii="Calibri" w:hAnsi="Calibri"/>
          <w:color w:val="000000"/>
          <w:sz w:val="22"/>
          <w:szCs w:val="22"/>
          <w:lang w:val="en-GB"/>
        </w:rPr>
        <w:t>”</w:t>
      </w:r>
      <w:r w:rsidRPr="00BB1CD6">
        <w:rPr>
          <w:rFonts w:ascii="Calibri" w:hAnsi="Calibri"/>
          <w:color w:val="000000"/>
          <w:sz w:val="22"/>
          <w:szCs w:val="22"/>
          <w:lang w:val="en-GB"/>
        </w:rPr>
        <w:t xml:space="preserve"> do and what </w:t>
      </w:r>
      <w:r w:rsidR="00CC3E8E">
        <w:rPr>
          <w:rFonts w:ascii="Calibri" w:hAnsi="Calibri"/>
          <w:color w:val="000000"/>
          <w:sz w:val="22"/>
          <w:szCs w:val="22"/>
          <w:lang w:val="en-GB"/>
        </w:rPr>
        <w:t>“</w:t>
      </w:r>
      <w:r w:rsidRPr="00BB1CD6">
        <w:rPr>
          <w:rFonts w:ascii="Calibri" w:hAnsi="Calibri"/>
          <w:color w:val="000000"/>
          <w:sz w:val="22"/>
          <w:szCs w:val="22"/>
          <w:lang w:val="en-GB"/>
        </w:rPr>
        <w:t>they</w:t>
      </w:r>
      <w:r w:rsidR="00CC3E8E">
        <w:rPr>
          <w:rFonts w:ascii="Calibri" w:hAnsi="Calibri"/>
          <w:color w:val="000000"/>
          <w:sz w:val="22"/>
          <w:szCs w:val="22"/>
          <w:lang w:val="en-GB"/>
        </w:rPr>
        <w:t>”</w:t>
      </w:r>
      <w:r w:rsidRPr="00BB1CD6">
        <w:rPr>
          <w:rFonts w:ascii="Calibri" w:hAnsi="Calibri"/>
          <w:color w:val="000000"/>
          <w:sz w:val="22"/>
          <w:szCs w:val="22"/>
          <w:lang w:val="en-GB"/>
        </w:rPr>
        <w:t xml:space="preserve"> canno</w:t>
      </w:r>
      <w:r>
        <w:rPr>
          <w:rFonts w:ascii="Calibri" w:hAnsi="Calibri"/>
          <w:color w:val="000000"/>
          <w:sz w:val="22"/>
          <w:szCs w:val="22"/>
          <w:lang w:val="en-GB"/>
        </w:rPr>
        <w:t xml:space="preserve">t do or understand as </w:t>
      </w:r>
      <w:r w:rsidR="00CC3E8E">
        <w:rPr>
          <w:rFonts w:ascii="Calibri" w:hAnsi="Calibri"/>
          <w:color w:val="000000"/>
          <w:sz w:val="22"/>
          <w:szCs w:val="22"/>
          <w:lang w:val="en-GB"/>
        </w:rPr>
        <w:t>“</w:t>
      </w:r>
      <w:r>
        <w:rPr>
          <w:rFonts w:ascii="Calibri" w:hAnsi="Calibri"/>
          <w:color w:val="000000"/>
          <w:sz w:val="22"/>
          <w:szCs w:val="22"/>
          <w:lang w:val="en-GB"/>
        </w:rPr>
        <w:t>we</w:t>
      </w:r>
      <w:r w:rsidR="00CC3E8E">
        <w:rPr>
          <w:rFonts w:ascii="Calibri" w:hAnsi="Calibri"/>
          <w:color w:val="000000"/>
          <w:sz w:val="22"/>
          <w:szCs w:val="22"/>
          <w:lang w:val="en-GB"/>
        </w:rPr>
        <w:t>”</w:t>
      </w:r>
      <w:r>
        <w:rPr>
          <w:rFonts w:ascii="Calibri" w:hAnsi="Calibri"/>
          <w:color w:val="000000"/>
          <w:sz w:val="22"/>
          <w:szCs w:val="22"/>
          <w:lang w:val="en-GB"/>
        </w:rPr>
        <w:t xml:space="preserve"> do).</w:t>
      </w:r>
      <w:r w:rsidR="00F7200D">
        <w:rPr>
          <w:rFonts w:ascii="Calibri" w:hAnsi="Calibri"/>
          <w:color w:val="000000"/>
          <w:sz w:val="22"/>
          <w:szCs w:val="22"/>
          <w:lang w:val="en-GB"/>
        </w:rPr>
        <w:t xml:space="preserve"> (2003, </w:t>
      </w:r>
      <w:r w:rsidRPr="00BB1CD6">
        <w:rPr>
          <w:rFonts w:ascii="Calibri" w:hAnsi="Calibri"/>
          <w:color w:val="000000"/>
          <w:sz w:val="22"/>
          <w:szCs w:val="22"/>
          <w:lang w:val="en-GB"/>
        </w:rPr>
        <w:t>12)</w:t>
      </w:r>
    </w:p>
    <w:p w14:paraId="5145C12E" w14:textId="77777777" w:rsidR="00B549D5" w:rsidRDefault="00B549D5" w:rsidP="00E52F0F">
      <w:pPr>
        <w:spacing w:after="0" w:line="360" w:lineRule="auto"/>
        <w:ind w:firstLine="809"/>
        <w:jc w:val="both"/>
        <w:rPr>
          <w:rFonts w:ascii="Calibri" w:hAnsi="Calibri"/>
          <w:color w:val="000000"/>
          <w:sz w:val="22"/>
          <w:szCs w:val="22"/>
          <w:lang w:val="en-GB"/>
        </w:rPr>
      </w:pPr>
    </w:p>
    <w:p w14:paraId="7C10D328" w14:textId="407E939E" w:rsidR="00B549D5" w:rsidRDefault="00B549D5" w:rsidP="0075373B">
      <w:pPr>
        <w:spacing w:after="0" w:line="360" w:lineRule="auto"/>
        <w:jc w:val="both"/>
        <w:rPr>
          <w:lang w:val="en-GB"/>
        </w:rPr>
      </w:pPr>
      <w:r>
        <w:rPr>
          <w:lang w:val="en-GB"/>
        </w:rPr>
        <w:t>Said’s work partially comes from a dissatisfaction with Foucault’s work. Although Said viewed Foucault as an “extraordinarily brilliant” visionary of power</w:t>
      </w:r>
      <w:r w:rsidR="00707F14" w:rsidRPr="00707F14">
        <w:rPr>
          <w:lang w:val="en-GB"/>
        </w:rPr>
        <w:t xml:space="preserve"> </w:t>
      </w:r>
      <w:r w:rsidR="00707F14">
        <w:rPr>
          <w:lang w:val="en-GB"/>
        </w:rPr>
        <w:t>who provided a foundation for his students to expose, resist, and resolve unjust and cruel power relations</w:t>
      </w:r>
      <w:r>
        <w:rPr>
          <w:lang w:val="en-GB"/>
        </w:rPr>
        <w:t xml:space="preserve">, he thought </w:t>
      </w:r>
      <w:r w:rsidR="00707F14">
        <w:rPr>
          <w:lang w:val="en-GB"/>
        </w:rPr>
        <w:t>Foucault himself</w:t>
      </w:r>
      <w:r>
        <w:rPr>
          <w:lang w:val="en-GB"/>
        </w:rPr>
        <w:t xml:space="preserve"> </w:t>
      </w:r>
      <w:r w:rsidR="00707F14">
        <w:rPr>
          <w:lang w:val="en-GB"/>
        </w:rPr>
        <w:t xml:space="preserve">lacked this engagement </w:t>
      </w:r>
      <w:r w:rsidR="00F7200D">
        <w:rPr>
          <w:lang w:val="en-GB"/>
        </w:rPr>
        <w:t xml:space="preserve">(1986, </w:t>
      </w:r>
      <w:r>
        <w:rPr>
          <w:lang w:val="en-GB"/>
        </w:rPr>
        <w:t>152</w:t>
      </w:r>
      <w:r w:rsidR="00707F14">
        <w:rPr>
          <w:lang w:val="en-GB"/>
        </w:rPr>
        <w:t>, 154-155</w:t>
      </w:r>
      <w:r>
        <w:rPr>
          <w:lang w:val="en-GB"/>
        </w:rPr>
        <w:t xml:space="preserve">). Said’s work could thus be considered as an application of Foucault’s theory, which is involved with broadly the same topic – the way the ‘West’ deals with the ‘East’ – as my research. So why does his work not provide me with the needed theoretical framework? </w:t>
      </w:r>
      <w:r w:rsidR="00707F14">
        <w:rPr>
          <w:lang w:val="en-GB"/>
        </w:rPr>
        <w:t>Exactly because it is applied:</w:t>
      </w:r>
      <w:r>
        <w:rPr>
          <w:lang w:val="en-GB"/>
        </w:rPr>
        <w:t xml:space="preserve"> because Said’s work is applied, the underlying theory is less explicit. What is needed for my research is a theory that explains how power relations work, how they are connected with knowledge, and what role the subject plays in this regard. In the case of Said, this would have to be distilled from his own work, whereas in the case of Foucault it is explicitly written down. Therefore, it makes more sense to turn to Foucault then to Said for my theoretical framework.</w:t>
      </w:r>
      <w:r w:rsidR="007D1688">
        <w:rPr>
          <w:lang w:val="en-GB"/>
        </w:rPr>
        <w:t xml:space="preserve"> Nevertheless, Said’s work can used in combination with Foucault to develop my hypotheses on, to which I turn at the end of the next chapter.</w:t>
      </w:r>
    </w:p>
    <w:p w14:paraId="22C32394" w14:textId="68187659" w:rsidR="00E9412B" w:rsidRDefault="00B549D5" w:rsidP="00E52F0F">
      <w:pPr>
        <w:spacing w:after="0" w:line="360" w:lineRule="auto"/>
        <w:ind w:firstLine="809"/>
        <w:jc w:val="both"/>
        <w:rPr>
          <w:lang w:val="en-GB"/>
        </w:rPr>
      </w:pPr>
      <w:r w:rsidRPr="00014EC1">
        <w:rPr>
          <w:lang w:val="en-GB"/>
        </w:rPr>
        <w:t xml:space="preserve">However, Said is not the only scholar developing a theory on the basis of Foucault’s work. Another theorist is Judith Butler, most famous for her work on gender and power (1990; 1993). </w:t>
      </w:r>
      <w:r>
        <w:rPr>
          <w:lang w:val="en-GB"/>
        </w:rPr>
        <w:t>Nevertheless</w:t>
      </w:r>
      <w:r w:rsidRPr="00014EC1">
        <w:rPr>
          <w:lang w:val="en-GB"/>
        </w:rPr>
        <w:t>, her work is mostly focused on how people reproduce power relations through their acts – which includes how people move, talk, and clothe themselves – and not really on how power is present in news discourses. In the framework of Foucault, her theories concern subjectification, i.e. how people make themselves into subjects, rather than objectification, that is, how people are made into subjects.</w:t>
      </w:r>
      <w:r>
        <w:rPr>
          <w:lang w:val="en-GB"/>
        </w:rPr>
        <w:t xml:space="preserve"> In accordance with this aim, she expands Foucault’s notion of subjectification by combining it with Sigmund Freud’s theory of the psyche. There are several other feminist theorists who develop Foucault’s theory to make it suitable for analysing and challenging gendered relations in other ways. For example, Sandra Bartky expands on Foucault’s notion of disciplinary power, because she </w:t>
      </w:r>
      <w:r w:rsidR="00707F14">
        <w:rPr>
          <w:lang w:val="en-GB"/>
        </w:rPr>
        <w:t>thinks</w:t>
      </w:r>
      <w:r>
        <w:rPr>
          <w:lang w:val="en-GB"/>
        </w:rPr>
        <w:t xml:space="preserve"> he fails to account for the gendered aspect of d</w:t>
      </w:r>
      <w:r w:rsidR="00F7200D">
        <w:rPr>
          <w:lang w:val="en-GB"/>
        </w:rPr>
        <w:t xml:space="preserve">isciplinary practices (1990, </w:t>
      </w:r>
      <w:r>
        <w:rPr>
          <w:lang w:val="en-GB"/>
        </w:rPr>
        <w:t xml:space="preserve">65). She argues he does not notice that female bodies are often considered as </w:t>
      </w:r>
      <w:r>
        <w:rPr>
          <w:lang w:val="en-GB"/>
        </w:rPr>
        <w:lastRenderedPageBreak/>
        <w:t>more docile, and that women themselves practice discipline to keep it so, for example through dietary practices, checking their movement so as to not take up too much space, and keeping their bodies clean, hai</w:t>
      </w:r>
      <w:r w:rsidR="00F7200D">
        <w:rPr>
          <w:lang w:val="en-GB"/>
        </w:rPr>
        <w:t xml:space="preserve">rless, and ornamented (1990, </w:t>
      </w:r>
      <w:r>
        <w:rPr>
          <w:lang w:val="en-GB"/>
        </w:rPr>
        <w:t xml:space="preserve">80). Similarly, Susan Bordo developed Foucault’s model of self-surveillance, agreeing with Bartky that it does not illuminate all forms of female subordination </w:t>
      </w:r>
      <w:r w:rsidR="00707F14">
        <w:rPr>
          <w:lang w:val="en-GB"/>
        </w:rPr>
        <w:t>adequately</w:t>
      </w:r>
      <w:r>
        <w:rPr>
          <w:lang w:val="en-GB"/>
        </w:rPr>
        <w:t xml:space="preserve"> (1993). Many other feminist theorists have been inspired by Foucault and used his work as a basis for analysing and resisting gendered practices (see e.g. Allen, 1999; Diamond and Quinby, 1988; Hekman, 1996; Heyes, 2007; McLaren, 2002; McWhorter, 1999; Sawicki, 1990; Young 1990). Nonetheless, all these theories are </w:t>
      </w:r>
      <w:r w:rsidR="00707F14">
        <w:rPr>
          <w:lang w:val="en-GB"/>
        </w:rPr>
        <w:t>(1)</w:t>
      </w:r>
      <w:r>
        <w:rPr>
          <w:lang w:val="en-GB"/>
        </w:rPr>
        <w:t xml:space="preserve"> focused more on how people turn themselves into subjects and </w:t>
      </w:r>
      <w:r w:rsidR="00707F14">
        <w:rPr>
          <w:lang w:val="en-GB"/>
        </w:rPr>
        <w:t>(2)</w:t>
      </w:r>
      <w:r>
        <w:rPr>
          <w:lang w:val="en-GB"/>
        </w:rPr>
        <w:t xml:space="preserve"> on issues of gender. As my research is not directly concerned with either – and because Foucault’s work does concern the same topics as my thesis –, his theory provides a better framework to conduct my analyses. </w:t>
      </w:r>
    </w:p>
    <w:p w14:paraId="6FBC0FB9" w14:textId="77777777" w:rsidR="00B549D5" w:rsidRDefault="00B549D5" w:rsidP="00E52F0F">
      <w:pPr>
        <w:spacing w:line="360" w:lineRule="auto"/>
        <w:rPr>
          <w:lang w:val="en-GB"/>
        </w:rPr>
      </w:pPr>
      <w:r>
        <w:rPr>
          <w:lang w:val="en-GB"/>
        </w:rPr>
        <w:br w:type="page"/>
      </w:r>
    </w:p>
    <w:p w14:paraId="6BD38E2F" w14:textId="77777777" w:rsidR="00DF5C20" w:rsidRDefault="00DF5C20">
      <w:pPr>
        <w:rPr>
          <w:rFonts w:asciiTheme="majorHAnsi" w:eastAsiaTheme="majorEastAsia" w:hAnsiTheme="majorHAnsi" w:cstheme="majorBidi"/>
          <w:color w:val="2E74B5" w:themeColor="accent1" w:themeShade="BF"/>
          <w:sz w:val="36"/>
          <w:szCs w:val="36"/>
          <w:lang w:val="en-GB"/>
        </w:rPr>
      </w:pPr>
      <w:bookmarkStart w:id="22" w:name="h.kpj4k2qjq8b5" w:colFirst="0" w:colLast="0"/>
      <w:bookmarkEnd w:id="22"/>
      <w:r>
        <w:rPr>
          <w:lang w:val="en-GB"/>
        </w:rPr>
        <w:lastRenderedPageBreak/>
        <w:br w:type="page"/>
      </w:r>
    </w:p>
    <w:p w14:paraId="1CB42DFC" w14:textId="518B65F7" w:rsidR="00B549D5" w:rsidRPr="009834A8" w:rsidRDefault="00CC3E8E" w:rsidP="00E52F0F">
      <w:pPr>
        <w:pStyle w:val="Heading1"/>
        <w:spacing w:line="360" w:lineRule="auto"/>
        <w:rPr>
          <w:lang w:val="en-GB"/>
        </w:rPr>
      </w:pPr>
      <w:bookmarkStart w:id="23" w:name="_Toc458983397"/>
      <w:r>
        <w:rPr>
          <w:lang w:val="en-GB"/>
        </w:rPr>
        <w:lastRenderedPageBreak/>
        <w:t xml:space="preserve">3. </w:t>
      </w:r>
      <w:r w:rsidR="00B549D5" w:rsidRPr="009834A8">
        <w:rPr>
          <w:lang w:val="en-GB"/>
        </w:rPr>
        <w:t>Foucault’s thoughts on power, knowledge, and the subject</w:t>
      </w:r>
      <w:bookmarkEnd w:id="23"/>
    </w:p>
    <w:p w14:paraId="43C11BCB" w14:textId="77777777" w:rsidR="002566CB" w:rsidRDefault="002566CB" w:rsidP="00E52F0F">
      <w:pPr>
        <w:spacing w:after="0" w:line="360" w:lineRule="auto"/>
        <w:jc w:val="both"/>
        <w:rPr>
          <w:lang w:val="en-GB"/>
        </w:rPr>
      </w:pPr>
    </w:p>
    <w:p w14:paraId="1F32A006" w14:textId="5FAD64B7" w:rsidR="00B549D5" w:rsidRPr="00270B55" w:rsidRDefault="00B549D5" w:rsidP="00E52F0F">
      <w:pPr>
        <w:spacing w:after="0" w:line="360" w:lineRule="auto"/>
        <w:jc w:val="both"/>
        <w:rPr>
          <w:lang w:val="en-GB"/>
        </w:rPr>
      </w:pPr>
      <w:r w:rsidRPr="00270B55">
        <w:rPr>
          <w:lang w:val="en-GB"/>
        </w:rPr>
        <w:t xml:space="preserve">Foucault has produced an astonishing range of works from when he was 28 years of age until his early death in 1984. Within these years he moved from one topic to another, and from one approach to another. Moreover, he not only changed topic and approach, but also some ideas about power and the subject (Hoy, 1986; Rabinow, 1984). </w:t>
      </w:r>
      <w:r w:rsidR="008B3542" w:rsidRPr="00270B55">
        <w:rPr>
          <w:lang w:val="en-GB"/>
        </w:rPr>
        <w:t>Whether or not Foucault contradicts himself with the changes in thoughts is a disputed issue;</w:t>
      </w:r>
      <w:r w:rsidR="008B3542" w:rsidRPr="008B3542">
        <w:rPr>
          <w:rStyle w:val="FootnoteReference"/>
          <w:lang w:val="en-GB"/>
        </w:rPr>
        <w:t xml:space="preserve"> </w:t>
      </w:r>
      <w:r w:rsidR="008B3542">
        <w:rPr>
          <w:rStyle w:val="FootnoteReference"/>
          <w:lang w:val="en-GB"/>
        </w:rPr>
        <w:footnoteReference w:id="4"/>
      </w:r>
      <w:r w:rsidR="008B3542" w:rsidRPr="00270B55">
        <w:rPr>
          <w:lang w:val="en-GB"/>
        </w:rPr>
        <w:t xml:space="preserve"> </w:t>
      </w:r>
      <w:r w:rsidR="0071464B">
        <w:rPr>
          <w:lang w:val="en-GB"/>
        </w:rPr>
        <w:t>nevertheless</w:t>
      </w:r>
      <w:r w:rsidR="008B3542" w:rsidRPr="00270B55">
        <w:rPr>
          <w:lang w:val="en-GB"/>
        </w:rPr>
        <w:t xml:space="preserve">, this dissertation </w:t>
      </w:r>
      <w:r w:rsidR="008B3542">
        <w:rPr>
          <w:lang w:val="en-GB"/>
        </w:rPr>
        <w:t xml:space="preserve">mostly </w:t>
      </w:r>
      <w:r w:rsidR="008B3542" w:rsidRPr="00270B55">
        <w:rPr>
          <w:lang w:val="en-GB"/>
        </w:rPr>
        <w:t>focuses on one period</w:t>
      </w:r>
      <w:r w:rsidR="008B3542">
        <w:rPr>
          <w:lang w:val="en-GB"/>
        </w:rPr>
        <w:t xml:space="preserve">, </w:t>
      </w:r>
      <w:r w:rsidR="0071464B">
        <w:rPr>
          <w:lang w:val="en-GB"/>
        </w:rPr>
        <w:t>the</w:t>
      </w:r>
      <w:r w:rsidR="008B3542">
        <w:rPr>
          <w:lang w:val="en-GB"/>
        </w:rPr>
        <w:t xml:space="preserve"> genealogical period</w:t>
      </w:r>
      <w:r w:rsidR="008B3542" w:rsidRPr="00270B55">
        <w:rPr>
          <w:lang w:val="en-GB"/>
        </w:rPr>
        <w:t xml:space="preserve">. </w:t>
      </w:r>
      <w:r w:rsidR="008B3542">
        <w:rPr>
          <w:lang w:val="en-GB"/>
        </w:rPr>
        <w:t>Specifically, I focus on the works discussing</w:t>
      </w:r>
      <w:r w:rsidRPr="00270B55">
        <w:rPr>
          <w:lang w:val="en-GB"/>
        </w:rPr>
        <w:t xml:space="preserve"> the social and political dimensions of power and </w:t>
      </w:r>
      <w:r w:rsidR="0071464B">
        <w:rPr>
          <w:lang w:val="en-GB"/>
        </w:rPr>
        <w:t xml:space="preserve">explicitly explaining </w:t>
      </w:r>
      <w:r w:rsidR="008B3542">
        <w:rPr>
          <w:lang w:val="en-GB"/>
        </w:rPr>
        <w:t>the way</w:t>
      </w:r>
      <w:r w:rsidRPr="00270B55">
        <w:rPr>
          <w:lang w:val="en-GB"/>
        </w:rPr>
        <w:t xml:space="preserve"> </w:t>
      </w:r>
      <w:r w:rsidR="008B3542">
        <w:rPr>
          <w:lang w:val="en-GB"/>
        </w:rPr>
        <w:t xml:space="preserve">power, </w:t>
      </w:r>
      <w:r w:rsidRPr="00270B55">
        <w:rPr>
          <w:lang w:val="en-GB"/>
        </w:rPr>
        <w:t>discourses</w:t>
      </w:r>
      <w:r w:rsidR="0071464B">
        <w:rPr>
          <w:lang w:val="en-GB"/>
        </w:rPr>
        <w:t>, and subjects</w:t>
      </w:r>
      <w:r w:rsidRPr="00270B55">
        <w:rPr>
          <w:lang w:val="en-GB"/>
        </w:rPr>
        <w:t xml:space="preserve"> intertwine, in accordance with the topic of this research</w:t>
      </w:r>
      <w:r>
        <w:rPr>
          <w:lang w:val="en-GB"/>
        </w:rPr>
        <w:t xml:space="preserve">: the power relations that are reflected and </w:t>
      </w:r>
      <w:r w:rsidR="008B3542">
        <w:rPr>
          <w:lang w:val="en-GB"/>
        </w:rPr>
        <w:t>(re)</w:t>
      </w:r>
      <w:r>
        <w:rPr>
          <w:lang w:val="en-GB"/>
        </w:rPr>
        <w:t xml:space="preserve">produced in the </w:t>
      </w:r>
      <w:r w:rsidR="008B3542">
        <w:rPr>
          <w:lang w:val="en-GB"/>
        </w:rPr>
        <w:t>descriptions of</w:t>
      </w:r>
      <w:r>
        <w:rPr>
          <w:lang w:val="en-GB"/>
        </w:rPr>
        <w:t xml:space="preserve"> t</w:t>
      </w:r>
      <w:r w:rsidR="008B3542">
        <w:rPr>
          <w:lang w:val="en-GB"/>
        </w:rPr>
        <w:t>hose</w:t>
      </w:r>
      <w:r>
        <w:rPr>
          <w:lang w:val="en-GB"/>
        </w:rPr>
        <w:t xml:space="preserve"> </w:t>
      </w:r>
      <w:r w:rsidR="008B3542">
        <w:rPr>
          <w:lang w:val="en-GB"/>
        </w:rPr>
        <w:t>affected by</w:t>
      </w:r>
      <w:r>
        <w:rPr>
          <w:lang w:val="en-GB"/>
        </w:rPr>
        <w:t xml:space="preserve"> the Beirut and Paris attacks</w:t>
      </w:r>
      <w:r w:rsidR="0071464B">
        <w:rPr>
          <w:lang w:val="en-GB"/>
        </w:rPr>
        <w:t>.</w:t>
      </w:r>
      <w:r>
        <w:rPr>
          <w:lang w:val="en-GB"/>
        </w:rPr>
        <w:t xml:space="preserve"> </w:t>
      </w:r>
    </w:p>
    <w:p w14:paraId="7431B5E8" w14:textId="6D1A58D0" w:rsidR="00B549D5" w:rsidRPr="00270B55" w:rsidRDefault="00B549D5" w:rsidP="00E52F0F">
      <w:pPr>
        <w:spacing w:after="0" w:line="360" w:lineRule="auto"/>
        <w:ind w:firstLine="720"/>
        <w:jc w:val="both"/>
        <w:rPr>
          <w:lang w:val="en-GB"/>
        </w:rPr>
      </w:pPr>
      <w:r>
        <w:rPr>
          <w:lang w:val="en-GB"/>
        </w:rPr>
        <w:t>In this chapter, I proceed</w:t>
      </w:r>
      <w:r w:rsidRPr="00270B55">
        <w:rPr>
          <w:lang w:val="en-GB"/>
        </w:rPr>
        <w:t xml:space="preserve"> from Foucault’s rejection of the so-called ‘juridico-discursive’ model of power to his own conceptualisation of power. Therea</w:t>
      </w:r>
      <w:r>
        <w:rPr>
          <w:lang w:val="en-GB"/>
        </w:rPr>
        <w:t>fter, I elaborate on the term power/knowledge</w:t>
      </w:r>
      <w:r w:rsidRPr="00270B55">
        <w:rPr>
          <w:lang w:val="en-GB"/>
        </w:rPr>
        <w:t xml:space="preserve">, </w:t>
      </w:r>
      <w:r w:rsidR="0071464B">
        <w:rPr>
          <w:lang w:val="en-GB"/>
        </w:rPr>
        <w:t>which</w:t>
      </w:r>
      <w:r w:rsidRPr="00270B55">
        <w:rPr>
          <w:lang w:val="en-GB"/>
        </w:rPr>
        <w:t xml:space="preserve"> is of g</w:t>
      </w:r>
      <w:r w:rsidR="0071464B">
        <w:rPr>
          <w:lang w:val="en-GB"/>
        </w:rPr>
        <w:t>reat importance to understand</w:t>
      </w:r>
      <w:r w:rsidRPr="00270B55">
        <w:rPr>
          <w:lang w:val="en-GB"/>
        </w:rPr>
        <w:t xml:space="preserve"> how power and knowledge </w:t>
      </w:r>
      <w:r w:rsidR="00CC3E8E">
        <w:rPr>
          <w:lang w:val="en-GB"/>
        </w:rPr>
        <w:t>–</w:t>
      </w:r>
      <w:r w:rsidRPr="00270B55">
        <w:rPr>
          <w:lang w:val="en-GB"/>
        </w:rPr>
        <w:t xml:space="preserve"> and thus discourses </w:t>
      </w:r>
      <w:r w:rsidR="00CC3E8E">
        <w:rPr>
          <w:lang w:val="en-GB"/>
        </w:rPr>
        <w:t>–</w:t>
      </w:r>
      <w:r w:rsidRPr="00270B55">
        <w:rPr>
          <w:lang w:val="en-GB"/>
        </w:rPr>
        <w:t xml:space="preserve"> are entangled. </w:t>
      </w:r>
      <w:r>
        <w:rPr>
          <w:lang w:val="en-GB"/>
        </w:rPr>
        <w:t>The next section continues with</w:t>
      </w:r>
      <w:r w:rsidRPr="00270B55">
        <w:rPr>
          <w:lang w:val="en-GB"/>
        </w:rPr>
        <w:t xml:space="preserve"> Foucault’s theory on the subject, starting with the meaning he gave to this </w:t>
      </w:r>
      <w:r w:rsidR="00CD4ADC">
        <w:rPr>
          <w:lang w:val="en-GB"/>
        </w:rPr>
        <w:t>concept</w:t>
      </w:r>
      <w:r w:rsidRPr="00270B55">
        <w:rPr>
          <w:lang w:val="en-GB"/>
        </w:rPr>
        <w:t>,</w:t>
      </w:r>
      <w:r>
        <w:rPr>
          <w:lang w:val="en-GB"/>
        </w:rPr>
        <w:t xml:space="preserve"> and</w:t>
      </w:r>
      <w:r w:rsidRPr="00270B55">
        <w:rPr>
          <w:lang w:val="en-GB"/>
        </w:rPr>
        <w:t xml:space="preserve"> </w:t>
      </w:r>
      <w:r>
        <w:rPr>
          <w:lang w:val="en-GB"/>
        </w:rPr>
        <w:t>carrying</w:t>
      </w:r>
      <w:r w:rsidRPr="00270B55">
        <w:rPr>
          <w:lang w:val="en-GB"/>
        </w:rPr>
        <w:t xml:space="preserve"> on to the relation between the subject and power. </w:t>
      </w:r>
      <w:r>
        <w:rPr>
          <w:lang w:val="en-GB"/>
        </w:rPr>
        <w:t xml:space="preserve">Section 3.4. explains the meanings and working of </w:t>
      </w:r>
      <w:r w:rsidRPr="00270B55">
        <w:rPr>
          <w:lang w:val="en-GB"/>
        </w:rPr>
        <w:t xml:space="preserve">objectification. </w:t>
      </w:r>
      <w:r>
        <w:rPr>
          <w:lang w:val="en-GB"/>
        </w:rPr>
        <w:t xml:space="preserve">Lastly, I consider the critiques that Foucault has received throughout the years, in order to clarify the limitations of his theory. </w:t>
      </w:r>
    </w:p>
    <w:p w14:paraId="321C7A2C" w14:textId="77777777" w:rsidR="00B549D5" w:rsidRPr="00270B55" w:rsidRDefault="00B549D5" w:rsidP="00E52F0F">
      <w:pPr>
        <w:spacing w:line="360" w:lineRule="auto"/>
        <w:rPr>
          <w:lang w:val="en-GB"/>
        </w:rPr>
      </w:pPr>
    </w:p>
    <w:p w14:paraId="0987AB40" w14:textId="4C8CAFF8" w:rsidR="00B549D5" w:rsidRPr="00270B55" w:rsidRDefault="00CC3E8E" w:rsidP="00E52F0F">
      <w:pPr>
        <w:pStyle w:val="Heading2"/>
        <w:spacing w:line="360" w:lineRule="auto"/>
        <w:ind w:left="-6"/>
        <w:rPr>
          <w:lang w:val="en-GB"/>
        </w:rPr>
      </w:pPr>
      <w:bookmarkStart w:id="24" w:name="h.ckkmysv7buxv" w:colFirst="0" w:colLast="0"/>
      <w:bookmarkStart w:id="25" w:name="_Toc458983398"/>
      <w:bookmarkEnd w:id="24"/>
      <w:r>
        <w:rPr>
          <w:lang w:val="en-GB"/>
        </w:rPr>
        <w:t>3.1.</w:t>
      </w:r>
      <w:r w:rsidR="008E3E4A">
        <w:rPr>
          <w:lang w:val="en-GB"/>
        </w:rPr>
        <w:t xml:space="preserve"> </w:t>
      </w:r>
      <w:r w:rsidR="00B549D5" w:rsidRPr="00270B55">
        <w:rPr>
          <w:lang w:val="en-GB"/>
        </w:rPr>
        <w:t>Power</w:t>
      </w:r>
      <w:bookmarkEnd w:id="25"/>
    </w:p>
    <w:p w14:paraId="34C171BE" w14:textId="3EC6F35F" w:rsidR="00B549D5" w:rsidRPr="00270B55" w:rsidRDefault="00B549D5" w:rsidP="00E52F0F">
      <w:pPr>
        <w:spacing w:after="0" w:line="360" w:lineRule="auto"/>
        <w:jc w:val="both"/>
        <w:rPr>
          <w:lang w:val="en-GB"/>
        </w:rPr>
      </w:pPr>
      <w:r w:rsidRPr="00270B55">
        <w:rPr>
          <w:lang w:val="en-GB"/>
        </w:rPr>
        <w:t xml:space="preserve">Foucault, in </w:t>
      </w:r>
      <w:r w:rsidR="008E3E4A">
        <w:rPr>
          <w:i/>
          <w:lang w:val="en-GB"/>
        </w:rPr>
        <w:t xml:space="preserve">History of Sexuality, </w:t>
      </w:r>
      <w:r w:rsidRPr="00270B55">
        <w:rPr>
          <w:lang w:val="en-GB"/>
        </w:rPr>
        <w:t>discusses the notion of power by debating and rejecting what he calls the juridico-di</w:t>
      </w:r>
      <w:r w:rsidR="00F7200D">
        <w:rPr>
          <w:lang w:val="en-GB"/>
        </w:rPr>
        <w:t>scursive view of power (1978,</w:t>
      </w:r>
      <w:r w:rsidRPr="00270B55">
        <w:rPr>
          <w:lang w:val="en-GB"/>
        </w:rPr>
        <w:t xml:space="preserve"> 82). Generally underlying this </w:t>
      </w:r>
      <w:r w:rsidR="008E3E4A">
        <w:rPr>
          <w:lang w:val="en-GB"/>
        </w:rPr>
        <w:t>understanding</w:t>
      </w:r>
      <w:r w:rsidRPr="00270B55">
        <w:rPr>
          <w:lang w:val="en-GB"/>
        </w:rPr>
        <w:t xml:space="preserve"> of power is, according to Foucault, three views (</w:t>
      </w:r>
      <w:r w:rsidR="00D133F1">
        <w:rPr>
          <w:lang w:val="en-GB"/>
        </w:rPr>
        <w:t>1978</w:t>
      </w:r>
      <w:r w:rsidR="00F7200D">
        <w:rPr>
          <w:lang w:val="en-GB"/>
        </w:rPr>
        <w:t xml:space="preserve">, </w:t>
      </w:r>
      <w:r w:rsidRPr="00270B55">
        <w:rPr>
          <w:lang w:val="en-GB"/>
        </w:rPr>
        <w:t xml:space="preserve">85). Firstly, it puts forward a restrictive definition of power, meaning that </w:t>
      </w:r>
      <w:r w:rsidR="008E3E4A">
        <w:rPr>
          <w:lang w:val="en-GB"/>
        </w:rPr>
        <w:t>it</w:t>
      </w:r>
      <w:r w:rsidRPr="00270B55">
        <w:rPr>
          <w:lang w:val="en-GB"/>
        </w:rPr>
        <w:t xml:space="preserve"> is conceptualised as “poor in resources, sparing of its methods, monotonous in the tactics it utilises, incapable of invention, and seemingly doomed always to repeat itself.” (</w:t>
      </w:r>
      <w:r w:rsidR="00F7200D">
        <w:rPr>
          <w:lang w:val="en-GB"/>
        </w:rPr>
        <w:t xml:space="preserve">1978, </w:t>
      </w:r>
      <w:r w:rsidR="00D133F1">
        <w:rPr>
          <w:lang w:val="en-GB"/>
        </w:rPr>
        <w:t>85</w:t>
      </w:r>
      <w:r w:rsidRPr="00270B55">
        <w:rPr>
          <w:lang w:val="en-GB"/>
        </w:rPr>
        <w:t xml:space="preserve">) Furthermore, the juridico-discursive view focuses on the ‘negative’ force of power, the power to say no, the power to forbid; </w:t>
      </w:r>
      <w:r w:rsidR="008E3E4A">
        <w:rPr>
          <w:lang w:val="en-GB"/>
        </w:rPr>
        <w:t>according to</w:t>
      </w:r>
      <w:r w:rsidRPr="00270B55">
        <w:rPr>
          <w:lang w:val="en-GB"/>
        </w:rPr>
        <w:t xml:space="preserve"> the juridico-discursive view</w:t>
      </w:r>
      <w:r w:rsidR="00934D2C">
        <w:rPr>
          <w:lang w:val="en-GB"/>
        </w:rPr>
        <w:t>,</w:t>
      </w:r>
      <w:r w:rsidRPr="00270B55">
        <w:rPr>
          <w:lang w:val="en-GB"/>
        </w:rPr>
        <w:t xml:space="preserve"> power </w:t>
      </w:r>
      <w:r w:rsidR="008E3E4A">
        <w:rPr>
          <w:lang w:val="en-GB"/>
        </w:rPr>
        <w:t xml:space="preserve">does not </w:t>
      </w:r>
      <w:r w:rsidRPr="00270B55">
        <w:rPr>
          <w:lang w:val="en-GB"/>
        </w:rPr>
        <w:t>p</w:t>
      </w:r>
      <w:r w:rsidR="008E3E4A">
        <w:rPr>
          <w:lang w:val="en-GB"/>
        </w:rPr>
        <w:t>roduce</w:t>
      </w:r>
      <w:r w:rsidRPr="00270B55">
        <w:rPr>
          <w:lang w:val="en-GB"/>
        </w:rPr>
        <w:t xml:space="preserve">. Lastly, this view brings to the fore a juridical model of power, centred on what is stated in the law and what is not talked about due to </w:t>
      </w:r>
      <w:r w:rsidR="00D133F1">
        <w:rPr>
          <w:lang w:val="en-GB"/>
        </w:rPr>
        <w:t>taboos</w:t>
      </w:r>
      <w:r w:rsidRPr="00270B55">
        <w:rPr>
          <w:lang w:val="en-GB"/>
        </w:rPr>
        <w:t>. Ultimately, Foucault argues, all modes of power in this view are “reduced to an effect of obedience.” (</w:t>
      </w:r>
      <w:r w:rsidR="00F7200D">
        <w:rPr>
          <w:lang w:val="en-GB"/>
        </w:rPr>
        <w:t xml:space="preserve">1978, </w:t>
      </w:r>
      <w:r w:rsidR="00D133F1">
        <w:rPr>
          <w:lang w:val="en-GB"/>
        </w:rPr>
        <w:t>85</w:t>
      </w:r>
      <w:r w:rsidRPr="00270B55">
        <w:rPr>
          <w:lang w:val="en-GB"/>
        </w:rPr>
        <w:t>)</w:t>
      </w:r>
      <w:r w:rsidR="00D133F1">
        <w:rPr>
          <w:lang w:val="en-GB"/>
        </w:rPr>
        <w:t>. Alt</w:t>
      </w:r>
      <w:r w:rsidR="00934D2C">
        <w:rPr>
          <w:lang w:val="en-GB"/>
        </w:rPr>
        <w:t>hough</w:t>
      </w:r>
      <w:r w:rsidRPr="00270B55">
        <w:rPr>
          <w:lang w:val="en-GB"/>
        </w:rPr>
        <w:t xml:space="preserve"> th</w:t>
      </w:r>
      <w:r w:rsidR="00934D2C">
        <w:rPr>
          <w:lang w:val="en-GB"/>
        </w:rPr>
        <w:t xml:space="preserve">e history of Western monarchies, which </w:t>
      </w:r>
      <w:r w:rsidRPr="00270B55">
        <w:rPr>
          <w:lang w:val="en-GB"/>
        </w:rPr>
        <w:t xml:space="preserve">were constructed as systems of law, </w:t>
      </w:r>
      <w:r w:rsidR="00934D2C">
        <w:rPr>
          <w:lang w:val="en-GB"/>
        </w:rPr>
        <w:t>can satisfactorily explain why this view became so established, Foucault claims it</w:t>
      </w:r>
      <w:r w:rsidRPr="00270B55">
        <w:rPr>
          <w:lang w:val="en-GB"/>
        </w:rPr>
        <w:t xml:space="preserve"> is unsatisfactory for the actual workings of power (</w:t>
      </w:r>
      <w:r w:rsidR="00D133F1">
        <w:rPr>
          <w:lang w:val="en-GB"/>
        </w:rPr>
        <w:t>1978</w:t>
      </w:r>
      <w:r w:rsidR="00F7200D">
        <w:rPr>
          <w:lang w:val="en-GB"/>
        </w:rPr>
        <w:t>,</w:t>
      </w:r>
      <w:r w:rsidR="00934D2C">
        <w:rPr>
          <w:lang w:val="en-GB"/>
        </w:rPr>
        <w:t xml:space="preserve"> 87). Instead, he </w:t>
      </w:r>
      <w:r w:rsidRPr="00270B55">
        <w:rPr>
          <w:lang w:val="en-GB"/>
        </w:rPr>
        <w:t xml:space="preserve">argues we </w:t>
      </w:r>
      <w:r w:rsidR="00934D2C">
        <w:rPr>
          <w:lang w:val="en-GB"/>
        </w:rPr>
        <w:t>should</w:t>
      </w:r>
      <w:r w:rsidRPr="00270B55">
        <w:rPr>
          <w:lang w:val="en-GB"/>
        </w:rPr>
        <w:t xml:space="preserve"> “cut off the head of the king.” (</w:t>
      </w:r>
      <w:r w:rsidR="00D133F1">
        <w:rPr>
          <w:lang w:val="en-GB"/>
        </w:rPr>
        <w:t>1978</w:t>
      </w:r>
      <w:r w:rsidR="00F7200D">
        <w:rPr>
          <w:lang w:val="en-GB"/>
        </w:rPr>
        <w:t xml:space="preserve">, </w:t>
      </w:r>
      <w:r w:rsidRPr="00270B55">
        <w:rPr>
          <w:lang w:val="en-GB"/>
        </w:rPr>
        <w:t>89) In contemporary society</w:t>
      </w:r>
      <w:r w:rsidR="00934D2C">
        <w:rPr>
          <w:lang w:val="en-GB"/>
        </w:rPr>
        <w:t>,</w:t>
      </w:r>
      <w:r w:rsidRPr="00270B55">
        <w:rPr>
          <w:lang w:val="en-GB"/>
        </w:rPr>
        <w:t xml:space="preserve"> there are new forms of powers that cannot be represented by the juridico-discursive </w:t>
      </w:r>
      <w:r w:rsidRPr="00270B55">
        <w:rPr>
          <w:lang w:val="en-GB"/>
        </w:rPr>
        <w:lastRenderedPageBreak/>
        <w:t>view of power: those methods that use technique</w:t>
      </w:r>
      <w:r w:rsidR="00934D2C">
        <w:rPr>
          <w:lang w:val="en-GB"/>
        </w:rPr>
        <w:t>s</w:t>
      </w:r>
      <w:r w:rsidRPr="00270B55">
        <w:rPr>
          <w:lang w:val="en-GB"/>
        </w:rPr>
        <w:t xml:space="preserve">, normalisation, and control, instead of right, law, and punishment, and </w:t>
      </w:r>
      <w:r w:rsidR="00934D2C">
        <w:rPr>
          <w:lang w:val="en-GB"/>
        </w:rPr>
        <w:t>which</w:t>
      </w:r>
      <w:r w:rsidRPr="00270B55">
        <w:rPr>
          <w:lang w:val="en-GB"/>
        </w:rPr>
        <w:t xml:space="preserve"> transcend </w:t>
      </w:r>
      <w:r w:rsidR="00D133F1">
        <w:rPr>
          <w:lang w:val="en-GB"/>
        </w:rPr>
        <w:t>the state and its institutions</w:t>
      </w:r>
      <w:r w:rsidRPr="00270B55">
        <w:rPr>
          <w:lang w:val="en-GB"/>
        </w:rPr>
        <w:t xml:space="preserve">. </w:t>
      </w:r>
      <w:r w:rsidR="00D3129C">
        <w:rPr>
          <w:lang w:val="en-GB"/>
        </w:rPr>
        <w:t>Aiming</w:t>
      </w:r>
      <w:r w:rsidRPr="00270B55">
        <w:rPr>
          <w:lang w:val="en-GB"/>
        </w:rPr>
        <w:t xml:space="preserve"> to analyse power within its historical and concrete context, Foucault therefore claims that “we must break free of (</w:t>
      </w:r>
      <w:r w:rsidR="00CC3E8E">
        <w:rPr>
          <w:lang w:val="en-GB"/>
        </w:rPr>
        <w:t>…</w:t>
      </w:r>
      <w:r w:rsidRPr="00270B55">
        <w:rPr>
          <w:lang w:val="en-GB"/>
        </w:rPr>
        <w:t>) the theoretical privilege of law and sovereignty”</w:t>
      </w:r>
      <w:r w:rsidR="00D3129C">
        <w:rPr>
          <w:lang w:val="en-GB"/>
        </w:rPr>
        <w:t xml:space="preserve">, moving beyond the juridico-discursive model </w:t>
      </w:r>
      <w:r w:rsidRPr="00270B55">
        <w:rPr>
          <w:lang w:val="en-GB"/>
        </w:rPr>
        <w:t>(</w:t>
      </w:r>
      <w:r w:rsidR="00D133F1">
        <w:rPr>
          <w:lang w:val="en-GB"/>
        </w:rPr>
        <w:t>1978</w:t>
      </w:r>
      <w:r w:rsidR="00F7200D">
        <w:rPr>
          <w:lang w:val="en-GB"/>
        </w:rPr>
        <w:t xml:space="preserve">, </w:t>
      </w:r>
      <w:r w:rsidRPr="00270B55">
        <w:rPr>
          <w:lang w:val="en-GB"/>
        </w:rPr>
        <w:t>90).</w:t>
      </w:r>
    </w:p>
    <w:p w14:paraId="7C356867" w14:textId="3B453158" w:rsidR="00B549D5" w:rsidRPr="00270B55" w:rsidRDefault="00D3129C" w:rsidP="00E52F0F">
      <w:pPr>
        <w:spacing w:after="0" w:line="360" w:lineRule="auto"/>
        <w:ind w:firstLine="720"/>
        <w:jc w:val="both"/>
        <w:rPr>
          <w:lang w:val="en-GB"/>
        </w:rPr>
      </w:pPr>
      <w:r>
        <w:rPr>
          <w:lang w:val="en-GB"/>
        </w:rPr>
        <w:t>In its place</w:t>
      </w:r>
      <w:r w:rsidR="00B549D5" w:rsidRPr="00270B55">
        <w:rPr>
          <w:lang w:val="en-GB"/>
        </w:rPr>
        <w:t xml:space="preserve">, Foucault formulates a </w:t>
      </w:r>
      <w:r>
        <w:rPr>
          <w:lang w:val="en-GB"/>
        </w:rPr>
        <w:t>theory of power</w:t>
      </w:r>
      <w:r w:rsidR="00B549D5" w:rsidRPr="00270B55">
        <w:rPr>
          <w:lang w:val="en-GB"/>
        </w:rPr>
        <w:t xml:space="preserve"> </w:t>
      </w:r>
      <w:r>
        <w:rPr>
          <w:lang w:val="en-GB"/>
        </w:rPr>
        <w:t>that</w:t>
      </w:r>
      <w:r w:rsidR="00B549D5" w:rsidRPr="00270B55">
        <w:rPr>
          <w:lang w:val="en-GB"/>
        </w:rPr>
        <w:t xml:space="preserve"> takes into account </w:t>
      </w:r>
      <w:r>
        <w:rPr>
          <w:lang w:val="en-GB"/>
        </w:rPr>
        <w:t>the productive</w:t>
      </w:r>
      <w:r w:rsidR="00B549D5" w:rsidRPr="00270B55">
        <w:rPr>
          <w:lang w:val="en-GB"/>
        </w:rPr>
        <w:t xml:space="preserve"> </w:t>
      </w:r>
      <w:r>
        <w:rPr>
          <w:lang w:val="en-GB"/>
        </w:rPr>
        <w:t>side</w:t>
      </w:r>
      <w:r w:rsidR="00B549D5" w:rsidRPr="00270B55">
        <w:rPr>
          <w:lang w:val="en-GB"/>
        </w:rPr>
        <w:t xml:space="preserve"> of power (</w:t>
      </w:r>
      <w:r w:rsidR="00D133F1">
        <w:rPr>
          <w:lang w:val="en-GB"/>
        </w:rPr>
        <w:t>1978</w:t>
      </w:r>
      <w:r w:rsidR="00F7200D">
        <w:rPr>
          <w:lang w:val="en-GB"/>
        </w:rPr>
        <w:t xml:space="preserve">, </w:t>
      </w:r>
      <w:r w:rsidR="00B549D5" w:rsidRPr="00270B55">
        <w:rPr>
          <w:lang w:val="en-GB"/>
        </w:rPr>
        <w:t xml:space="preserve">94). As has been cited a countless </w:t>
      </w:r>
      <w:r w:rsidR="00B549D5">
        <w:rPr>
          <w:lang w:val="en-GB"/>
        </w:rPr>
        <w:t>number</w:t>
      </w:r>
      <w:r w:rsidR="00B549D5" w:rsidRPr="00270B55">
        <w:rPr>
          <w:lang w:val="en-GB"/>
        </w:rPr>
        <w:t xml:space="preserve"> of times, Foucault argues that:</w:t>
      </w:r>
    </w:p>
    <w:p w14:paraId="27F32437" w14:textId="77777777" w:rsidR="00B549D5" w:rsidRPr="00270B55" w:rsidRDefault="00B549D5" w:rsidP="00E52F0F">
      <w:pPr>
        <w:spacing w:after="0" w:line="360" w:lineRule="auto"/>
        <w:ind w:firstLine="720"/>
        <w:rPr>
          <w:lang w:val="en-GB"/>
        </w:rPr>
      </w:pPr>
    </w:p>
    <w:p w14:paraId="35C121EE" w14:textId="4D8A0C20" w:rsidR="00B549D5" w:rsidRPr="00270B55" w:rsidRDefault="00B549D5" w:rsidP="00E52F0F">
      <w:pPr>
        <w:spacing w:after="0" w:line="360" w:lineRule="auto"/>
        <w:ind w:left="1134" w:right="720"/>
        <w:jc w:val="both"/>
        <w:rPr>
          <w:lang w:val="en-GB"/>
        </w:rPr>
      </w:pPr>
      <w:r w:rsidRPr="00270B55">
        <w:rPr>
          <w:lang w:val="en-GB"/>
        </w:rPr>
        <w:t>power must be understood in the first instance as the multiplicity of force relations immanent in the sphere in which they operate and which constitute their own organisation</w:t>
      </w:r>
      <w:r w:rsidRPr="00E02985">
        <w:rPr>
          <w:lang w:val="en-GB"/>
        </w:rPr>
        <w:t>; as the process which, through ceaseless struggles and confrontations, transforms, strengthens, or reverses them; as the support which these force relations find in one another, thus forming a chain or a system, or on the contrary, the disjunctions and contradictions which isolate them from one another; and lastly, as the strategies in which they take effect, whose general design or institutional crystallisation is embodied in the state apparatus, in the formulation of the law, in the various social hegemonies</w:t>
      </w:r>
      <w:r>
        <w:rPr>
          <w:lang w:val="en-GB"/>
        </w:rPr>
        <w:t>.</w:t>
      </w:r>
      <w:r w:rsidRPr="00270B55">
        <w:rPr>
          <w:lang w:val="en-GB"/>
        </w:rPr>
        <w:t xml:space="preserve"> (</w:t>
      </w:r>
      <w:r w:rsidR="00D133F1">
        <w:rPr>
          <w:lang w:val="en-GB"/>
        </w:rPr>
        <w:t>1978</w:t>
      </w:r>
      <w:r w:rsidR="00F7200D">
        <w:rPr>
          <w:lang w:val="en-GB"/>
        </w:rPr>
        <w:t>, 92-9</w:t>
      </w:r>
      <w:r w:rsidRPr="00270B55">
        <w:rPr>
          <w:lang w:val="en-GB"/>
        </w:rPr>
        <w:t>3)</w:t>
      </w:r>
    </w:p>
    <w:p w14:paraId="4D3F7A08" w14:textId="77777777" w:rsidR="00B549D5" w:rsidRPr="00270B55" w:rsidRDefault="00B549D5" w:rsidP="00E52F0F">
      <w:pPr>
        <w:spacing w:after="0" w:line="360" w:lineRule="auto"/>
        <w:ind w:firstLine="720"/>
        <w:rPr>
          <w:lang w:val="en-GB"/>
        </w:rPr>
      </w:pPr>
    </w:p>
    <w:p w14:paraId="17396531" w14:textId="11F468DA" w:rsidR="00B549D5" w:rsidRPr="00270B55" w:rsidRDefault="00B549D5" w:rsidP="00934967">
      <w:pPr>
        <w:spacing w:after="0" w:line="360" w:lineRule="auto"/>
        <w:jc w:val="both"/>
        <w:rPr>
          <w:lang w:val="en-GB"/>
        </w:rPr>
      </w:pPr>
      <w:r w:rsidRPr="00270B55">
        <w:rPr>
          <w:lang w:val="en-GB"/>
        </w:rPr>
        <w:t>In F</w:t>
      </w:r>
      <w:r w:rsidR="00976C48">
        <w:rPr>
          <w:lang w:val="en-GB"/>
        </w:rPr>
        <w:t>oucault’s view</w:t>
      </w:r>
      <w:r w:rsidRPr="00270B55">
        <w:rPr>
          <w:lang w:val="en-GB"/>
        </w:rPr>
        <w:t xml:space="preserve"> power is a web of power relations</w:t>
      </w:r>
      <w:r w:rsidR="00976C48">
        <w:rPr>
          <w:lang w:val="en-GB"/>
        </w:rPr>
        <w:t>:</w:t>
      </w:r>
      <w:r w:rsidRPr="00270B55">
        <w:rPr>
          <w:lang w:val="en-GB"/>
        </w:rPr>
        <w:t xml:space="preserve"> the</w:t>
      </w:r>
      <w:r w:rsidR="00976C48">
        <w:rPr>
          <w:lang w:val="en-GB"/>
        </w:rPr>
        <w:t>re is no central source of power (1978, 93). I</w:t>
      </w:r>
      <w:r w:rsidRPr="00270B55">
        <w:rPr>
          <w:lang w:val="en-GB"/>
        </w:rPr>
        <w:t>nstead, the force relations that make up power are always local and multiple (</w:t>
      </w:r>
      <w:r w:rsidR="00D133F1">
        <w:rPr>
          <w:lang w:val="en-GB"/>
        </w:rPr>
        <w:t>1978</w:t>
      </w:r>
      <w:r w:rsidR="00F7200D">
        <w:rPr>
          <w:lang w:val="en-GB"/>
        </w:rPr>
        <w:t xml:space="preserve">, </w:t>
      </w:r>
      <w:r w:rsidRPr="00270B55">
        <w:rPr>
          <w:lang w:val="en-GB"/>
        </w:rPr>
        <w:t>93). Moreover, because these relations are unequal, they are in const</w:t>
      </w:r>
      <w:r w:rsidR="00D133F1">
        <w:rPr>
          <w:lang w:val="en-GB"/>
        </w:rPr>
        <w:t xml:space="preserve">ant movement and thus </w:t>
      </w:r>
      <w:r w:rsidR="00976C48">
        <w:rPr>
          <w:lang w:val="en-GB"/>
        </w:rPr>
        <w:t xml:space="preserve">inherently </w:t>
      </w:r>
      <w:r w:rsidR="00D133F1">
        <w:rPr>
          <w:lang w:val="en-GB"/>
        </w:rPr>
        <w:t>unstable</w:t>
      </w:r>
      <w:r w:rsidRPr="00270B55">
        <w:rPr>
          <w:lang w:val="en-GB"/>
        </w:rPr>
        <w:t>. Since power comes from the force relations that are produced from one moment to the next, power “is everywhere”</w:t>
      </w:r>
      <w:r w:rsidR="00976C48">
        <w:rPr>
          <w:lang w:val="en-GB"/>
        </w:rPr>
        <w:t>,</w:t>
      </w:r>
      <w:r w:rsidRPr="00270B55">
        <w:rPr>
          <w:lang w:val="en-GB"/>
        </w:rPr>
        <w:t xml:space="preserve"> in the sense that it comes from everywhere (</w:t>
      </w:r>
      <w:r w:rsidR="00F7200D">
        <w:rPr>
          <w:lang w:val="en-GB"/>
        </w:rPr>
        <w:t xml:space="preserve">1978, </w:t>
      </w:r>
      <w:r w:rsidR="00D133F1">
        <w:rPr>
          <w:lang w:val="en-GB"/>
        </w:rPr>
        <w:t>93</w:t>
      </w:r>
      <w:r w:rsidRPr="00270B55">
        <w:rPr>
          <w:lang w:val="en-GB"/>
        </w:rPr>
        <w:t xml:space="preserve">). </w:t>
      </w:r>
    </w:p>
    <w:p w14:paraId="0FEBCBF1" w14:textId="77FE7BB7" w:rsidR="00B549D5" w:rsidRPr="000E75E7" w:rsidRDefault="00B549D5" w:rsidP="00E52F0F">
      <w:pPr>
        <w:spacing w:after="0" w:line="360" w:lineRule="auto"/>
        <w:ind w:firstLine="720"/>
        <w:jc w:val="both"/>
        <w:rPr>
          <w:lang w:val="en-GB"/>
        </w:rPr>
      </w:pPr>
      <w:r w:rsidRPr="00270B55">
        <w:rPr>
          <w:lang w:val="en-GB"/>
        </w:rPr>
        <w:t>Foucault further explains his view by positioning five statements regarding power’s characteristics (</w:t>
      </w:r>
      <w:r w:rsidR="00D133F1">
        <w:rPr>
          <w:lang w:val="en-GB"/>
        </w:rPr>
        <w:t>1978</w:t>
      </w:r>
      <w:r w:rsidR="00F7200D">
        <w:rPr>
          <w:lang w:val="en-GB"/>
        </w:rPr>
        <w:t>,</w:t>
      </w:r>
      <w:r w:rsidRPr="00270B55">
        <w:rPr>
          <w:lang w:val="en-GB"/>
        </w:rPr>
        <w:t xml:space="preserve"> 94). </w:t>
      </w:r>
      <w:r w:rsidR="00976C48">
        <w:rPr>
          <w:lang w:val="en-GB"/>
        </w:rPr>
        <w:t>Firstly, he</w:t>
      </w:r>
      <w:r w:rsidRPr="00270B55">
        <w:rPr>
          <w:lang w:val="en-GB"/>
        </w:rPr>
        <w:t xml:space="preserve"> argues that power is not something that can be acquired, but rather is something that “is exercised fr</w:t>
      </w:r>
      <w:r w:rsidR="00F7200D">
        <w:rPr>
          <w:lang w:val="en-GB"/>
        </w:rPr>
        <w:t>om innumerable points” (1978,</w:t>
      </w:r>
      <w:r w:rsidRPr="00270B55">
        <w:rPr>
          <w:lang w:val="en-GB"/>
        </w:rPr>
        <w:t xml:space="preserve"> 94). As power is the force relations that come from everywhere, it should thus be understood as the interplay between these non</w:t>
      </w:r>
      <w:r w:rsidR="00006D3D">
        <w:rPr>
          <w:lang w:val="en-GB"/>
        </w:rPr>
        <w:t>-</w:t>
      </w:r>
      <w:r w:rsidRPr="00270B55">
        <w:rPr>
          <w:lang w:val="en-GB"/>
        </w:rPr>
        <w:t>eg</w:t>
      </w:r>
      <w:r w:rsidR="00D133F1">
        <w:rPr>
          <w:lang w:val="en-GB"/>
        </w:rPr>
        <w:t>alitarian and moving relations.</w:t>
      </w:r>
      <w:r w:rsidRPr="00270B55">
        <w:rPr>
          <w:lang w:val="en-GB"/>
        </w:rPr>
        <w:t xml:space="preserve"> Secondly, power relations are not at play outside other kinds of relationships, such as those concerned with economics or knowledge, but are imman</w:t>
      </w:r>
      <w:r w:rsidR="00D133F1">
        <w:rPr>
          <w:lang w:val="en-GB"/>
        </w:rPr>
        <w:t>ent within these relationships</w:t>
      </w:r>
      <w:r w:rsidRPr="00270B55">
        <w:rPr>
          <w:lang w:val="en-GB"/>
        </w:rPr>
        <w:t xml:space="preserve">. </w:t>
      </w:r>
      <w:r w:rsidRPr="000E75E7">
        <w:rPr>
          <w:lang w:val="en-GB"/>
        </w:rPr>
        <w:t xml:space="preserve">This means that the power relations are “the immediate effects” as well as the “internal conditions” of the inequalities, divisions, and instability within the other </w:t>
      </w:r>
      <w:r w:rsidR="00976C48">
        <w:rPr>
          <w:lang w:val="en-GB"/>
        </w:rPr>
        <w:t>kinds</w:t>
      </w:r>
      <w:r w:rsidRPr="000E75E7">
        <w:rPr>
          <w:lang w:val="en-GB"/>
        </w:rPr>
        <w:t xml:space="preserve"> of relations (</w:t>
      </w:r>
      <w:r w:rsidR="00F7200D">
        <w:rPr>
          <w:lang w:val="en-GB"/>
        </w:rPr>
        <w:t xml:space="preserve">1978, </w:t>
      </w:r>
      <w:r w:rsidR="00D133F1">
        <w:rPr>
          <w:lang w:val="en-GB"/>
        </w:rPr>
        <w:t>94</w:t>
      </w:r>
      <w:r w:rsidRPr="000E75E7">
        <w:rPr>
          <w:lang w:val="en-GB"/>
        </w:rPr>
        <w:t>). Instead of having merely a repressive or accompanying role, power relations are produc</w:t>
      </w:r>
      <w:r w:rsidR="000D0AFD">
        <w:rPr>
          <w:lang w:val="en-GB"/>
        </w:rPr>
        <w:t>tive wherever they are at play</w:t>
      </w:r>
      <w:r w:rsidRPr="000E75E7">
        <w:rPr>
          <w:lang w:val="en-GB"/>
        </w:rPr>
        <w:t>. Additionally, Foucault states that there is no direct opposition between the leaders and the subjects that is foundational to power relations (</w:t>
      </w:r>
      <w:r w:rsidR="000D0AFD">
        <w:rPr>
          <w:lang w:val="en-GB"/>
        </w:rPr>
        <w:t>1978</w:t>
      </w:r>
      <w:r w:rsidRPr="000E75E7">
        <w:rPr>
          <w:lang w:val="en-GB"/>
        </w:rPr>
        <w:t xml:space="preserve">). </w:t>
      </w:r>
      <w:r w:rsidR="00976C48">
        <w:rPr>
          <w:lang w:val="en-GB"/>
        </w:rPr>
        <w:t>They</w:t>
      </w:r>
      <w:r w:rsidRPr="000E75E7">
        <w:rPr>
          <w:lang w:val="en-GB"/>
        </w:rPr>
        <w:t xml:space="preserve"> exist everywhere in society, and their effe</w:t>
      </w:r>
      <w:r w:rsidR="000D0AFD">
        <w:rPr>
          <w:lang w:val="en-GB"/>
        </w:rPr>
        <w:t>cts run through all of society</w:t>
      </w:r>
      <w:r w:rsidRPr="000E75E7">
        <w:rPr>
          <w:lang w:val="en-GB"/>
        </w:rPr>
        <w:t xml:space="preserve">. To be sure, Foucault does </w:t>
      </w:r>
      <w:r w:rsidR="00976C48">
        <w:rPr>
          <w:lang w:val="en-GB"/>
        </w:rPr>
        <w:t>agree</w:t>
      </w:r>
      <w:r w:rsidRPr="000E75E7">
        <w:rPr>
          <w:lang w:val="en-GB"/>
        </w:rPr>
        <w:t xml:space="preserve"> that there are major dominations, but in his view these are the hegemonic effects that are maintained by the links and confrontations between different force relations (</w:t>
      </w:r>
      <w:r w:rsidR="000D0AFD">
        <w:rPr>
          <w:lang w:val="en-GB"/>
        </w:rPr>
        <w:t>1978</w:t>
      </w:r>
      <w:r w:rsidRPr="000E75E7">
        <w:rPr>
          <w:lang w:val="en-GB"/>
        </w:rPr>
        <w:t>). Fourthly, according to Foucault, all relations of power are intentional and simultaneously non</w:t>
      </w:r>
      <w:r w:rsidR="00006D3D">
        <w:rPr>
          <w:lang w:val="en-GB"/>
        </w:rPr>
        <w:t>-</w:t>
      </w:r>
      <w:r w:rsidRPr="000E75E7">
        <w:rPr>
          <w:lang w:val="en-GB"/>
        </w:rPr>
        <w:t>subjective (</w:t>
      </w:r>
      <w:r w:rsidR="000D0AFD">
        <w:rPr>
          <w:lang w:val="en-GB"/>
        </w:rPr>
        <w:t>1978</w:t>
      </w:r>
      <w:r w:rsidRPr="000E75E7">
        <w:rPr>
          <w:lang w:val="en-GB"/>
        </w:rPr>
        <w:t xml:space="preserve">). </w:t>
      </w:r>
      <w:r w:rsidR="00976C48">
        <w:rPr>
          <w:lang w:val="en-GB"/>
        </w:rPr>
        <w:t>Hence</w:t>
      </w:r>
      <w:r w:rsidRPr="000E75E7">
        <w:rPr>
          <w:lang w:val="en-GB"/>
        </w:rPr>
        <w:t xml:space="preserve">, all </w:t>
      </w:r>
      <w:r w:rsidRPr="000E75E7">
        <w:rPr>
          <w:lang w:val="en-GB"/>
        </w:rPr>
        <w:lastRenderedPageBreak/>
        <w:t>power is exercised with certain objectives; however, this does not mean that power comes from certain sources. Instead of looking for the source of power, we should look at the tactics of power, which in the en</w:t>
      </w:r>
      <w:r w:rsidR="000D0AFD">
        <w:rPr>
          <w:lang w:val="en-GB"/>
        </w:rPr>
        <w:t>d become comprehensive systems</w:t>
      </w:r>
      <w:r w:rsidRPr="000E75E7">
        <w:rPr>
          <w:lang w:val="en-GB"/>
        </w:rPr>
        <w:t>. As such, “the logic is perfectly clear, the aims decipherable, and yet is it often the case that no one is there to have invented them” (</w:t>
      </w:r>
      <w:r w:rsidR="000D0AFD">
        <w:rPr>
          <w:lang w:val="en-GB"/>
        </w:rPr>
        <w:t>1978</w:t>
      </w:r>
      <w:r w:rsidR="00F7200D">
        <w:rPr>
          <w:lang w:val="en-GB"/>
        </w:rPr>
        <w:t xml:space="preserve">, </w:t>
      </w:r>
      <w:r w:rsidRPr="000E75E7">
        <w:rPr>
          <w:lang w:val="en-GB"/>
        </w:rPr>
        <w:t xml:space="preserve">95). Lastly, Foucault assert that wherever there is power, there is also resistance, </w:t>
      </w:r>
      <w:r w:rsidR="00976C48">
        <w:rPr>
          <w:lang w:val="en-GB"/>
        </w:rPr>
        <w:t>al</w:t>
      </w:r>
      <w:r w:rsidRPr="000E75E7">
        <w:rPr>
          <w:lang w:val="en-GB"/>
        </w:rPr>
        <w:t>though this resistance is never outside of the web of power relations (</w:t>
      </w:r>
      <w:r w:rsidR="000D0AFD">
        <w:rPr>
          <w:lang w:val="en-GB"/>
        </w:rPr>
        <w:t>1978</w:t>
      </w:r>
      <w:r w:rsidRPr="000E75E7">
        <w:rPr>
          <w:lang w:val="en-GB"/>
        </w:rPr>
        <w:t>).</w:t>
      </w:r>
      <w:r w:rsidR="00976C48">
        <w:rPr>
          <w:lang w:val="en-GB"/>
        </w:rPr>
        <w:t xml:space="preserve"> </w:t>
      </w:r>
      <w:r w:rsidRPr="000E75E7">
        <w:rPr>
          <w:lang w:val="en-GB"/>
        </w:rPr>
        <w:t xml:space="preserve">Power relations </w:t>
      </w:r>
      <w:r w:rsidR="00976C48">
        <w:rPr>
          <w:lang w:val="en-GB"/>
        </w:rPr>
        <w:t>even</w:t>
      </w:r>
      <w:r w:rsidRPr="000E75E7">
        <w:rPr>
          <w:lang w:val="en-GB"/>
        </w:rPr>
        <w:t xml:space="preserve"> depend on the multiplicity of resistance points within their network. The</w:t>
      </w:r>
      <w:r w:rsidR="00976C48">
        <w:rPr>
          <w:lang w:val="en-GB"/>
        </w:rPr>
        <w:t>se resistance</w:t>
      </w:r>
      <w:r w:rsidRPr="000E75E7">
        <w:rPr>
          <w:lang w:val="en-GB"/>
        </w:rPr>
        <w:t xml:space="preserve"> points have different roles with regard to power; for example, </w:t>
      </w:r>
      <w:r w:rsidR="00976C48" w:rsidRPr="000E75E7">
        <w:rPr>
          <w:lang w:val="en-GB"/>
        </w:rPr>
        <w:t xml:space="preserve">they can </w:t>
      </w:r>
      <w:r w:rsidRPr="000E75E7">
        <w:rPr>
          <w:lang w:val="en-GB"/>
        </w:rPr>
        <w:t>be its ad</w:t>
      </w:r>
      <w:r w:rsidR="000D0AFD">
        <w:rPr>
          <w:lang w:val="en-GB"/>
        </w:rPr>
        <w:t>versary, support, or handle</w:t>
      </w:r>
      <w:r w:rsidRPr="000E75E7">
        <w:rPr>
          <w:lang w:val="en-GB"/>
        </w:rPr>
        <w:t>. This means that, for Foucault, there is, as with power, no central source of resistance and rebellion. In contrast, each resistance is a specific case, and as such, can have different characteristics and stand in a different relation to the force relations (</w:t>
      </w:r>
      <w:r w:rsidR="000D0AFD">
        <w:rPr>
          <w:lang w:val="en-GB"/>
        </w:rPr>
        <w:t>1978</w:t>
      </w:r>
      <w:r w:rsidR="00F7200D">
        <w:rPr>
          <w:lang w:val="en-GB"/>
        </w:rPr>
        <w:t xml:space="preserve">, </w:t>
      </w:r>
      <w:r w:rsidRPr="000E75E7">
        <w:rPr>
          <w:lang w:val="en-GB"/>
        </w:rPr>
        <w:t xml:space="preserve">96). Moreover, because they always have a specific relation to the power network, they can </w:t>
      </w:r>
      <w:r w:rsidR="000D0AFD">
        <w:rPr>
          <w:lang w:val="en-GB"/>
        </w:rPr>
        <w:t>only exist within this network</w:t>
      </w:r>
      <w:r w:rsidRPr="000E75E7">
        <w:rPr>
          <w:lang w:val="en-GB"/>
        </w:rPr>
        <w:t>. Foucault explicitly states that this does not mean that they are only a reaction that is “in the end always passive, doomed to perpetual defeat.” (</w:t>
      </w:r>
      <w:r w:rsidR="00F7200D">
        <w:rPr>
          <w:lang w:val="en-GB"/>
        </w:rPr>
        <w:t xml:space="preserve">1978, </w:t>
      </w:r>
      <w:r w:rsidR="000D0AFD">
        <w:rPr>
          <w:lang w:val="en-GB"/>
        </w:rPr>
        <w:t>96</w:t>
      </w:r>
      <w:r w:rsidRPr="000E75E7">
        <w:rPr>
          <w:lang w:val="en-GB"/>
        </w:rPr>
        <w:t>) Resistances are for Foucault inscribed in the web of power relation</w:t>
      </w:r>
      <w:r w:rsidR="000D0AFD">
        <w:rPr>
          <w:lang w:val="en-GB"/>
        </w:rPr>
        <w:t>s as an irreducible antithesis</w:t>
      </w:r>
      <w:r w:rsidRPr="000E75E7">
        <w:rPr>
          <w:lang w:val="en-GB"/>
        </w:rPr>
        <w:t>. It is due to this that they exist as a multiplicity of constantly moving resistance points like the force relations. Sometimes they may be small and scattered, and sometimes they may mobilise groups in a certain way as to</w:t>
      </w:r>
      <w:r w:rsidR="00976C48">
        <w:rPr>
          <w:lang w:val="en-GB"/>
        </w:rPr>
        <w:t xml:space="preserve"> form a rebellion or revolution. Nevertheless,</w:t>
      </w:r>
      <w:r w:rsidRPr="000E75E7">
        <w:rPr>
          <w:lang w:val="en-GB"/>
        </w:rPr>
        <w:t xml:space="preserve"> the latter</w:t>
      </w:r>
      <w:r w:rsidR="000D0AFD">
        <w:rPr>
          <w:lang w:val="en-GB"/>
        </w:rPr>
        <w:t xml:space="preserve"> only happens occasionally</w:t>
      </w:r>
      <w:r w:rsidRPr="000E75E7">
        <w:rPr>
          <w:lang w:val="en-GB"/>
        </w:rPr>
        <w:t>. More often resistance points produce gaps in society that result in divisions</w:t>
      </w:r>
      <w:r w:rsidR="00976C48">
        <w:rPr>
          <w:lang w:val="en-GB"/>
        </w:rPr>
        <w:t xml:space="preserve">, in </w:t>
      </w:r>
      <w:r w:rsidRPr="000E75E7">
        <w:rPr>
          <w:lang w:val="en-GB"/>
        </w:rPr>
        <w:t xml:space="preserve">regroupings, in the reconstructing of individuals. And so, </w:t>
      </w:r>
      <w:r w:rsidR="00976C48">
        <w:rPr>
          <w:lang w:val="en-GB"/>
        </w:rPr>
        <w:t>similar to</w:t>
      </w:r>
      <w:r w:rsidRPr="000E75E7">
        <w:rPr>
          <w:lang w:val="en-GB"/>
        </w:rPr>
        <w:t xml:space="preserve"> the web of power relations, resistances creep through the social body as a whole without being localised in a specific source (</w:t>
      </w:r>
      <w:r w:rsidR="000D0AFD">
        <w:rPr>
          <w:lang w:val="en-GB"/>
        </w:rPr>
        <w:t>1978</w:t>
      </w:r>
      <w:r w:rsidRPr="000E75E7">
        <w:rPr>
          <w:lang w:val="en-GB"/>
        </w:rPr>
        <w:t>).</w:t>
      </w:r>
    </w:p>
    <w:p w14:paraId="63FB866F" w14:textId="77777777" w:rsidR="00B549D5" w:rsidRPr="000E75E7" w:rsidRDefault="00B549D5" w:rsidP="00E52F0F">
      <w:pPr>
        <w:spacing w:line="360" w:lineRule="auto"/>
        <w:ind w:firstLine="720"/>
        <w:rPr>
          <w:lang w:val="en-GB"/>
        </w:rPr>
      </w:pPr>
    </w:p>
    <w:p w14:paraId="43613EC5" w14:textId="6C427EC1" w:rsidR="00B549D5" w:rsidRPr="000E75E7" w:rsidRDefault="00CC3E8E" w:rsidP="00E52F0F">
      <w:pPr>
        <w:pStyle w:val="Heading2"/>
        <w:spacing w:line="360" w:lineRule="auto"/>
        <w:ind w:left="-6"/>
        <w:rPr>
          <w:lang w:val="en-GB"/>
        </w:rPr>
      </w:pPr>
      <w:bookmarkStart w:id="26" w:name="h.j4cmltw1sidn" w:colFirst="0" w:colLast="0"/>
      <w:bookmarkStart w:id="27" w:name="_Toc458983399"/>
      <w:bookmarkEnd w:id="26"/>
      <w:r>
        <w:rPr>
          <w:lang w:val="en-GB"/>
        </w:rPr>
        <w:t>3.2.</w:t>
      </w:r>
      <w:r w:rsidR="00976C48">
        <w:rPr>
          <w:lang w:val="en-GB"/>
        </w:rPr>
        <w:t xml:space="preserve"> </w:t>
      </w:r>
      <w:r w:rsidR="00B549D5" w:rsidRPr="000E75E7">
        <w:rPr>
          <w:lang w:val="en-GB"/>
        </w:rPr>
        <w:t>Power/</w:t>
      </w:r>
      <w:r w:rsidR="002B77A7">
        <w:rPr>
          <w:lang w:val="en-GB"/>
        </w:rPr>
        <w:t>k</w:t>
      </w:r>
      <w:r w:rsidR="00B549D5" w:rsidRPr="000E75E7">
        <w:rPr>
          <w:lang w:val="en-GB"/>
        </w:rPr>
        <w:t>nowledge</w:t>
      </w:r>
      <w:bookmarkEnd w:id="27"/>
    </w:p>
    <w:p w14:paraId="04B1DB5E" w14:textId="01BBC624" w:rsidR="00B549D5" w:rsidRPr="000E75E7" w:rsidRDefault="00B549D5" w:rsidP="00E52F0F">
      <w:pPr>
        <w:spacing w:after="0" w:line="360" w:lineRule="auto"/>
        <w:jc w:val="both"/>
        <w:rPr>
          <w:lang w:val="en-GB"/>
        </w:rPr>
      </w:pPr>
      <w:r w:rsidRPr="000E75E7">
        <w:rPr>
          <w:lang w:val="en-GB"/>
        </w:rPr>
        <w:t xml:space="preserve">Foucault’s view on power </w:t>
      </w:r>
      <w:r w:rsidR="00213EE1">
        <w:rPr>
          <w:lang w:val="en-GB"/>
        </w:rPr>
        <w:t>is clarified and</w:t>
      </w:r>
      <w:r w:rsidRPr="000E75E7">
        <w:rPr>
          <w:lang w:val="en-GB"/>
        </w:rPr>
        <w:t xml:space="preserve"> enhanced by his innovative conceptualisation of power/knowledge. According to Foucault, power and knowledge are intricately interconnected (1980</w:t>
      </w:r>
      <w:r w:rsidR="00C629D0">
        <w:rPr>
          <w:lang w:val="en-GB"/>
        </w:rPr>
        <w:t>a</w:t>
      </w:r>
      <w:r w:rsidRPr="000E75E7">
        <w:rPr>
          <w:lang w:val="en-GB"/>
        </w:rPr>
        <w:t xml:space="preserve">). In his studies, </w:t>
      </w:r>
      <w:r w:rsidR="00213EE1">
        <w:rPr>
          <w:lang w:val="en-GB"/>
        </w:rPr>
        <w:t>he</w:t>
      </w:r>
      <w:r w:rsidRPr="000E75E7">
        <w:rPr>
          <w:lang w:val="en-GB"/>
        </w:rPr>
        <w:t xml:space="preserve"> aimed to research the mechanisms of power, and as such he was also concerned with the limits to these mechanisms, one of which was knowledge (</w:t>
      </w:r>
      <w:r w:rsidR="000D0AFD">
        <w:rPr>
          <w:lang w:val="en-GB"/>
        </w:rPr>
        <w:t>1978</w:t>
      </w:r>
      <w:r w:rsidR="00F7200D">
        <w:rPr>
          <w:lang w:val="en-GB"/>
        </w:rPr>
        <w:t>, 92-9</w:t>
      </w:r>
      <w:r w:rsidRPr="000E75E7">
        <w:rPr>
          <w:lang w:val="en-GB"/>
        </w:rPr>
        <w:t xml:space="preserve">3). As he states in one of his famous lectures, power produces and transmits certain “effects of truth”, which </w:t>
      </w:r>
      <w:r w:rsidR="000D0AFD">
        <w:rPr>
          <w:lang w:val="en-GB"/>
        </w:rPr>
        <w:t>themselves reproduce power (1978</w:t>
      </w:r>
      <w:r w:rsidR="00F7200D">
        <w:rPr>
          <w:lang w:val="en-GB"/>
        </w:rPr>
        <w:t xml:space="preserve">, </w:t>
      </w:r>
      <w:r w:rsidR="000D0AFD">
        <w:rPr>
          <w:lang w:val="en-GB"/>
        </w:rPr>
        <w:t>92</w:t>
      </w:r>
      <w:r w:rsidR="00F7200D">
        <w:rPr>
          <w:lang w:val="en-GB"/>
        </w:rPr>
        <w:t>-9</w:t>
      </w:r>
      <w:r w:rsidR="000D0AFD">
        <w:rPr>
          <w:lang w:val="en-GB"/>
        </w:rPr>
        <w:t>3).</w:t>
      </w:r>
      <w:r w:rsidRPr="000E75E7">
        <w:rPr>
          <w:lang w:val="en-GB"/>
        </w:rPr>
        <w:t xml:space="preserve">The truths are embodied in discourses </w:t>
      </w:r>
      <w:r w:rsidR="00CC3E8E">
        <w:rPr>
          <w:lang w:val="en-GB"/>
        </w:rPr>
        <w:t>–</w:t>
      </w:r>
      <w:r w:rsidRPr="000E75E7">
        <w:rPr>
          <w:lang w:val="en-GB"/>
        </w:rPr>
        <w:t xml:space="preserve"> i.e. in systems of thoughts consisting of ideas, actions, practices, beliefs, and attitudes </w:t>
      </w:r>
      <w:r w:rsidR="00CC3E8E">
        <w:rPr>
          <w:lang w:val="en-GB"/>
        </w:rPr>
        <w:t>–</w:t>
      </w:r>
      <w:r w:rsidRPr="000E75E7">
        <w:rPr>
          <w:lang w:val="en-GB"/>
        </w:rPr>
        <w:t xml:space="preserve"> that aid in the produ</w:t>
      </w:r>
      <w:r w:rsidR="00E826C0">
        <w:rPr>
          <w:lang w:val="en-GB"/>
        </w:rPr>
        <w:t>ction and maintenance of power:</w:t>
      </w:r>
    </w:p>
    <w:p w14:paraId="363969C9" w14:textId="77777777" w:rsidR="00B549D5" w:rsidRPr="000E75E7" w:rsidRDefault="00B549D5" w:rsidP="00E52F0F">
      <w:pPr>
        <w:spacing w:after="0" w:line="360" w:lineRule="auto"/>
        <w:jc w:val="both"/>
        <w:rPr>
          <w:lang w:val="en-GB"/>
        </w:rPr>
      </w:pPr>
    </w:p>
    <w:p w14:paraId="539C062E" w14:textId="70663480" w:rsidR="00B549D5" w:rsidRPr="000E75E7" w:rsidRDefault="00B549D5" w:rsidP="00E52F0F">
      <w:pPr>
        <w:spacing w:after="0" w:line="360" w:lineRule="auto"/>
        <w:ind w:left="1134" w:right="708"/>
        <w:jc w:val="both"/>
        <w:rPr>
          <w:lang w:val="en-GB"/>
        </w:rPr>
      </w:pPr>
      <w:r w:rsidRPr="000E75E7">
        <w:rPr>
          <w:lang w:val="en-GB"/>
        </w:rPr>
        <w:t>in any society, there are manifold relations of power which permeate, characterise and constitute the social body, and these relations of power cannot themselves be established, consolidated nor implemented without the production, accumulation, circulation and functioning of a discourse. There can be no possible exercise of power without a certain economy of discourses of truth which operates through and on the basis of this association. We are subjected to the production of truth through power and we cannot exercise power except t</w:t>
      </w:r>
      <w:r>
        <w:rPr>
          <w:lang w:val="en-GB"/>
        </w:rPr>
        <w:t>hrough the production of truth.</w:t>
      </w:r>
      <w:r w:rsidRPr="000E75E7">
        <w:rPr>
          <w:lang w:val="en-GB"/>
        </w:rPr>
        <w:t xml:space="preserve"> (</w:t>
      </w:r>
      <w:r w:rsidR="00F7200D">
        <w:rPr>
          <w:lang w:val="en-GB"/>
        </w:rPr>
        <w:t xml:space="preserve">1978, </w:t>
      </w:r>
      <w:r w:rsidR="000D0AFD">
        <w:rPr>
          <w:lang w:val="en-GB"/>
        </w:rPr>
        <w:t>93</w:t>
      </w:r>
      <w:r w:rsidRPr="000E75E7">
        <w:rPr>
          <w:lang w:val="en-GB"/>
        </w:rPr>
        <w:t>)</w:t>
      </w:r>
    </w:p>
    <w:p w14:paraId="23A5FB76" w14:textId="77777777" w:rsidR="00B549D5" w:rsidRPr="000E75E7" w:rsidRDefault="00B549D5" w:rsidP="00E52F0F">
      <w:pPr>
        <w:spacing w:after="0" w:line="360" w:lineRule="auto"/>
        <w:jc w:val="both"/>
        <w:rPr>
          <w:lang w:val="en-GB"/>
        </w:rPr>
      </w:pPr>
    </w:p>
    <w:p w14:paraId="31ACB529" w14:textId="444BFB8E" w:rsidR="00B549D5" w:rsidRPr="000E75E7" w:rsidRDefault="00B549D5" w:rsidP="00E52F0F">
      <w:pPr>
        <w:spacing w:after="0" w:line="360" w:lineRule="auto"/>
        <w:ind w:firstLine="720"/>
        <w:jc w:val="both"/>
        <w:rPr>
          <w:lang w:val="en-GB"/>
        </w:rPr>
      </w:pPr>
      <w:r w:rsidRPr="000E75E7">
        <w:rPr>
          <w:lang w:val="en-GB"/>
        </w:rPr>
        <w:t>Power and knowledge thus keep each other alive and functioni</w:t>
      </w:r>
      <w:r w:rsidR="00E826C0">
        <w:rPr>
          <w:lang w:val="en-GB"/>
        </w:rPr>
        <w:t>ng. A useful illustration of the</w:t>
      </w:r>
      <w:r w:rsidRPr="000E75E7">
        <w:rPr>
          <w:lang w:val="en-GB"/>
        </w:rPr>
        <w:t xml:space="preserve"> theoretical construct of th</w:t>
      </w:r>
      <w:r w:rsidR="00E826C0">
        <w:rPr>
          <w:lang w:val="en-GB"/>
        </w:rPr>
        <w:t>is</w:t>
      </w:r>
      <w:r w:rsidRPr="000E75E7">
        <w:rPr>
          <w:lang w:val="en-GB"/>
        </w:rPr>
        <w:t xml:space="preserve"> relation can be found in several of Foucault’s in-depth studies. One of these studies, </w:t>
      </w:r>
      <w:r w:rsidRPr="000E75E7">
        <w:rPr>
          <w:i/>
          <w:lang w:val="en-GB"/>
        </w:rPr>
        <w:t>Madness and Civilization</w:t>
      </w:r>
      <w:r w:rsidRPr="000E75E7">
        <w:rPr>
          <w:lang w:val="en-GB"/>
        </w:rPr>
        <w:t xml:space="preserve"> (1965)</w:t>
      </w:r>
      <w:r w:rsidR="00E826C0">
        <w:rPr>
          <w:lang w:val="en-GB"/>
        </w:rPr>
        <w:t>,</w:t>
      </w:r>
      <w:r w:rsidRPr="000E75E7">
        <w:rPr>
          <w:lang w:val="en-GB"/>
        </w:rPr>
        <w:t xml:space="preserve"> focuses on the system of separating and treating ‘mad’ people. From the mid-seventeenth century onwards, a specific reaction to mad persons arose, based on the distinction between reason and unreason that became accepted during the Enlightenment, namely to separate these persons from the rest of society (</w:t>
      </w:r>
      <w:r w:rsidR="000D0AFD">
        <w:rPr>
          <w:lang w:val="en-GB"/>
        </w:rPr>
        <w:t>1965</w:t>
      </w:r>
      <w:r w:rsidRPr="000E75E7">
        <w:rPr>
          <w:lang w:val="en-GB"/>
        </w:rPr>
        <w:t xml:space="preserve">). These persons were thus placed in institutions with medical doctors with two main goals: the older goal of separating the unreasonable from the rest of society, and the new goal of curing </w:t>
      </w:r>
      <w:r w:rsidR="00E826C0">
        <w:rPr>
          <w:lang w:val="en-GB"/>
        </w:rPr>
        <w:t>them</w:t>
      </w:r>
      <w:r w:rsidRPr="000E75E7">
        <w:rPr>
          <w:lang w:val="en-GB"/>
        </w:rPr>
        <w:t>. However, after a while these initial reasons were lost si</w:t>
      </w:r>
      <w:r w:rsidR="00CC3E8E">
        <w:rPr>
          <w:lang w:val="en-GB"/>
        </w:rPr>
        <w:t>ght of, and the institutions</w:t>
      </w:r>
      <w:r w:rsidRPr="000E75E7">
        <w:rPr>
          <w:lang w:val="en-GB"/>
        </w:rPr>
        <w:t xml:space="preserve"> came to be considered as the sole place where ‘mad’ people could be therapeutically treated (</w:t>
      </w:r>
      <w:r w:rsidR="000D0AFD">
        <w:rPr>
          <w:lang w:val="en-GB"/>
        </w:rPr>
        <w:t>1965</w:t>
      </w:r>
      <w:r w:rsidRPr="000E75E7">
        <w:rPr>
          <w:lang w:val="en-GB"/>
        </w:rPr>
        <w:t>). As such, the discourse of mental illness as something to be cured, and of psychiatry as the right treatment, consolidated the exer</w:t>
      </w:r>
      <w:r w:rsidR="00E826C0">
        <w:rPr>
          <w:lang w:val="en-GB"/>
        </w:rPr>
        <w:t>cise of the power. A</w:t>
      </w:r>
      <w:r>
        <w:rPr>
          <w:lang w:val="en-GB"/>
        </w:rPr>
        <w:t>fter all, society usually considers</w:t>
      </w:r>
      <w:r w:rsidRPr="000E75E7">
        <w:rPr>
          <w:lang w:val="en-GB"/>
        </w:rPr>
        <w:t xml:space="preserve"> psychiatrists to be ‘right’ and ‘reasonable’ as opposed to the mentally ‘ill’, who cannot act in accordance with what society expects. </w:t>
      </w:r>
    </w:p>
    <w:p w14:paraId="49AEB0D3" w14:textId="10D90F8F" w:rsidR="00B549D5" w:rsidRPr="000E75E7" w:rsidRDefault="00E826C0" w:rsidP="00E52F0F">
      <w:pPr>
        <w:spacing w:after="0" w:line="360" w:lineRule="auto"/>
        <w:ind w:firstLine="720"/>
        <w:jc w:val="both"/>
        <w:rPr>
          <w:lang w:val="en-GB"/>
        </w:rPr>
      </w:pPr>
      <w:r>
        <w:rPr>
          <w:lang w:val="en-GB"/>
        </w:rPr>
        <w:t>Thus, p</w:t>
      </w:r>
      <w:r w:rsidR="00B549D5" w:rsidRPr="000E75E7">
        <w:rPr>
          <w:lang w:val="en-GB"/>
        </w:rPr>
        <w:t>ower and knowledge are tightly connected, which Foucault denotes by the concept power/knowledge. Both power and knowledge can produce as well as const</w:t>
      </w:r>
      <w:r w:rsidR="00F7200D">
        <w:rPr>
          <w:lang w:val="en-GB"/>
        </w:rPr>
        <w:t>rain the other (1980</w:t>
      </w:r>
      <w:r w:rsidR="00B97B30">
        <w:rPr>
          <w:lang w:val="en-GB"/>
        </w:rPr>
        <w:t>a</w:t>
      </w:r>
      <w:r w:rsidR="00F7200D">
        <w:rPr>
          <w:lang w:val="en-GB"/>
        </w:rPr>
        <w:t>; 1991</w:t>
      </w:r>
      <w:r w:rsidR="00D94859">
        <w:rPr>
          <w:lang w:val="en-GB"/>
        </w:rPr>
        <w:t>a</w:t>
      </w:r>
      <w:r w:rsidR="00F7200D">
        <w:rPr>
          <w:lang w:val="en-GB"/>
        </w:rPr>
        <w:t xml:space="preserve">, </w:t>
      </w:r>
      <w:r w:rsidR="00B549D5" w:rsidRPr="000E75E7">
        <w:rPr>
          <w:lang w:val="en-GB"/>
        </w:rPr>
        <w:t xml:space="preserve">194). As such, it is impossible to study power without studying knowledge, and to study knowledge without studying power. Moreover, as </w:t>
      </w:r>
      <w:r>
        <w:rPr>
          <w:lang w:val="en-GB"/>
        </w:rPr>
        <w:t>is</w:t>
      </w:r>
      <w:r w:rsidR="00B549D5" w:rsidRPr="000E75E7">
        <w:rPr>
          <w:lang w:val="en-GB"/>
        </w:rPr>
        <w:t xml:space="preserve"> exp</w:t>
      </w:r>
      <w:r>
        <w:rPr>
          <w:lang w:val="en-GB"/>
        </w:rPr>
        <w:t>l</w:t>
      </w:r>
      <w:r w:rsidR="00B549D5" w:rsidRPr="000E75E7">
        <w:rPr>
          <w:lang w:val="en-GB"/>
        </w:rPr>
        <w:t>a</w:t>
      </w:r>
      <w:r>
        <w:rPr>
          <w:lang w:val="en-GB"/>
        </w:rPr>
        <w:t>ined</w:t>
      </w:r>
      <w:r w:rsidR="00B549D5" w:rsidRPr="000E75E7">
        <w:rPr>
          <w:lang w:val="en-GB"/>
        </w:rPr>
        <w:t xml:space="preserve"> in the next section, it is impossible to study power and knowledge without studying the subject, at least when studying those disciplines or discourses that are concerned with people. </w:t>
      </w:r>
    </w:p>
    <w:p w14:paraId="4DC25AB4" w14:textId="77777777" w:rsidR="00B549D5" w:rsidRPr="000E75E7" w:rsidRDefault="00B549D5" w:rsidP="00E52F0F">
      <w:pPr>
        <w:spacing w:line="360" w:lineRule="auto"/>
        <w:rPr>
          <w:lang w:val="en-GB"/>
        </w:rPr>
      </w:pPr>
    </w:p>
    <w:p w14:paraId="341E933E" w14:textId="1BACF27A" w:rsidR="00B549D5" w:rsidRPr="000E75E7" w:rsidRDefault="00CC3E8E" w:rsidP="00E52F0F">
      <w:pPr>
        <w:pStyle w:val="Heading2"/>
        <w:spacing w:line="360" w:lineRule="auto"/>
        <w:ind w:left="-6"/>
        <w:rPr>
          <w:lang w:val="en-GB"/>
        </w:rPr>
      </w:pPr>
      <w:bookmarkStart w:id="28" w:name="_Toc458983400"/>
      <w:r>
        <w:rPr>
          <w:lang w:val="en-GB"/>
        </w:rPr>
        <w:t>3.3.</w:t>
      </w:r>
      <w:r w:rsidR="00E826C0">
        <w:rPr>
          <w:lang w:val="en-GB"/>
        </w:rPr>
        <w:t xml:space="preserve"> </w:t>
      </w:r>
      <w:r w:rsidR="00B549D5">
        <w:rPr>
          <w:lang w:val="en-GB"/>
        </w:rPr>
        <w:t>The subject</w:t>
      </w:r>
      <w:bookmarkEnd w:id="28"/>
    </w:p>
    <w:p w14:paraId="140381ED" w14:textId="2F608F6E" w:rsidR="00B549D5" w:rsidRDefault="00CC3E8E" w:rsidP="00E52F0F">
      <w:pPr>
        <w:spacing w:after="0" w:line="360" w:lineRule="auto"/>
        <w:jc w:val="both"/>
        <w:rPr>
          <w:lang w:val="en-GB"/>
        </w:rPr>
      </w:pPr>
      <w:r>
        <w:rPr>
          <w:lang w:val="en-GB"/>
        </w:rPr>
        <w:t xml:space="preserve">Before discussing </w:t>
      </w:r>
      <w:r w:rsidR="00B549D5" w:rsidRPr="000E75E7">
        <w:rPr>
          <w:lang w:val="en-GB"/>
        </w:rPr>
        <w:t xml:space="preserve">the connection between power, discourse, and the subject, it is important to briefly dwell on Foucault’s view of the person. As may have </w:t>
      </w:r>
      <w:r>
        <w:rPr>
          <w:lang w:val="en-GB"/>
        </w:rPr>
        <w:t xml:space="preserve">been </w:t>
      </w:r>
      <w:r w:rsidR="00B549D5" w:rsidRPr="000E75E7">
        <w:rPr>
          <w:lang w:val="en-GB"/>
        </w:rPr>
        <w:t>not</w:t>
      </w:r>
      <w:r>
        <w:rPr>
          <w:lang w:val="en-GB"/>
        </w:rPr>
        <w:t>ic</w:t>
      </w:r>
      <w:r w:rsidR="00B549D5" w:rsidRPr="000E75E7">
        <w:rPr>
          <w:lang w:val="en-GB"/>
        </w:rPr>
        <w:t xml:space="preserve">ed, I have abundantly used the terms ‘people’, ‘person’, and ‘subject’, and scarcely the term ‘individual’. As is often the case in dissertations and larger works, choices for a particular language </w:t>
      </w:r>
      <w:r w:rsidR="00B549D5">
        <w:rPr>
          <w:lang w:val="en-GB"/>
        </w:rPr>
        <w:t>are</w:t>
      </w:r>
      <w:r w:rsidR="00B549D5" w:rsidRPr="000E75E7">
        <w:rPr>
          <w:lang w:val="en-GB"/>
        </w:rPr>
        <w:t xml:space="preserve"> not without a reason. In this case, the reason lies with Foucault’s specific use of the word ‘individual’, which is not congruent with the everyday use of the concept. To take a dictionary as a signifi</w:t>
      </w:r>
      <w:r>
        <w:rPr>
          <w:lang w:val="en-GB"/>
        </w:rPr>
        <w:t>er of everyday usage</w:t>
      </w:r>
      <w:r w:rsidR="00B549D5" w:rsidRPr="000E75E7">
        <w:rPr>
          <w:lang w:val="en-GB"/>
        </w:rPr>
        <w:t>, individual means “a single human being as distinct from a group” (“Individual”, 2016; a</w:t>
      </w:r>
      <w:r>
        <w:rPr>
          <w:lang w:val="en-GB"/>
        </w:rPr>
        <w:t>lso see</w:t>
      </w:r>
      <w:r w:rsidR="00F7200D">
        <w:rPr>
          <w:lang w:val="en-GB"/>
        </w:rPr>
        <w:t xml:space="preserve"> Strozier, 2002,</w:t>
      </w:r>
      <w:r w:rsidR="00B549D5" w:rsidRPr="000E75E7">
        <w:rPr>
          <w:lang w:val="en-GB"/>
        </w:rPr>
        <w:t xml:space="preserve"> 9). An individual is thus a unique human being, different from other humans</w:t>
      </w:r>
      <w:r w:rsidR="00B549D5">
        <w:rPr>
          <w:lang w:val="en-GB"/>
        </w:rPr>
        <w:t>. In contrast, Foucault has the following notion of the individual:</w:t>
      </w:r>
    </w:p>
    <w:p w14:paraId="659C10C0" w14:textId="77777777" w:rsidR="00B549D5" w:rsidRDefault="00B549D5" w:rsidP="00E52F0F">
      <w:pPr>
        <w:spacing w:after="0" w:line="360" w:lineRule="auto"/>
        <w:jc w:val="both"/>
        <w:rPr>
          <w:lang w:val="en-GB"/>
        </w:rPr>
      </w:pPr>
    </w:p>
    <w:p w14:paraId="2F3B83AC" w14:textId="2D8F1F91" w:rsidR="00B549D5" w:rsidRPr="00FC1FA8" w:rsidRDefault="00B549D5" w:rsidP="00E52F0F">
      <w:pPr>
        <w:spacing w:after="0" w:line="360" w:lineRule="auto"/>
        <w:ind w:left="1134" w:right="708"/>
        <w:jc w:val="both"/>
        <w:rPr>
          <w:lang w:val="en-GB"/>
        </w:rPr>
      </w:pPr>
      <w:r w:rsidRPr="00FC1FA8">
        <w:rPr>
          <w:rFonts w:eastAsia="Arial" w:cs="Arial"/>
          <w:lang w:val="en-GB"/>
        </w:rPr>
        <w:t xml:space="preserve">The individual is not to be conceived as a sort of elementary nucleus, a primitive atom, a multiple and inert material on which power comes to fasten or against which is happens to strike, and in so doing subdues or crushes individuals. In fact, it is already one of the prime effects of power that certain bodies, certain gestures, certain discourses, certain desires, come to be identified and constituted as individuals. The </w:t>
      </w:r>
      <w:r w:rsidRPr="00FC1FA8">
        <w:rPr>
          <w:rFonts w:eastAsia="Arial" w:cs="Arial"/>
          <w:lang w:val="en-GB"/>
        </w:rPr>
        <w:lastRenderedPageBreak/>
        <w:t xml:space="preserve">individual, that is, is not the vis-à-vis of power; it is, I believe, one of its prime effects. The individual is an effect of power, and at the same time, or precisely to the extent to which it is that effect, it is the element of its articulation. The individual which power has constituted </w:t>
      </w:r>
      <w:r>
        <w:rPr>
          <w:rFonts w:eastAsia="Arial" w:cs="Arial"/>
          <w:lang w:val="en-GB"/>
        </w:rPr>
        <w:t>is at the same time its vehicle.</w:t>
      </w:r>
      <w:r w:rsidR="00F7200D">
        <w:rPr>
          <w:rFonts w:eastAsia="Arial" w:cs="Arial"/>
          <w:lang w:val="en-GB"/>
        </w:rPr>
        <w:t xml:space="preserve"> (1980</w:t>
      </w:r>
      <w:r w:rsidR="00B97B30">
        <w:rPr>
          <w:rFonts w:eastAsia="Arial" w:cs="Arial"/>
          <w:lang w:val="en-GB"/>
        </w:rPr>
        <w:t>a</w:t>
      </w:r>
      <w:r w:rsidR="00F7200D">
        <w:rPr>
          <w:rFonts w:eastAsia="Arial" w:cs="Arial"/>
          <w:lang w:val="en-GB"/>
        </w:rPr>
        <w:t xml:space="preserve">, </w:t>
      </w:r>
      <w:r w:rsidRPr="00FC1FA8">
        <w:rPr>
          <w:rFonts w:eastAsia="Arial" w:cs="Arial"/>
          <w:lang w:val="en-GB"/>
        </w:rPr>
        <w:t>98)</w:t>
      </w:r>
    </w:p>
    <w:p w14:paraId="193722DF" w14:textId="77777777" w:rsidR="00B549D5" w:rsidRDefault="00B549D5" w:rsidP="00E52F0F">
      <w:pPr>
        <w:spacing w:after="0" w:line="360" w:lineRule="auto"/>
        <w:jc w:val="both"/>
        <w:rPr>
          <w:lang w:val="en-GB"/>
        </w:rPr>
      </w:pPr>
    </w:p>
    <w:p w14:paraId="32DD57E4" w14:textId="3449902D" w:rsidR="00B549D5" w:rsidRPr="000E75E7" w:rsidRDefault="00B549D5" w:rsidP="00E52F0F">
      <w:pPr>
        <w:spacing w:after="0" w:line="360" w:lineRule="auto"/>
        <w:jc w:val="both"/>
        <w:rPr>
          <w:lang w:val="en-GB"/>
        </w:rPr>
      </w:pPr>
      <w:r w:rsidRPr="000E75E7">
        <w:rPr>
          <w:lang w:val="en-GB"/>
        </w:rPr>
        <w:t>Hence, for Foucault the individuals is not the single human being who is different from all others; instead, the entire idea of the individuals can be considered</w:t>
      </w:r>
      <w:r w:rsidR="00F7200D">
        <w:rPr>
          <w:lang w:val="en-GB"/>
        </w:rPr>
        <w:t xml:space="preserve"> as an effect of power (1980</w:t>
      </w:r>
      <w:r w:rsidR="00B97B30">
        <w:rPr>
          <w:lang w:val="en-GB"/>
        </w:rPr>
        <w:t>a</w:t>
      </w:r>
      <w:r w:rsidR="00F7200D">
        <w:rPr>
          <w:lang w:val="en-GB"/>
        </w:rPr>
        <w:t xml:space="preserve">, </w:t>
      </w:r>
      <w:r w:rsidRPr="000E75E7">
        <w:rPr>
          <w:lang w:val="en-GB"/>
        </w:rPr>
        <w:t xml:space="preserve">98). However, this does not mean that the individual is </w:t>
      </w:r>
      <w:r w:rsidRPr="000E75E7">
        <w:rPr>
          <w:i/>
          <w:lang w:val="en-GB"/>
        </w:rPr>
        <w:t>only</w:t>
      </w:r>
      <w:r w:rsidRPr="000E75E7">
        <w:rPr>
          <w:lang w:val="en-GB"/>
        </w:rPr>
        <w:t xml:space="preserve"> the e</w:t>
      </w:r>
      <w:r w:rsidR="00CC3E8E">
        <w:rPr>
          <w:lang w:val="en-GB"/>
        </w:rPr>
        <w:t>ffect of power and nothing more. I</w:t>
      </w:r>
      <w:r w:rsidRPr="000E75E7">
        <w:rPr>
          <w:lang w:val="en-GB"/>
        </w:rPr>
        <w:t>t is also essential to power, since it is through individuals that power can be articulated (</w:t>
      </w:r>
      <w:r w:rsidR="00F7200D">
        <w:rPr>
          <w:lang w:val="en-GB"/>
        </w:rPr>
        <w:t>1980</w:t>
      </w:r>
      <w:r w:rsidR="00B97B30">
        <w:rPr>
          <w:lang w:val="en-GB"/>
        </w:rPr>
        <w:t>a</w:t>
      </w:r>
      <w:r w:rsidR="00F7200D">
        <w:rPr>
          <w:lang w:val="en-GB"/>
        </w:rPr>
        <w:t xml:space="preserve">, </w:t>
      </w:r>
      <w:r w:rsidR="000D0AFD">
        <w:rPr>
          <w:lang w:val="en-GB"/>
        </w:rPr>
        <w:t>98</w:t>
      </w:r>
      <w:r w:rsidRPr="000E75E7">
        <w:rPr>
          <w:lang w:val="en-GB"/>
        </w:rPr>
        <w:t xml:space="preserve">). As such, it seems that the individual, or rather, the subject, has a similar role for power as does knowledge; it is constituted by and constitutes power by being power’s vehicle. As is it thus part of the power relations, it cannot be </w:t>
      </w:r>
      <w:r w:rsidR="00CC3E8E">
        <w:rPr>
          <w:lang w:val="en-GB"/>
        </w:rPr>
        <w:t>considered</w:t>
      </w:r>
      <w:r w:rsidRPr="000E75E7">
        <w:rPr>
          <w:lang w:val="en-GB"/>
        </w:rPr>
        <w:t xml:space="preserve"> a kind of unique elementary nucleus. To avoid confusion and to keep in line with Foucault’s work, the term subject </w:t>
      </w:r>
      <w:r w:rsidR="00CC3E8E">
        <w:rPr>
          <w:lang w:val="en-GB"/>
        </w:rPr>
        <w:t xml:space="preserve">or person </w:t>
      </w:r>
      <w:r w:rsidRPr="000E75E7">
        <w:rPr>
          <w:lang w:val="en-GB"/>
        </w:rPr>
        <w:t>rather than individual will be used to denote human beings as historical and cultural beings. All in all, Foucault’s view of the subject can easily be connected to his rejection of the juridico-discursive model of power. Just as Foucault rejects the view of power with a capital P, he also rejects the view of the subject with a capital S, that is, the subject as the priori sovereign entity that is at th</w:t>
      </w:r>
      <w:r w:rsidR="00F7200D">
        <w:rPr>
          <w:lang w:val="en-GB"/>
        </w:rPr>
        <w:t xml:space="preserve">e basis of everything (1969, </w:t>
      </w:r>
      <w:r w:rsidRPr="000E75E7">
        <w:rPr>
          <w:lang w:val="en-GB"/>
        </w:rPr>
        <w:t>67). The individual should thus, according to Foucault, be researched as a concrete historical being (</w:t>
      </w:r>
      <w:r w:rsidR="00F7200D">
        <w:rPr>
          <w:lang w:val="en-GB"/>
        </w:rPr>
        <w:t xml:space="preserve">1969, </w:t>
      </w:r>
      <w:r w:rsidR="000D0AFD">
        <w:rPr>
          <w:lang w:val="en-GB"/>
        </w:rPr>
        <w:t>67</w:t>
      </w:r>
      <w:r w:rsidRPr="000E75E7">
        <w:rPr>
          <w:lang w:val="en-GB"/>
        </w:rPr>
        <w:t xml:space="preserve">). </w:t>
      </w:r>
    </w:p>
    <w:p w14:paraId="7081A0DD" w14:textId="77777777" w:rsidR="00B549D5" w:rsidRPr="000E75E7" w:rsidRDefault="00B549D5" w:rsidP="00E52F0F">
      <w:pPr>
        <w:spacing w:line="360" w:lineRule="auto"/>
        <w:rPr>
          <w:lang w:val="en-GB"/>
        </w:rPr>
      </w:pPr>
    </w:p>
    <w:p w14:paraId="380532B9" w14:textId="06C0C4AD" w:rsidR="00B549D5" w:rsidRPr="000E75E7" w:rsidRDefault="00CC3E8E" w:rsidP="00E52F0F">
      <w:pPr>
        <w:pStyle w:val="Heading2"/>
        <w:spacing w:line="360" w:lineRule="auto"/>
        <w:ind w:left="-6"/>
        <w:rPr>
          <w:lang w:val="en-GB"/>
        </w:rPr>
      </w:pPr>
      <w:bookmarkStart w:id="29" w:name="h.n1oqb6yhrjgl" w:colFirst="0" w:colLast="0"/>
      <w:bookmarkStart w:id="30" w:name="_Toc458983401"/>
      <w:bookmarkEnd w:id="29"/>
      <w:r>
        <w:rPr>
          <w:lang w:val="en-GB"/>
        </w:rPr>
        <w:t xml:space="preserve">3.4. </w:t>
      </w:r>
      <w:r w:rsidR="00B549D5" w:rsidRPr="000E75E7">
        <w:rPr>
          <w:lang w:val="en-GB"/>
        </w:rPr>
        <w:t>Objectification</w:t>
      </w:r>
      <w:bookmarkEnd w:id="30"/>
    </w:p>
    <w:p w14:paraId="3A77C789" w14:textId="4DEF5016" w:rsidR="00B549D5" w:rsidRPr="000E75E7" w:rsidRDefault="00B549D5" w:rsidP="00E52F0F">
      <w:pPr>
        <w:spacing w:after="0" w:line="360" w:lineRule="auto"/>
        <w:ind w:hanging="6"/>
        <w:jc w:val="both"/>
        <w:rPr>
          <w:lang w:val="en-GB"/>
        </w:rPr>
      </w:pPr>
      <w:r w:rsidRPr="000E75E7">
        <w:rPr>
          <w:lang w:val="en-GB"/>
        </w:rPr>
        <w:t>It is from this view on the connection between the subject and power relations that Foucault pr</w:t>
      </w:r>
      <w:r w:rsidR="00450D09">
        <w:rPr>
          <w:lang w:val="en-GB"/>
        </w:rPr>
        <w:t>oceeds to researching the forms of this</w:t>
      </w:r>
      <w:r w:rsidRPr="000E75E7">
        <w:rPr>
          <w:lang w:val="en-GB"/>
        </w:rPr>
        <w:t xml:space="preserve"> relation. In fact, as Foucault clarifies in </w:t>
      </w:r>
      <w:r w:rsidRPr="000E75E7">
        <w:rPr>
          <w:i/>
          <w:lang w:val="en-GB"/>
        </w:rPr>
        <w:t>The Subject and Power</w:t>
      </w:r>
      <w:r w:rsidRPr="000E75E7">
        <w:rPr>
          <w:lang w:val="en-GB"/>
        </w:rPr>
        <w:t>, his aim during his studies was not to produce a theory on power, but rather to analyse the different ways in which human beings are made subjects, and the different ways in which humans make themselves subjects (1982). Being made or making oneself a subject is here in the second sense of the word as described before: as b</w:t>
      </w:r>
      <w:r w:rsidR="00BA71B9">
        <w:rPr>
          <w:lang w:val="en-GB"/>
        </w:rPr>
        <w:t>eing tied to one’s own identity</w:t>
      </w:r>
      <w:r w:rsidRPr="000E75E7">
        <w:rPr>
          <w:lang w:val="en-GB"/>
        </w:rPr>
        <w:t xml:space="preserve">. The two words that correspond to being made a subject and making oneself a subject, in Foucault’s language, are </w:t>
      </w:r>
      <w:r w:rsidR="00450D09" w:rsidRPr="000E75E7">
        <w:rPr>
          <w:lang w:val="en-GB"/>
        </w:rPr>
        <w:t xml:space="preserve">respectively </w:t>
      </w:r>
      <w:r w:rsidRPr="000E75E7">
        <w:rPr>
          <w:lang w:val="en-GB"/>
        </w:rPr>
        <w:t xml:space="preserve">objectification and subjectification. </w:t>
      </w:r>
    </w:p>
    <w:p w14:paraId="202EB4EE" w14:textId="27CD3957" w:rsidR="00B549D5" w:rsidRPr="000E75E7" w:rsidRDefault="00B549D5" w:rsidP="00E52F0F">
      <w:pPr>
        <w:spacing w:after="0" w:line="360" w:lineRule="auto"/>
        <w:ind w:firstLine="720"/>
        <w:jc w:val="both"/>
        <w:rPr>
          <w:lang w:val="en-GB"/>
        </w:rPr>
      </w:pPr>
      <w:r w:rsidRPr="000E75E7">
        <w:rPr>
          <w:lang w:val="en-GB"/>
        </w:rPr>
        <w:t xml:space="preserve">According to Foucault, there are three main ways </w:t>
      </w:r>
      <w:r w:rsidR="00450D09">
        <w:rPr>
          <w:lang w:val="en-GB"/>
        </w:rPr>
        <w:t>in</w:t>
      </w:r>
      <w:r w:rsidRPr="000E75E7">
        <w:rPr>
          <w:lang w:val="en-GB"/>
        </w:rPr>
        <w:t xml:space="preserve"> which one can become a subject, namely (1) scientific classification, (2) dividing practices </w:t>
      </w:r>
      <w:r w:rsidR="00450D09">
        <w:rPr>
          <w:lang w:val="en-GB"/>
        </w:rPr>
        <w:t>–</w:t>
      </w:r>
      <w:r w:rsidRPr="000E75E7">
        <w:rPr>
          <w:lang w:val="en-GB"/>
        </w:rPr>
        <w:t xml:space="preserve"> both of which are modes of objectification </w:t>
      </w:r>
      <w:r w:rsidR="00450D09">
        <w:rPr>
          <w:lang w:val="en-GB"/>
        </w:rPr>
        <w:t>–</w:t>
      </w:r>
      <w:r w:rsidRPr="000E75E7">
        <w:rPr>
          <w:lang w:val="en-GB"/>
        </w:rPr>
        <w:t>, and</w:t>
      </w:r>
      <w:r w:rsidR="00F7200D">
        <w:rPr>
          <w:lang w:val="en-GB"/>
        </w:rPr>
        <w:t xml:space="preserve"> (3) subjectification (1982, 777-77</w:t>
      </w:r>
      <w:r w:rsidRPr="000E75E7">
        <w:rPr>
          <w:lang w:val="en-GB"/>
        </w:rPr>
        <w:t>8). The first type of objectification concerns those academic disciplines that are concerned with human beings. Examples are those concerned with the language of subjects, such as philology and linguistics; those concerned with how the subject labours, such as economics; and those concerned with the very lives of sub</w:t>
      </w:r>
      <w:r w:rsidR="00F7200D">
        <w:rPr>
          <w:lang w:val="en-GB"/>
        </w:rPr>
        <w:t>jects such as biology (1982, 777-77</w:t>
      </w:r>
      <w:r w:rsidRPr="000E75E7">
        <w:rPr>
          <w:lang w:val="en-GB"/>
        </w:rPr>
        <w:t>8). In philology and linguistics, the object of study is the speaking subject. Hence, the human being is no longer viewed in all its context, but rather objectified as something that has a specific characteristic worth of research</w:t>
      </w:r>
      <w:r w:rsidR="00450D09">
        <w:rPr>
          <w:lang w:val="en-GB"/>
        </w:rPr>
        <w:t>: language</w:t>
      </w:r>
      <w:r w:rsidRPr="000E75E7">
        <w:rPr>
          <w:lang w:val="en-GB"/>
        </w:rPr>
        <w:t>. In economics, humans are objectified as subjects who labour, subject</w:t>
      </w:r>
      <w:r w:rsidR="00450D09">
        <w:rPr>
          <w:lang w:val="en-GB"/>
        </w:rPr>
        <w:t>s who are</w:t>
      </w:r>
      <w:r w:rsidRPr="000E75E7">
        <w:rPr>
          <w:lang w:val="en-GB"/>
        </w:rPr>
        <w:t xml:space="preserve"> productive in the economic sense of the </w:t>
      </w:r>
      <w:r w:rsidRPr="000E75E7">
        <w:rPr>
          <w:lang w:val="en-GB"/>
        </w:rPr>
        <w:lastRenderedPageBreak/>
        <w:t xml:space="preserve">term. In biology, humans are considered as entities with a specific body and a specific type of life - the fact that one is alive is thus being objectified. In all these scientific practices, the human being is classified in a certain way, and thereby objectified to become </w:t>
      </w:r>
      <w:r w:rsidR="00450D09">
        <w:rPr>
          <w:lang w:val="en-GB"/>
        </w:rPr>
        <w:t>suitable</w:t>
      </w:r>
      <w:r w:rsidRPr="000E75E7">
        <w:rPr>
          <w:lang w:val="en-GB"/>
        </w:rPr>
        <w:t xml:space="preserve"> as object of research.</w:t>
      </w:r>
    </w:p>
    <w:p w14:paraId="3ADFBFFD" w14:textId="191E101F" w:rsidR="00B549D5" w:rsidRPr="000E75E7" w:rsidRDefault="00B549D5" w:rsidP="00E52F0F">
      <w:pPr>
        <w:spacing w:after="0" w:line="360" w:lineRule="auto"/>
        <w:ind w:firstLine="720"/>
        <w:jc w:val="both"/>
        <w:rPr>
          <w:lang w:val="en-GB"/>
        </w:rPr>
      </w:pPr>
      <w:r w:rsidRPr="000E75E7">
        <w:rPr>
          <w:lang w:val="en-GB"/>
        </w:rPr>
        <w:t xml:space="preserve">The second way in which subjects can be objectified is through those practices in which the subject is either divided from others </w:t>
      </w:r>
      <w:r w:rsidR="00F7200D">
        <w:rPr>
          <w:lang w:val="en-GB"/>
        </w:rPr>
        <w:t xml:space="preserve">or within him/herself (1982, </w:t>
      </w:r>
      <w:r w:rsidRPr="000E75E7">
        <w:rPr>
          <w:lang w:val="en-GB"/>
        </w:rPr>
        <w:t xml:space="preserve">777). One example has already been discussed, namely the practice of separating the ‘mad’ from the ‘sane’ that Foucault studied in </w:t>
      </w:r>
      <w:r w:rsidRPr="000E75E7">
        <w:rPr>
          <w:i/>
          <w:lang w:val="en-GB"/>
        </w:rPr>
        <w:t xml:space="preserve">Madness and Civilization </w:t>
      </w:r>
      <w:r w:rsidRPr="000E75E7">
        <w:rPr>
          <w:lang w:val="en-GB"/>
        </w:rPr>
        <w:t xml:space="preserve">(1965) and </w:t>
      </w:r>
      <w:r w:rsidRPr="000E75E7">
        <w:rPr>
          <w:i/>
          <w:lang w:val="en-GB"/>
        </w:rPr>
        <w:t xml:space="preserve">The Birth of the Clinic </w:t>
      </w:r>
      <w:r w:rsidRPr="000E75E7">
        <w:rPr>
          <w:lang w:val="en-GB"/>
        </w:rPr>
        <w:t xml:space="preserve">(2003). Another example is the imprisoning of criminals, part of Foucault’s work </w:t>
      </w:r>
      <w:r w:rsidRPr="000E75E7">
        <w:rPr>
          <w:i/>
          <w:lang w:val="en-GB"/>
        </w:rPr>
        <w:t>Discipline and Punish</w:t>
      </w:r>
      <w:r w:rsidRPr="000E75E7">
        <w:rPr>
          <w:lang w:val="en-GB"/>
        </w:rPr>
        <w:t xml:space="preserve"> (1991</w:t>
      </w:r>
      <w:r w:rsidR="00D94859">
        <w:rPr>
          <w:lang w:val="en-GB"/>
        </w:rPr>
        <w:t>a</w:t>
      </w:r>
      <w:r w:rsidRPr="000E75E7">
        <w:rPr>
          <w:lang w:val="en-GB"/>
        </w:rPr>
        <w:t>). In general, dividing practices use a policy of exclusion in combinat</w:t>
      </w:r>
      <w:r w:rsidR="00332BC8">
        <w:rPr>
          <w:lang w:val="en-GB"/>
        </w:rPr>
        <w:t>ion with a presumably (pseudo-)scientific</w:t>
      </w:r>
      <w:r w:rsidRPr="000E75E7">
        <w:rPr>
          <w:lang w:val="en-GB"/>
        </w:rPr>
        <w:t xml:space="preserve"> position. In contemporary Dutch society there is a whole range of punitive institutions - from </w:t>
      </w:r>
      <w:r w:rsidR="00332BC8" w:rsidRPr="000E75E7">
        <w:rPr>
          <w:lang w:val="en-GB"/>
        </w:rPr>
        <w:t xml:space="preserve">a maximum security prison to </w:t>
      </w:r>
      <w:r w:rsidRPr="000E75E7">
        <w:rPr>
          <w:lang w:val="en-GB"/>
        </w:rPr>
        <w:t>an ‘open’ prison, where prisoners only st</w:t>
      </w:r>
      <w:r w:rsidR="00332BC8">
        <w:rPr>
          <w:lang w:val="en-GB"/>
        </w:rPr>
        <w:t>ay during the evening and night</w:t>
      </w:r>
      <w:r w:rsidRPr="000E75E7">
        <w:rPr>
          <w:lang w:val="en-GB"/>
        </w:rPr>
        <w:t xml:space="preserve"> - based on the idea that it is not only important to ensure that these people can be of no harm to others in society, but that it is also impo</w:t>
      </w:r>
      <w:r w:rsidR="00006D3D">
        <w:rPr>
          <w:lang w:val="en-GB"/>
        </w:rPr>
        <w:t>rtant to aid them to become lawful</w:t>
      </w:r>
      <w:r w:rsidRPr="000E75E7">
        <w:rPr>
          <w:lang w:val="en-GB"/>
        </w:rPr>
        <w:t xml:space="preserve"> members of society (Dienst Justitiële Inrichtingen, n.d.). The latter is based on numerous academic studies claiming the positive effect of policies such as working in prison on </w:t>
      </w:r>
      <w:r w:rsidR="00332BC8">
        <w:rPr>
          <w:lang w:val="en-GB"/>
        </w:rPr>
        <w:t>recidivism rates</w:t>
      </w:r>
      <w:r w:rsidRPr="000E75E7">
        <w:rPr>
          <w:lang w:val="en-GB"/>
        </w:rPr>
        <w:t xml:space="preserve"> (see e.g. Gendreau, Little, and Goggin, 1996). All in all, the effect of these types of practices is to divide subjects from others or within him/herself.</w:t>
      </w:r>
    </w:p>
    <w:p w14:paraId="34D52939" w14:textId="31F27D8A" w:rsidR="00B549D5" w:rsidRPr="000E75E7" w:rsidRDefault="00B549D5" w:rsidP="00E52F0F">
      <w:pPr>
        <w:spacing w:after="0" w:line="360" w:lineRule="auto"/>
        <w:ind w:firstLine="720"/>
        <w:jc w:val="both"/>
        <w:rPr>
          <w:lang w:val="en-GB"/>
        </w:rPr>
      </w:pPr>
      <w:r w:rsidRPr="000E75E7">
        <w:rPr>
          <w:lang w:val="en-GB"/>
        </w:rPr>
        <w:t xml:space="preserve">The third and last manner in which humans become subjects is subjectification, </w:t>
      </w:r>
      <w:r w:rsidR="00B94E7B">
        <w:rPr>
          <w:lang w:val="en-GB"/>
        </w:rPr>
        <w:t>i.e.</w:t>
      </w:r>
      <w:r w:rsidRPr="000E75E7">
        <w:rPr>
          <w:lang w:val="en-GB"/>
        </w:rPr>
        <w:t xml:space="preserve"> the way that humans turn themselves into subjects (</w:t>
      </w:r>
      <w:r w:rsidR="000D0AFD">
        <w:rPr>
          <w:lang w:val="en-GB"/>
        </w:rPr>
        <w:t>1982</w:t>
      </w:r>
      <w:r w:rsidR="00F7200D">
        <w:rPr>
          <w:lang w:val="en-GB"/>
        </w:rPr>
        <w:t xml:space="preserve">, </w:t>
      </w:r>
      <w:r w:rsidRPr="000E75E7">
        <w:rPr>
          <w:lang w:val="en-GB"/>
        </w:rPr>
        <w:t>778). The difference with the previous two forms of becoming a subject lies in the aspect of self-formation: people are themselves actively involved in process</w:t>
      </w:r>
      <w:r w:rsidR="00B94E7B">
        <w:rPr>
          <w:lang w:val="en-GB"/>
        </w:rPr>
        <w:t>es</w:t>
      </w:r>
      <w:r w:rsidRPr="000E75E7">
        <w:rPr>
          <w:lang w:val="en-GB"/>
        </w:rPr>
        <w:t xml:space="preserve"> of subjectification, whereas they are passive and constrained </w:t>
      </w:r>
      <w:r w:rsidR="00B94E7B">
        <w:rPr>
          <w:lang w:val="en-GB"/>
        </w:rPr>
        <w:t>in</w:t>
      </w:r>
      <w:r w:rsidRPr="000E75E7">
        <w:rPr>
          <w:lang w:val="en-GB"/>
        </w:rPr>
        <w:t xml:space="preserve"> processes of objectification. A</w:t>
      </w:r>
      <w:r w:rsidR="00B94E7B">
        <w:rPr>
          <w:lang w:val="en-GB"/>
        </w:rPr>
        <w:t xml:space="preserve">ccording to Foucault, </w:t>
      </w:r>
      <w:r w:rsidRPr="000E75E7">
        <w:rPr>
          <w:lang w:val="en-GB"/>
        </w:rPr>
        <w:t>subjectification often start</w:t>
      </w:r>
      <w:r w:rsidR="00B94E7B">
        <w:rPr>
          <w:lang w:val="en-GB"/>
        </w:rPr>
        <w:t>s</w:t>
      </w:r>
      <w:r w:rsidRPr="000E75E7">
        <w:rPr>
          <w:lang w:val="en-GB"/>
        </w:rPr>
        <w:t xml:space="preserve"> with a process of self-understanding, accompanied </w:t>
      </w:r>
      <w:r w:rsidR="00B94E7B">
        <w:rPr>
          <w:lang w:val="en-GB"/>
        </w:rPr>
        <w:t>by</w:t>
      </w:r>
      <w:r w:rsidRPr="000E75E7">
        <w:rPr>
          <w:lang w:val="en-GB"/>
        </w:rPr>
        <w:t xml:space="preserve"> numerous operations on people’s bodies, minds, thoughts, and actions (1980</w:t>
      </w:r>
      <w:r w:rsidR="00B97B30">
        <w:rPr>
          <w:lang w:val="en-GB"/>
        </w:rPr>
        <w:t>b</w:t>
      </w:r>
      <w:r w:rsidRPr="000E75E7">
        <w:rPr>
          <w:lang w:val="en-GB"/>
        </w:rPr>
        <w:t xml:space="preserve">). Moreover, </w:t>
      </w:r>
      <w:r w:rsidR="00B94E7B">
        <w:rPr>
          <w:lang w:val="en-GB"/>
        </w:rPr>
        <w:t>this</w:t>
      </w:r>
      <w:r w:rsidRPr="000E75E7">
        <w:rPr>
          <w:lang w:val="en-GB"/>
        </w:rPr>
        <w:t xml:space="preserve"> self-understanding is often guided by an external figure with ‘authority’, such as a psychoanalyst or a </w:t>
      </w:r>
      <w:r w:rsidR="00B94E7B">
        <w:rPr>
          <w:lang w:val="en-GB"/>
        </w:rPr>
        <w:t xml:space="preserve">confessor. Through </w:t>
      </w:r>
      <w:r w:rsidRPr="000E75E7">
        <w:rPr>
          <w:lang w:val="en-GB"/>
        </w:rPr>
        <w:t>subjectification, people thus learn to recognise themselves</w:t>
      </w:r>
      <w:r w:rsidR="00F7200D">
        <w:rPr>
          <w:lang w:val="en-GB"/>
        </w:rPr>
        <w:t xml:space="preserve"> as subjects (Foucault, 1982,</w:t>
      </w:r>
      <w:r w:rsidRPr="000E75E7">
        <w:rPr>
          <w:lang w:val="en-GB"/>
        </w:rPr>
        <w:t xml:space="preserve"> 778). For example, in </w:t>
      </w:r>
      <w:r w:rsidRPr="000E75E7">
        <w:rPr>
          <w:i/>
          <w:lang w:val="en-GB"/>
        </w:rPr>
        <w:t>The History of Sexuality</w:t>
      </w:r>
      <w:r w:rsidRPr="000E75E7">
        <w:rPr>
          <w:lang w:val="en-GB"/>
        </w:rPr>
        <w:t xml:space="preserve"> (1978), </w:t>
      </w:r>
      <w:r w:rsidR="00F22D9D">
        <w:rPr>
          <w:lang w:val="en-GB"/>
        </w:rPr>
        <w:t>Foucault</w:t>
      </w:r>
      <w:r w:rsidRPr="000E75E7">
        <w:rPr>
          <w:lang w:val="en-GB"/>
        </w:rPr>
        <w:t xml:space="preserve"> researched </w:t>
      </w:r>
      <w:r w:rsidR="00F22D9D">
        <w:rPr>
          <w:lang w:val="en-GB"/>
        </w:rPr>
        <w:t>the ways in which people learned</w:t>
      </w:r>
      <w:r w:rsidRPr="000E75E7">
        <w:rPr>
          <w:lang w:val="en-GB"/>
        </w:rPr>
        <w:t xml:space="preserve"> to recognise themselves as subjects of sexuality.</w:t>
      </w:r>
      <w:r w:rsidR="00F22D9D">
        <w:rPr>
          <w:lang w:val="en-GB"/>
        </w:rPr>
        <w:t xml:space="preserve"> W</w:t>
      </w:r>
      <w:r w:rsidRPr="000E75E7">
        <w:rPr>
          <w:lang w:val="en-GB"/>
        </w:rPr>
        <w:t>hen it was common to go to confession on Sunday as a Christian practice, sexual acts not meant for reproduction within one’s marriage</w:t>
      </w:r>
      <w:r>
        <w:rPr>
          <w:lang w:val="en-GB"/>
        </w:rPr>
        <w:t>, such as masturbation,</w:t>
      </w:r>
      <w:r w:rsidRPr="000E75E7">
        <w:rPr>
          <w:lang w:val="en-GB"/>
        </w:rPr>
        <w:t xml:space="preserve"> would be acts one should confess. </w:t>
      </w:r>
      <w:r w:rsidR="00F22D9D">
        <w:rPr>
          <w:lang w:val="en-GB"/>
        </w:rPr>
        <w:t>Hence</w:t>
      </w:r>
      <w:r w:rsidRPr="000E75E7">
        <w:rPr>
          <w:lang w:val="en-GB"/>
        </w:rPr>
        <w:t xml:space="preserve">, people learned to recognise themselves as people who could commit such acts, and therefore as people who had </w:t>
      </w:r>
      <w:r w:rsidR="00F22D9D">
        <w:rPr>
          <w:lang w:val="en-GB"/>
        </w:rPr>
        <w:t xml:space="preserve">such </w:t>
      </w:r>
      <w:r w:rsidRPr="000E75E7">
        <w:rPr>
          <w:lang w:val="en-GB"/>
        </w:rPr>
        <w:t xml:space="preserve">a sexuality. </w:t>
      </w:r>
    </w:p>
    <w:p w14:paraId="709B4127" w14:textId="5F2F3DA6" w:rsidR="00B549D5" w:rsidRPr="000E75E7" w:rsidRDefault="00B549D5" w:rsidP="00E52F0F">
      <w:pPr>
        <w:spacing w:after="0" w:line="360" w:lineRule="auto"/>
        <w:ind w:firstLine="720"/>
        <w:jc w:val="both"/>
        <w:rPr>
          <w:lang w:val="en-GB"/>
        </w:rPr>
      </w:pPr>
      <w:r w:rsidRPr="000E75E7">
        <w:rPr>
          <w:lang w:val="en-GB"/>
        </w:rPr>
        <w:t>In general, then, questions of objectification are concerned with the conditions that allow for somethi</w:t>
      </w:r>
      <w:r w:rsidR="00F22D9D">
        <w:rPr>
          <w:lang w:val="en-GB"/>
        </w:rPr>
        <w:t>ng to become an object of study</w:t>
      </w:r>
      <w:r w:rsidRPr="000E75E7">
        <w:rPr>
          <w:lang w:val="en-GB"/>
        </w:rPr>
        <w:t xml:space="preserve">. They are </w:t>
      </w:r>
      <w:r w:rsidR="00F22D9D" w:rsidRPr="000E75E7">
        <w:rPr>
          <w:lang w:val="en-GB"/>
        </w:rPr>
        <w:t>focused on</w:t>
      </w:r>
      <w:r w:rsidRPr="000E75E7">
        <w:rPr>
          <w:lang w:val="en-GB"/>
        </w:rPr>
        <w:t xml:space="preserve"> </w:t>
      </w:r>
      <w:r w:rsidR="00F22D9D">
        <w:rPr>
          <w:lang w:val="en-GB"/>
        </w:rPr>
        <w:t>the ways in which the object can be classified</w:t>
      </w:r>
      <w:r w:rsidR="00AB7776">
        <w:rPr>
          <w:lang w:val="en-GB"/>
        </w:rPr>
        <w:t xml:space="preserve"> and on</w:t>
      </w:r>
      <w:r w:rsidRPr="000E75E7">
        <w:rPr>
          <w:lang w:val="en-GB"/>
        </w:rPr>
        <w:t xml:space="preserve"> what part</w:t>
      </w:r>
      <w:r w:rsidR="00AB7776">
        <w:rPr>
          <w:lang w:val="en-GB"/>
        </w:rPr>
        <w:t>s</w:t>
      </w:r>
      <w:r w:rsidRPr="000E75E7">
        <w:rPr>
          <w:lang w:val="en-GB"/>
        </w:rPr>
        <w:t xml:space="preserve"> of the object </w:t>
      </w:r>
      <w:r w:rsidR="00AB7776">
        <w:rPr>
          <w:lang w:val="en-GB"/>
        </w:rPr>
        <w:t>are</w:t>
      </w:r>
      <w:r w:rsidRPr="000E75E7">
        <w:rPr>
          <w:lang w:val="en-GB"/>
        </w:rPr>
        <w:t xml:space="preserve"> seen as pertinent. All in all, objectification involves the classification of something as a pos</w:t>
      </w:r>
      <w:r w:rsidR="00AB7776">
        <w:rPr>
          <w:lang w:val="en-GB"/>
        </w:rPr>
        <w:t>sible object of knowledge and the consequences of this categorisation</w:t>
      </w:r>
      <w:r w:rsidRPr="000E75E7">
        <w:rPr>
          <w:lang w:val="en-GB"/>
        </w:rPr>
        <w:t>.</w:t>
      </w:r>
      <w:r w:rsidR="00AB7776">
        <w:rPr>
          <w:lang w:val="en-GB"/>
        </w:rPr>
        <w:t xml:space="preserve"> S</w:t>
      </w:r>
      <w:r w:rsidRPr="000E75E7">
        <w:rPr>
          <w:lang w:val="en-GB"/>
        </w:rPr>
        <w:t xml:space="preserve">ubjectification </w:t>
      </w:r>
      <w:r w:rsidR="00AB7776">
        <w:rPr>
          <w:lang w:val="en-GB"/>
        </w:rPr>
        <w:t>refers to</w:t>
      </w:r>
      <w:r w:rsidRPr="000E75E7">
        <w:rPr>
          <w:lang w:val="en-GB"/>
        </w:rPr>
        <w:t xml:space="preserve"> establishing what the subject must be. This is again linked with determining what conditions are imposed on the subject, and what status the subject should have. Furthermore, subjectification is involved with the question regarding what position the subject should have in reality or in the imaginary, so that it </w:t>
      </w:r>
      <w:r w:rsidRPr="000E75E7">
        <w:rPr>
          <w:lang w:val="en-GB"/>
        </w:rPr>
        <w:lastRenderedPageBreak/>
        <w:t>can become a valid subject of some type of knowledge</w:t>
      </w:r>
      <w:r w:rsidR="00AB7776">
        <w:rPr>
          <w:lang w:val="en-GB"/>
        </w:rPr>
        <w:t>, which includes self-understanding</w:t>
      </w:r>
      <w:r w:rsidRPr="000E75E7">
        <w:rPr>
          <w:lang w:val="en-GB"/>
        </w:rPr>
        <w:t xml:space="preserve">. Hence, both objectification and subjectification are tied up with becoming a subject of knowledge, but in the former the subject is passive, while in the latter the subject is actively involved in the process. </w:t>
      </w:r>
    </w:p>
    <w:p w14:paraId="0F1F6005" w14:textId="58C255B7" w:rsidR="00B549D5" w:rsidRPr="000E75E7" w:rsidRDefault="007711FE" w:rsidP="00E52F0F">
      <w:pPr>
        <w:spacing w:after="0" w:line="360" w:lineRule="auto"/>
        <w:ind w:firstLine="720"/>
        <w:jc w:val="both"/>
        <w:rPr>
          <w:lang w:val="en-GB"/>
        </w:rPr>
      </w:pPr>
      <w:r>
        <w:rPr>
          <w:lang w:val="en-GB"/>
        </w:rPr>
        <w:t>This study</w:t>
      </w:r>
      <w:r w:rsidR="00B549D5" w:rsidRPr="000E75E7">
        <w:rPr>
          <w:lang w:val="en-GB"/>
        </w:rPr>
        <w:t xml:space="preserve"> </w:t>
      </w:r>
      <w:r>
        <w:rPr>
          <w:lang w:val="en-GB"/>
        </w:rPr>
        <w:t>can be categorised</w:t>
      </w:r>
      <w:r w:rsidR="00B549D5">
        <w:rPr>
          <w:lang w:val="en-GB"/>
        </w:rPr>
        <w:t xml:space="preserve"> in between Foucault’s studies of s</w:t>
      </w:r>
      <w:r w:rsidR="00AB7776">
        <w:rPr>
          <w:lang w:val="en-GB"/>
        </w:rPr>
        <w:t>cientific classifications and</w:t>
      </w:r>
      <w:r w:rsidR="00B549D5">
        <w:rPr>
          <w:lang w:val="en-GB"/>
        </w:rPr>
        <w:t xml:space="preserve"> dividing practices. Newspapers </w:t>
      </w:r>
      <w:r w:rsidR="00B549D5" w:rsidRPr="000E75E7">
        <w:rPr>
          <w:lang w:val="en-GB"/>
        </w:rPr>
        <w:t>are not accorded a scientific status, nor aiming to achieve such a status (yet), even though journalism and science</w:t>
      </w:r>
      <w:r>
        <w:rPr>
          <w:lang w:val="en-GB"/>
        </w:rPr>
        <w:t xml:space="preserve"> do</w:t>
      </w:r>
      <w:r w:rsidR="00B549D5" w:rsidRPr="000E75E7">
        <w:rPr>
          <w:lang w:val="en-GB"/>
        </w:rPr>
        <w:t xml:space="preserve"> share the aim of wanting to be considered neutral and objective</w:t>
      </w:r>
      <w:r w:rsidR="00B549D5">
        <w:rPr>
          <w:lang w:val="en-GB"/>
        </w:rPr>
        <w:t xml:space="preserve">. </w:t>
      </w:r>
      <w:r>
        <w:rPr>
          <w:lang w:val="en-GB"/>
        </w:rPr>
        <w:t>On the other hand,</w:t>
      </w:r>
      <w:r w:rsidR="00B549D5">
        <w:rPr>
          <w:lang w:val="en-GB"/>
        </w:rPr>
        <w:t xml:space="preserve"> they are also not connected with a specific dividing practice, such as </w:t>
      </w:r>
      <w:r>
        <w:rPr>
          <w:lang w:val="en-GB"/>
        </w:rPr>
        <w:t>those</w:t>
      </w:r>
      <w:r w:rsidR="00B549D5">
        <w:rPr>
          <w:lang w:val="en-GB"/>
        </w:rPr>
        <w:t xml:space="preserve"> used in prisons </w:t>
      </w:r>
      <w:r>
        <w:rPr>
          <w:lang w:val="en-GB"/>
        </w:rPr>
        <w:t>separating the lawful</w:t>
      </w:r>
      <w:r w:rsidR="00B549D5">
        <w:rPr>
          <w:lang w:val="en-GB"/>
        </w:rPr>
        <w:t xml:space="preserve"> from the criminal. Nevertheless, news does divide people into groups, and separates groups from each other with the information and language they produce. It is thus similar to a study of dividing practices in that it studies the discourse connected to power by which certain people are excluded, and it is similar to a study of scientific classifications in its focus on language and information. It is least similar to Foucault’s studies into subjectification, as the focus lies with how people are made into subjects within the text, and not with how people respond to these texts and make themselves into subjects</w:t>
      </w:r>
      <w:r w:rsidR="00CD4ADC">
        <w:rPr>
          <w:lang w:val="en-GB"/>
        </w:rPr>
        <w:t xml:space="preserve"> </w:t>
      </w:r>
      <w:r>
        <w:rPr>
          <w:lang w:val="en-GB"/>
        </w:rPr>
        <w:t>–</w:t>
      </w:r>
      <w:r w:rsidR="00CD4ADC">
        <w:rPr>
          <w:lang w:val="en-GB"/>
        </w:rPr>
        <w:t xml:space="preserve"> although this process may certainly exist with regard to the discourses on Beirut and Paris. </w:t>
      </w:r>
    </w:p>
    <w:p w14:paraId="41B35431" w14:textId="77777777" w:rsidR="00B549D5" w:rsidRPr="000E75E7" w:rsidRDefault="00B549D5" w:rsidP="00E52F0F">
      <w:pPr>
        <w:spacing w:line="360" w:lineRule="auto"/>
        <w:ind w:firstLine="720"/>
        <w:rPr>
          <w:lang w:val="en-GB"/>
        </w:rPr>
      </w:pPr>
      <w:bookmarkStart w:id="31" w:name="h.izjvqtxxvj93" w:colFirst="0" w:colLast="0"/>
      <w:bookmarkEnd w:id="31"/>
    </w:p>
    <w:p w14:paraId="17B1B45E" w14:textId="77777777" w:rsidR="00B549D5" w:rsidRPr="001B097D" w:rsidRDefault="00B549D5" w:rsidP="00E52F0F">
      <w:pPr>
        <w:pStyle w:val="Heading2"/>
        <w:spacing w:line="360" w:lineRule="auto"/>
        <w:rPr>
          <w:lang w:val="en-GB"/>
        </w:rPr>
      </w:pPr>
      <w:bookmarkStart w:id="32" w:name="h.s6wplydf80o" w:colFirst="0" w:colLast="0"/>
      <w:bookmarkStart w:id="33" w:name="_Toc458983402"/>
      <w:bookmarkEnd w:id="32"/>
      <w:r w:rsidRPr="001B097D">
        <w:rPr>
          <w:lang w:val="en-GB"/>
        </w:rPr>
        <w:t>3.</w:t>
      </w:r>
      <w:r>
        <w:rPr>
          <w:lang w:val="en-GB"/>
        </w:rPr>
        <w:t>5</w:t>
      </w:r>
      <w:r w:rsidRPr="001B097D">
        <w:rPr>
          <w:lang w:val="en-GB"/>
        </w:rPr>
        <w:t>. Critiques of Foucault</w:t>
      </w:r>
      <w:bookmarkEnd w:id="33"/>
    </w:p>
    <w:p w14:paraId="17614874" w14:textId="6A848965" w:rsidR="00B549D5" w:rsidRDefault="007711FE" w:rsidP="00E52F0F">
      <w:pPr>
        <w:spacing w:after="0" w:line="360" w:lineRule="auto"/>
        <w:jc w:val="both"/>
        <w:rPr>
          <w:lang w:val="en-GB"/>
        </w:rPr>
      </w:pPr>
      <w:r>
        <w:rPr>
          <w:lang w:val="en-GB"/>
        </w:rPr>
        <w:t>Ha</w:t>
      </w:r>
      <w:r w:rsidR="00B549D5">
        <w:rPr>
          <w:lang w:val="en-GB"/>
        </w:rPr>
        <w:t xml:space="preserve">ving explained Foucault’s theory, what remains is to reflect on the critique he has received during the years. There are many points of critique, akin </w:t>
      </w:r>
      <w:r w:rsidR="00B549D5" w:rsidRPr="000E75E7">
        <w:rPr>
          <w:lang w:val="en-GB"/>
        </w:rPr>
        <w:t>to Foucault’s coverage of an astonishing range of topics</w:t>
      </w:r>
      <w:r w:rsidR="00B549D5">
        <w:rPr>
          <w:lang w:val="en-GB"/>
        </w:rPr>
        <w:t xml:space="preserve">. I will focus on those points that are most relevant to the current topic – how power relations are reflected and </w:t>
      </w:r>
      <w:r>
        <w:rPr>
          <w:lang w:val="en-GB"/>
        </w:rPr>
        <w:t>(re)</w:t>
      </w:r>
      <w:r w:rsidR="00B549D5">
        <w:rPr>
          <w:lang w:val="en-GB"/>
        </w:rPr>
        <w:t>produced in discourses – and that are focused on his wider theory instead of one of his specific studies.</w:t>
      </w:r>
      <w:r w:rsidR="00B549D5">
        <w:rPr>
          <w:rStyle w:val="FootnoteReference"/>
          <w:lang w:val="en-GB"/>
        </w:rPr>
        <w:footnoteReference w:id="5"/>
      </w:r>
      <w:r w:rsidR="00B549D5">
        <w:rPr>
          <w:lang w:val="en-GB"/>
        </w:rPr>
        <w:t xml:space="preserve"> </w:t>
      </w:r>
      <w:r>
        <w:rPr>
          <w:lang w:val="en-GB"/>
        </w:rPr>
        <w:t>As such,</w:t>
      </w:r>
      <w:r w:rsidR="00B549D5">
        <w:rPr>
          <w:lang w:val="en-GB"/>
        </w:rPr>
        <w:t xml:space="preserve"> three main critiques</w:t>
      </w:r>
      <w:r>
        <w:rPr>
          <w:lang w:val="en-GB"/>
        </w:rPr>
        <w:t xml:space="preserve"> are discussed</w:t>
      </w:r>
      <w:r w:rsidR="00B549D5">
        <w:rPr>
          <w:lang w:val="en-GB"/>
        </w:rPr>
        <w:t>: firstly, that Foucault lack</w:t>
      </w:r>
      <w:r w:rsidR="00CD4ADC">
        <w:rPr>
          <w:lang w:val="en-GB"/>
        </w:rPr>
        <w:t>s</w:t>
      </w:r>
      <w:r w:rsidR="00B549D5">
        <w:rPr>
          <w:lang w:val="en-GB"/>
        </w:rPr>
        <w:t xml:space="preserve"> an account of agency; secondly, that his work lacks a normative dimension; and lastly, that he does not propose any measures to deal with unjust power relations. </w:t>
      </w:r>
    </w:p>
    <w:p w14:paraId="0A253680" w14:textId="63EE9E68" w:rsidR="00B549D5" w:rsidRDefault="00B549D5" w:rsidP="00E52F0F">
      <w:pPr>
        <w:spacing w:after="0" w:line="360" w:lineRule="auto"/>
        <w:ind w:firstLine="720"/>
        <w:jc w:val="both"/>
        <w:rPr>
          <w:lang w:val="en-GB"/>
        </w:rPr>
      </w:pPr>
      <w:r w:rsidRPr="000E75E7">
        <w:rPr>
          <w:lang w:val="en-GB"/>
        </w:rPr>
        <w:t xml:space="preserve">In general, those critics who argue that Foucault mistakenly denies any agency </w:t>
      </w:r>
      <w:r w:rsidR="007711FE">
        <w:rPr>
          <w:lang w:val="en-GB"/>
        </w:rPr>
        <w:t>–</w:t>
      </w:r>
      <w:r w:rsidRPr="000E75E7">
        <w:rPr>
          <w:lang w:val="en-GB"/>
        </w:rPr>
        <w:t xml:space="preserve"> </w:t>
      </w:r>
      <w:r w:rsidR="007711FE">
        <w:rPr>
          <w:lang w:val="en-GB"/>
        </w:rPr>
        <w:t>a person’s</w:t>
      </w:r>
      <w:r w:rsidRPr="000E75E7">
        <w:rPr>
          <w:lang w:val="en-GB"/>
        </w:rPr>
        <w:t xml:space="preserve"> capacity to act independently </w:t>
      </w:r>
      <w:r w:rsidR="007711FE">
        <w:rPr>
          <w:lang w:val="en-GB"/>
        </w:rPr>
        <w:t xml:space="preserve">– </w:t>
      </w:r>
      <w:r w:rsidRPr="000E75E7">
        <w:rPr>
          <w:lang w:val="en-GB"/>
        </w:rPr>
        <w:t>base this on his statement that the subject is the prime effect of power. As such, he is interpreted as being committed to the “death o</w:t>
      </w:r>
      <w:r w:rsidR="005B07FD">
        <w:rPr>
          <w:lang w:val="en-GB"/>
        </w:rPr>
        <w:t xml:space="preserve">f the subject” (Allen, 2000, </w:t>
      </w:r>
      <w:r w:rsidRPr="000E75E7">
        <w:rPr>
          <w:lang w:val="en-GB"/>
        </w:rPr>
        <w:t>114). By positioning people as the effects of power, critics such as Linda Martín Alcoff argue that it is impossible for people to act independently of the power network (1990</w:t>
      </w:r>
      <w:r>
        <w:rPr>
          <w:lang w:val="en-GB"/>
        </w:rPr>
        <w:t xml:space="preserve">; </w:t>
      </w:r>
      <w:r w:rsidR="005B07FD">
        <w:rPr>
          <w:lang w:val="en-GB"/>
        </w:rPr>
        <w:t xml:space="preserve">Kearns </w:t>
      </w:r>
      <w:r w:rsidR="00BE553E">
        <w:rPr>
          <w:lang w:val="en-GB"/>
        </w:rPr>
        <w:t>and</w:t>
      </w:r>
      <w:r w:rsidR="005B07FD">
        <w:rPr>
          <w:lang w:val="en-GB"/>
        </w:rPr>
        <w:t xml:space="preserve"> Lukes, 2006, </w:t>
      </w:r>
      <w:r w:rsidR="00AD27DA">
        <w:rPr>
          <w:lang w:val="en-GB"/>
        </w:rPr>
        <w:t>272; Lukes, 2006,</w:t>
      </w:r>
      <w:r w:rsidR="005B07FD">
        <w:rPr>
          <w:lang w:val="en-GB"/>
        </w:rPr>
        <w:t xml:space="preserve"> </w:t>
      </w:r>
      <w:r>
        <w:rPr>
          <w:lang w:val="en-GB"/>
        </w:rPr>
        <w:t>167</w:t>
      </w:r>
      <w:r w:rsidRPr="000E75E7">
        <w:rPr>
          <w:lang w:val="en-GB"/>
        </w:rPr>
        <w:t>).</w:t>
      </w:r>
      <w:r w:rsidRPr="00BA6B56">
        <w:rPr>
          <w:vertAlign w:val="superscript"/>
          <w:lang w:val="en-GB"/>
        </w:rPr>
        <w:t xml:space="preserve"> </w:t>
      </w:r>
      <w:r w:rsidRPr="000E75E7">
        <w:rPr>
          <w:lang w:val="en-GB"/>
        </w:rPr>
        <w:t>Hence, it would be impossible for people to have agency. Seyla Benhabib agrees with this conclusion: she argues that Foucault lacks an explanation of social change, except as the replacement of one regime of power/knowle</w:t>
      </w:r>
      <w:r w:rsidR="005B07FD">
        <w:rPr>
          <w:lang w:val="en-GB"/>
        </w:rPr>
        <w:t xml:space="preserve">dge by another regime (1992, </w:t>
      </w:r>
      <w:r w:rsidR="00BF518B">
        <w:rPr>
          <w:lang w:val="en-GB"/>
        </w:rPr>
        <w:t>237</w:t>
      </w:r>
      <w:r w:rsidRPr="000E75E7">
        <w:rPr>
          <w:lang w:val="en-GB"/>
        </w:rPr>
        <w:t xml:space="preserve">). And because he cannot explain social change except in terms of a change in power relations, he can also not account for any type of agency. Rosi Braidotti joins this criticism, </w:t>
      </w:r>
      <w:r w:rsidR="00BF518B">
        <w:rPr>
          <w:lang w:val="en-GB"/>
        </w:rPr>
        <w:t>al</w:t>
      </w:r>
      <w:r w:rsidRPr="000E75E7">
        <w:rPr>
          <w:lang w:val="en-GB"/>
        </w:rPr>
        <w:t xml:space="preserve">though indirectly via the work of Judith Butler, who proceeds from Foucault’s thoughts </w:t>
      </w:r>
      <w:r w:rsidRPr="000E75E7">
        <w:rPr>
          <w:lang w:val="en-GB"/>
        </w:rPr>
        <w:lastRenderedPageBreak/>
        <w:t>(1989). According to Braidotti, Butler</w:t>
      </w:r>
      <w:r>
        <w:rPr>
          <w:lang w:val="en-GB"/>
        </w:rPr>
        <w:t xml:space="preserve"> and Foucault </w:t>
      </w:r>
      <w:r w:rsidRPr="000E75E7">
        <w:rPr>
          <w:lang w:val="en-GB"/>
        </w:rPr>
        <w:t>are wrong in their claim that the subject is the effect of power, because “one cannot deconstruct a subjectivity that one has never fully been granted (...). In order to announce the death of the subject one must first have gained the right to speak as one” (</w:t>
      </w:r>
      <w:r w:rsidR="000D0AFD">
        <w:rPr>
          <w:lang w:val="en-GB"/>
        </w:rPr>
        <w:t>1989</w:t>
      </w:r>
      <w:r w:rsidR="005B07FD">
        <w:rPr>
          <w:lang w:val="en-GB"/>
        </w:rPr>
        <w:t>,</w:t>
      </w:r>
      <w:r w:rsidRPr="000E75E7">
        <w:rPr>
          <w:lang w:val="en-GB"/>
        </w:rPr>
        <w:t xml:space="preserve"> 237). Amy Allen, however, disagrees with the</w:t>
      </w:r>
      <w:r w:rsidR="00BF518B">
        <w:rPr>
          <w:lang w:val="en-GB"/>
        </w:rPr>
        <w:t>se</w:t>
      </w:r>
      <w:r w:rsidRPr="000E75E7">
        <w:rPr>
          <w:lang w:val="en-GB"/>
        </w:rPr>
        <w:t xml:space="preserve"> conclusions </w:t>
      </w:r>
      <w:r w:rsidR="00BF518B">
        <w:rPr>
          <w:lang w:val="en-GB"/>
        </w:rPr>
        <w:t>(2002). Alt</w:t>
      </w:r>
      <w:r w:rsidRPr="000E75E7">
        <w:rPr>
          <w:lang w:val="en-GB"/>
        </w:rPr>
        <w:t>hough she admits that Foucault’s thoughts on agency and subjectivity are not completely adequate</w:t>
      </w:r>
      <w:r w:rsidR="00BF518B">
        <w:rPr>
          <w:lang w:val="en-GB"/>
        </w:rPr>
        <w:t xml:space="preserve"> or clear</w:t>
      </w:r>
      <w:r w:rsidRPr="000E75E7">
        <w:rPr>
          <w:lang w:val="en-GB"/>
        </w:rPr>
        <w:t>, she views the claim that Foucault proposes the death of the subject as an incorrect exaggeration of his work (</w:t>
      </w:r>
      <w:r w:rsidR="000D0AFD">
        <w:rPr>
          <w:lang w:val="en-GB"/>
        </w:rPr>
        <w:t>2002</w:t>
      </w:r>
      <w:r w:rsidR="005B07FD">
        <w:rPr>
          <w:lang w:val="en-GB"/>
        </w:rPr>
        <w:t>,</w:t>
      </w:r>
      <w:r w:rsidRPr="000E75E7">
        <w:rPr>
          <w:lang w:val="en-GB"/>
        </w:rPr>
        <w:t xml:space="preserve"> 136). She concludes that his </w:t>
      </w:r>
      <w:r>
        <w:rPr>
          <w:lang w:val="en-GB"/>
        </w:rPr>
        <w:t>statement</w:t>
      </w:r>
      <w:r w:rsidRPr="000E75E7">
        <w:rPr>
          <w:lang w:val="en-GB"/>
        </w:rPr>
        <w:t xml:space="preserve"> that the subject is an effect of power “does not commit him to the much stronger claim that the individual is </w:t>
      </w:r>
      <w:r w:rsidRPr="000E75E7">
        <w:rPr>
          <w:i/>
          <w:lang w:val="en-GB"/>
        </w:rPr>
        <w:t xml:space="preserve">merely </w:t>
      </w:r>
      <w:r w:rsidRPr="000E75E7">
        <w:rPr>
          <w:lang w:val="en-GB"/>
        </w:rPr>
        <w:t xml:space="preserve">or </w:t>
      </w:r>
      <w:r w:rsidRPr="000E75E7">
        <w:rPr>
          <w:i/>
          <w:lang w:val="en-GB"/>
        </w:rPr>
        <w:t xml:space="preserve">nothing more than </w:t>
      </w:r>
      <w:r w:rsidRPr="000E75E7">
        <w:rPr>
          <w:lang w:val="en-GB"/>
        </w:rPr>
        <w:t>the effect of power.” (</w:t>
      </w:r>
      <w:r w:rsidR="005B07FD">
        <w:rPr>
          <w:lang w:val="en-GB"/>
        </w:rPr>
        <w:t xml:space="preserve">2002, </w:t>
      </w:r>
      <w:r w:rsidR="000D0AFD">
        <w:rPr>
          <w:lang w:val="en-GB"/>
        </w:rPr>
        <w:t>136</w:t>
      </w:r>
      <w:r w:rsidRPr="000E75E7">
        <w:rPr>
          <w:lang w:val="en-GB"/>
        </w:rPr>
        <w:t xml:space="preserve">, emphasis original) In contrast, Allen postulates that becoming a subject is a necessary precondition for the possibility of agency, which seems to be confirmed by Foucault’s discussion of the exercise of power, which is “always a way of acting upon an acting subject or acting subjects </w:t>
      </w:r>
      <w:r w:rsidRPr="000E75E7">
        <w:rPr>
          <w:i/>
          <w:lang w:val="en-GB"/>
        </w:rPr>
        <w:t>by virtue of their acting or being capable of action.</w:t>
      </w:r>
      <w:r w:rsidR="005B07FD">
        <w:rPr>
          <w:lang w:val="en-GB"/>
        </w:rPr>
        <w:t xml:space="preserve">” (1982, </w:t>
      </w:r>
      <w:r w:rsidRPr="000E75E7">
        <w:rPr>
          <w:lang w:val="en-GB"/>
        </w:rPr>
        <w:t xml:space="preserve">789, </w:t>
      </w:r>
      <w:r>
        <w:rPr>
          <w:lang w:val="en-GB"/>
        </w:rPr>
        <w:t>emphasis</w:t>
      </w:r>
      <w:r w:rsidRPr="000E75E7">
        <w:rPr>
          <w:lang w:val="en-GB"/>
        </w:rPr>
        <w:t xml:space="preserve"> mine)</w:t>
      </w:r>
      <w:r>
        <w:rPr>
          <w:vertAlign w:val="superscript"/>
        </w:rPr>
        <w:footnoteReference w:id="6"/>
      </w:r>
      <w:r>
        <w:rPr>
          <w:lang w:val="en-GB"/>
        </w:rPr>
        <w:t xml:space="preserve"> Hence, Foucault does not foreclose the possibility for agency, but </w:t>
      </w:r>
      <w:r w:rsidR="00BF518B">
        <w:rPr>
          <w:lang w:val="en-GB"/>
        </w:rPr>
        <w:t>just</w:t>
      </w:r>
      <w:r>
        <w:rPr>
          <w:lang w:val="en-GB"/>
        </w:rPr>
        <w:t xml:space="preserve"> accord it less space than is done in other theories of power, and especially than is done in several feminist power theories. For the current project, this is not a major problem, as the topic is not about active humans: it is about power relations in discourses, and discourses </w:t>
      </w:r>
      <w:r w:rsidR="00BF518B">
        <w:rPr>
          <w:lang w:val="en-GB"/>
        </w:rPr>
        <w:t xml:space="preserve">themselves </w:t>
      </w:r>
      <w:r>
        <w:rPr>
          <w:lang w:val="en-GB"/>
        </w:rPr>
        <w:t xml:space="preserve">do not have agency. </w:t>
      </w:r>
    </w:p>
    <w:p w14:paraId="50A8945B" w14:textId="5D15D416" w:rsidR="00B549D5" w:rsidRDefault="00B549D5" w:rsidP="00E52F0F">
      <w:pPr>
        <w:spacing w:after="0" w:line="360" w:lineRule="auto"/>
        <w:ind w:firstLine="720"/>
        <w:jc w:val="both"/>
        <w:rPr>
          <w:lang w:val="en-GB"/>
        </w:rPr>
      </w:pPr>
      <w:r>
        <w:rPr>
          <w:lang w:val="en-GB"/>
        </w:rPr>
        <w:t xml:space="preserve">The second major critique concerns the lack of a normative dimension in Foucault’s theory. According to several scholars, Foucault provides a descriptive rather than prescriptive account of power relations, meaning that he merely describes them while being neutral, rather than arguing why certain power relations are right and others are wrong. </w:t>
      </w:r>
      <w:r w:rsidRPr="000E75E7">
        <w:rPr>
          <w:lang w:val="en-GB"/>
        </w:rPr>
        <w:t xml:space="preserve">Nancy Fraser </w:t>
      </w:r>
      <w:r>
        <w:rPr>
          <w:lang w:val="en-GB"/>
        </w:rPr>
        <w:t>was one of the first scholars to produce</w:t>
      </w:r>
      <w:r w:rsidRPr="000E75E7">
        <w:rPr>
          <w:lang w:val="en-GB"/>
        </w:rPr>
        <w:t xml:space="preserve"> critical work on what she saw as Foucault’s normative confusions and the </w:t>
      </w:r>
      <w:r>
        <w:rPr>
          <w:lang w:val="en-GB"/>
        </w:rPr>
        <w:t xml:space="preserve">consequential </w:t>
      </w:r>
      <w:r w:rsidRPr="000E75E7">
        <w:rPr>
          <w:lang w:val="en-GB"/>
        </w:rPr>
        <w:t xml:space="preserve">difficulties with his empirical insights (1981). She highlights that, </w:t>
      </w:r>
      <w:r>
        <w:rPr>
          <w:lang w:val="en-GB"/>
        </w:rPr>
        <w:t>al</w:t>
      </w:r>
      <w:r w:rsidRPr="000E75E7">
        <w:rPr>
          <w:lang w:val="en-GB"/>
        </w:rPr>
        <w:t xml:space="preserve">though Foucault’s methodological strategies would have enabled a valuable description of power, they were constrained because of their connection to </w:t>
      </w:r>
      <w:r w:rsidR="005B07FD">
        <w:rPr>
          <w:lang w:val="en-GB"/>
        </w:rPr>
        <w:t xml:space="preserve">normative ambiguities (1981, </w:t>
      </w:r>
      <w:r>
        <w:rPr>
          <w:lang w:val="en-GB"/>
        </w:rPr>
        <w:t>29</w:t>
      </w:r>
      <w:r w:rsidRPr="000E75E7">
        <w:rPr>
          <w:lang w:val="en-GB"/>
        </w:rPr>
        <w:t xml:space="preserve">). </w:t>
      </w:r>
      <w:r>
        <w:rPr>
          <w:lang w:val="en-GB"/>
        </w:rPr>
        <w:t>One of these ambiguities, according to Fraser, is that it is unclear if he suspends all normative notions, or solely the liberal standards of legiti</w:t>
      </w:r>
      <w:r w:rsidR="005B07FD">
        <w:rPr>
          <w:lang w:val="en-GB"/>
        </w:rPr>
        <w:t xml:space="preserve">macy and illegitimacy (1981, </w:t>
      </w:r>
      <w:r>
        <w:rPr>
          <w:lang w:val="en-GB"/>
        </w:rPr>
        <w:t>19). She argues that sometimes it</w:t>
      </w:r>
      <w:r w:rsidR="00BF518B">
        <w:rPr>
          <w:lang w:val="en-GB"/>
        </w:rPr>
        <w:t xml:space="preserve"> is even unclear if he suspends</w:t>
      </w:r>
      <w:r>
        <w:rPr>
          <w:lang w:val="en-GB"/>
        </w:rPr>
        <w:t xml:space="preserve"> them at all, or just im</w:t>
      </w:r>
      <w:r w:rsidR="00BF518B">
        <w:rPr>
          <w:lang w:val="en-GB"/>
        </w:rPr>
        <w:t>plicitly assumes</w:t>
      </w:r>
      <w:r w:rsidR="005B07FD">
        <w:rPr>
          <w:lang w:val="en-GB"/>
        </w:rPr>
        <w:t xml:space="preserve"> them (1981, </w:t>
      </w:r>
      <w:r>
        <w:rPr>
          <w:lang w:val="en-GB"/>
        </w:rPr>
        <w:t xml:space="preserve">19). And if it is truly the case that Foucault does not engage with any norms, how are we to judge his empirical insights? If certain forms of domination or subjugation are revealed, who is to say that struggle is better than compliance, if there are no norms? Nevertheless, it seems as if Foucault does have some normative standards, although they are certainly not explicit. In accordance with this thought, Jürgen Habermas has denounced Foucault’s earlier work as cryptonormative: </w:t>
      </w:r>
      <w:r w:rsidR="00BF518B">
        <w:rPr>
          <w:lang w:val="en-GB"/>
        </w:rPr>
        <w:t>despite</w:t>
      </w:r>
      <w:r>
        <w:rPr>
          <w:lang w:val="en-GB"/>
        </w:rPr>
        <w:t xml:space="preserve"> explicitly </w:t>
      </w:r>
      <w:r w:rsidR="00BF518B">
        <w:rPr>
          <w:lang w:val="en-GB"/>
        </w:rPr>
        <w:t>denouncing</w:t>
      </w:r>
      <w:r>
        <w:rPr>
          <w:lang w:val="en-GB"/>
        </w:rPr>
        <w:t xml:space="preserve"> Enlightenment thought, </w:t>
      </w:r>
      <w:r w:rsidR="00BF518B">
        <w:rPr>
          <w:lang w:val="en-GB"/>
        </w:rPr>
        <w:t>Foucault</w:t>
      </w:r>
      <w:r>
        <w:rPr>
          <w:lang w:val="en-GB"/>
        </w:rPr>
        <w:t xml:space="preserve"> fails to acknowledge that he impl</w:t>
      </w:r>
      <w:r w:rsidR="005B07FD">
        <w:rPr>
          <w:lang w:val="en-GB"/>
        </w:rPr>
        <w:t xml:space="preserve">icitly </w:t>
      </w:r>
      <w:r w:rsidR="00BF518B">
        <w:rPr>
          <w:lang w:val="en-GB"/>
        </w:rPr>
        <w:t>still relies</w:t>
      </w:r>
      <w:r w:rsidR="005B07FD">
        <w:rPr>
          <w:lang w:val="en-GB"/>
        </w:rPr>
        <w:t xml:space="preserve"> on it (1988,</w:t>
      </w:r>
      <w:r>
        <w:rPr>
          <w:lang w:val="en-GB"/>
        </w:rPr>
        <w:t xml:space="preserve"> 323). I partially disagree with Habermas and Fraser. </w:t>
      </w:r>
      <w:r w:rsidR="00EE0040">
        <w:rPr>
          <w:lang w:val="en-GB"/>
        </w:rPr>
        <w:t>Although</w:t>
      </w:r>
      <w:r>
        <w:rPr>
          <w:lang w:val="en-GB"/>
        </w:rPr>
        <w:t xml:space="preserve"> Foucault does indeed reject part of the Enlightenment tradition, this is mostly aimed at the superior position of reason. As he himself stated, a while after Habermas’ criticism, he has an ambivalent relation with the En</w:t>
      </w:r>
      <w:r w:rsidR="005B07FD">
        <w:rPr>
          <w:lang w:val="en-GB"/>
        </w:rPr>
        <w:t xml:space="preserve">lightenment tradition (1979, </w:t>
      </w:r>
      <w:r>
        <w:rPr>
          <w:lang w:val="en-GB"/>
        </w:rPr>
        <w:t xml:space="preserve">167). What he wished to </w:t>
      </w:r>
      <w:r w:rsidR="00BF518B">
        <w:rPr>
          <w:lang w:val="en-GB"/>
        </w:rPr>
        <w:t>retain</w:t>
      </w:r>
      <w:r>
        <w:rPr>
          <w:lang w:val="en-GB"/>
        </w:rPr>
        <w:t xml:space="preserve"> from </w:t>
      </w:r>
      <w:r>
        <w:rPr>
          <w:lang w:val="en-GB"/>
        </w:rPr>
        <w:lastRenderedPageBreak/>
        <w:t xml:space="preserve">this tradition was </w:t>
      </w:r>
      <w:r w:rsidR="005B07FD">
        <w:rPr>
          <w:lang w:val="en-GB"/>
        </w:rPr>
        <w:t xml:space="preserve">the critical attitude (1979, </w:t>
      </w:r>
      <w:r>
        <w:rPr>
          <w:lang w:val="en-GB"/>
        </w:rPr>
        <w:t>167). In accordance, he starts his studies by analysing the struggles of adversaries, thereby revealing subjugati</w:t>
      </w:r>
      <w:r w:rsidR="00CB4196">
        <w:rPr>
          <w:lang w:val="en-GB"/>
        </w:rPr>
        <w:t>ng and dominating forms of power.</w:t>
      </w:r>
      <w:r w:rsidR="005C6021">
        <w:rPr>
          <w:lang w:val="en-GB"/>
        </w:rPr>
        <w:t xml:space="preserve"> Moreover, if studied more in depth, it becomes clear Foucault does not explicitly state his normative framework on purpose. His aim is to create space for change, for resistance. As soon as norms and standards are created, </w:t>
      </w:r>
      <w:r w:rsidR="00BF518B">
        <w:rPr>
          <w:lang w:val="en-GB"/>
        </w:rPr>
        <w:t>they limit</w:t>
      </w:r>
      <w:r w:rsidR="005C6021">
        <w:rPr>
          <w:lang w:val="en-GB"/>
        </w:rPr>
        <w:t xml:space="preserve"> that space for change, since certain things </w:t>
      </w:r>
      <w:r w:rsidR="00BF518B">
        <w:rPr>
          <w:lang w:val="en-GB"/>
        </w:rPr>
        <w:t>become</w:t>
      </w:r>
      <w:r w:rsidR="005C6021">
        <w:rPr>
          <w:lang w:val="en-GB"/>
        </w:rPr>
        <w:t xml:space="preserve"> </w:t>
      </w:r>
      <w:r w:rsidR="00BF518B">
        <w:rPr>
          <w:lang w:val="en-GB"/>
        </w:rPr>
        <w:t>unacceptable</w:t>
      </w:r>
      <w:r w:rsidR="005C6021">
        <w:rPr>
          <w:lang w:val="en-GB"/>
        </w:rPr>
        <w:t xml:space="preserve">. </w:t>
      </w:r>
      <w:r w:rsidR="00EE0040">
        <w:rPr>
          <w:rFonts w:ascii="Calibri" w:hAnsi="Calibri"/>
          <w:color w:val="1A1A1A"/>
          <w:shd w:val="clear" w:color="auto" w:fill="FFFFFF"/>
          <w:lang w:val="en-GB"/>
        </w:rPr>
        <w:t>This view is supported by Brent Pickett, who argues that Foucault refuses to define any limits to what are legitimate forms and consequences</w:t>
      </w:r>
      <w:r w:rsidR="0090086D">
        <w:rPr>
          <w:rFonts w:ascii="Calibri" w:hAnsi="Calibri"/>
          <w:color w:val="1A1A1A"/>
          <w:shd w:val="clear" w:color="auto" w:fill="FFFFFF"/>
          <w:lang w:val="en-GB"/>
        </w:rPr>
        <w:t xml:space="preserve"> of resistance</w:t>
      </w:r>
      <w:r w:rsidR="00EE0040">
        <w:rPr>
          <w:rFonts w:ascii="Calibri" w:hAnsi="Calibri"/>
          <w:color w:val="1A1A1A"/>
          <w:shd w:val="clear" w:color="auto" w:fill="FFFFFF"/>
          <w:lang w:val="en-GB"/>
        </w:rPr>
        <w:t>, “lest those who are engaged become trapped in the very system of power they are trying to overcome – since any limits will be derived from ideals suppor</w:t>
      </w:r>
      <w:r w:rsidR="005B07FD">
        <w:rPr>
          <w:rFonts w:ascii="Calibri" w:hAnsi="Calibri"/>
          <w:color w:val="1A1A1A"/>
          <w:shd w:val="clear" w:color="auto" w:fill="FFFFFF"/>
          <w:lang w:val="en-GB"/>
        </w:rPr>
        <w:t xml:space="preserve">ted by modern power.” (1996, </w:t>
      </w:r>
      <w:r w:rsidR="00EE0040">
        <w:rPr>
          <w:rFonts w:ascii="Calibri" w:hAnsi="Calibri"/>
          <w:color w:val="1A1A1A"/>
          <w:shd w:val="clear" w:color="auto" w:fill="FFFFFF"/>
          <w:lang w:val="en-GB"/>
        </w:rPr>
        <w:t xml:space="preserve">447) </w:t>
      </w:r>
      <w:r w:rsidR="0090086D">
        <w:rPr>
          <w:lang w:val="en-GB"/>
        </w:rPr>
        <w:t>Accordingly</w:t>
      </w:r>
      <w:r w:rsidR="005C6021">
        <w:rPr>
          <w:lang w:val="en-GB"/>
        </w:rPr>
        <w:t>, Foucault does not specify any norms, adopting a Socratic method</w:t>
      </w:r>
      <w:r w:rsidR="00EE0040">
        <w:rPr>
          <w:lang w:val="en-GB"/>
        </w:rPr>
        <w:t>. Like Socrates, Foucault plays the role of the</w:t>
      </w:r>
      <w:r w:rsidR="005C6021">
        <w:rPr>
          <w:lang w:val="en-GB"/>
        </w:rPr>
        <w:t xml:space="preserve"> horsefly</w:t>
      </w:r>
      <w:r w:rsidR="00EE0040">
        <w:rPr>
          <w:lang w:val="en-GB"/>
        </w:rPr>
        <w:t>,</w:t>
      </w:r>
      <w:r w:rsidR="005C6021">
        <w:rPr>
          <w:lang w:val="en-GB"/>
        </w:rPr>
        <w:t xml:space="preserve"> awaking people from their assumptions and ignorance, stirring up their thoughts, but not delineating what to do afterwards. </w:t>
      </w:r>
      <w:r w:rsidR="00EE0040">
        <w:rPr>
          <w:lang w:val="en-GB"/>
        </w:rPr>
        <w:t xml:space="preserve">The consequence, nevertheless, is that all forms and effects of resistance are implicitly accepted. </w:t>
      </w:r>
    </w:p>
    <w:p w14:paraId="79543681" w14:textId="5655B69F" w:rsidR="00B94965" w:rsidRDefault="00EE0040" w:rsidP="00E52F0F">
      <w:pPr>
        <w:spacing w:after="0" w:line="360" w:lineRule="auto"/>
        <w:ind w:firstLine="720"/>
        <w:jc w:val="both"/>
        <w:rPr>
          <w:lang w:val="en-GB"/>
        </w:rPr>
      </w:pPr>
      <w:r>
        <w:rPr>
          <w:lang w:val="en-GB"/>
        </w:rPr>
        <w:t xml:space="preserve">And this is the last criticism aimed at his work: that he does not </w:t>
      </w:r>
      <w:r w:rsidR="00B549D5">
        <w:rPr>
          <w:lang w:val="en-GB"/>
        </w:rPr>
        <w:t xml:space="preserve">provide any measures to deal </w:t>
      </w:r>
      <w:r w:rsidR="00B549D5" w:rsidRPr="00853EAA">
        <w:rPr>
          <w:lang w:val="en-GB"/>
        </w:rPr>
        <w:t xml:space="preserve">with the power relations he reveals. One scholar who argues this has already </w:t>
      </w:r>
      <w:r w:rsidR="00CD4ADC">
        <w:rPr>
          <w:lang w:val="en-GB"/>
        </w:rPr>
        <w:t>been mentioned</w:t>
      </w:r>
      <w:r w:rsidR="00B549D5" w:rsidRPr="00853EAA">
        <w:rPr>
          <w:lang w:val="en-GB"/>
        </w:rPr>
        <w:t>: Edward Said. According to Said, “</w:t>
      </w:r>
      <w:r w:rsidR="00B549D5" w:rsidRPr="00853EAA">
        <w:rPr>
          <w:rFonts w:ascii="Calibri" w:hAnsi="Calibri"/>
          <w:color w:val="1A1A1A"/>
          <w:shd w:val="clear" w:color="auto" w:fill="FFFFFF"/>
          <w:lang w:val="en-GB"/>
        </w:rPr>
        <w:t>Foucault’s imagination of power was by his analysis of power to reveal its injustice and cruelty, but by his theorization to let it go on mor</w:t>
      </w:r>
      <w:r w:rsidR="005B07FD">
        <w:rPr>
          <w:rFonts w:ascii="Calibri" w:hAnsi="Calibri"/>
          <w:color w:val="1A1A1A"/>
          <w:shd w:val="clear" w:color="auto" w:fill="FFFFFF"/>
          <w:lang w:val="en-GB"/>
        </w:rPr>
        <w:t xml:space="preserve">e or less unchecked.” (1986, </w:t>
      </w:r>
      <w:r w:rsidR="00B549D5" w:rsidRPr="00853EAA">
        <w:rPr>
          <w:rFonts w:ascii="Calibri" w:hAnsi="Calibri"/>
          <w:color w:val="1A1A1A"/>
          <w:shd w:val="clear" w:color="auto" w:fill="FFFFFF"/>
          <w:lang w:val="en-GB"/>
        </w:rPr>
        <w:t>152). Moreover, Said argues that this discrepancy is increased by the lack of a thorough discussion</w:t>
      </w:r>
      <w:r w:rsidR="0075357F">
        <w:rPr>
          <w:rFonts w:ascii="Calibri" w:hAnsi="Calibri"/>
          <w:color w:val="1A1A1A"/>
          <w:shd w:val="clear" w:color="auto" w:fill="FFFFFF"/>
          <w:lang w:val="en-GB"/>
        </w:rPr>
        <w:t xml:space="preserve"> and</w:t>
      </w:r>
      <w:r w:rsidR="00B549D5" w:rsidRPr="00853EAA">
        <w:rPr>
          <w:rFonts w:ascii="Calibri" w:hAnsi="Calibri"/>
          <w:color w:val="1A1A1A"/>
          <w:shd w:val="clear" w:color="auto" w:fill="FFFFFF"/>
          <w:lang w:val="en-GB"/>
        </w:rPr>
        <w:t xml:space="preserve"> grantin</w:t>
      </w:r>
      <w:r w:rsidR="0075357F">
        <w:rPr>
          <w:rFonts w:ascii="Calibri" w:hAnsi="Calibri"/>
          <w:color w:val="1A1A1A"/>
          <w:shd w:val="clear" w:color="auto" w:fill="FFFFFF"/>
          <w:lang w:val="en-GB"/>
        </w:rPr>
        <w:t>g of the pertinent success</w:t>
      </w:r>
      <w:r w:rsidR="00B549D5" w:rsidRPr="00853EAA">
        <w:rPr>
          <w:rFonts w:ascii="Calibri" w:hAnsi="Calibri"/>
          <w:color w:val="1A1A1A"/>
          <w:shd w:val="clear" w:color="auto" w:fill="FFFFFF"/>
          <w:lang w:val="en-GB"/>
        </w:rPr>
        <w:t xml:space="preserve"> of resistances</w:t>
      </w:r>
      <w:r w:rsidR="0075357F">
        <w:rPr>
          <w:rFonts w:ascii="Calibri" w:hAnsi="Calibri"/>
          <w:color w:val="1A1A1A"/>
          <w:shd w:val="clear" w:color="auto" w:fill="FFFFFF"/>
          <w:lang w:val="en-GB"/>
        </w:rPr>
        <w:t>, which</w:t>
      </w:r>
      <w:r w:rsidR="00B549D5" w:rsidRPr="00853EAA">
        <w:rPr>
          <w:rFonts w:ascii="Calibri" w:hAnsi="Calibri"/>
          <w:color w:val="1A1A1A"/>
          <w:shd w:val="clear" w:color="auto" w:fill="FFFFFF"/>
          <w:lang w:val="en-GB"/>
        </w:rPr>
        <w:t xml:space="preserve"> counter hegemonic discourses by firstly challenging its power and consequently formulatin</w:t>
      </w:r>
      <w:r w:rsidR="005B07FD">
        <w:rPr>
          <w:rFonts w:ascii="Calibri" w:hAnsi="Calibri"/>
          <w:color w:val="1A1A1A"/>
          <w:shd w:val="clear" w:color="auto" w:fill="FFFFFF"/>
          <w:lang w:val="en-GB"/>
        </w:rPr>
        <w:t xml:space="preserve">g their own discourse (1986, </w:t>
      </w:r>
      <w:r w:rsidR="00B549D5" w:rsidRPr="00853EAA">
        <w:rPr>
          <w:rFonts w:ascii="Calibri" w:hAnsi="Calibri"/>
          <w:color w:val="1A1A1A"/>
          <w:shd w:val="clear" w:color="auto" w:fill="FFFFFF"/>
          <w:lang w:val="en-GB"/>
        </w:rPr>
        <w:t xml:space="preserve">153). Peter Dews agrees with Said, </w:t>
      </w:r>
      <w:r w:rsidR="0075357F">
        <w:rPr>
          <w:rFonts w:ascii="Calibri" w:hAnsi="Calibri"/>
          <w:color w:val="1A1A1A"/>
          <w:shd w:val="clear" w:color="auto" w:fill="FFFFFF"/>
          <w:lang w:val="en-GB"/>
        </w:rPr>
        <w:t>stating</w:t>
      </w:r>
      <w:r w:rsidR="00B549D5" w:rsidRPr="00853EAA">
        <w:rPr>
          <w:rFonts w:ascii="Calibri" w:hAnsi="Calibri"/>
          <w:color w:val="1A1A1A"/>
          <w:shd w:val="clear" w:color="auto" w:fill="FFFFFF"/>
          <w:lang w:val="en-GB"/>
        </w:rPr>
        <w:t xml:space="preserve"> that Foucault does not have an apparatus for dealing with the fact that institutions are “not merely imposed constructs”, even though he does clear</w:t>
      </w:r>
      <w:r w:rsidR="005B07FD">
        <w:rPr>
          <w:rFonts w:ascii="Calibri" w:hAnsi="Calibri"/>
          <w:color w:val="1A1A1A"/>
          <w:shd w:val="clear" w:color="auto" w:fill="FFFFFF"/>
          <w:lang w:val="en-GB"/>
        </w:rPr>
        <w:t xml:space="preserve">ly perceive this fact (1979, </w:t>
      </w:r>
      <w:r w:rsidR="00B549D5" w:rsidRPr="00853EAA">
        <w:rPr>
          <w:rFonts w:ascii="Calibri" w:hAnsi="Calibri"/>
          <w:color w:val="1A1A1A"/>
          <w:shd w:val="clear" w:color="auto" w:fill="FFFFFF"/>
          <w:lang w:val="en-GB"/>
        </w:rPr>
        <w:t xml:space="preserve">147). </w:t>
      </w:r>
      <w:r w:rsidR="000B7499">
        <w:rPr>
          <w:rFonts w:ascii="Calibri" w:hAnsi="Calibri"/>
          <w:color w:val="1A1A1A"/>
          <w:shd w:val="clear" w:color="auto" w:fill="FFFFFF"/>
          <w:lang w:val="en-GB"/>
        </w:rPr>
        <w:t>Moreover</w:t>
      </w:r>
      <w:r w:rsidR="008768AA">
        <w:rPr>
          <w:rFonts w:ascii="Calibri" w:hAnsi="Calibri"/>
          <w:color w:val="1A1A1A"/>
          <w:shd w:val="clear" w:color="auto" w:fill="FFFFFF"/>
          <w:lang w:val="en-GB"/>
        </w:rPr>
        <w:t>, several intellectuals critique him for painting such a bleak view of power relations in society that he paralyses resistance (</w:t>
      </w:r>
      <w:r w:rsidR="00D94859">
        <w:rPr>
          <w:rFonts w:ascii="Calibri" w:hAnsi="Calibri"/>
          <w:color w:val="1A1A1A"/>
          <w:shd w:val="clear" w:color="auto" w:fill="FFFFFF"/>
          <w:lang w:val="en-GB"/>
        </w:rPr>
        <w:t xml:space="preserve">e.g. </w:t>
      </w:r>
      <w:r w:rsidR="008768AA">
        <w:rPr>
          <w:rFonts w:ascii="Calibri" w:hAnsi="Calibri"/>
          <w:color w:val="1A1A1A"/>
          <w:shd w:val="clear" w:color="auto" w:fill="FFFFFF"/>
          <w:lang w:val="en-GB"/>
        </w:rPr>
        <w:t>Trombadori</w:t>
      </w:r>
      <w:r w:rsidR="00D94859">
        <w:rPr>
          <w:rFonts w:ascii="Calibri" w:hAnsi="Calibri"/>
          <w:color w:val="1A1A1A"/>
          <w:shd w:val="clear" w:color="auto" w:fill="FFFFFF"/>
          <w:lang w:val="en-GB"/>
        </w:rPr>
        <w:t xml:space="preserve"> as cited in Foucault</w:t>
      </w:r>
      <w:r w:rsidR="008768AA">
        <w:rPr>
          <w:rFonts w:ascii="Calibri" w:hAnsi="Calibri"/>
          <w:color w:val="1A1A1A"/>
          <w:shd w:val="clear" w:color="auto" w:fill="FFFFFF"/>
          <w:lang w:val="en-GB"/>
        </w:rPr>
        <w:t>, 1991</w:t>
      </w:r>
      <w:r w:rsidR="00D94859">
        <w:rPr>
          <w:rFonts w:ascii="Calibri" w:hAnsi="Calibri"/>
          <w:color w:val="1A1A1A"/>
          <w:shd w:val="clear" w:color="auto" w:fill="FFFFFF"/>
          <w:lang w:val="en-GB"/>
        </w:rPr>
        <w:t>b</w:t>
      </w:r>
      <w:r w:rsidR="008768AA">
        <w:rPr>
          <w:rFonts w:ascii="Calibri" w:hAnsi="Calibri"/>
          <w:color w:val="1A1A1A"/>
          <w:shd w:val="clear" w:color="auto" w:fill="FFFFFF"/>
          <w:lang w:val="en-GB"/>
        </w:rPr>
        <w:t xml:space="preserve">). </w:t>
      </w:r>
      <w:r w:rsidR="00B549D5" w:rsidRPr="00853EAA">
        <w:rPr>
          <w:rFonts w:ascii="Calibri" w:hAnsi="Calibri"/>
          <w:color w:val="1A1A1A"/>
          <w:shd w:val="clear" w:color="auto" w:fill="FFFFFF"/>
          <w:lang w:val="en-GB"/>
        </w:rPr>
        <w:t>However, not all sc</w:t>
      </w:r>
      <w:r w:rsidR="0088389D">
        <w:rPr>
          <w:rFonts w:ascii="Calibri" w:hAnsi="Calibri"/>
          <w:color w:val="1A1A1A"/>
          <w:shd w:val="clear" w:color="auto" w:fill="FFFFFF"/>
          <w:lang w:val="en-GB"/>
        </w:rPr>
        <w:t>holars agree with this critique, basing their response on the later published works of Foucault concerned with resistance. For example, i</w:t>
      </w:r>
      <w:r w:rsidR="00B549D5" w:rsidRPr="00853EAA">
        <w:rPr>
          <w:lang w:val="en-GB"/>
        </w:rPr>
        <w:t>n Jeffrey Nealon’s interpretation</w:t>
      </w:r>
      <w:r w:rsidR="0088389D">
        <w:rPr>
          <w:lang w:val="en-GB"/>
        </w:rPr>
        <w:t>, Foucault</w:t>
      </w:r>
      <w:r w:rsidR="00B549D5" w:rsidRPr="00853EAA">
        <w:rPr>
          <w:lang w:val="en-GB"/>
        </w:rPr>
        <w:t xml:space="preserve"> provides ample ways of resis</w:t>
      </w:r>
      <w:r w:rsidR="0088389D">
        <w:rPr>
          <w:lang w:val="en-GB"/>
        </w:rPr>
        <w:t>ting and challenging domination:</w:t>
      </w:r>
      <w:r w:rsidR="00B549D5" w:rsidRPr="00853EAA">
        <w:rPr>
          <w:lang w:val="en-GB"/>
        </w:rPr>
        <w:t xml:space="preserve"> not only in his theoretical statements regarding resistance, but also</w:t>
      </w:r>
      <w:r w:rsidR="00C033F2">
        <w:rPr>
          <w:lang w:val="en-GB"/>
        </w:rPr>
        <w:t xml:space="preserve"> in the works Foucault produced, which </w:t>
      </w:r>
      <w:r w:rsidR="00B549D5" w:rsidRPr="00853EAA">
        <w:rPr>
          <w:lang w:val="en-GB"/>
        </w:rPr>
        <w:t>are themselve</w:t>
      </w:r>
      <w:r w:rsidR="005B07FD">
        <w:rPr>
          <w:lang w:val="en-GB"/>
        </w:rPr>
        <w:t xml:space="preserve">s works of resistance (2008, </w:t>
      </w:r>
      <w:r w:rsidR="00B549D5" w:rsidRPr="00853EAA">
        <w:rPr>
          <w:lang w:val="en-GB"/>
        </w:rPr>
        <w:t>95</w:t>
      </w:r>
      <w:r w:rsidR="00C033F2">
        <w:rPr>
          <w:lang w:val="en-GB"/>
        </w:rPr>
        <w:t xml:space="preserve">; see also </w:t>
      </w:r>
      <w:r w:rsidR="0088389D">
        <w:rPr>
          <w:lang w:val="en-GB"/>
        </w:rPr>
        <w:t>King, 2004</w:t>
      </w:r>
      <w:r w:rsidR="00B549D5" w:rsidRPr="00853EAA">
        <w:rPr>
          <w:lang w:val="en-GB"/>
        </w:rPr>
        <w:t>).</w:t>
      </w:r>
      <w:r w:rsidR="00B549D5" w:rsidRPr="00853EAA">
        <w:rPr>
          <w:rFonts w:ascii="Calibri" w:hAnsi="Calibri"/>
          <w:color w:val="1A1A1A"/>
          <w:shd w:val="clear" w:color="auto" w:fill="FFFFFF"/>
          <w:lang w:val="en-GB"/>
        </w:rPr>
        <w:t xml:space="preserve"> </w:t>
      </w:r>
      <w:r w:rsidR="008B2A17">
        <w:rPr>
          <w:rFonts w:ascii="Calibri" w:hAnsi="Calibri"/>
          <w:color w:val="1A1A1A"/>
          <w:shd w:val="clear" w:color="auto" w:fill="FFFFFF"/>
          <w:lang w:val="en-GB"/>
        </w:rPr>
        <w:t xml:space="preserve">By </w:t>
      </w:r>
      <w:r w:rsidR="00B549D5" w:rsidRPr="00853EAA">
        <w:rPr>
          <w:rFonts w:ascii="Calibri" w:hAnsi="Calibri"/>
          <w:color w:val="1A1A1A"/>
          <w:shd w:val="clear" w:color="auto" w:fill="FFFFFF"/>
          <w:lang w:val="en-GB"/>
        </w:rPr>
        <w:t>publishing how power works in subtle ways and in specific instances, Foucault creates awareness. And by creating this awareness, he also creates the first step to resist them.</w:t>
      </w:r>
      <w:r w:rsidR="00517943">
        <w:rPr>
          <w:rFonts w:ascii="Calibri" w:hAnsi="Calibri"/>
          <w:color w:val="1A1A1A"/>
          <w:shd w:val="clear" w:color="auto" w:fill="FFFFFF"/>
          <w:lang w:val="en-GB"/>
        </w:rPr>
        <w:t xml:space="preserve"> </w:t>
      </w:r>
      <w:r w:rsidR="008B2A17">
        <w:rPr>
          <w:rFonts w:ascii="Calibri" w:hAnsi="Calibri"/>
          <w:color w:val="1A1A1A"/>
          <w:shd w:val="clear" w:color="auto" w:fill="FFFFFF"/>
          <w:lang w:val="en-GB"/>
        </w:rPr>
        <w:t xml:space="preserve">Nevertheless, as Pickett claims, </w:t>
      </w:r>
      <w:r w:rsidR="009B4F2D">
        <w:rPr>
          <w:rFonts w:ascii="Calibri" w:hAnsi="Calibri"/>
          <w:color w:val="1A1A1A"/>
          <w:shd w:val="clear" w:color="auto" w:fill="FFFFFF"/>
          <w:lang w:val="en-GB"/>
        </w:rPr>
        <w:t xml:space="preserve">Foucault is stuck between two options: either endorse all forms of resistance, thereby sanctioning also the worst forms, or place restrictions on resistance, thereby remaining trapped in </w:t>
      </w:r>
      <w:r w:rsidR="005B07FD">
        <w:rPr>
          <w:rFonts w:ascii="Calibri" w:hAnsi="Calibri"/>
          <w:color w:val="1A1A1A"/>
          <w:shd w:val="clear" w:color="auto" w:fill="FFFFFF"/>
          <w:lang w:val="en-GB"/>
        </w:rPr>
        <w:t>modern power relations (1996,</w:t>
      </w:r>
      <w:r w:rsidR="009B4F2D">
        <w:rPr>
          <w:rFonts w:ascii="Calibri" w:hAnsi="Calibri"/>
          <w:color w:val="1A1A1A"/>
          <w:shd w:val="clear" w:color="auto" w:fill="FFFFFF"/>
          <w:lang w:val="en-GB"/>
        </w:rPr>
        <w:t xml:space="preserve"> 447). </w:t>
      </w:r>
      <w:r w:rsidR="00430528">
        <w:rPr>
          <w:rFonts w:ascii="Calibri" w:hAnsi="Calibri"/>
          <w:color w:val="1A1A1A"/>
          <w:shd w:val="clear" w:color="auto" w:fill="FFFFFF"/>
          <w:lang w:val="en-GB"/>
        </w:rPr>
        <w:t>As he chooses the former,</w:t>
      </w:r>
      <w:r w:rsidR="008B2A17">
        <w:rPr>
          <w:rFonts w:ascii="Calibri" w:hAnsi="Calibri"/>
          <w:color w:val="1A1A1A"/>
          <w:shd w:val="clear" w:color="auto" w:fill="FFFFFF"/>
          <w:lang w:val="en-GB"/>
        </w:rPr>
        <w:t xml:space="preserve"> he</w:t>
      </w:r>
      <w:r w:rsidR="000B7499">
        <w:rPr>
          <w:rFonts w:ascii="Calibri" w:hAnsi="Calibri"/>
          <w:color w:val="1A1A1A"/>
          <w:shd w:val="clear" w:color="auto" w:fill="FFFFFF"/>
          <w:lang w:val="en-GB"/>
        </w:rPr>
        <w:t xml:space="preserve"> does not seem to concern himself with what resistance is for, </w:t>
      </w:r>
      <w:r w:rsidR="00C033F2">
        <w:rPr>
          <w:rFonts w:ascii="Calibri" w:hAnsi="Calibri"/>
          <w:color w:val="1A1A1A"/>
          <w:shd w:val="clear" w:color="auto" w:fill="FFFFFF"/>
          <w:lang w:val="en-GB"/>
        </w:rPr>
        <w:t>as</w:t>
      </w:r>
      <w:r w:rsidR="000B7499">
        <w:rPr>
          <w:rFonts w:ascii="Calibri" w:hAnsi="Calibri"/>
          <w:color w:val="1A1A1A"/>
          <w:shd w:val="clear" w:color="auto" w:fill="FFFFFF"/>
          <w:lang w:val="en-GB"/>
        </w:rPr>
        <w:t xml:space="preserve"> long as it is </w:t>
      </w:r>
      <w:r w:rsidR="000B7499" w:rsidRPr="00C033F2">
        <w:rPr>
          <w:rFonts w:ascii="Calibri" w:hAnsi="Calibri"/>
          <w:color w:val="1A1A1A"/>
          <w:shd w:val="clear" w:color="auto" w:fill="FFFFFF"/>
          <w:lang w:val="en-GB"/>
        </w:rPr>
        <w:t xml:space="preserve">sufficiently against. </w:t>
      </w:r>
      <w:r w:rsidR="00C033F2" w:rsidRPr="00C033F2">
        <w:rPr>
          <w:rFonts w:ascii="Calibri" w:hAnsi="Calibri"/>
          <w:color w:val="1A1A1A"/>
          <w:shd w:val="clear" w:color="auto" w:fill="FFFFFF"/>
          <w:lang w:val="en-GB"/>
        </w:rPr>
        <w:t xml:space="preserve">However, in a world where blatant and unnecessary violence and loss of life is not uncommon, </w:t>
      </w:r>
      <w:r w:rsidR="000B7499" w:rsidRPr="00C033F2">
        <w:rPr>
          <w:rFonts w:ascii="Calibri" w:hAnsi="Calibri"/>
          <w:color w:val="1A1A1A"/>
          <w:shd w:val="clear" w:color="auto" w:fill="FFFFFF"/>
          <w:lang w:val="en-GB"/>
        </w:rPr>
        <w:t xml:space="preserve">Foucault’s discussion of resistance seems inadequate. </w:t>
      </w:r>
    </w:p>
    <w:p w14:paraId="18F31C6D" w14:textId="77777777" w:rsidR="00B549D5" w:rsidRDefault="00B549D5" w:rsidP="00E52F0F">
      <w:pPr>
        <w:spacing w:line="360" w:lineRule="auto"/>
        <w:ind w:firstLine="720"/>
        <w:jc w:val="both"/>
        <w:rPr>
          <w:lang w:val="en-GB"/>
        </w:rPr>
      </w:pPr>
    </w:p>
    <w:p w14:paraId="419642B6" w14:textId="7115A5B7" w:rsidR="00B549D5" w:rsidRPr="00B549D5" w:rsidRDefault="00C033F2" w:rsidP="00E52F0F">
      <w:pPr>
        <w:pStyle w:val="Heading2"/>
        <w:spacing w:line="360" w:lineRule="auto"/>
        <w:rPr>
          <w:lang w:val="en-GB"/>
        </w:rPr>
      </w:pPr>
      <w:bookmarkStart w:id="34" w:name="_Toc458983403"/>
      <w:r>
        <w:rPr>
          <w:lang w:val="en-GB"/>
        </w:rPr>
        <w:lastRenderedPageBreak/>
        <w:t xml:space="preserve">3.6. </w:t>
      </w:r>
      <w:r w:rsidR="001268E9">
        <w:rPr>
          <w:lang w:val="en-GB"/>
        </w:rPr>
        <w:t>Conclusion: The h</w:t>
      </w:r>
      <w:r>
        <w:rPr>
          <w:lang w:val="en-GB"/>
        </w:rPr>
        <w:t>ypotheses</w:t>
      </w:r>
      <w:bookmarkEnd w:id="34"/>
    </w:p>
    <w:p w14:paraId="3833CB74" w14:textId="2B0F3D08" w:rsidR="0054687E" w:rsidRDefault="00B549D5" w:rsidP="00E52F0F">
      <w:pPr>
        <w:spacing w:after="0" w:line="360" w:lineRule="auto"/>
        <w:jc w:val="both"/>
        <w:rPr>
          <w:lang w:val="en-GB"/>
        </w:rPr>
      </w:pPr>
      <w:r>
        <w:rPr>
          <w:lang w:val="en-GB"/>
        </w:rPr>
        <w:t xml:space="preserve">Despite some limitations to his theory, </w:t>
      </w:r>
      <w:r w:rsidRPr="000E75E7">
        <w:rPr>
          <w:lang w:val="en-GB"/>
        </w:rPr>
        <w:t xml:space="preserve">Foucault </w:t>
      </w:r>
      <w:r>
        <w:rPr>
          <w:lang w:val="en-GB"/>
        </w:rPr>
        <w:t>continues to have an astounding influence wit</w:t>
      </w:r>
      <w:r w:rsidR="00C033F2">
        <w:rPr>
          <w:lang w:val="en-GB"/>
        </w:rPr>
        <w:t>hin a wide range of disciplines</w:t>
      </w:r>
      <w:r>
        <w:rPr>
          <w:lang w:val="en-GB"/>
        </w:rPr>
        <w:t xml:space="preserve">. Within Foucault’s theory, power, knowledge and discourses, subjects, and objectification are all intricately interlinked. </w:t>
      </w:r>
      <w:r w:rsidR="001A013C">
        <w:rPr>
          <w:lang w:val="en-GB"/>
        </w:rPr>
        <w:t>Starting from the thought that power relations are everywhere</w:t>
      </w:r>
      <w:r w:rsidR="008E3106">
        <w:rPr>
          <w:lang w:val="en-GB"/>
        </w:rPr>
        <w:t xml:space="preserve"> and come from everywhere</w:t>
      </w:r>
      <w:r w:rsidR="001A013C">
        <w:rPr>
          <w:lang w:val="en-GB"/>
        </w:rPr>
        <w:t xml:space="preserve">, Foucault argues that </w:t>
      </w:r>
      <w:r w:rsidR="008E3106">
        <w:rPr>
          <w:lang w:val="en-GB"/>
        </w:rPr>
        <w:t xml:space="preserve">they are infused in discourses, knowledge, and scientific </w:t>
      </w:r>
      <w:r w:rsidR="00C033F2">
        <w:rPr>
          <w:lang w:val="en-GB"/>
        </w:rPr>
        <w:t>disciplines</w:t>
      </w:r>
      <w:r w:rsidR="008E3106">
        <w:rPr>
          <w:lang w:val="en-GB"/>
        </w:rPr>
        <w:t xml:space="preserve">. As such, power not only represses, but also produces and reproduces. </w:t>
      </w:r>
      <w:r w:rsidR="0054687E">
        <w:rPr>
          <w:lang w:val="en-GB"/>
        </w:rPr>
        <w:t>Power and discourses produce subjects –</w:t>
      </w:r>
      <w:r w:rsidR="00C033F2">
        <w:rPr>
          <w:lang w:val="en-GB"/>
        </w:rPr>
        <w:t xml:space="preserve"> </w:t>
      </w:r>
      <w:r w:rsidR="0054687E">
        <w:rPr>
          <w:lang w:val="en-GB"/>
        </w:rPr>
        <w:t xml:space="preserve">socially and culturally constituted humans –, but </w:t>
      </w:r>
      <w:r w:rsidR="00E04938">
        <w:rPr>
          <w:lang w:val="en-GB"/>
        </w:rPr>
        <w:t>these subjects are also what keeps power functioning</w:t>
      </w:r>
      <w:r w:rsidR="0054687E">
        <w:rPr>
          <w:lang w:val="en-GB"/>
        </w:rPr>
        <w:t xml:space="preserve">. Focusing on </w:t>
      </w:r>
      <w:r w:rsidR="00E04938">
        <w:rPr>
          <w:lang w:val="en-GB"/>
        </w:rPr>
        <w:t>how subjects are an effect of power</w:t>
      </w:r>
      <w:r w:rsidR="0054687E">
        <w:rPr>
          <w:lang w:val="en-GB"/>
        </w:rPr>
        <w:t xml:space="preserve"> leads Foucault to a conceptualisation of objectification and subjectification: the former referring to how humans are made into subjects, the latter to how humans make themselves into subjects. All three concepts – power, discourse, and subject – are </w:t>
      </w:r>
      <w:r w:rsidR="00E04938">
        <w:rPr>
          <w:lang w:val="en-GB"/>
        </w:rPr>
        <w:t xml:space="preserve">thus </w:t>
      </w:r>
      <w:r w:rsidR="0054687E">
        <w:rPr>
          <w:lang w:val="en-GB"/>
        </w:rPr>
        <w:t>interrelated. Wit</w:t>
      </w:r>
      <w:r w:rsidR="00E04938">
        <w:rPr>
          <w:lang w:val="en-GB"/>
        </w:rPr>
        <w:t>hin the topic of my thesis:</w:t>
      </w:r>
      <w:r w:rsidR="0054687E">
        <w:rPr>
          <w:lang w:val="en-GB"/>
        </w:rPr>
        <w:t xml:space="preserve"> the power relations </w:t>
      </w:r>
      <w:r w:rsidR="00E04938">
        <w:rPr>
          <w:lang w:val="en-GB"/>
        </w:rPr>
        <w:t>(re)produced in</w:t>
      </w:r>
      <w:r w:rsidR="0054687E">
        <w:rPr>
          <w:lang w:val="en-GB"/>
        </w:rPr>
        <w:t xml:space="preserve"> the discourses </w:t>
      </w:r>
      <w:r w:rsidR="00E04938">
        <w:rPr>
          <w:lang w:val="en-GB"/>
        </w:rPr>
        <w:t>on those affected by</w:t>
      </w:r>
      <w:r w:rsidR="0054687E">
        <w:rPr>
          <w:lang w:val="en-GB"/>
        </w:rPr>
        <w:t xml:space="preserve"> the attacks in Beirut and Paris, this interrelation immediately returns. Hence, </w:t>
      </w:r>
      <w:r w:rsidR="00E04938">
        <w:rPr>
          <w:lang w:val="en-GB"/>
        </w:rPr>
        <w:t xml:space="preserve">by explaining </w:t>
      </w:r>
      <w:r>
        <w:rPr>
          <w:lang w:val="en-GB"/>
        </w:rPr>
        <w:t>how discourses can objectify people and what this tell</w:t>
      </w:r>
      <w:r w:rsidR="00E04938">
        <w:rPr>
          <w:lang w:val="en-GB"/>
        </w:rPr>
        <w:t>s</w:t>
      </w:r>
      <w:r>
        <w:rPr>
          <w:lang w:val="en-GB"/>
        </w:rPr>
        <w:t xml:space="preserve"> us about power relations, Foucault provides an excellent framework for </w:t>
      </w:r>
      <w:r w:rsidR="0054687E">
        <w:rPr>
          <w:lang w:val="en-GB"/>
        </w:rPr>
        <w:t>my research.</w:t>
      </w:r>
    </w:p>
    <w:p w14:paraId="5EBAB703" w14:textId="2AA2A725" w:rsidR="009720D9" w:rsidRDefault="0054687E" w:rsidP="00E52F0F">
      <w:pPr>
        <w:spacing w:after="0" w:line="360" w:lineRule="auto"/>
        <w:ind w:firstLine="709"/>
        <w:jc w:val="both"/>
        <w:rPr>
          <w:lang w:val="en-GB"/>
        </w:rPr>
      </w:pPr>
      <w:r>
        <w:rPr>
          <w:lang w:val="en-GB"/>
        </w:rPr>
        <w:t xml:space="preserve">Moreover, his theory also provides a foundation on which to build my expectations, when combined </w:t>
      </w:r>
      <w:r w:rsidR="000B7499">
        <w:rPr>
          <w:lang w:val="en-GB"/>
        </w:rPr>
        <w:t>with the texts published on socia</w:t>
      </w:r>
      <w:r>
        <w:rPr>
          <w:lang w:val="en-GB"/>
        </w:rPr>
        <w:t>l media and in online newspaper</w:t>
      </w:r>
      <w:r w:rsidR="000B7499">
        <w:rPr>
          <w:lang w:val="en-GB"/>
        </w:rPr>
        <w:t>s</w:t>
      </w:r>
      <w:r w:rsidR="007D1688">
        <w:rPr>
          <w:lang w:val="en-GB"/>
        </w:rPr>
        <w:t xml:space="preserve"> and the research of Edward Said</w:t>
      </w:r>
      <w:r w:rsidR="000B7499">
        <w:rPr>
          <w:lang w:val="en-GB"/>
        </w:rPr>
        <w:t xml:space="preserve">. As stated in the introduction, there were several themes that returned in the outcry on social media. </w:t>
      </w:r>
      <w:r w:rsidR="007307D0">
        <w:rPr>
          <w:lang w:val="en-GB"/>
        </w:rPr>
        <w:t xml:space="preserve">Firstly, the difference in amount of attention paid to Paris in contrast to Beirut – in speeches of solidarity, in news, and on social media itself – was pointed out. However, according to some bloggers, this fact was also due to the readers themselves: by reading, liking, and sharing the news about Paris more, they also triggered more news coverage. Secondly, </w:t>
      </w:r>
      <w:r w:rsidR="00684CFA">
        <w:rPr>
          <w:lang w:val="en-GB"/>
        </w:rPr>
        <w:t xml:space="preserve">social media users saw a difference in language, often citing headlines of news outlets. Whereas </w:t>
      </w:r>
      <w:r w:rsidR="008C6D2B">
        <w:rPr>
          <w:lang w:val="en-GB"/>
        </w:rPr>
        <w:t xml:space="preserve">the articles on </w:t>
      </w:r>
      <w:r w:rsidR="00684CFA">
        <w:rPr>
          <w:lang w:val="en-GB"/>
        </w:rPr>
        <w:t xml:space="preserve">Paris </w:t>
      </w:r>
      <w:r w:rsidR="00E04938">
        <w:rPr>
          <w:lang w:val="en-GB"/>
        </w:rPr>
        <w:t>focused on the</w:t>
      </w:r>
      <w:r w:rsidR="008C6D2B">
        <w:rPr>
          <w:lang w:val="en-GB"/>
        </w:rPr>
        <w:t xml:space="preserve"> emotions of the</w:t>
      </w:r>
      <w:r w:rsidR="00E04938">
        <w:rPr>
          <w:lang w:val="en-GB"/>
        </w:rPr>
        <w:t xml:space="preserve"> victims</w:t>
      </w:r>
      <w:r w:rsidR="008C6D2B">
        <w:rPr>
          <w:lang w:val="en-GB"/>
        </w:rPr>
        <w:t>, those on</w:t>
      </w:r>
      <w:r w:rsidR="00684CFA">
        <w:rPr>
          <w:lang w:val="en-GB"/>
        </w:rPr>
        <w:t xml:space="preserve"> Beirut </w:t>
      </w:r>
      <w:r w:rsidR="008C6D2B">
        <w:rPr>
          <w:lang w:val="en-GB"/>
        </w:rPr>
        <w:t>focused on their demographics</w:t>
      </w:r>
      <w:r w:rsidR="00684CFA">
        <w:rPr>
          <w:lang w:val="en-GB"/>
        </w:rPr>
        <w:t>, such as the geographical and political aspects of their neighbourhood. Moreover,</w:t>
      </w:r>
      <w:r w:rsidR="009720D9">
        <w:rPr>
          <w:lang w:val="en-GB"/>
        </w:rPr>
        <w:t xml:space="preserve"> according to Habib Battah, some news outlets such as the Huffington Post suggested the attack in Beirut was to be expected (2015). In contrast to the responsibility placed on the readers by others,</w:t>
      </w:r>
      <w:r w:rsidR="00684CFA">
        <w:rPr>
          <w:lang w:val="en-GB"/>
        </w:rPr>
        <w:t xml:space="preserve"> N</w:t>
      </w:r>
      <w:r w:rsidR="009720D9">
        <w:rPr>
          <w:lang w:val="en-GB"/>
        </w:rPr>
        <w:t>adine Ajaka</w:t>
      </w:r>
      <w:r w:rsidR="00684CFA">
        <w:rPr>
          <w:lang w:val="en-GB"/>
        </w:rPr>
        <w:t xml:space="preserve"> argued that this </w:t>
      </w:r>
      <w:r w:rsidR="009720D9">
        <w:rPr>
          <w:lang w:val="en-GB"/>
        </w:rPr>
        <w:t xml:space="preserve">difference in language </w:t>
      </w:r>
      <w:r w:rsidR="00684CFA">
        <w:rPr>
          <w:lang w:val="en-GB"/>
        </w:rPr>
        <w:t xml:space="preserve">was why readers should not completely be blamed for paying less attention to Beirut (2015). The readers do not write the headlines, but are </w:t>
      </w:r>
      <w:r w:rsidR="009720D9">
        <w:rPr>
          <w:lang w:val="en-GB"/>
        </w:rPr>
        <w:t xml:space="preserve">still </w:t>
      </w:r>
      <w:r w:rsidR="00684CFA">
        <w:rPr>
          <w:lang w:val="en-GB"/>
        </w:rPr>
        <w:t>influenced by them in their interests.</w:t>
      </w:r>
      <w:r w:rsidR="007D1688">
        <w:rPr>
          <w:lang w:val="en-GB"/>
        </w:rPr>
        <w:t xml:space="preserve"> These criticisms are supported by Said’s findings. According to Said, the ‘Orient’, i.e. a person from the Middle East, Asia, or North Africa, existed to be studied by Western Europeans (2003). </w:t>
      </w:r>
      <w:r w:rsidR="00181B36">
        <w:rPr>
          <w:lang w:val="en-GB"/>
        </w:rPr>
        <w:t>As such, the Orient was passive, and the Western Europeans active, which is reflected in the above criticisms of social media users (2003).</w:t>
      </w:r>
      <w:r w:rsidR="00684CFA">
        <w:rPr>
          <w:lang w:val="en-GB"/>
        </w:rPr>
        <w:t xml:space="preserve"> </w:t>
      </w:r>
      <w:r w:rsidR="009720D9">
        <w:rPr>
          <w:lang w:val="en-GB"/>
        </w:rPr>
        <w:t>If combined with the theoretical framework of Foucault, the following hypoth</w:t>
      </w:r>
      <w:r w:rsidR="008C6D2B">
        <w:rPr>
          <w:lang w:val="en-GB"/>
        </w:rPr>
        <w:t>eses arise, in which ‘people’ refers to victims, witnesses, and their relatives</w:t>
      </w:r>
      <w:r w:rsidR="00363F62">
        <w:rPr>
          <w:lang w:val="en-GB"/>
        </w:rPr>
        <w:t>:</w:t>
      </w:r>
    </w:p>
    <w:p w14:paraId="378D10F2" w14:textId="07D982DA" w:rsidR="004417ED" w:rsidRPr="004417ED" w:rsidRDefault="0088389D" w:rsidP="00E52F0F">
      <w:pPr>
        <w:pStyle w:val="ListParagraph"/>
        <w:numPr>
          <w:ilvl w:val="0"/>
          <w:numId w:val="19"/>
        </w:numPr>
        <w:spacing w:after="0" w:line="360" w:lineRule="auto"/>
        <w:jc w:val="both"/>
        <w:rPr>
          <w:i/>
          <w:lang w:val="en-GB"/>
        </w:rPr>
      </w:pPr>
      <w:r w:rsidRPr="005226E7">
        <w:rPr>
          <w:i/>
          <w:lang w:val="en-GB"/>
        </w:rPr>
        <w:t>The Guardian produces more articles on the Paris attacks than on the Beirut attacks, and the former are more often shared on social media than the latter.</w:t>
      </w:r>
    </w:p>
    <w:p w14:paraId="3E7D893C" w14:textId="043F5EF7" w:rsidR="004417ED" w:rsidRPr="004417ED" w:rsidRDefault="0088389D" w:rsidP="00E52F0F">
      <w:pPr>
        <w:pStyle w:val="ListParagraph"/>
        <w:numPr>
          <w:ilvl w:val="0"/>
          <w:numId w:val="19"/>
        </w:numPr>
        <w:spacing w:after="0" w:line="360" w:lineRule="auto"/>
        <w:jc w:val="both"/>
        <w:rPr>
          <w:i/>
          <w:lang w:val="en-GB"/>
        </w:rPr>
      </w:pPr>
      <w:r w:rsidRPr="005226E7">
        <w:rPr>
          <w:i/>
          <w:lang w:val="en-GB"/>
        </w:rPr>
        <w:t>The people of Beirut are objectified, whereas the people of Paris are humanised.</w:t>
      </w:r>
    </w:p>
    <w:p w14:paraId="43ACB2F6" w14:textId="2D58B8F9" w:rsidR="0088389D" w:rsidRDefault="008C6D2B" w:rsidP="00E52F0F">
      <w:pPr>
        <w:spacing w:after="0" w:line="360" w:lineRule="auto"/>
        <w:jc w:val="both"/>
        <w:rPr>
          <w:lang w:val="en-GB"/>
        </w:rPr>
      </w:pPr>
      <w:r>
        <w:rPr>
          <w:lang w:val="en-GB"/>
        </w:rPr>
        <w:lastRenderedPageBreak/>
        <w:t>The latter is split into four smaller ones describing the</w:t>
      </w:r>
      <w:r w:rsidR="0088389D">
        <w:rPr>
          <w:lang w:val="en-GB"/>
        </w:rPr>
        <w:t xml:space="preserve"> concrete mechanisms through which these power relations are </w:t>
      </w:r>
      <w:r>
        <w:rPr>
          <w:lang w:val="en-GB"/>
        </w:rPr>
        <w:t>(re)</w:t>
      </w:r>
      <w:r w:rsidR="0088389D">
        <w:rPr>
          <w:lang w:val="en-GB"/>
        </w:rPr>
        <w:t xml:space="preserve">produced: </w:t>
      </w:r>
    </w:p>
    <w:p w14:paraId="7BBDF460" w14:textId="1D1C4C04" w:rsidR="0088389D" w:rsidRDefault="0088389D" w:rsidP="00E52F0F">
      <w:pPr>
        <w:numPr>
          <w:ilvl w:val="0"/>
          <w:numId w:val="17"/>
        </w:numPr>
        <w:spacing w:after="0" w:line="360" w:lineRule="auto"/>
        <w:ind w:left="1418" w:right="708" w:hanging="284"/>
        <w:jc w:val="both"/>
        <w:rPr>
          <w:i/>
          <w:lang w:val="en-GB"/>
        </w:rPr>
      </w:pPr>
      <w:r>
        <w:rPr>
          <w:i/>
          <w:lang w:val="en-GB"/>
        </w:rPr>
        <w:t>The people of Beirut are described with geographic, demographic – especially religious –, and political classifications.</w:t>
      </w:r>
    </w:p>
    <w:p w14:paraId="0F5A7A8E" w14:textId="0E2ACF33" w:rsidR="0088389D" w:rsidRDefault="0088389D" w:rsidP="00E52F0F">
      <w:pPr>
        <w:numPr>
          <w:ilvl w:val="0"/>
          <w:numId w:val="17"/>
        </w:numPr>
        <w:spacing w:after="0" w:line="360" w:lineRule="auto"/>
        <w:ind w:left="1418" w:right="708" w:hanging="284"/>
        <w:jc w:val="both"/>
        <w:rPr>
          <w:i/>
          <w:lang w:val="en-GB"/>
        </w:rPr>
      </w:pPr>
      <w:r>
        <w:rPr>
          <w:i/>
          <w:lang w:val="en-GB"/>
        </w:rPr>
        <w:t>The people of Beirut are indirectly connected to Isis by a focus on the Hezbollah group.</w:t>
      </w:r>
    </w:p>
    <w:p w14:paraId="541373B0" w14:textId="20E802EF" w:rsidR="0088389D" w:rsidRDefault="0088389D" w:rsidP="00E52F0F">
      <w:pPr>
        <w:numPr>
          <w:ilvl w:val="0"/>
          <w:numId w:val="17"/>
        </w:numPr>
        <w:spacing w:after="0" w:line="360" w:lineRule="auto"/>
        <w:ind w:left="1418" w:right="708" w:hanging="284"/>
        <w:jc w:val="both"/>
        <w:rPr>
          <w:i/>
          <w:lang w:val="en-GB"/>
        </w:rPr>
      </w:pPr>
      <w:r>
        <w:rPr>
          <w:i/>
          <w:lang w:val="en-GB"/>
        </w:rPr>
        <w:t>The people of Paris</w:t>
      </w:r>
      <w:r w:rsidR="004417ED">
        <w:rPr>
          <w:i/>
          <w:lang w:val="en-GB"/>
        </w:rPr>
        <w:t xml:space="preserve"> </w:t>
      </w:r>
      <w:r w:rsidRPr="00FB7E6F">
        <w:rPr>
          <w:i/>
          <w:lang w:val="en-GB"/>
        </w:rPr>
        <w:t>are not classified according to reli</w:t>
      </w:r>
      <w:r>
        <w:rPr>
          <w:i/>
          <w:lang w:val="en-GB"/>
        </w:rPr>
        <w:t>gious or political affiliation.</w:t>
      </w:r>
    </w:p>
    <w:p w14:paraId="094A1769" w14:textId="7FC55FB7" w:rsidR="0088389D" w:rsidRDefault="0088389D" w:rsidP="00E52F0F">
      <w:pPr>
        <w:numPr>
          <w:ilvl w:val="0"/>
          <w:numId w:val="17"/>
        </w:numPr>
        <w:spacing w:after="0" w:line="360" w:lineRule="auto"/>
        <w:ind w:left="1418" w:right="708" w:hanging="284"/>
        <w:jc w:val="both"/>
        <w:rPr>
          <w:i/>
          <w:lang w:val="en-GB"/>
        </w:rPr>
      </w:pPr>
      <w:r>
        <w:rPr>
          <w:i/>
          <w:lang w:val="en-GB"/>
        </w:rPr>
        <w:t xml:space="preserve">The people of Paris </w:t>
      </w:r>
      <w:r w:rsidRPr="00FB7E6F">
        <w:rPr>
          <w:i/>
          <w:lang w:val="en-GB"/>
        </w:rPr>
        <w:t>are described focusing on their emotions.</w:t>
      </w:r>
    </w:p>
    <w:p w14:paraId="3C8A140A" w14:textId="53C6133B" w:rsidR="00B549D5" w:rsidRPr="001F7BC7" w:rsidRDefault="004B468C" w:rsidP="00E52F0F">
      <w:pPr>
        <w:spacing w:after="0" w:line="360" w:lineRule="auto"/>
        <w:jc w:val="both"/>
        <w:rPr>
          <w:lang w:val="en-GB"/>
        </w:rPr>
      </w:pPr>
      <w:r>
        <w:rPr>
          <w:lang w:val="en-GB"/>
        </w:rPr>
        <w:t>To confirm or reject my hypotheses, I need an approach to analyse the articles published by the Guardian. The next chapter therefore discusses the</w:t>
      </w:r>
      <w:r w:rsidR="00B549D5">
        <w:rPr>
          <w:lang w:val="en-GB"/>
        </w:rPr>
        <w:t xml:space="preserve"> methodology and methods that provide guidance for </w:t>
      </w:r>
      <w:r>
        <w:rPr>
          <w:lang w:val="en-GB"/>
        </w:rPr>
        <w:t>this analysis.</w:t>
      </w:r>
    </w:p>
    <w:p w14:paraId="182F87E5" w14:textId="77777777" w:rsidR="00B549D5" w:rsidRDefault="00B549D5" w:rsidP="00E52F0F">
      <w:pPr>
        <w:spacing w:line="360" w:lineRule="auto"/>
        <w:rPr>
          <w:lang w:val="en-GB"/>
        </w:rPr>
      </w:pPr>
      <w:r>
        <w:rPr>
          <w:lang w:val="en-GB"/>
        </w:rPr>
        <w:br w:type="page"/>
      </w:r>
    </w:p>
    <w:p w14:paraId="32F554F1" w14:textId="77777777" w:rsidR="00DF5C20" w:rsidRDefault="00DF5C20">
      <w:pPr>
        <w:rPr>
          <w:rFonts w:asciiTheme="majorHAnsi" w:eastAsiaTheme="majorEastAsia" w:hAnsiTheme="majorHAnsi" w:cstheme="majorBidi"/>
          <w:color w:val="2E74B5" w:themeColor="accent1" w:themeShade="BF"/>
          <w:sz w:val="36"/>
          <w:szCs w:val="36"/>
          <w:lang w:val="en-GB"/>
        </w:rPr>
      </w:pPr>
      <w:bookmarkStart w:id="35" w:name="h.7m5dg8cozmqu" w:colFirst="0" w:colLast="0"/>
      <w:bookmarkEnd w:id="35"/>
      <w:r>
        <w:rPr>
          <w:lang w:val="en-GB"/>
        </w:rPr>
        <w:lastRenderedPageBreak/>
        <w:br w:type="page"/>
      </w:r>
    </w:p>
    <w:p w14:paraId="727D21DF" w14:textId="2E028D59" w:rsidR="00B549D5" w:rsidRPr="00F0601B" w:rsidRDefault="00882D21" w:rsidP="00E52F0F">
      <w:pPr>
        <w:pStyle w:val="Heading1"/>
        <w:spacing w:line="360" w:lineRule="auto"/>
        <w:rPr>
          <w:lang w:val="en-GB"/>
        </w:rPr>
      </w:pPr>
      <w:bookmarkStart w:id="36" w:name="_Toc458983404"/>
      <w:r>
        <w:rPr>
          <w:lang w:val="en-GB"/>
        </w:rPr>
        <w:lastRenderedPageBreak/>
        <w:t>4</w:t>
      </w:r>
      <w:r w:rsidR="00B549D5" w:rsidRPr="00F0601B">
        <w:rPr>
          <w:lang w:val="en-GB"/>
        </w:rPr>
        <w:t>. Methodology</w:t>
      </w:r>
      <w:bookmarkEnd w:id="36"/>
    </w:p>
    <w:p w14:paraId="4589655E" w14:textId="77777777" w:rsidR="00B549D5" w:rsidRPr="00946EE6" w:rsidRDefault="00B549D5" w:rsidP="00E52F0F">
      <w:pPr>
        <w:spacing w:line="360" w:lineRule="auto"/>
        <w:jc w:val="both"/>
        <w:rPr>
          <w:lang w:val="en-GB"/>
        </w:rPr>
      </w:pPr>
    </w:p>
    <w:p w14:paraId="43029CA4" w14:textId="66CC327C" w:rsidR="00B549D5" w:rsidRPr="00DB5C08" w:rsidRDefault="00B549D5" w:rsidP="00E52F0F">
      <w:pPr>
        <w:pStyle w:val="Normal1"/>
        <w:spacing w:after="0" w:line="360" w:lineRule="auto"/>
        <w:jc w:val="both"/>
        <w:rPr>
          <w:lang w:val="en-GB"/>
        </w:rPr>
      </w:pPr>
      <w:r w:rsidRPr="00946EE6">
        <w:rPr>
          <w:rFonts w:eastAsia="Calibri" w:cs="Calibri"/>
          <w:lang w:val="en-GB"/>
        </w:rPr>
        <w:t>As was mentioned before, Foucault’s work, including his methods, can be broadly categorised in</w:t>
      </w:r>
      <w:r>
        <w:rPr>
          <w:rFonts w:eastAsia="Calibri" w:cs="Calibri"/>
          <w:lang w:val="en-GB"/>
        </w:rPr>
        <w:t>to</w:t>
      </w:r>
      <w:r w:rsidRPr="00946EE6">
        <w:rPr>
          <w:rFonts w:eastAsia="Calibri" w:cs="Calibri"/>
          <w:lang w:val="en-GB"/>
        </w:rPr>
        <w:t xml:space="preserve"> three phases: the archaeological,</w:t>
      </w:r>
      <w:r>
        <w:rPr>
          <w:rFonts w:eastAsia="Calibri" w:cs="Calibri"/>
          <w:lang w:val="en-GB"/>
        </w:rPr>
        <w:t xml:space="preserve"> genealogical, and ethics phase</w:t>
      </w:r>
      <w:r w:rsidRPr="00946EE6">
        <w:rPr>
          <w:rFonts w:eastAsia="Calibri" w:cs="Calibri"/>
          <w:lang w:val="en-GB"/>
        </w:rPr>
        <w:t>. Though all three are in fact concerned w</w:t>
      </w:r>
      <w:r>
        <w:rPr>
          <w:rFonts w:eastAsia="Calibri" w:cs="Calibri"/>
          <w:lang w:val="en-GB"/>
        </w:rPr>
        <w:t>ith discourses, they focus</w:t>
      </w:r>
      <w:r w:rsidRPr="00946EE6">
        <w:rPr>
          <w:rFonts w:eastAsia="Calibri" w:cs="Calibri"/>
          <w:lang w:val="en-GB"/>
        </w:rPr>
        <w:t xml:space="preserve"> on a different aspect of these discourses </w:t>
      </w:r>
      <w:r w:rsidR="005B07FD">
        <w:rPr>
          <w:rFonts w:eastAsia="Calibri" w:cs="Calibri"/>
          <w:lang w:val="en-GB"/>
        </w:rPr>
        <w:t xml:space="preserve">(Alvesson </w:t>
      </w:r>
      <w:r w:rsidR="00BE553E">
        <w:rPr>
          <w:rFonts w:eastAsia="Calibri" w:cs="Calibri"/>
          <w:lang w:val="en-GB"/>
        </w:rPr>
        <w:t>and</w:t>
      </w:r>
      <w:r w:rsidR="005B07FD">
        <w:rPr>
          <w:rFonts w:eastAsia="Calibri" w:cs="Calibri"/>
          <w:lang w:val="en-GB"/>
        </w:rPr>
        <w:t xml:space="preserve"> Sköldberg, 2009, </w:t>
      </w:r>
      <w:r w:rsidRPr="00946EE6">
        <w:rPr>
          <w:rFonts w:eastAsia="Calibri" w:cs="Calibri"/>
          <w:lang w:val="en-GB"/>
        </w:rPr>
        <w:t>251). Archaeology is concerned with investigating the forms of discourses, while genealogy studies the (power-related) origin</w:t>
      </w:r>
      <w:r w:rsidR="00B97C1C">
        <w:rPr>
          <w:rFonts w:eastAsia="Calibri" w:cs="Calibri"/>
          <w:lang w:val="en-GB"/>
        </w:rPr>
        <w:t>s of these discourses (Foucault as cited in Martin et al,</w:t>
      </w:r>
      <w:r w:rsidRPr="00946EE6">
        <w:rPr>
          <w:rFonts w:eastAsia="Calibri" w:cs="Calibri"/>
          <w:lang w:val="en-GB"/>
        </w:rPr>
        <w:t xml:space="preserve"> 1988). As I focus on Foucault’s genealogical period, this is the method that will be highlighted. After a brief explanation of Foucault’s methodological approach in section </w:t>
      </w:r>
      <w:r w:rsidR="009C4456">
        <w:rPr>
          <w:rFonts w:eastAsia="Calibri" w:cs="Calibri"/>
          <w:lang w:val="en-GB"/>
        </w:rPr>
        <w:t>4</w:t>
      </w:r>
      <w:r>
        <w:rPr>
          <w:rFonts w:eastAsia="Calibri" w:cs="Calibri"/>
          <w:lang w:val="en-GB"/>
        </w:rPr>
        <w:t>.1.</w:t>
      </w:r>
      <w:r w:rsidRPr="00946EE6">
        <w:rPr>
          <w:rFonts w:eastAsia="Calibri" w:cs="Calibri"/>
          <w:lang w:val="en-GB"/>
        </w:rPr>
        <w:t xml:space="preserve">, </w:t>
      </w:r>
      <w:r>
        <w:rPr>
          <w:rFonts w:eastAsia="Calibri" w:cs="Calibri"/>
          <w:lang w:val="en-GB"/>
        </w:rPr>
        <w:t xml:space="preserve">which </w:t>
      </w:r>
      <w:r w:rsidRPr="00946EE6">
        <w:rPr>
          <w:rFonts w:eastAsia="Calibri" w:cs="Calibri"/>
          <w:lang w:val="en-GB"/>
        </w:rPr>
        <w:t>includ</w:t>
      </w:r>
      <w:r>
        <w:rPr>
          <w:rFonts w:eastAsia="Calibri" w:cs="Calibri"/>
          <w:lang w:val="en-GB"/>
        </w:rPr>
        <w:t>es</w:t>
      </w:r>
      <w:r w:rsidRPr="00946EE6">
        <w:rPr>
          <w:rFonts w:eastAsia="Calibri" w:cs="Calibri"/>
          <w:lang w:val="en-GB"/>
        </w:rPr>
        <w:t xml:space="preserve"> an explanation of why his method is difficult to implement, I move on to Critical Discourse Analysis (CDA). The commonalities between all approaches part of CDA are explained, as well as what distinguishe</w:t>
      </w:r>
      <w:r w:rsidR="00F62D52">
        <w:rPr>
          <w:rFonts w:eastAsia="Calibri" w:cs="Calibri"/>
          <w:lang w:val="en-GB"/>
        </w:rPr>
        <w:t>s</w:t>
      </w:r>
      <w:r w:rsidRPr="00946EE6">
        <w:rPr>
          <w:rFonts w:eastAsia="Calibri" w:cs="Calibri"/>
          <w:lang w:val="en-GB"/>
        </w:rPr>
        <w:t xml:space="preserve"> CDA from discourse analysis. In section </w:t>
      </w:r>
      <w:r w:rsidR="009C4456">
        <w:rPr>
          <w:rFonts w:eastAsia="Calibri" w:cs="Calibri"/>
          <w:lang w:val="en-GB"/>
        </w:rPr>
        <w:t>4</w:t>
      </w:r>
      <w:r w:rsidRPr="00946EE6">
        <w:rPr>
          <w:rFonts w:eastAsia="Calibri" w:cs="Calibri"/>
          <w:lang w:val="en-GB"/>
        </w:rPr>
        <w:t xml:space="preserve">.3. I elaborate upon the method used in this dissertation, namely the CDA </w:t>
      </w:r>
      <w:r w:rsidR="002169C9">
        <w:rPr>
          <w:rFonts w:eastAsia="Calibri" w:cs="Calibri"/>
          <w:lang w:val="en-GB"/>
        </w:rPr>
        <w:t>approach</w:t>
      </w:r>
      <w:r w:rsidRPr="00946EE6">
        <w:rPr>
          <w:rFonts w:eastAsia="Calibri" w:cs="Calibri"/>
          <w:lang w:val="en-GB"/>
        </w:rPr>
        <w:t xml:space="preserve"> of Siegfried Jäger. The thoughts behind his method, the general concepts essential to it, and the toolbox used to implement it are explained.</w:t>
      </w:r>
      <w:r w:rsidR="009C4456">
        <w:rPr>
          <w:rFonts w:eastAsia="Calibri" w:cs="Calibri"/>
          <w:lang w:val="en-GB"/>
        </w:rPr>
        <w:t xml:space="preserve"> Section 4</w:t>
      </w:r>
      <w:r>
        <w:rPr>
          <w:rFonts w:eastAsia="Calibri" w:cs="Calibri"/>
          <w:lang w:val="en-GB"/>
        </w:rPr>
        <w:t>.4.</w:t>
      </w:r>
      <w:r w:rsidR="002B7F54">
        <w:rPr>
          <w:rFonts w:eastAsia="Calibri" w:cs="Calibri"/>
          <w:lang w:val="en-GB"/>
        </w:rPr>
        <w:t xml:space="preserve"> elaborates on my sample. Alt</w:t>
      </w:r>
      <w:r>
        <w:rPr>
          <w:rFonts w:eastAsia="Calibri" w:cs="Calibri"/>
          <w:lang w:val="en-GB"/>
        </w:rPr>
        <w:t>hough I briefly explain my choice for the media, and specifically the Guardian, the bulk of my expl</w:t>
      </w:r>
      <w:r w:rsidR="002B7F54">
        <w:rPr>
          <w:rFonts w:eastAsia="Calibri" w:cs="Calibri"/>
          <w:lang w:val="en-GB"/>
        </w:rPr>
        <w:t>anation is provided in chapter 5</w:t>
      </w:r>
      <w:r>
        <w:rPr>
          <w:rFonts w:eastAsia="Calibri" w:cs="Calibri"/>
          <w:lang w:val="en-GB"/>
        </w:rPr>
        <w:t>, the results</w:t>
      </w:r>
      <w:r w:rsidR="00F62D52">
        <w:rPr>
          <w:rFonts w:eastAsia="Calibri" w:cs="Calibri"/>
          <w:lang w:val="en-GB"/>
        </w:rPr>
        <w:t xml:space="preserve"> section</w:t>
      </w:r>
      <w:r>
        <w:rPr>
          <w:rFonts w:eastAsia="Calibri" w:cs="Calibri"/>
          <w:lang w:val="en-GB"/>
        </w:rPr>
        <w:t>, because those findings are part of the analysis.</w:t>
      </w:r>
      <w:r w:rsidR="009C4456">
        <w:rPr>
          <w:rFonts w:eastAsia="Calibri" w:cs="Calibri"/>
          <w:lang w:val="en-GB"/>
        </w:rPr>
        <w:t xml:space="preserve"> The last section reflects on the limitations of CDA.</w:t>
      </w:r>
    </w:p>
    <w:p w14:paraId="56402315" w14:textId="77777777" w:rsidR="00B549D5" w:rsidRPr="00946EE6" w:rsidRDefault="00B549D5" w:rsidP="00E52F0F">
      <w:pPr>
        <w:spacing w:line="360" w:lineRule="auto"/>
        <w:jc w:val="both"/>
        <w:rPr>
          <w:lang w:val="en-GB"/>
        </w:rPr>
      </w:pPr>
    </w:p>
    <w:p w14:paraId="758EBEDB" w14:textId="0E868A3C" w:rsidR="00B549D5" w:rsidRPr="00F0601B" w:rsidRDefault="00882D21" w:rsidP="00E52F0F">
      <w:pPr>
        <w:pStyle w:val="Heading2"/>
        <w:spacing w:line="360" w:lineRule="auto"/>
        <w:jc w:val="both"/>
        <w:rPr>
          <w:lang w:val="en-GB"/>
        </w:rPr>
      </w:pPr>
      <w:bookmarkStart w:id="37" w:name="h.gt8n14t9ij5c" w:colFirst="0" w:colLast="0"/>
      <w:bookmarkStart w:id="38" w:name="_Toc458983405"/>
      <w:bookmarkEnd w:id="37"/>
      <w:r>
        <w:rPr>
          <w:lang w:val="en-GB"/>
        </w:rPr>
        <w:t>4</w:t>
      </w:r>
      <w:r w:rsidR="00B549D5" w:rsidRPr="00F0601B">
        <w:rPr>
          <w:lang w:val="en-GB"/>
        </w:rPr>
        <w:t>.1. Foucault’s Method</w:t>
      </w:r>
      <w:bookmarkEnd w:id="38"/>
    </w:p>
    <w:p w14:paraId="003CDCC9" w14:textId="12B003D0" w:rsidR="00B549D5" w:rsidRPr="00946EE6" w:rsidRDefault="00B549D5" w:rsidP="00E52F0F">
      <w:pPr>
        <w:spacing w:after="0" w:line="360" w:lineRule="auto"/>
        <w:jc w:val="both"/>
        <w:rPr>
          <w:lang w:val="en-GB"/>
        </w:rPr>
      </w:pPr>
      <w:r w:rsidRPr="00946EE6">
        <w:rPr>
          <w:rFonts w:eastAsia="Calibri" w:cs="Calibri"/>
          <w:lang w:val="en-GB"/>
        </w:rPr>
        <w:t xml:space="preserve">The origins of the discourses researched within Foucault’s version of genealogy need not </w:t>
      </w:r>
      <w:r>
        <w:rPr>
          <w:rFonts w:eastAsia="Calibri" w:cs="Calibri"/>
          <w:lang w:val="en-GB"/>
        </w:rPr>
        <w:t xml:space="preserve">be </w:t>
      </w:r>
      <w:r w:rsidRPr="00946EE6">
        <w:rPr>
          <w:rFonts w:eastAsia="Calibri" w:cs="Calibri"/>
          <w:lang w:val="en-GB"/>
        </w:rPr>
        <w:t>- and are even rarely so, according to Foucault - regular or rational (</w:t>
      </w:r>
      <w:r>
        <w:rPr>
          <w:rFonts w:eastAsia="Calibri" w:cs="Calibri"/>
          <w:lang w:val="en-GB"/>
        </w:rPr>
        <w:t>Tow</w:t>
      </w:r>
      <w:r w:rsidR="00D46D26">
        <w:rPr>
          <w:rFonts w:eastAsia="Calibri" w:cs="Calibri"/>
          <w:lang w:val="en-GB"/>
        </w:rPr>
        <w:t>n</w:t>
      </w:r>
      <w:r w:rsidR="002169C9">
        <w:rPr>
          <w:rFonts w:eastAsia="Calibri" w:cs="Calibri"/>
          <w:lang w:val="en-GB"/>
        </w:rPr>
        <w:t>ley, 2008</w:t>
      </w:r>
      <w:r>
        <w:rPr>
          <w:rFonts w:eastAsia="Calibri" w:cs="Calibri"/>
          <w:lang w:val="en-GB"/>
        </w:rPr>
        <w:t>). In line with this statement</w:t>
      </w:r>
      <w:r w:rsidRPr="00946EE6">
        <w:rPr>
          <w:rFonts w:eastAsia="Calibri" w:cs="Calibri"/>
          <w:lang w:val="en-GB"/>
        </w:rPr>
        <w:t>, Foucault argues that genealogy is not about finding the underlying ideas behind certain discourses; instead, it aims to study the discourses and their origins as they are</w:t>
      </w:r>
      <w:r w:rsidR="002169C9">
        <w:rPr>
          <w:rFonts w:eastAsia="Calibri" w:cs="Calibri"/>
          <w:lang w:val="en-GB"/>
        </w:rPr>
        <w:t xml:space="preserve"> (1980c)</w:t>
      </w:r>
      <w:r w:rsidRPr="00946EE6">
        <w:rPr>
          <w:rFonts w:eastAsia="Calibri" w:cs="Calibri"/>
          <w:lang w:val="en-GB"/>
        </w:rPr>
        <w:t xml:space="preserve">. As Alvesson and Sköldberg state, the crux of genealogy as advocated by Foucault is </w:t>
      </w:r>
    </w:p>
    <w:p w14:paraId="39EEBCFF" w14:textId="77777777" w:rsidR="00B549D5" w:rsidRPr="00946EE6" w:rsidRDefault="00B549D5" w:rsidP="00E52F0F">
      <w:pPr>
        <w:spacing w:after="0" w:line="360" w:lineRule="auto"/>
        <w:ind w:left="993" w:right="983"/>
        <w:rPr>
          <w:lang w:val="en-GB"/>
        </w:rPr>
      </w:pPr>
    </w:p>
    <w:p w14:paraId="16D56266" w14:textId="252F4394" w:rsidR="00B549D5" w:rsidRPr="00946EE6" w:rsidRDefault="00B549D5" w:rsidP="00E52F0F">
      <w:pPr>
        <w:spacing w:after="0" w:line="360" w:lineRule="auto"/>
        <w:ind w:left="1443" w:right="716"/>
        <w:jc w:val="both"/>
        <w:rPr>
          <w:lang w:val="en-GB"/>
        </w:rPr>
      </w:pPr>
      <w:r w:rsidRPr="00946EE6">
        <w:rPr>
          <w:rFonts w:eastAsia="Calibri" w:cs="Calibri"/>
          <w:lang w:val="en-GB"/>
        </w:rPr>
        <w:t>to treat the discourses as such, with their own distinctiveness and regularity, instead of some underlying ideas or conceptions underlying the discourses. At the very source of thinking the genealogist places randomness, dis</w:t>
      </w:r>
      <w:r w:rsidR="005B07FD">
        <w:rPr>
          <w:rFonts w:eastAsia="Calibri" w:cs="Calibri"/>
          <w:lang w:val="en-GB"/>
        </w:rPr>
        <w:t xml:space="preserve">continuity and power. (2009, </w:t>
      </w:r>
      <w:r w:rsidRPr="00946EE6">
        <w:rPr>
          <w:rFonts w:eastAsia="Calibri" w:cs="Calibri"/>
          <w:lang w:val="en-GB"/>
        </w:rPr>
        <w:t>251)</w:t>
      </w:r>
    </w:p>
    <w:p w14:paraId="132CAA2A" w14:textId="77777777" w:rsidR="00B549D5" w:rsidRPr="00946EE6" w:rsidRDefault="00B549D5" w:rsidP="00E52F0F">
      <w:pPr>
        <w:spacing w:after="0" w:line="360" w:lineRule="auto"/>
        <w:ind w:firstLine="726"/>
        <w:jc w:val="both"/>
        <w:rPr>
          <w:lang w:val="en-GB"/>
        </w:rPr>
      </w:pPr>
    </w:p>
    <w:p w14:paraId="3388CF32" w14:textId="6526C410" w:rsidR="00B549D5" w:rsidRDefault="00B549D5" w:rsidP="00E52F0F">
      <w:pPr>
        <w:spacing w:after="0" w:line="360" w:lineRule="auto"/>
        <w:ind w:left="-6" w:firstLine="733"/>
        <w:jc w:val="both"/>
        <w:rPr>
          <w:rFonts w:eastAsia="Calibri" w:cs="Calibri"/>
          <w:lang w:val="en-GB"/>
        </w:rPr>
      </w:pPr>
      <w:r w:rsidRPr="00946EE6">
        <w:rPr>
          <w:rFonts w:eastAsia="Calibri" w:cs="Calibri"/>
          <w:lang w:val="en-GB"/>
        </w:rPr>
        <w:t>Foucault thus argues one should focus on what is actually stated in discourse, instead of, for example, the ideology that may lie behind it. Foucault opposes connecting discourses to ideologies because it runs counter to his view on</w:t>
      </w:r>
      <w:r>
        <w:rPr>
          <w:rFonts w:eastAsia="Calibri" w:cs="Calibri"/>
          <w:lang w:val="en-GB"/>
        </w:rPr>
        <w:t xml:space="preserve"> </w:t>
      </w:r>
      <w:r w:rsidRPr="00946EE6">
        <w:rPr>
          <w:rFonts w:eastAsia="Calibri" w:cs="Calibri"/>
          <w:lang w:val="en-GB"/>
        </w:rPr>
        <w:t xml:space="preserve">the subject: whereas ideologies often have a humanistic understanding of the subject as an individual, he views the subject as the effect and </w:t>
      </w:r>
      <w:r w:rsidR="002169C9">
        <w:rPr>
          <w:rFonts w:eastAsia="Calibri" w:cs="Calibri"/>
          <w:lang w:val="en-GB"/>
        </w:rPr>
        <w:t>vehicle</w:t>
      </w:r>
      <w:r w:rsidRPr="00946EE6">
        <w:rPr>
          <w:rFonts w:eastAsia="Calibri" w:cs="Calibri"/>
          <w:b/>
          <w:lang w:val="en-GB"/>
        </w:rPr>
        <w:t xml:space="preserve"> </w:t>
      </w:r>
      <w:r w:rsidRPr="00946EE6">
        <w:rPr>
          <w:rFonts w:eastAsia="Calibri" w:cs="Calibri"/>
          <w:lang w:val="en-GB"/>
        </w:rPr>
        <w:t>of power</w:t>
      </w:r>
      <w:r>
        <w:rPr>
          <w:rFonts w:eastAsia="Calibri" w:cs="Calibri"/>
          <w:lang w:val="en-GB"/>
        </w:rPr>
        <w:t xml:space="preserve">. “What troubles me with these analyses which prioritise ideology”, Foucault says, “is that there is always presupposed a human </w:t>
      </w:r>
      <w:r>
        <w:rPr>
          <w:rFonts w:eastAsia="Calibri" w:cs="Calibri"/>
          <w:lang w:val="en-GB"/>
        </w:rPr>
        <w:lastRenderedPageBreak/>
        <w:t>subject on the lines of the model provided by classical philosophy, endowed with a consciousness which power is then t</w:t>
      </w:r>
      <w:r w:rsidR="005B07FD">
        <w:rPr>
          <w:rFonts w:eastAsia="Calibri" w:cs="Calibri"/>
          <w:lang w:val="en-GB"/>
        </w:rPr>
        <w:t>hought to seize on.” (1980</w:t>
      </w:r>
      <w:r w:rsidR="00796B9A">
        <w:rPr>
          <w:rFonts w:eastAsia="Calibri" w:cs="Calibri"/>
          <w:lang w:val="en-GB"/>
        </w:rPr>
        <w:t>b</w:t>
      </w:r>
      <w:r w:rsidR="005B07FD">
        <w:rPr>
          <w:rFonts w:eastAsia="Calibri" w:cs="Calibri"/>
          <w:lang w:val="en-GB"/>
        </w:rPr>
        <w:t xml:space="preserve">, </w:t>
      </w:r>
      <w:r>
        <w:rPr>
          <w:rFonts w:eastAsia="Calibri" w:cs="Calibri"/>
          <w:lang w:val="en-GB"/>
        </w:rPr>
        <w:t>58). In contrast, for Foucault the subject is not only that which power may have an effect on, but also that which makes the exercise of power possible. Power is not something exercised by one individual over others, but actions upon actions exercised by a whole range of people. In contrast to ideology, which supposes a certain truth and rigidness in combination wit</w:t>
      </w:r>
      <w:r w:rsidR="002169C9">
        <w:rPr>
          <w:rFonts w:eastAsia="Calibri" w:cs="Calibri"/>
          <w:lang w:val="en-GB"/>
        </w:rPr>
        <w:t>h a view on the human being as</w:t>
      </w:r>
      <w:r>
        <w:rPr>
          <w:rFonts w:eastAsia="Calibri" w:cs="Calibri"/>
          <w:lang w:val="en-GB"/>
        </w:rPr>
        <w:t xml:space="preserve"> unique </w:t>
      </w:r>
      <w:r w:rsidR="002169C9">
        <w:rPr>
          <w:rFonts w:eastAsia="Calibri" w:cs="Calibri"/>
          <w:lang w:val="en-GB"/>
        </w:rPr>
        <w:t xml:space="preserve">and </w:t>
      </w:r>
      <w:r>
        <w:rPr>
          <w:rFonts w:eastAsia="Calibri" w:cs="Calibri"/>
          <w:lang w:val="en-GB"/>
        </w:rPr>
        <w:t>create</w:t>
      </w:r>
      <w:r w:rsidR="002169C9">
        <w:rPr>
          <w:rFonts w:eastAsia="Calibri" w:cs="Calibri"/>
          <w:lang w:val="en-GB"/>
        </w:rPr>
        <w:t>d</w:t>
      </w:r>
      <w:r>
        <w:rPr>
          <w:rFonts w:eastAsia="Calibri" w:cs="Calibri"/>
          <w:lang w:val="en-GB"/>
        </w:rPr>
        <w:t xml:space="preserve"> with an a priori consciousness, discourse supposes a production of truth through power, and thus allows for seeing the cracks and resistances in this production. According to Foucault, discourses</w:t>
      </w:r>
      <w:r w:rsidRPr="00946EE6">
        <w:rPr>
          <w:rFonts w:eastAsia="Calibri" w:cs="Calibri"/>
          <w:lang w:val="en-GB"/>
        </w:rPr>
        <w:t xml:space="preserve"> r</w:t>
      </w:r>
      <w:r>
        <w:rPr>
          <w:rFonts w:eastAsia="Calibri" w:cs="Calibri"/>
          <w:lang w:val="en-GB"/>
        </w:rPr>
        <w:t>efer</w:t>
      </w:r>
      <w:r w:rsidRPr="00946EE6">
        <w:rPr>
          <w:rFonts w:eastAsia="Calibri" w:cs="Calibri"/>
          <w:lang w:val="en-GB"/>
        </w:rPr>
        <w:t xml:space="preserve"> to systems of knowledge that </w:t>
      </w:r>
      <w:r w:rsidR="002169C9" w:rsidRPr="00946EE6">
        <w:rPr>
          <w:rFonts w:eastAsia="Calibri" w:cs="Calibri"/>
          <w:lang w:val="en-GB"/>
        </w:rPr>
        <w:t xml:space="preserve">produce and </w:t>
      </w:r>
      <w:r w:rsidRPr="00946EE6">
        <w:rPr>
          <w:rFonts w:eastAsia="Calibri" w:cs="Calibri"/>
          <w:lang w:val="en-GB"/>
        </w:rPr>
        <w:t>are produced by society and institutions (1980</w:t>
      </w:r>
      <w:r w:rsidR="00796B9A">
        <w:rPr>
          <w:rFonts w:eastAsia="Calibri" w:cs="Calibri"/>
          <w:lang w:val="en-GB"/>
        </w:rPr>
        <w:t>c</w:t>
      </w:r>
      <w:r w:rsidRPr="00946EE6">
        <w:rPr>
          <w:rFonts w:eastAsia="Calibri" w:cs="Calibri"/>
          <w:lang w:val="en-GB"/>
        </w:rPr>
        <w:t>).</w:t>
      </w:r>
      <w:r w:rsidR="002169C9">
        <w:rPr>
          <w:rFonts w:eastAsia="Calibri" w:cs="Calibri"/>
          <w:lang w:val="en-GB"/>
        </w:rPr>
        <w:t xml:space="preserve"> In line</w:t>
      </w:r>
      <w:r>
        <w:rPr>
          <w:rFonts w:eastAsia="Calibri" w:cs="Calibri"/>
          <w:lang w:val="en-GB"/>
        </w:rPr>
        <w:t xml:space="preserve"> with his theory on power, he argues the following:</w:t>
      </w:r>
    </w:p>
    <w:p w14:paraId="22818503" w14:textId="77777777" w:rsidR="00B549D5" w:rsidRDefault="00B549D5" w:rsidP="00E52F0F">
      <w:pPr>
        <w:spacing w:after="0" w:line="360" w:lineRule="auto"/>
        <w:ind w:left="-6" w:firstLine="733"/>
        <w:jc w:val="both"/>
        <w:rPr>
          <w:rFonts w:eastAsia="Calibri" w:cs="Calibri"/>
          <w:lang w:val="en-GB"/>
        </w:rPr>
      </w:pPr>
    </w:p>
    <w:p w14:paraId="5DD88161" w14:textId="12B615EC" w:rsidR="00B549D5" w:rsidRPr="007E56A4" w:rsidRDefault="00B549D5" w:rsidP="00FD50FE">
      <w:pPr>
        <w:spacing w:after="0" w:line="360" w:lineRule="auto"/>
        <w:ind w:left="1418" w:right="708"/>
        <w:jc w:val="both"/>
        <w:rPr>
          <w:lang w:val="en-GB"/>
        </w:rPr>
      </w:pPr>
      <w:r>
        <w:rPr>
          <w:lang w:val="en-GB"/>
        </w:rPr>
        <w:t>We must not imagine a world of discourse divided between accepted discourse and excluded discourse, or between the dominant discourse and the dominated one; but as a multiplicity of discursive elements that can come into play in various strategies</w:t>
      </w:r>
      <w:r w:rsidR="00AD6FD3">
        <w:rPr>
          <w:lang w:val="en-GB"/>
        </w:rPr>
        <w:t>.</w:t>
      </w:r>
      <w:r w:rsidR="005B07FD">
        <w:rPr>
          <w:lang w:val="en-GB"/>
        </w:rPr>
        <w:t xml:space="preserve"> (1978, </w:t>
      </w:r>
      <w:r w:rsidRPr="007E56A4">
        <w:rPr>
          <w:lang w:val="en-GB"/>
        </w:rPr>
        <w:t>100)</w:t>
      </w:r>
    </w:p>
    <w:p w14:paraId="55E85668" w14:textId="77777777" w:rsidR="00B549D5" w:rsidRDefault="00B549D5" w:rsidP="00E52F0F">
      <w:pPr>
        <w:spacing w:after="0" w:line="360" w:lineRule="auto"/>
        <w:ind w:left="-6" w:firstLine="733"/>
        <w:jc w:val="both"/>
        <w:rPr>
          <w:rFonts w:eastAsia="Calibri" w:cs="Calibri"/>
          <w:lang w:val="en-GB"/>
        </w:rPr>
      </w:pPr>
    </w:p>
    <w:p w14:paraId="5160E3FE" w14:textId="1508078C" w:rsidR="00B549D5" w:rsidRPr="00946EE6" w:rsidRDefault="00B549D5" w:rsidP="00E52F0F">
      <w:pPr>
        <w:spacing w:after="0" w:line="360" w:lineRule="auto"/>
        <w:ind w:left="-6" w:firstLine="733"/>
        <w:jc w:val="both"/>
        <w:rPr>
          <w:lang w:val="en-GB"/>
        </w:rPr>
      </w:pPr>
      <w:r w:rsidRPr="00946EE6">
        <w:rPr>
          <w:rFonts w:eastAsia="Calibri" w:cs="Calibri"/>
          <w:lang w:val="en-GB"/>
        </w:rPr>
        <w:t xml:space="preserve"> </w:t>
      </w:r>
      <w:r>
        <w:rPr>
          <w:rFonts w:eastAsia="Calibri" w:cs="Calibri"/>
          <w:lang w:val="en-GB"/>
        </w:rPr>
        <w:t xml:space="preserve">This is thus the main difference between ideology </w:t>
      </w:r>
      <w:r w:rsidR="002169C9">
        <w:rPr>
          <w:rFonts w:eastAsia="Calibri" w:cs="Calibri"/>
          <w:lang w:val="en-GB"/>
        </w:rPr>
        <w:t>and</w:t>
      </w:r>
      <w:r>
        <w:rPr>
          <w:rFonts w:eastAsia="Calibri" w:cs="Calibri"/>
          <w:lang w:val="en-GB"/>
        </w:rPr>
        <w:t xml:space="preserve"> discourse: whereas ideology presupposes a uniform and coherent idea, discourse assumes a collection of elements that are just as changeable and multiple as power relations themselves. Because my thesis is concerned with the power relations that are </w:t>
      </w:r>
      <w:r w:rsidR="002169C9">
        <w:rPr>
          <w:rFonts w:eastAsia="Calibri" w:cs="Calibri"/>
          <w:lang w:val="en-GB"/>
        </w:rPr>
        <w:t>(re)produced</w:t>
      </w:r>
      <w:r>
        <w:rPr>
          <w:rFonts w:eastAsia="Calibri" w:cs="Calibri"/>
          <w:lang w:val="en-GB"/>
        </w:rPr>
        <w:t xml:space="preserve"> in the descriptions of </w:t>
      </w:r>
      <w:r w:rsidR="002169C9">
        <w:rPr>
          <w:rFonts w:eastAsia="Calibri" w:cs="Calibri"/>
          <w:lang w:val="en-GB"/>
        </w:rPr>
        <w:t>those affected by</w:t>
      </w:r>
      <w:r>
        <w:rPr>
          <w:rFonts w:eastAsia="Calibri" w:cs="Calibri"/>
          <w:lang w:val="en-GB"/>
        </w:rPr>
        <w:t xml:space="preserve"> the Beirut and Paris attacks, and not with the ideology behind the attack, nor </w:t>
      </w:r>
      <w:r w:rsidR="002169C9">
        <w:rPr>
          <w:rFonts w:eastAsia="Calibri" w:cs="Calibri"/>
          <w:lang w:val="en-GB"/>
        </w:rPr>
        <w:t>that of</w:t>
      </w:r>
      <w:r>
        <w:rPr>
          <w:rFonts w:eastAsia="Calibri" w:cs="Calibri"/>
          <w:lang w:val="en-GB"/>
        </w:rPr>
        <w:t xml:space="preserve"> the victims, Foucault’s theory and method, including the replacement of ideology by discourse, is more appropriate for my study.</w:t>
      </w:r>
      <w:r w:rsidR="00B81896">
        <w:rPr>
          <w:rFonts w:eastAsia="Calibri" w:cs="Calibri"/>
          <w:lang w:val="en-GB"/>
        </w:rPr>
        <w:t xml:space="preserve"> </w:t>
      </w:r>
      <w:r>
        <w:rPr>
          <w:rFonts w:eastAsia="Calibri" w:cs="Calibri"/>
          <w:lang w:val="en-GB"/>
        </w:rPr>
        <w:t xml:space="preserve">However, I am not using Foucault’s method for my thesis, but </w:t>
      </w:r>
      <w:r w:rsidR="00B81896">
        <w:rPr>
          <w:rFonts w:eastAsia="Calibri" w:cs="Calibri"/>
          <w:lang w:val="en-GB"/>
        </w:rPr>
        <w:t>one</w:t>
      </w:r>
      <w:r>
        <w:rPr>
          <w:rFonts w:eastAsia="Calibri" w:cs="Calibri"/>
          <w:lang w:val="en-GB"/>
        </w:rPr>
        <w:t xml:space="preserve"> based on his thoughts</w:t>
      </w:r>
      <w:r w:rsidR="00B81896">
        <w:rPr>
          <w:rFonts w:eastAsia="Calibri" w:cs="Calibri"/>
          <w:lang w:val="en-GB"/>
        </w:rPr>
        <w:t xml:space="preserve">, one of which he has even been called the father: critical discourse analysis </w:t>
      </w:r>
      <w:r w:rsidRPr="00946EE6">
        <w:rPr>
          <w:rFonts w:eastAsia="Calibri" w:cs="Calibri"/>
          <w:lang w:val="en-GB"/>
        </w:rPr>
        <w:t>(Langer, 1998</w:t>
      </w:r>
      <w:r w:rsidR="00B81896">
        <w:rPr>
          <w:rFonts w:eastAsia="Calibri" w:cs="Calibri"/>
          <w:lang w:val="en-GB"/>
        </w:rPr>
        <w:t>; Schneider, 2013</w:t>
      </w:r>
      <w:r w:rsidRPr="00946EE6">
        <w:rPr>
          <w:rFonts w:eastAsia="Calibri" w:cs="Calibri"/>
          <w:lang w:val="en-GB"/>
        </w:rPr>
        <w:t xml:space="preserve">). </w:t>
      </w:r>
    </w:p>
    <w:p w14:paraId="0D17786B" w14:textId="77777777" w:rsidR="00B549D5" w:rsidRPr="00946EE6" w:rsidRDefault="00B549D5" w:rsidP="00E52F0F">
      <w:pPr>
        <w:spacing w:line="360" w:lineRule="auto"/>
        <w:ind w:left="-6" w:firstLine="733"/>
        <w:jc w:val="both"/>
        <w:rPr>
          <w:lang w:val="en-GB"/>
        </w:rPr>
      </w:pPr>
    </w:p>
    <w:p w14:paraId="58735EFC" w14:textId="5BA91744" w:rsidR="00B549D5" w:rsidRPr="00F0601B" w:rsidRDefault="00882D21" w:rsidP="00E52F0F">
      <w:pPr>
        <w:pStyle w:val="Heading2"/>
        <w:spacing w:line="360" w:lineRule="auto"/>
        <w:ind w:left="-6"/>
        <w:jc w:val="both"/>
        <w:rPr>
          <w:lang w:val="en-GB"/>
        </w:rPr>
      </w:pPr>
      <w:bookmarkStart w:id="39" w:name="h.m29rkrk2yx9e" w:colFirst="0" w:colLast="0"/>
      <w:bookmarkStart w:id="40" w:name="_Toc458983406"/>
      <w:bookmarkEnd w:id="39"/>
      <w:r>
        <w:rPr>
          <w:lang w:val="en-GB"/>
        </w:rPr>
        <w:t>4</w:t>
      </w:r>
      <w:r w:rsidR="00B549D5" w:rsidRPr="00F0601B">
        <w:rPr>
          <w:lang w:val="en-GB"/>
        </w:rPr>
        <w:t>.2. Critical Discourse Analysis</w:t>
      </w:r>
      <w:bookmarkEnd w:id="40"/>
    </w:p>
    <w:p w14:paraId="5D0FD9A3" w14:textId="11D755E9" w:rsidR="00B549D5" w:rsidRPr="00946EE6" w:rsidRDefault="00B549D5" w:rsidP="00E52F0F">
      <w:pPr>
        <w:spacing w:after="0" w:line="360" w:lineRule="auto"/>
        <w:ind w:left="-6" w:firstLine="6"/>
        <w:jc w:val="both"/>
        <w:rPr>
          <w:lang w:val="en-GB"/>
        </w:rPr>
      </w:pPr>
      <w:r w:rsidRPr="00946EE6">
        <w:rPr>
          <w:rFonts w:eastAsia="Calibri" w:cs="Calibri"/>
          <w:lang w:val="en-GB"/>
        </w:rPr>
        <w:t xml:space="preserve">One could ask why </w:t>
      </w:r>
      <w:r w:rsidR="001E459B">
        <w:rPr>
          <w:rFonts w:eastAsia="Calibri" w:cs="Calibri"/>
          <w:lang w:val="en-GB"/>
        </w:rPr>
        <w:t>method</w:t>
      </w:r>
      <w:r w:rsidRPr="00946EE6">
        <w:rPr>
          <w:rFonts w:eastAsia="Calibri" w:cs="Calibri"/>
          <w:lang w:val="en-GB"/>
        </w:rPr>
        <w:t>s</w:t>
      </w:r>
      <w:r w:rsidR="00F62D52">
        <w:rPr>
          <w:rFonts w:eastAsia="Calibri" w:cs="Calibri"/>
          <w:lang w:val="en-GB"/>
        </w:rPr>
        <w:t xml:space="preserve"> were developed on the basis of</w:t>
      </w:r>
      <w:r w:rsidRPr="00946EE6">
        <w:rPr>
          <w:rFonts w:eastAsia="Calibri" w:cs="Calibri"/>
          <w:lang w:val="en-GB"/>
        </w:rPr>
        <w:t xml:space="preserve"> Foucault instead of usi</w:t>
      </w:r>
      <w:r w:rsidR="001E459B">
        <w:rPr>
          <w:rFonts w:eastAsia="Calibri" w:cs="Calibri"/>
          <w:lang w:val="en-GB"/>
        </w:rPr>
        <w:t>ng his own work on his method</w:t>
      </w:r>
      <w:r w:rsidRPr="00946EE6">
        <w:rPr>
          <w:rFonts w:eastAsia="Calibri" w:cs="Calibri"/>
          <w:lang w:val="en-GB"/>
        </w:rPr>
        <w:t xml:space="preserve">. When reading his work, however, this is not a difficult question to answer. Though Foucault wrote some texts on what he perceived as his methodological approaches, including what one could do or focus on, they are quite general statements. </w:t>
      </w:r>
      <w:r>
        <w:rPr>
          <w:rFonts w:eastAsia="Calibri" w:cs="Calibri"/>
          <w:lang w:val="en-GB"/>
        </w:rPr>
        <w:t xml:space="preserve">For example, in his chapter titled ‘Method’ in </w:t>
      </w:r>
      <w:r>
        <w:rPr>
          <w:rFonts w:eastAsia="Calibri" w:cs="Calibri"/>
          <w:i/>
          <w:lang w:val="en-GB"/>
        </w:rPr>
        <w:t xml:space="preserve">The History of </w:t>
      </w:r>
      <w:r w:rsidRPr="001E459B">
        <w:rPr>
          <w:rFonts w:eastAsia="Calibri" w:cs="Calibri"/>
          <w:i/>
          <w:lang w:val="en-GB"/>
        </w:rPr>
        <w:t>Sexuality</w:t>
      </w:r>
      <w:r>
        <w:rPr>
          <w:rFonts w:eastAsia="Calibri" w:cs="Calibri"/>
          <w:lang w:val="en-GB"/>
        </w:rPr>
        <w:t xml:space="preserve">, </w:t>
      </w:r>
      <w:r w:rsidRPr="00BC6AB9">
        <w:rPr>
          <w:rFonts w:eastAsia="Calibri" w:cs="Calibri"/>
          <w:lang w:val="en-GB"/>
        </w:rPr>
        <w:t>Foucault</w:t>
      </w:r>
      <w:r w:rsidR="001E459B">
        <w:rPr>
          <w:rFonts w:eastAsia="Calibri" w:cs="Calibri"/>
          <w:lang w:val="en-GB"/>
        </w:rPr>
        <w:t xml:space="preserve"> argues that</w:t>
      </w:r>
      <w:r>
        <w:rPr>
          <w:rFonts w:eastAsia="Calibri" w:cs="Calibri"/>
          <w:lang w:val="en-GB"/>
        </w:rPr>
        <w:t xml:space="preserve"> we should seek “the pattern of the modifications which the relationships of force imply by the very natu</w:t>
      </w:r>
      <w:r w:rsidR="005B07FD">
        <w:rPr>
          <w:rFonts w:eastAsia="Calibri" w:cs="Calibri"/>
          <w:lang w:val="en-GB"/>
        </w:rPr>
        <w:t xml:space="preserve">re of their process.” (1978, </w:t>
      </w:r>
      <w:r w:rsidR="001E459B">
        <w:rPr>
          <w:rFonts w:eastAsia="Calibri" w:cs="Calibri"/>
          <w:lang w:val="en-GB"/>
        </w:rPr>
        <w:t>99) Alt</w:t>
      </w:r>
      <w:r>
        <w:rPr>
          <w:rFonts w:eastAsia="Calibri" w:cs="Calibri"/>
          <w:lang w:val="en-GB"/>
        </w:rPr>
        <w:t xml:space="preserve">hough this tells us what to look for, it does not specify how to look for it, which is the task of a method. </w:t>
      </w:r>
      <w:r w:rsidRPr="00946EE6">
        <w:rPr>
          <w:rFonts w:eastAsia="Calibri" w:cs="Calibri"/>
          <w:lang w:val="en-GB"/>
        </w:rPr>
        <w:t xml:space="preserve">Hence, </w:t>
      </w:r>
      <w:r w:rsidR="001E459B">
        <w:rPr>
          <w:rFonts w:eastAsia="Calibri" w:cs="Calibri"/>
          <w:lang w:val="en-GB"/>
        </w:rPr>
        <w:t>his</w:t>
      </w:r>
      <w:r w:rsidRPr="00946EE6">
        <w:rPr>
          <w:rFonts w:eastAsia="Calibri" w:cs="Calibri"/>
          <w:lang w:val="en-GB"/>
        </w:rPr>
        <w:t xml:space="preserve"> work is illuminating, but does not provide a comprehensive methodology for how to </w:t>
      </w:r>
      <w:r w:rsidR="001E459B">
        <w:rPr>
          <w:rFonts w:eastAsia="Calibri" w:cs="Calibri"/>
          <w:lang w:val="en-GB"/>
        </w:rPr>
        <w:t>conduct</w:t>
      </w:r>
      <w:r w:rsidRPr="00946EE6">
        <w:rPr>
          <w:rFonts w:eastAsia="Calibri" w:cs="Calibri"/>
          <w:lang w:val="en-GB"/>
        </w:rPr>
        <w:t xml:space="preserve"> discourse analysis</w:t>
      </w:r>
      <w:r w:rsidR="001E459B">
        <w:rPr>
          <w:rFonts w:eastAsia="Calibri" w:cs="Calibri"/>
          <w:lang w:val="en-GB"/>
        </w:rPr>
        <w:t>:</w:t>
      </w:r>
      <w:r w:rsidRPr="00946EE6">
        <w:rPr>
          <w:rFonts w:eastAsia="Calibri" w:cs="Calibri"/>
          <w:lang w:val="en-GB"/>
        </w:rPr>
        <w:t xml:space="preserve"> it does not </w:t>
      </w:r>
      <w:r w:rsidR="00F62D52">
        <w:rPr>
          <w:rFonts w:eastAsia="Calibri" w:cs="Calibri"/>
          <w:lang w:val="en-GB"/>
        </w:rPr>
        <w:t>explain</w:t>
      </w:r>
      <w:r w:rsidRPr="00946EE6">
        <w:rPr>
          <w:rFonts w:eastAsia="Calibri" w:cs="Calibri"/>
          <w:lang w:val="en-GB"/>
        </w:rPr>
        <w:t xml:space="preserve"> which steps to take, nor which choices to make and motivate. Fortunately, there have been quite some scholars who did focus on constructing a comprehensive and clear methodological approach to discourse analysis based on Foucault’s works. </w:t>
      </w:r>
    </w:p>
    <w:p w14:paraId="441D383A" w14:textId="1F3F1250" w:rsidR="00B549D5" w:rsidRPr="00397E82" w:rsidRDefault="00B549D5" w:rsidP="00E52F0F">
      <w:pPr>
        <w:spacing w:after="0" w:line="360" w:lineRule="auto"/>
        <w:ind w:left="-6" w:firstLine="733"/>
        <w:jc w:val="both"/>
        <w:rPr>
          <w:rFonts w:eastAsia="Calibri" w:cs="Calibri"/>
          <w:lang w:val="en-GB"/>
        </w:rPr>
      </w:pPr>
      <w:r w:rsidRPr="00946EE6">
        <w:rPr>
          <w:rFonts w:eastAsia="Calibri" w:cs="Calibri"/>
          <w:lang w:val="en-GB"/>
        </w:rPr>
        <w:lastRenderedPageBreak/>
        <w:t xml:space="preserve">The broader category of these approaches is called Critical Discourse Analysis (CDA). </w:t>
      </w:r>
      <w:r>
        <w:rPr>
          <w:rFonts w:eastAsia="Calibri" w:cs="Calibri"/>
          <w:lang w:val="en-GB"/>
        </w:rPr>
        <w:t xml:space="preserve">While discourse analysis is a name covering a wide range of studies </w:t>
      </w:r>
      <w:r w:rsidR="00C572F0">
        <w:rPr>
          <w:rFonts w:eastAsia="Calibri" w:cs="Calibri"/>
          <w:lang w:val="en-GB"/>
        </w:rPr>
        <w:t>concerned with</w:t>
      </w:r>
      <w:r>
        <w:rPr>
          <w:rFonts w:eastAsia="Calibri" w:cs="Calibri"/>
          <w:lang w:val="en-GB"/>
        </w:rPr>
        <w:t xml:space="preserve"> usage of language and the contextual meaning of this usage, CDA is the overarching name for approaches that study domination and power in text and language in a socio-political context</w:t>
      </w:r>
      <w:r w:rsidRPr="00946EE6">
        <w:rPr>
          <w:rFonts w:eastAsia="Calibri" w:cs="Calibri"/>
          <w:lang w:val="en-GB"/>
        </w:rPr>
        <w:t xml:space="preserve">. </w:t>
      </w:r>
      <w:r>
        <w:rPr>
          <w:rFonts w:eastAsia="Calibri" w:cs="Calibri"/>
          <w:lang w:val="en-GB"/>
        </w:rPr>
        <w:t xml:space="preserve">It is thus critical of the power relations reflected in discourses. </w:t>
      </w:r>
      <w:r w:rsidRPr="00946EE6">
        <w:rPr>
          <w:rFonts w:eastAsia="Calibri" w:cs="Calibri"/>
          <w:lang w:val="en-GB"/>
        </w:rPr>
        <w:t>This critical stance is exemplified in the problem-oriented and interdisciplinary</w:t>
      </w:r>
      <w:r>
        <w:rPr>
          <w:rFonts w:eastAsia="Calibri" w:cs="Calibri"/>
          <w:lang w:val="en-GB"/>
        </w:rPr>
        <w:t xml:space="preserve"> approach (Wodak </w:t>
      </w:r>
      <w:r w:rsidR="005B07FD">
        <w:rPr>
          <w:rFonts w:eastAsia="Calibri" w:cs="Calibri"/>
          <w:lang w:val="en-GB"/>
        </w:rPr>
        <w:t>and</w:t>
      </w:r>
      <w:r>
        <w:rPr>
          <w:rFonts w:eastAsia="Calibri" w:cs="Calibri"/>
          <w:lang w:val="en-GB"/>
        </w:rPr>
        <w:t xml:space="preserve"> Meyer, 2009</w:t>
      </w:r>
      <w:r w:rsidR="005B07FD">
        <w:rPr>
          <w:rFonts w:eastAsia="Calibri" w:cs="Calibri"/>
          <w:lang w:val="en-GB"/>
        </w:rPr>
        <w:t xml:space="preserve">, </w:t>
      </w:r>
      <w:r w:rsidRPr="00946EE6">
        <w:rPr>
          <w:rFonts w:eastAsia="Calibri" w:cs="Calibri"/>
          <w:lang w:val="en-GB"/>
        </w:rPr>
        <w:t xml:space="preserve">2). Rather than studying a linguistic unit in itself, CDA is </w:t>
      </w:r>
      <w:r w:rsidR="000D0AFD">
        <w:rPr>
          <w:rFonts w:eastAsia="Calibri" w:cs="Calibri"/>
          <w:lang w:val="en-GB"/>
        </w:rPr>
        <w:t>interes</w:t>
      </w:r>
      <w:r w:rsidR="005B07FD">
        <w:rPr>
          <w:rFonts w:eastAsia="Calibri" w:cs="Calibri"/>
          <w:lang w:val="en-GB"/>
        </w:rPr>
        <w:t>ted in social phenomena (Wodak and</w:t>
      </w:r>
      <w:r w:rsidR="0079111A">
        <w:rPr>
          <w:rFonts w:eastAsia="Calibri" w:cs="Calibri"/>
          <w:lang w:val="en-GB"/>
        </w:rPr>
        <w:t xml:space="preserve"> Meyer, 2009, </w:t>
      </w:r>
      <w:r w:rsidR="000D0AFD">
        <w:rPr>
          <w:rFonts w:eastAsia="Calibri" w:cs="Calibri"/>
          <w:lang w:val="en-GB"/>
        </w:rPr>
        <w:t>2)</w:t>
      </w:r>
      <w:r w:rsidRPr="00946EE6">
        <w:rPr>
          <w:rFonts w:eastAsia="Calibri" w:cs="Calibri"/>
          <w:lang w:val="en-GB"/>
        </w:rPr>
        <w:t>. As these are necessarily complex, they require</w:t>
      </w:r>
      <w:r w:rsidR="000D0AFD">
        <w:rPr>
          <w:rFonts w:eastAsia="Calibri" w:cs="Calibri"/>
          <w:lang w:val="en-GB"/>
        </w:rPr>
        <w:t xml:space="preserve"> a multidisciplinary approach</w:t>
      </w:r>
      <w:r w:rsidRPr="00946EE6">
        <w:rPr>
          <w:rFonts w:eastAsia="Calibri" w:cs="Calibri"/>
          <w:lang w:val="en-GB"/>
        </w:rPr>
        <w:t xml:space="preserve">. It is important to note that the critical stance is not necessarily negative. Instead, it refers to critical investigation of phenomena, not taking them for granted. Moreover, the critical standpoint is </w:t>
      </w:r>
      <w:r w:rsidR="00C572F0">
        <w:rPr>
          <w:rFonts w:eastAsia="Calibri" w:cs="Calibri"/>
          <w:lang w:val="en-GB"/>
        </w:rPr>
        <w:t xml:space="preserve">also </w:t>
      </w:r>
      <w:r w:rsidRPr="00946EE6">
        <w:rPr>
          <w:rFonts w:eastAsia="Calibri" w:cs="Calibri"/>
          <w:lang w:val="en-GB"/>
        </w:rPr>
        <w:t>aimed at the researcher’s own role</w:t>
      </w:r>
      <w:r w:rsidR="005B07FD">
        <w:rPr>
          <w:rFonts w:eastAsia="Calibri" w:cs="Calibri"/>
          <w:lang w:val="en-GB"/>
        </w:rPr>
        <w:t xml:space="preserve"> in society (Van Dijk, 2005, 3</w:t>
      </w:r>
      <w:r w:rsidRPr="00946EE6">
        <w:rPr>
          <w:rFonts w:eastAsia="Calibri" w:cs="Calibri"/>
          <w:lang w:val="en-GB"/>
        </w:rPr>
        <w:t>52). This is based on a view, in line with Foucault, that sch</w:t>
      </w:r>
      <w:r w:rsidR="00C572F0">
        <w:rPr>
          <w:rFonts w:eastAsia="Calibri" w:cs="Calibri"/>
          <w:lang w:val="en-GB"/>
        </w:rPr>
        <w:t>olarly discourse is inherently</w:t>
      </w:r>
      <w:r w:rsidRPr="00946EE6">
        <w:rPr>
          <w:rFonts w:eastAsia="Calibri" w:cs="Calibri"/>
          <w:lang w:val="en-GB"/>
        </w:rPr>
        <w:t xml:space="preserve"> part of society, and as such is constructed by the relations and discourses present within that society (</w:t>
      </w:r>
      <w:r w:rsidR="000D0AFD">
        <w:rPr>
          <w:rFonts w:eastAsia="Calibri" w:cs="Calibri"/>
          <w:lang w:val="en-GB"/>
        </w:rPr>
        <w:t>Van Dijk, 2005</w:t>
      </w:r>
      <w:r w:rsidRPr="00946EE6">
        <w:rPr>
          <w:rFonts w:eastAsia="Calibri" w:cs="Calibri"/>
          <w:lang w:val="en-GB"/>
        </w:rPr>
        <w:t xml:space="preserve">; Jäger and </w:t>
      </w:r>
      <w:r w:rsidR="00B352AC">
        <w:rPr>
          <w:rFonts w:eastAsia="Calibri" w:cs="Calibri"/>
          <w:lang w:val="en-GB"/>
        </w:rPr>
        <w:t>Maier</w:t>
      </w:r>
      <w:r w:rsidR="005B07FD">
        <w:rPr>
          <w:rFonts w:eastAsia="Calibri" w:cs="Calibri"/>
          <w:lang w:val="en-GB"/>
        </w:rPr>
        <w:t xml:space="preserve">, 2009, </w:t>
      </w:r>
      <w:r w:rsidRPr="00946EE6">
        <w:rPr>
          <w:rFonts w:eastAsia="Calibri" w:cs="Calibri"/>
          <w:lang w:val="en-GB"/>
        </w:rPr>
        <w:t xml:space="preserve">36). There are </w:t>
      </w:r>
      <w:r w:rsidR="00C572F0">
        <w:rPr>
          <w:rFonts w:eastAsia="Calibri" w:cs="Calibri"/>
          <w:lang w:val="en-GB"/>
        </w:rPr>
        <w:t>six</w:t>
      </w:r>
      <w:r w:rsidRPr="00946EE6">
        <w:rPr>
          <w:rFonts w:eastAsia="Calibri" w:cs="Calibri"/>
          <w:lang w:val="en-GB"/>
        </w:rPr>
        <w:t xml:space="preserve"> further dimension that all approaches in CDA have in c</w:t>
      </w:r>
      <w:r w:rsidR="00C572F0">
        <w:rPr>
          <w:rFonts w:eastAsia="Calibri" w:cs="Calibri"/>
          <w:lang w:val="en-GB"/>
        </w:rPr>
        <w:t>ommon</w:t>
      </w:r>
      <w:r w:rsidRPr="00946EE6">
        <w:rPr>
          <w:rFonts w:eastAsia="Calibri" w:cs="Calibri"/>
          <w:lang w:val="en-GB"/>
        </w:rPr>
        <w:t xml:space="preserve">: </w:t>
      </w:r>
    </w:p>
    <w:p w14:paraId="3002E622" w14:textId="77777777" w:rsidR="00B549D5" w:rsidRPr="00946EE6" w:rsidRDefault="00B549D5" w:rsidP="00E52F0F">
      <w:pPr>
        <w:spacing w:after="0" w:line="360" w:lineRule="auto"/>
        <w:ind w:left="-6" w:firstLine="733"/>
        <w:jc w:val="both"/>
        <w:rPr>
          <w:lang w:val="en-GB"/>
        </w:rPr>
      </w:pPr>
    </w:p>
    <w:p w14:paraId="7A4370C1" w14:textId="77777777" w:rsidR="00B549D5" w:rsidRPr="00946EE6" w:rsidRDefault="00B549D5" w:rsidP="00E52F0F">
      <w:pPr>
        <w:numPr>
          <w:ilvl w:val="0"/>
          <w:numId w:val="1"/>
        </w:numPr>
        <w:spacing w:after="0" w:line="360" w:lineRule="auto"/>
        <w:ind w:hanging="360"/>
        <w:contextualSpacing/>
        <w:jc w:val="both"/>
        <w:rPr>
          <w:rFonts w:eastAsia="Calibri" w:cs="Calibri"/>
          <w:lang w:val="en-GB"/>
        </w:rPr>
      </w:pPr>
      <w:r w:rsidRPr="00946EE6">
        <w:rPr>
          <w:rFonts w:eastAsia="Calibri" w:cs="Calibri"/>
          <w:lang w:val="en-GB"/>
        </w:rPr>
        <w:t>All are interested in the features of ‘naturally occurring’ texts, i.e. those that are actually used by people instead of invented for a specific research purpose.</w:t>
      </w:r>
    </w:p>
    <w:p w14:paraId="0849841E" w14:textId="77777777" w:rsidR="00B549D5" w:rsidRPr="00946EE6" w:rsidRDefault="00B549D5" w:rsidP="00E52F0F">
      <w:pPr>
        <w:numPr>
          <w:ilvl w:val="0"/>
          <w:numId w:val="1"/>
        </w:numPr>
        <w:spacing w:after="0" w:line="360" w:lineRule="auto"/>
        <w:ind w:hanging="360"/>
        <w:contextualSpacing/>
        <w:jc w:val="both"/>
        <w:rPr>
          <w:rFonts w:eastAsia="Calibri" w:cs="Calibri"/>
          <w:lang w:val="en-GB"/>
        </w:rPr>
      </w:pPr>
      <w:r w:rsidRPr="00946EE6">
        <w:rPr>
          <w:rFonts w:eastAsia="Calibri" w:cs="Calibri"/>
          <w:lang w:val="en-GB"/>
        </w:rPr>
        <w:t>CDA focuses on larger units of language rather than isolated sentences or words. This means that CDA uses other basic units of analysis, including texts, conversations, and discourses.</w:t>
      </w:r>
    </w:p>
    <w:p w14:paraId="075E2AE0" w14:textId="77777777" w:rsidR="00B549D5" w:rsidRPr="00946EE6" w:rsidRDefault="00B549D5" w:rsidP="00E52F0F">
      <w:pPr>
        <w:numPr>
          <w:ilvl w:val="0"/>
          <w:numId w:val="1"/>
        </w:numPr>
        <w:spacing w:after="0" w:line="360" w:lineRule="auto"/>
        <w:ind w:hanging="360"/>
        <w:contextualSpacing/>
        <w:jc w:val="both"/>
        <w:rPr>
          <w:rFonts w:eastAsia="Calibri" w:cs="Calibri"/>
          <w:lang w:val="en-GB"/>
        </w:rPr>
      </w:pPr>
      <w:r w:rsidRPr="00946EE6">
        <w:rPr>
          <w:rFonts w:eastAsia="Calibri" w:cs="Calibri"/>
          <w:lang w:val="en-GB"/>
        </w:rPr>
        <w:t xml:space="preserve">CDA extends discourse analysis to include action and interaction, rather than concentrating on the sentence grammar. </w:t>
      </w:r>
    </w:p>
    <w:p w14:paraId="429F7ACA" w14:textId="77777777" w:rsidR="00B549D5" w:rsidRPr="00946EE6" w:rsidRDefault="00B549D5" w:rsidP="00E52F0F">
      <w:pPr>
        <w:numPr>
          <w:ilvl w:val="0"/>
          <w:numId w:val="1"/>
        </w:numPr>
        <w:spacing w:after="0" w:line="360" w:lineRule="auto"/>
        <w:ind w:hanging="360"/>
        <w:contextualSpacing/>
        <w:jc w:val="both"/>
        <w:rPr>
          <w:rFonts w:eastAsia="Calibri" w:cs="Calibri"/>
          <w:lang w:val="en-GB"/>
        </w:rPr>
      </w:pPr>
      <w:r w:rsidRPr="00946EE6">
        <w:rPr>
          <w:rFonts w:eastAsia="Calibri" w:cs="Calibri"/>
          <w:lang w:val="en-GB"/>
        </w:rPr>
        <w:t xml:space="preserve">All approaches share an interest, which can differ in extent and intensity, in non-verbal aspects of communication, such as images and gestures. </w:t>
      </w:r>
    </w:p>
    <w:p w14:paraId="7B365FAF" w14:textId="77777777" w:rsidR="00B549D5" w:rsidRPr="00946EE6" w:rsidRDefault="00B549D5" w:rsidP="00E52F0F">
      <w:pPr>
        <w:numPr>
          <w:ilvl w:val="0"/>
          <w:numId w:val="1"/>
        </w:numPr>
        <w:spacing w:after="0" w:line="360" w:lineRule="auto"/>
        <w:ind w:hanging="360"/>
        <w:contextualSpacing/>
        <w:jc w:val="both"/>
        <w:rPr>
          <w:rFonts w:eastAsia="Calibri" w:cs="Calibri"/>
          <w:lang w:val="en-GB"/>
        </w:rPr>
      </w:pPr>
      <w:r w:rsidRPr="00946EE6">
        <w:rPr>
          <w:rFonts w:eastAsia="Calibri" w:cs="Calibri"/>
          <w:lang w:val="en-GB"/>
        </w:rPr>
        <w:t xml:space="preserve">Analysts focus on strategies that are (socio)-cognitive or interactional. </w:t>
      </w:r>
    </w:p>
    <w:p w14:paraId="0F54BD37" w14:textId="51AE3BD0" w:rsidR="00B549D5" w:rsidRPr="00C572F0" w:rsidRDefault="00B549D5" w:rsidP="00E52F0F">
      <w:pPr>
        <w:numPr>
          <w:ilvl w:val="0"/>
          <w:numId w:val="1"/>
        </w:numPr>
        <w:spacing w:after="0" w:line="360" w:lineRule="auto"/>
        <w:ind w:hanging="360"/>
        <w:contextualSpacing/>
        <w:jc w:val="both"/>
        <w:rPr>
          <w:rFonts w:eastAsia="Calibri" w:cs="Calibri"/>
          <w:lang w:val="en-GB"/>
        </w:rPr>
      </w:pPr>
      <w:r w:rsidRPr="00946EE6">
        <w:rPr>
          <w:rFonts w:eastAsia="Calibri" w:cs="Calibri"/>
          <w:lang w:val="en-GB"/>
        </w:rPr>
        <w:t>The context in which language is used is examined.</w:t>
      </w:r>
      <w:r w:rsidRPr="00C572F0">
        <w:rPr>
          <w:rFonts w:eastAsia="Calibri" w:cs="Calibri"/>
          <w:lang w:val="en-GB"/>
        </w:rPr>
        <w:t xml:space="preserve"> (</w:t>
      </w:r>
      <w:r w:rsidR="00C572F0">
        <w:rPr>
          <w:rFonts w:eastAsia="Calibri" w:cs="Calibri"/>
          <w:lang w:val="en-GB"/>
        </w:rPr>
        <w:t xml:space="preserve">Wodak and Meyer, </w:t>
      </w:r>
      <w:r w:rsidR="005B07FD" w:rsidRPr="00C572F0">
        <w:rPr>
          <w:rFonts w:eastAsia="Calibri" w:cs="Calibri"/>
          <w:lang w:val="en-GB"/>
        </w:rPr>
        <w:t xml:space="preserve">2009, </w:t>
      </w:r>
      <w:r w:rsidR="000D0AFD" w:rsidRPr="00C572F0">
        <w:rPr>
          <w:rFonts w:eastAsia="Calibri" w:cs="Calibri"/>
          <w:lang w:val="en-GB"/>
        </w:rPr>
        <w:t>2</w:t>
      </w:r>
      <w:r w:rsidRPr="00C572F0">
        <w:rPr>
          <w:rFonts w:eastAsia="Calibri" w:cs="Calibri"/>
          <w:lang w:val="en-GB"/>
        </w:rPr>
        <w:t xml:space="preserve">). </w:t>
      </w:r>
    </w:p>
    <w:p w14:paraId="40EBAA57" w14:textId="77777777" w:rsidR="00B549D5" w:rsidRPr="00946EE6" w:rsidRDefault="00B549D5" w:rsidP="00E52F0F">
      <w:pPr>
        <w:spacing w:after="0" w:line="360" w:lineRule="auto"/>
        <w:ind w:left="-6" w:firstLine="733"/>
        <w:jc w:val="both"/>
        <w:rPr>
          <w:lang w:val="en-GB"/>
        </w:rPr>
      </w:pPr>
    </w:p>
    <w:p w14:paraId="2BF2B0C3" w14:textId="3CDB8936" w:rsidR="00B549D5" w:rsidRPr="00946EE6" w:rsidRDefault="00B549D5" w:rsidP="00E52F0F">
      <w:pPr>
        <w:spacing w:after="0" w:line="360" w:lineRule="auto"/>
        <w:ind w:left="-6"/>
        <w:jc w:val="both"/>
        <w:rPr>
          <w:lang w:val="en-GB"/>
        </w:rPr>
      </w:pPr>
      <w:r w:rsidRPr="00946EE6">
        <w:rPr>
          <w:rFonts w:eastAsia="Calibri" w:cs="Calibri"/>
          <w:lang w:val="en-GB"/>
        </w:rPr>
        <w:t>Moreover, since CDA is concerned with social phenomena, they are often concerned with power relations (Van Dijk, 2005). All in all then, CDA is an overarching name for those approaches that implement discourse</w:t>
      </w:r>
      <w:r>
        <w:rPr>
          <w:rFonts w:eastAsia="Calibri" w:cs="Calibri"/>
          <w:lang w:val="en-GB"/>
        </w:rPr>
        <w:t xml:space="preserve"> analysis with regard to topics about</w:t>
      </w:r>
      <w:r w:rsidRPr="00946EE6">
        <w:rPr>
          <w:rFonts w:eastAsia="Calibri" w:cs="Calibri"/>
          <w:lang w:val="en-GB"/>
        </w:rPr>
        <w:t xml:space="preserve"> power relations. Many scholars belong to this category, each with </w:t>
      </w:r>
      <w:r w:rsidR="00E518CE">
        <w:rPr>
          <w:rFonts w:eastAsia="Calibri" w:cs="Calibri"/>
          <w:lang w:val="en-GB"/>
        </w:rPr>
        <w:t>a</w:t>
      </w:r>
      <w:r w:rsidRPr="00946EE6">
        <w:rPr>
          <w:rFonts w:eastAsia="Calibri" w:cs="Calibri"/>
          <w:lang w:val="en-GB"/>
        </w:rPr>
        <w:t xml:space="preserve"> specific method. Moreover, </w:t>
      </w:r>
      <w:r w:rsidR="00E518CE">
        <w:rPr>
          <w:rFonts w:eastAsia="Calibri" w:cs="Calibri"/>
          <w:lang w:val="en-GB"/>
        </w:rPr>
        <w:t>the</w:t>
      </w:r>
      <w:r w:rsidRPr="00946EE6">
        <w:rPr>
          <w:rFonts w:eastAsia="Calibri" w:cs="Calibri"/>
          <w:lang w:val="en-GB"/>
        </w:rPr>
        <w:t xml:space="preserve"> type of CDA </w:t>
      </w:r>
      <w:r w:rsidR="00E518CE">
        <w:rPr>
          <w:rFonts w:eastAsia="Calibri" w:cs="Calibri"/>
          <w:lang w:val="en-GB"/>
        </w:rPr>
        <w:t>to choose</w:t>
      </w:r>
      <w:r w:rsidRPr="00946EE6">
        <w:rPr>
          <w:rFonts w:eastAsia="Calibri" w:cs="Calibri"/>
          <w:lang w:val="en-GB"/>
        </w:rPr>
        <w:t xml:space="preserve"> also depend</w:t>
      </w:r>
      <w:r w:rsidR="00E518CE">
        <w:rPr>
          <w:rFonts w:eastAsia="Calibri" w:cs="Calibri"/>
          <w:lang w:val="en-GB"/>
        </w:rPr>
        <w:t>s</w:t>
      </w:r>
      <w:r w:rsidRPr="00946EE6">
        <w:rPr>
          <w:rFonts w:eastAsia="Calibri" w:cs="Calibri"/>
          <w:lang w:val="en-GB"/>
        </w:rPr>
        <w:t xml:space="preserve"> on </w:t>
      </w:r>
      <w:r w:rsidR="00E518CE">
        <w:rPr>
          <w:rFonts w:eastAsia="Calibri" w:cs="Calibri"/>
          <w:lang w:val="en-GB"/>
        </w:rPr>
        <w:t>the</w:t>
      </w:r>
      <w:r w:rsidRPr="00946EE6">
        <w:rPr>
          <w:rFonts w:eastAsia="Calibri" w:cs="Calibri"/>
          <w:lang w:val="en-GB"/>
        </w:rPr>
        <w:t xml:space="preserve"> type of topic and discourses one is analysing. One may, for example, analyse political speeches, or business documents, or, as in my case, media articles. </w:t>
      </w:r>
    </w:p>
    <w:p w14:paraId="1873E48F" w14:textId="70D2E286" w:rsidR="00B549D5" w:rsidRPr="00946EE6" w:rsidRDefault="00B549D5" w:rsidP="00E52F0F">
      <w:pPr>
        <w:spacing w:after="0" w:line="360" w:lineRule="auto"/>
        <w:ind w:left="-6" w:firstLine="733"/>
        <w:jc w:val="both"/>
        <w:rPr>
          <w:lang w:val="en-GB"/>
        </w:rPr>
      </w:pPr>
      <w:r w:rsidRPr="00946EE6">
        <w:rPr>
          <w:rFonts w:eastAsia="Calibri" w:cs="Calibri"/>
          <w:lang w:val="en-GB"/>
        </w:rPr>
        <w:t>For this thesis the approach of the Duisburg School, exemplified by its leading scholar Siegfried Jäger, is used, because it is one of the well-known approaches that is most in</w:t>
      </w:r>
      <w:r w:rsidR="00D2077E">
        <w:rPr>
          <w:rFonts w:eastAsia="Calibri" w:cs="Calibri"/>
          <w:lang w:val="en-GB"/>
        </w:rPr>
        <w:t>fluenced by Foucault’s thoughts</w:t>
      </w:r>
      <w:r w:rsidRPr="00946EE6">
        <w:rPr>
          <w:rFonts w:eastAsia="Calibri" w:cs="Calibri"/>
          <w:lang w:val="en-GB"/>
        </w:rPr>
        <w:t xml:space="preserve"> and because it provides guidelines for researching discourses in media. The other most well-known CDA approaches that are influenced by Foucault are </w:t>
      </w:r>
      <w:r w:rsidR="00D2077E">
        <w:rPr>
          <w:rFonts w:eastAsia="Calibri" w:cs="Calibri"/>
          <w:lang w:val="en-GB"/>
        </w:rPr>
        <w:t>those</w:t>
      </w:r>
      <w:r w:rsidRPr="00946EE6">
        <w:rPr>
          <w:rFonts w:eastAsia="Calibri" w:cs="Calibri"/>
          <w:lang w:val="en-GB"/>
        </w:rPr>
        <w:t xml:space="preserve"> of Norman Fairclough, the Vienna School, and Teun </w:t>
      </w:r>
      <w:r w:rsidRPr="00946EE6">
        <w:rPr>
          <w:rFonts w:eastAsia="Calibri" w:cs="Calibri"/>
          <w:lang w:val="en-GB"/>
        </w:rPr>
        <w:lastRenderedPageBreak/>
        <w:t xml:space="preserve">van Dijk. Fairclough focuses more on the reception </w:t>
      </w:r>
      <w:r w:rsidR="00F62D52">
        <w:rPr>
          <w:rFonts w:eastAsia="Calibri" w:cs="Calibri"/>
          <w:lang w:val="en-GB"/>
        </w:rPr>
        <w:t xml:space="preserve">of the text or </w:t>
      </w:r>
      <w:r w:rsidRPr="00946EE6">
        <w:rPr>
          <w:rFonts w:eastAsia="Calibri" w:cs="Calibri"/>
          <w:lang w:val="en-GB"/>
        </w:rPr>
        <w:t>discourse by the audience (1995), and hence is less appropriate for this study, which focuses on the production of the text and especially the text itself. Moreover, Fairclough’s method is designed for an analysis of a rather small amount of texts (</w:t>
      </w:r>
      <w:r w:rsidR="000D0AFD">
        <w:rPr>
          <w:rFonts w:eastAsia="Calibri" w:cs="Calibri"/>
          <w:lang w:val="en-GB"/>
        </w:rPr>
        <w:t>1995</w:t>
      </w:r>
      <w:r w:rsidRPr="00946EE6">
        <w:rPr>
          <w:rFonts w:eastAsia="Calibri" w:cs="Calibri"/>
          <w:lang w:val="en-GB"/>
        </w:rPr>
        <w:t xml:space="preserve">; also </w:t>
      </w:r>
      <w:r w:rsidR="00D2077E">
        <w:rPr>
          <w:rFonts w:eastAsia="Calibri" w:cs="Calibri"/>
          <w:lang w:val="en-GB"/>
        </w:rPr>
        <w:t>see</w:t>
      </w:r>
      <w:r w:rsidRPr="00946EE6">
        <w:rPr>
          <w:rFonts w:eastAsia="Calibri" w:cs="Calibri"/>
          <w:lang w:val="en-GB"/>
        </w:rPr>
        <w:t xml:space="preserve"> Langer, 1998). This is illustrated by Fairclough’s own projects, which often involve </w:t>
      </w:r>
      <w:r w:rsidR="00D2077E">
        <w:rPr>
          <w:rFonts w:eastAsia="Calibri" w:cs="Calibri"/>
          <w:lang w:val="en-GB"/>
        </w:rPr>
        <w:t>an</w:t>
      </w:r>
      <w:r w:rsidRPr="00946EE6">
        <w:rPr>
          <w:rFonts w:eastAsia="Calibri" w:cs="Calibri"/>
          <w:lang w:val="en-GB"/>
        </w:rPr>
        <w:t xml:space="preserve"> </w:t>
      </w:r>
      <w:r w:rsidR="00D2077E" w:rsidRPr="00946EE6">
        <w:rPr>
          <w:rFonts w:eastAsia="Calibri" w:cs="Calibri"/>
          <w:lang w:val="en-GB"/>
        </w:rPr>
        <w:t xml:space="preserve">in depth </w:t>
      </w:r>
      <w:r w:rsidRPr="00946EE6">
        <w:rPr>
          <w:rFonts w:eastAsia="Calibri" w:cs="Calibri"/>
          <w:lang w:val="en-GB"/>
        </w:rPr>
        <w:t xml:space="preserve">analysis of a single text. </w:t>
      </w:r>
      <w:r w:rsidR="00D2077E">
        <w:rPr>
          <w:rFonts w:eastAsia="Calibri" w:cs="Calibri"/>
          <w:lang w:val="en-GB"/>
        </w:rPr>
        <w:t>As such, it</w:t>
      </w:r>
      <w:r w:rsidRPr="00946EE6">
        <w:rPr>
          <w:rFonts w:eastAsia="Calibri" w:cs="Calibri"/>
          <w:lang w:val="en-GB"/>
        </w:rPr>
        <w:t xml:space="preserve"> is not suitable for this study, as I aim to analyse more </w:t>
      </w:r>
      <w:r w:rsidR="00D2077E" w:rsidRPr="00946EE6">
        <w:rPr>
          <w:rFonts w:eastAsia="Calibri" w:cs="Calibri"/>
          <w:lang w:val="en-GB"/>
        </w:rPr>
        <w:t xml:space="preserve">than one </w:t>
      </w:r>
      <w:r w:rsidRPr="00946EE6">
        <w:rPr>
          <w:rFonts w:eastAsia="Calibri" w:cs="Calibri"/>
          <w:lang w:val="en-GB"/>
        </w:rPr>
        <w:t>article. The Vienna School is mostly based on the tradition of the Frankfurt School (as expressed by Jürgen Habermas’ criticism of the methods of linguistics), besides taking ideas from other scholars’ ideas, amongst whom Foucault’s view on disc</w:t>
      </w:r>
      <w:r w:rsidR="005B07FD">
        <w:rPr>
          <w:rFonts w:eastAsia="Calibri" w:cs="Calibri"/>
          <w:lang w:val="en-GB"/>
        </w:rPr>
        <w:t xml:space="preserve">ourse analysis (Wodak, 1995, </w:t>
      </w:r>
      <w:r w:rsidRPr="00946EE6">
        <w:rPr>
          <w:rFonts w:eastAsia="Calibri" w:cs="Calibri"/>
          <w:lang w:val="en-GB"/>
        </w:rPr>
        <w:t>209). The CDA approach of the Vienna School is usually called the discourse-historical method, and argues for considering discourse analysis as an archaeological process (Matouschek,</w:t>
      </w:r>
      <w:r w:rsidR="005B07FD">
        <w:rPr>
          <w:rFonts w:eastAsia="Calibri" w:cs="Calibri"/>
          <w:lang w:val="en-GB"/>
        </w:rPr>
        <w:t xml:space="preserve"> Wodak, and Januschek, 1995, </w:t>
      </w:r>
      <w:r w:rsidRPr="00946EE6">
        <w:rPr>
          <w:rFonts w:eastAsia="Calibri" w:cs="Calibri"/>
          <w:lang w:val="en-GB"/>
        </w:rPr>
        <w:t>13). Hence, it combines a historical and quantitative analysis of social practices and discourses with a qualitative method on the level of actual texts (</w:t>
      </w:r>
      <w:r w:rsidR="000D0AFD">
        <w:rPr>
          <w:rFonts w:eastAsia="Calibri" w:cs="Calibri"/>
          <w:lang w:val="en-GB"/>
        </w:rPr>
        <w:t xml:space="preserve">Matouschek, Wodak, </w:t>
      </w:r>
      <w:r w:rsidR="00BE553E">
        <w:rPr>
          <w:rFonts w:eastAsia="Calibri" w:cs="Calibri"/>
          <w:lang w:val="en-GB"/>
        </w:rPr>
        <w:t>and</w:t>
      </w:r>
      <w:r w:rsidR="000D0AFD">
        <w:rPr>
          <w:rFonts w:eastAsia="Calibri" w:cs="Calibri"/>
          <w:lang w:val="en-GB"/>
        </w:rPr>
        <w:t xml:space="preserve"> Januschek, 1995</w:t>
      </w:r>
      <w:r w:rsidR="005B07FD">
        <w:rPr>
          <w:rFonts w:eastAsia="Calibri" w:cs="Calibri"/>
          <w:lang w:val="en-GB"/>
        </w:rPr>
        <w:t xml:space="preserve">; Langer, 1998, </w:t>
      </w:r>
      <w:r w:rsidRPr="00946EE6">
        <w:rPr>
          <w:rFonts w:eastAsia="Calibri" w:cs="Calibri"/>
          <w:lang w:val="en-GB"/>
        </w:rPr>
        <w:t>30). The Vienna School is focused on making explicit where suppression and exclusion takes place, and actively “takes the side of those, who have to suffer under political or social inju</w:t>
      </w:r>
      <w:r w:rsidR="005B07FD">
        <w:rPr>
          <w:rFonts w:eastAsia="Calibri" w:cs="Calibri"/>
          <w:lang w:val="en-GB"/>
        </w:rPr>
        <w:t>stice.” (Wodak et al., 199</w:t>
      </w:r>
      <w:r w:rsidR="00395D01">
        <w:rPr>
          <w:rFonts w:eastAsia="Calibri" w:cs="Calibri"/>
          <w:lang w:val="en-GB"/>
        </w:rPr>
        <w:t>8</w:t>
      </w:r>
      <w:r w:rsidR="005B07FD">
        <w:rPr>
          <w:rFonts w:eastAsia="Calibri" w:cs="Calibri"/>
          <w:lang w:val="en-GB"/>
        </w:rPr>
        <w:t>, 23-2</w:t>
      </w:r>
      <w:r w:rsidRPr="00946EE6">
        <w:rPr>
          <w:rFonts w:eastAsia="Calibri" w:cs="Calibri"/>
          <w:lang w:val="en-GB"/>
        </w:rPr>
        <w:t>4) Not only is the Vienna School thus less directly founded on Foucault’s thoughts, it is also more focused on clarifying domination and suppression and helping those who are suppressed. Furthermore, in the part where it is based on Foucault’s work, it is more concentrated on the archaeological period, and thus on the historical analysis. Since this study researches the articles concerned with one specific event, instead of the history that is relevant for the production of this discourse, Jäger’s method is more suitable than the approach of the Vienna School. The last famous CDA scholar which has not yet been discussed is Teun van Dijk. His approach is often called the socio-cognitive approach, as it is founded on the presumption that the production and reception of texts is based on cognitive models, which he terms ideologies. It is immediately clear that Van Dijk’s approach is less in line with Foucault’s thoughts, as Foucault explicitly renounced the use of the word ‘ideology’. Moreover, by being almost exclusively focused on social relations and how these are (re)produced in texts, Van Dijk overestimates the stability of the structures that reproduce ideology and power relations (Fairclough,</w:t>
      </w:r>
      <w:r w:rsidR="005B07FD">
        <w:rPr>
          <w:rFonts w:eastAsia="Calibri" w:cs="Calibri"/>
          <w:lang w:val="en-GB"/>
        </w:rPr>
        <w:t xml:space="preserve"> 1995, 30; Langer, 1998, </w:t>
      </w:r>
      <w:r w:rsidRPr="00946EE6">
        <w:rPr>
          <w:rFonts w:eastAsia="Calibri" w:cs="Calibri"/>
          <w:lang w:val="en-GB"/>
        </w:rPr>
        <w:t xml:space="preserve">19). In conclusion, Jäger’s model of CDA is most appropriate for this study, because it (1) is most in line with Foucault’s theory, (2) provides clear guidelines for the analytical steps to be taken, (3) is tailored towards an analysis of media discourses, and (4) is more focused on the production of texts and the actual texts themselves than on the reception of these texts by the audience. </w:t>
      </w:r>
    </w:p>
    <w:p w14:paraId="311412DF" w14:textId="77777777" w:rsidR="00B549D5" w:rsidRPr="00946EE6" w:rsidRDefault="00B549D5" w:rsidP="00E52F0F">
      <w:pPr>
        <w:spacing w:line="360" w:lineRule="auto"/>
        <w:ind w:left="-6" w:firstLine="733"/>
        <w:jc w:val="both"/>
        <w:rPr>
          <w:lang w:val="en-GB"/>
        </w:rPr>
      </w:pPr>
    </w:p>
    <w:p w14:paraId="6A24D571" w14:textId="63FF8DEF" w:rsidR="00B549D5" w:rsidRPr="00F0601B" w:rsidRDefault="00882D21" w:rsidP="00E52F0F">
      <w:pPr>
        <w:pStyle w:val="Heading2"/>
        <w:spacing w:line="360" w:lineRule="auto"/>
        <w:ind w:left="-6"/>
        <w:jc w:val="both"/>
        <w:rPr>
          <w:lang w:val="en-GB"/>
        </w:rPr>
      </w:pPr>
      <w:bookmarkStart w:id="41" w:name="h.ygtb9vl0ghp" w:colFirst="0" w:colLast="0"/>
      <w:bookmarkStart w:id="42" w:name="_Toc458983407"/>
      <w:bookmarkEnd w:id="41"/>
      <w:r>
        <w:rPr>
          <w:lang w:val="en-GB"/>
        </w:rPr>
        <w:t>4</w:t>
      </w:r>
      <w:r w:rsidR="00B549D5" w:rsidRPr="00F0601B">
        <w:rPr>
          <w:lang w:val="en-GB"/>
        </w:rPr>
        <w:t>.3. Jäger’s Critical Discourse Analysis</w:t>
      </w:r>
      <w:r w:rsidR="008B123A">
        <w:rPr>
          <w:lang w:val="en-GB"/>
        </w:rPr>
        <w:t xml:space="preserve"> approach</w:t>
      </w:r>
      <w:bookmarkEnd w:id="42"/>
    </w:p>
    <w:p w14:paraId="221D477D" w14:textId="0F6CB0D0" w:rsidR="00B549D5" w:rsidRPr="00946EE6" w:rsidRDefault="00B549D5" w:rsidP="00E52F0F">
      <w:pPr>
        <w:spacing w:after="0" w:line="360" w:lineRule="auto"/>
        <w:ind w:left="-6" w:firstLine="6"/>
        <w:jc w:val="both"/>
        <w:rPr>
          <w:lang w:val="en-GB"/>
        </w:rPr>
      </w:pPr>
      <w:r w:rsidRPr="00946EE6">
        <w:rPr>
          <w:rFonts w:eastAsia="Calibri" w:cs="Calibri"/>
          <w:lang w:val="en-GB"/>
        </w:rPr>
        <w:t>As stated, Siegfried Jäger is the leading figure of the Duisb</w:t>
      </w:r>
      <w:r w:rsidR="00F62D52">
        <w:rPr>
          <w:rFonts w:eastAsia="Calibri" w:cs="Calibri"/>
          <w:lang w:val="en-GB"/>
        </w:rPr>
        <w:t>urg School when it comes to CDA</w:t>
      </w:r>
      <w:r w:rsidRPr="00946EE6">
        <w:rPr>
          <w:rFonts w:eastAsia="Calibri" w:cs="Calibri"/>
          <w:lang w:val="en-GB"/>
        </w:rPr>
        <w:t xml:space="preserve">. Heavily influenced by Foucault’s thoughts, Jäger combined Foucault’s theory with </w:t>
      </w:r>
      <w:r>
        <w:rPr>
          <w:rFonts w:eastAsia="Calibri" w:cs="Calibri"/>
          <w:lang w:val="en-GB"/>
        </w:rPr>
        <w:t xml:space="preserve">Aleksej </w:t>
      </w:r>
      <w:r w:rsidRPr="00946EE6">
        <w:rPr>
          <w:rFonts w:eastAsia="Calibri" w:cs="Calibri"/>
          <w:lang w:val="en-GB"/>
        </w:rPr>
        <w:t xml:space="preserve">Leontjev’s activity theory (2004). Jäger’s starting point for developing a CDA approach was his dissatisfaction with both traditional linguistic and social research (Langer, 1998). Regarding the </w:t>
      </w:r>
      <w:r>
        <w:rPr>
          <w:rFonts w:eastAsia="Calibri" w:cs="Calibri"/>
          <w:lang w:val="en-GB"/>
        </w:rPr>
        <w:t>former</w:t>
      </w:r>
      <w:r w:rsidRPr="00946EE6">
        <w:rPr>
          <w:rFonts w:eastAsia="Calibri" w:cs="Calibri"/>
          <w:lang w:val="en-GB"/>
        </w:rPr>
        <w:t xml:space="preserve">, Jäger argues that it has become “independent </w:t>
      </w:r>
      <w:r w:rsidR="0079111A">
        <w:rPr>
          <w:rFonts w:eastAsia="Calibri" w:cs="Calibri"/>
          <w:lang w:val="en-GB"/>
        </w:rPr>
        <w:t xml:space="preserve">from social practice” (1994, </w:t>
      </w:r>
      <w:r w:rsidRPr="00946EE6">
        <w:rPr>
          <w:rFonts w:eastAsia="Calibri" w:cs="Calibri"/>
          <w:lang w:val="en-GB"/>
        </w:rPr>
        <w:t xml:space="preserve">13). Moreover, he criticises linguists for aiming for goals in line </w:t>
      </w:r>
      <w:r w:rsidRPr="00946EE6">
        <w:rPr>
          <w:rFonts w:eastAsia="Calibri" w:cs="Calibri"/>
          <w:lang w:val="en-GB"/>
        </w:rPr>
        <w:lastRenderedPageBreak/>
        <w:t>with qualitative research, while applying quantitative designs (</w:t>
      </w:r>
      <w:r w:rsidR="000D0AFD">
        <w:rPr>
          <w:rFonts w:eastAsia="Calibri" w:cs="Calibri"/>
          <w:lang w:val="en-GB"/>
        </w:rPr>
        <w:t>1994</w:t>
      </w:r>
      <w:r w:rsidRPr="00946EE6">
        <w:rPr>
          <w:rFonts w:eastAsia="Calibri" w:cs="Calibri"/>
          <w:lang w:val="en-GB"/>
        </w:rPr>
        <w:t>). Regarding the latter, he claims that social research lacks any formal meth</w:t>
      </w:r>
      <w:r w:rsidR="0079111A">
        <w:rPr>
          <w:rFonts w:eastAsia="Calibri" w:cs="Calibri"/>
          <w:lang w:val="en-GB"/>
        </w:rPr>
        <w:t xml:space="preserve">od for analysing text (2004, </w:t>
      </w:r>
      <w:r w:rsidRPr="00946EE6">
        <w:rPr>
          <w:rFonts w:eastAsia="Calibri" w:cs="Calibri"/>
          <w:lang w:val="en-GB"/>
        </w:rPr>
        <w:t>15). A combination</w:t>
      </w:r>
      <w:r>
        <w:rPr>
          <w:rFonts w:eastAsia="Calibri" w:cs="Calibri"/>
          <w:lang w:val="en-GB"/>
        </w:rPr>
        <w:t xml:space="preserve"> of Foucault’s thoughts</w:t>
      </w:r>
      <w:r w:rsidRPr="00946EE6">
        <w:rPr>
          <w:rFonts w:eastAsia="Calibri" w:cs="Calibri"/>
          <w:lang w:val="en-GB"/>
        </w:rPr>
        <w:t xml:space="preserve"> with the use of Le</w:t>
      </w:r>
      <w:r w:rsidR="00796B9A">
        <w:rPr>
          <w:rFonts w:eastAsia="Calibri" w:cs="Calibri"/>
          <w:lang w:val="en-GB"/>
        </w:rPr>
        <w:t>ontjev’s theory</w:t>
      </w:r>
      <w:r w:rsidRPr="00946EE6">
        <w:rPr>
          <w:rFonts w:eastAsia="Calibri" w:cs="Calibri"/>
          <w:lang w:val="en-GB"/>
        </w:rPr>
        <w:t xml:space="preserve"> would thus be best</w:t>
      </w:r>
      <w:r w:rsidR="008B123A">
        <w:rPr>
          <w:rFonts w:eastAsia="Calibri" w:cs="Calibri"/>
          <w:lang w:val="en-GB"/>
        </w:rPr>
        <w:t xml:space="preserve"> </w:t>
      </w:r>
      <w:r w:rsidRPr="00946EE6">
        <w:rPr>
          <w:rFonts w:eastAsia="Calibri" w:cs="Calibri"/>
          <w:lang w:val="en-GB"/>
        </w:rPr>
        <w:t xml:space="preserve">(2004). Leontjev redefines the relation between the person and society, and the relation between thinking, communicating, </w:t>
      </w:r>
      <w:r w:rsidR="0079111A">
        <w:rPr>
          <w:rFonts w:eastAsia="Calibri" w:cs="Calibri"/>
          <w:lang w:val="en-GB"/>
        </w:rPr>
        <w:t>and acting (Langer, 1998, 24-2</w:t>
      </w:r>
      <w:r w:rsidRPr="00946EE6">
        <w:rPr>
          <w:rFonts w:eastAsia="Calibri" w:cs="Calibri"/>
          <w:lang w:val="en-GB"/>
        </w:rPr>
        <w:t xml:space="preserve">5). In Leontjev’s theory, a person’s social and historical background is foundational for understanding how that person </w:t>
      </w:r>
      <w:r w:rsidR="000D0AFD">
        <w:rPr>
          <w:rFonts w:eastAsia="Calibri" w:cs="Calibri"/>
          <w:lang w:val="en-GB"/>
        </w:rPr>
        <w:t>acts, thinks, and communicates</w:t>
      </w:r>
      <w:r w:rsidRPr="00946EE6">
        <w:rPr>
          <w:rFonts w:eastAsia="Calibri" w:cs="Calibri"/>
          <w:lang w:val="en-GB"/>
        </w:rPr>
        <w:t>. In accordance, texts are considered expressions of personal and social work, of socio-historical discour</w:t>
      </w:r>
      <w:r w:rsidR="000D0AFD">
        <w:rPr>
          <w:rFonts w:eastAsia="Calibri" w:cs="Calibri"/>
          <w:lang w:val="en-GB"/>
        </w:rPr>
        <w:t>ses regarding a specific topic</w:t>
      </w:r>
      <w:r w:rsidRPr="00946EE6">
        <w:rPr>
          <w:rFonts w:eastAsia="Calibri" w:cs="Calibri"/>
          <w:lang w:val="en-GB"/>
        </w:rPr>
        <w:t xml:space="preserve">. For Jäger, all objects only have meaning insofar </w:t>
      </w:r>
      <w:r>
        <w:rPr>
          <w:rFonts w:eastAsia="Calibri" w:cs="Calibri"/>
          <w:lang w:val="en-GB"/>
        </w:rPr>
        <w:t>as humans have, at some point in</w:t>
      </w:r>
      <w:r w:rsidRPr="00946EE6">
        <w:rPr>
          <w:rFonts w:eastAsia="Calibri" w:cs="Calibri"/>
          <w:lang w:val="en-GB"/>
        </w:rPr>
        <w:t xml:space="preserve"> time, assigned meaning to them (Jäger </w:t>
      </w:r>
      <w:r w:rsidR="00BE553E">
        <w:rPr>
          <w:rFonts w:eastAsia="Calibri" w:cs="Calibri"/>
          <w:lang w:val="en-GB"/>
        </w:rPr>
        <w:t>and</w:t>
      </w:r>
      <w:r w:rsidR="000D0AFD">
        <w:rPr>
          <w:rFonts w:eastAsia="Calibri" w:cs="Calibri"/>
          <w:lang w:val="en-GB"/>
        </w:rPr>
        <w:t xml:space="preserve"> </w:t>
      </w:r>
      <w:r w:rsidR="00B352AC">
        <w:rPr>
          <w:rFonts w:eastAsia="Calibri" w:cs="Calibri"/>
          <w:lang w:val="en-GB"/>
        </w:rPr>
        <w:t>Maier</w:t>
      </w:r>
      <w:r w:rsidR="0079111A">
        <w:rPr>
          <w:rFonts w:eastAsia="Calibri" w:cs="Calibri"/>
          <w:lang w:val="en-GB"/>
        </w:rPr>
        <w:t xml:space="preserve">, 2009, </w:t>
      </w:r>
      <w:r w:rsidRPr="00946EE6">
        <w:rPr>
          <w:rFonts w:eastAsia="Calibri" w:cs="Calibri"/>
          <w:lang w:val="en-GB"/>
        </w:rPr>
        <w:t xml:space="preserve">42). He even goes so far as to argue that an “object that is not assigned any meaning is not an object.” </w:t>
      </w:r>
      <w:r w:rsidR="0079111A">
        <w:rPr>
          <w:rFonts w:eastAsia="Calibri" w:cs="Calibri"/>
          <w:lang w:val="en-GB"/>
        </w:rPr>
        <w:t>(2009,</w:t>
      </w:r>
      <w:r w:rsidR="000D0AFD">
        <w:rPr>
          <w:rFonts w:eastAsia="Calibri" w:cs="Calibri"/>
          <w:lang w:val="en-GB"/>
        </w:rPr>
        <w:t xml:space="preserve"> 42) </w:t>
      </w:r>
      <w:r w:rsidRPr="00946EE6">
        <w:rPr>
          <w:rFonts w:eastAsia="Calibri" w:cs="Calibri"/>
          <w:lang w:val="en-GB"/>
        </w:rPr>
        <w:t>Jäger illumina</w:t>
      </w:r>
      <w:r w:rsidR="006326DC">
        <w:rPr>
          <w:rFonts w:eastAsia="Calibri" w:cs="Calibri"/>
          <w:lang w:val="en-GB"/>
        </w:rPr>
        <w:t>tes what he means with an</w:t>
      </w:r>
      <w:r w:rsidRPr="00946EE6">
        <w:rPr>
          <w:rFonts w:eastAsia="Calibri" w:cs="Calibri"/>
          <w:lang w:val="en-GB"/>
        </w:rPr>
        <w:t xml:space="preserve"> example: when walking in the woods, one may see a red spot, but not know whether it is a flower, a bird, or “the recently dyed hair of Lothar Matthäus [a former football player of the German national team]” (</w:t>
      </w:r>
      <w:r w:rsidR="000D0AFD">
        <w:rPr>
          <w:rFonts w:eastAsia="Calibri" w:cs="Calibri"/>
          <w:lang w:val="en-GB"/>
        </w:rPr>
        <w:t>2009</w:t>
      </w:r>
      <w:r w:rsidR="0079111A">
        <w:rPr>
          <w:rFonts w:eastAsia="Calibri" w:cs="Calibri"/>
          <w:lang w:val="en-GB"/>
        </w:rPr>
        <w:t>,</w:t>
      </w:r>
      <w:r w:rsidR="000D0AFD">
        <w:rPr>
          <w:rFonts w:eastAsia="Calibri" w:cs="Calibri"/>
          <w:lang w:val="en-GB"/>
        </w:rPr>
        <w:t xml:space="preserve"> 42</w:t>
      </w:r>
      <w:r w:rsidRPr="00946EE6">
        <w:rPr>
          <w:rFonts w:eastAsia="Calibri" w:cs="Calibri"/>
          <w:lang w:val="en-GB"/>
        </w:rPr>
        <w:t>). Until I know, for e</w:t>
      </w:r>
      <w:r w:rsidR="006326DC">
        <w:rPr>
          <w:rFonts w:eastAsia="Calibri" w:cs="Calibri"/>
          <w:lang w:val="en-GB"/>
        </w:rPr>
        <w:t xml:space="preserve">xample because someone </w:t>
      </w:r>
      <w:r>
        <w:rPr>
          <w:rFonts w:eastAsia="Calibri" w:cs="Calibri"/>
          <w:lang w:val="en-GB"/>
        </w:rPr>
        <w:t>told me</w:t>
      </w:r>
      <w:r w:rsidRPr="00946EE6">
        <w:rPr>
          <w:rFonts w:eastAsia="Calibri" w:cs="Calibri"/>
          <w:lang w:val="en-GB"/>
        </w:rPr>
        <w:t xml:space="preserve"> that it is the hair of Matthäus, it only has th</w:t>
      </w:r>
      <w:r w:rsidR="000D0AFD">
        <w:rPr>
          <w:rFonts w:eastAsia="Calibri" w:cs="Calibri"/>
          <w:lang w:val="en-GB"/>
        </w:rPr>
        <w:t>e meaning of a red spot for me</w:t>
      </w:r>
      <w:r w:rsidRPr="00946EE6">
        <w:rPr>
          <w:rFonts w:eastAsia="Calibri" w:cs="Calibri"/>
          <w:lang w:val="en-GB"/>
        </w:rPr>
        <w:t>. In conclusion, according to Jäger it is only because we make reality meaningful that this me</w:t>
      </w:r>
      <w:r w:rsidR="000D0AFD">
        <w:rPr>
          <w:rFonts w:eastAsia="Calibri" w:cs="Calibri"/>
          <w:lang w:val="en-GB"/>
        </w:rPr>
        <w:t>aningful reality exists for us</w:t>
      </w:r>
      <w:r w:rsidRPr="00946EE6">
        <w:rPr>
          <w:rFonts w:eastAsia="Calibri" w:cs="Calibri"/>
          <w:lang w:val="en-GB"/>
        </w:rPr>
        <w:t>. In accordance, when we assign a different meaning to an object, i.e. if the discourse changes, the object changes</w:t>
      </w:r>
      <w:r w:rsidR="00B352AC">
        <w:rPr>
          <w:rFonts w:eastAsia="Calibri" w:cs="Calibri"/>
          <w:lang w:val="en-GB"/>
        </w:rPr>
        <w:t>; it gains another identity (2009</w:t>
      </w:r>
      <w:r w:rsidR="0079111A">
        <w:rPr>
          <w:rFonts w:eastAsia="Calibri" w:cs="Calibri"/>
          <w:lang w:val="en-GB"/>
        </w:rPr>
        <w:t xml:space="preserve">, </w:t>
      </w:r>
      <w:r w:rsidRPr="00946EE6">
        <w:rPr>
          <w:rFonts w:eastAsia="Calibri" w:cs="Calibri"/>
          <w:lang w:val="en-GB"/>
        </w:rPr>
        <w:t>43). All in all, then, what connects discourse and reality is the subject: through the activity of the subject the discourses become reality, though it is not through a specific intention of the subjects (</w:t>
      </w:r>
      <w:r w:rsidR="00B352AC">
        <w:rPr>
          <w:rFonts w:eastAsia="Calibri" w:cs="Calibri"/>
          <w:lang w:val="en-GB"/>
        </w:rPr>
        <w:t>2009</w:t>
      </w:r>
      <w:r w:rsidR="0079111A">
        <w:rPr>
          <w:rFonts w:eastAsia="Calibri" w:cs="Calibri"/>
          <w:lang w:val="en-GB"/>
        </w:rPr>
        <w:t xml:space="preserve">, </w:t>
      </w:r>
      <w:r w:rsidRPr="00946EE6">
        <w:rPr>
          <w:rFonts w:eastAsia="Calibri" w:cs="Calibri"/>
          <w:lang w:val="en-GB"/>
        </w:rPr>
        <w:t xml:space="preserve">45). Discourses thus function as the manifestations of the meanings of objects, by which they constitute and are constituted by reality. </w:t>
      </w:r>
    </w:p>
    <w:p w14:paraId="584C4E6A" w14:textId="77777777" w:rsidR="00B549D5" w:rsidRPr="00946EE6" w:rsidRDefault="00B549D5" w:rsidP="00E52F0F">
      <w:pPr>
        <w:spacing w:line="360" w:lineRule="auto"/>
        <w:ind w:left="-6"/>
        <w:jc w:val="both"/>
        <w:rPr>
          <w:lang w:val="en-GB"/>
        </w:rPr>
      </w:pPr>
    </w:p>
    <w:p w14:paraId="026927B5" w14:textId="3658DA3D" w:rsidR="00B549D5" w:rsidRPr="00F0601B" w:rsidRDefault="00882D21" w:rsidP="00E52F0F">
      <w:pPr>
        <w:pStyle w:val="Heading3"/>
        <w:spacing w:line="360" w:lineRule="auto"/>
        <w:ind w:left="-6"/>
        <w:jc w:val="both"/>
        <w:rPr>
          <w:lang w:val="en-GB"/>
        </w:rPr>
      </w:pPr>
      <w:bookmarkStart w:id="43" w:name="h.5fhrjoxtgjrz" w:colFirst="0" w:colLast="0"/>
      <w:bookmarkStart w:id="44" w:name="_Toc458983408"/>
      <w:bookmarkEnd w:id="43"/>
      <w:r>
        <w:rPr>
          <w:lang w:val="en-GB"/>
        </w:rPr>
        <w:t>4</w:t>
      </w:r>
      <w:r w:rsidR="00032AFF">
        <w:rPr>
          <w:lang w:val="en-GB"/>
        </w:rPr>
        <w:t>.3.1</w:t>
      </w:r>
      <w:r w:rsidR="006326DC">
        <w:rPr>
          <w:lang w:val="en-GB"/>
        </w:rPr>
        <w:t xml:space="preserve">. </w:t>
      </w:r>
      <w:r w:rsidR="00032AFF">
        <w:rPr>
          <w:lang w:val="en-GB"/>
        </w:rPr>
        <w:t>The s</w:t>
      </w:r>
      <w:r w:rsidR="00B549D5" w:rsidRPr="00F0601B">
        <w:rPr>
          <w:lang w:val="en-GB"/>
        </w:rPr>
        <w:t xml:space="preserve">tructure of </w:t>
      </w:r>
      <w:r w:rsidR="00032AFF">
        <w:rPr>
          <w:lang w:val="en-GB"/>
        </w:rPr>
        <w:t>d</w:t>
      </w:r>
      <w:r w:rsidR="00B549D5" w:rsidRPr="00F0601B">
        <w:rPr>
          <w:lang w:val="en-GB"/>
        </w:rPr>
        <w:t>iscourse</w:t>
      </w:r>
      <w:bookmarkEnd w:id="44"/>
    </w:p>
    <w:p w14:paraId="1724ED26" w14:textId="53967F3A" w:rsidR="00B549D5" w:rsidRPr="00946EE6" w:rsidRDefault="00B549D5" w:rsidP="00E52F0F">
      <w:pPr>
        <w:spacing w:after="0" w:line="360" w:lineRule="auto"/>
        <w:ind w:left="-6"/>
        <w:jc w:val="both"/>
        <w:rPr>
          <w:lang w:val="en-GB"/>
        </w:rPr>
      </w:pPr>
      <w:r w:rsidRPr="00946EE6">
        <w:rPr>
          <w:rFonts w:eastAsia="Calibri" w:cs="Calibri"/>
          <w:lang w:val="en-GB"/>
        </w:rPr>
        <w:t>Before actually analysing, Jäger argues we should make the structure of discourses</w:t>
      </w:r>
      <w:r>
        <w:rPr>
          <w:rFonts w:eastAsia="Calibri" w:cs="Calibri"/>
          <w:lang w:val="en-GB"/>
        </w:rPr>
        <w:t xml:space="preserve"> more</w:t>
      </w:r>
      <w:r w:rsidR="0079111A">
        <w:rPr>
          <w:rFonts w:eastAsia="Calibri" w:cs="Calibri"/>
          <w:lang w:val="en-GB"/>
        </w:rPr>
        <w:t xml:space="preserve"> transparent (2009, </w:t>
      </w:r>
      <w:r w:rsidRPr="00946EE6">
        <w:rPr>
          <w:rFonts w:eastAsia="Calibri" w:cs="Calibri"/>
          <w:lang w:val="en-GB"/>
        </w:rPr>
        <w:t xml:space="preserve">46). </w:t>
      </w:r>
      <w:r>
        <w:rPr>
          <w:rFonts w:eastAsia="Calibri" w:cs="Calibri"/>
          <w:lang w:val="en-GB"/>
        </w:rPr>
        <w:t xml:space="preserve">With this he means that we should have an idea of the different elements that may be part of a discourse. Basically, the structure of discourse is the theory behind the method; without having an idea what we are researching, it is difficult to know how to research it. Hence, Jäger </w:t>
      </w:r>
      <w:r w:rsidRPr="00946EE6">
        <w:rPr>
          <w:rFonts w:eastAsia="Calibri" w:cs="Calibri"/>
          <w:lang w:val="en-GB"/>
        </w:rPr>
        <w:t>provides some terminologically pragmatic suggestions that help to identify the different aspects of discours</w:t>
      </w:r>
      <w:r w:rsidR="006326DC">
        <w:rPr>
          <w:rFonts w:eastAsia="Calibri" w:cs="Calibri"/>
          <w:lang w:val="en-GB"/>
        </w:rPr>
        <w:t xml:space="preserve">es, moving from broader to </w:t>
      </w:r>
      <w:r w:rsidRPr="00946EE6">
        <w:rPr>
          <w:rFonts w:eastAsia="Calibri" w:cs="Calibri"/>
          <w:lang w:val="en-GB"/>
        </w:rPr>
        <w:t>narrow</w:t>
      </w:r>
      <w:r w:rsidR="006326DC">
        <w:rPr>
          <w:rFonts w:eastAsia="Calibri" w:cs="Calibri"/>
          <w:lang w:val="en-GB"/>
        </w:rPr>
        <w:t>er</w:t>
      </w:r>
      <w:r w:rsidRPr="00946EE6">
        <w:rPr>
          <w:rFonts w:eastAsia="Calibri" w:cs="Calibri"/>
          <w:lang w:val="en-GB"/>
        </w:rPr>
        <w:t xml:space="preserve"> elements of discourses (</w:t>
      </w:r>
      <w:r w:rsidR="00B352AC">
        <w:rPr>
          <w:rFonts w:eastAsia="Calibri" w:cs="Calibri"/>
          <w:lang w:val="en-GB"/>
        </w:rPr>
        <w:t>2009</w:t>
      </w:r>
      <w:r w:rsidRPr="00946EE6">
        <w:rPr>
          <w:rFonts w:eastAsia="Calibri" w:cs="Calibri"/>
          <w:lang w:val="en-GB"/>
        </w:rPr>
        <w:t>).</w:t>
      </w:r>
    </w:p>
    <w:p w14:paraId="7EAA8C97" w14:textId="4F27D70B" w:rsidR="00B549D5" w:rsidRPr="00946EE6" w:rsidRDefault="00386988" w:rsidP="00E52F0F">
      <w:pPr>
        <w:tabs>
          <w:tab w:val="left" w:pos="3190"/>
        </w:tabs>
        <w:spacing w:after="0" w:line="360" w:lineRule="auto"/>
        <w:ind w:left="-6"/>
        <w:jc w:val="both"/>
        <w:rPr>
          <w:lang w:val="en-GB"/>
        </w:rPr>
      </w:pPr>
      <w:r>
        <w:rPr>
          <w:lang w:val="en-GB"/>
        </w:rPr>
        <w:tab/>
      </w:r>
    </w:p>
    <w:p w14:paraId="6FE08021" w14:textId="77777777" w:rsidR="00B549D5" w:rsidRPr="00946EE6" w:rsidRDefault="00B549D5" w:rsidP="00E52F0F">
      <w:pPr>
        <w:spacing w:after="0" w:line="360" w:lineRule="auto"/>
        <w:ind w:left="-6"/>
        <w:jc w:val="both"/>
        <w:rPr>
          <w:lang w:val="en-GB"/>
        </w:rPr>
      </w:pPr>
      <w:r w:rsidRPr="00946EE6">
        <w:rPr>
          <w:rFonts w:eastAsia="Calibri" w:cs="Calibri"/>
          <w:u w:val="single"/>
          <w:lang w:val="en-GB"/>
        </w:rPr>
        <w:t>Discourse planes</w:t>
      </w:r>
    </w:p>
    <w:p w14:paraId="12A054D2" w14:textId="72E4569D" w:rsidR="00B549D5" w:rsidRPr="00946EE6" w:rsidRDefault="00B549D5" w:rsidP="00E52F0F">
      <w:pPr>
        <w:spacing w:after="0" w:line="360" w:lineRule="auto"/>
        <w:ind w:left="-6"/>
        <w:jc w:val="both"/>
        <w:rPr>
          <w:lang w:val="en-GB"/>
        </w:rPr>
      </w:pPr>
      <w:r w:rsidRPr="00946EE6">
        <w:rPr>
          <w:rFonts w:eastAsia="Calibri" w:cs="Calibri"/>
          <w:lang w:val="en-GB"/>
        </w:rPr>
        <w:t>The broadest concept central to Jäger’s approach is a discourse plane. With this term he means those spheres in which discourses take place; for example</w:t>
      </w:r>
      <w:r w:rsidR="006326DC">
        <w:rPr>
          <w:rFonts w:eastAsia="Calibri" w:cs="Calibri"/>
          <w:lang w:val="en-GB"/>
        </w:rPr>
        <w:t>,</w:t>
      </w:r>
      <w:r w:rsidRPr="00946EE6">
        <w:rPr>
          <w:rFonts w:eastAsia="Calibri" w:cs="Calibri"/>
          <w:lang w:val="en-GB"/>
        </w:rPr>
        <w:t xml:space="preserve"> politics, education, business life, or media. Discourse planes are </w:t>
      </w:r>
      <w:r w:rsidR="006326DC">
        <w:rPr>
          <w:rFonts w:eastAsia="Calibri" w:cs="Calibri"/>
          <w:lang w:val="en-GB"/>
        </w:rPr>
        <w:t>interconnected</w:t>
      </w:r>
      <w:r w:rsidRPr="00946EE6">
        <w:rPr>
          <w:rFonts w:eastAsia="Calibri" w:cs="Calibri"/>
          <w:lang w:val="en-GB"/>
        </w:rPr>
        <w:t xml:space="preserve">: what is said in politics may have an impact on what is said in the media, and vice versa. Regarding the discourse plane that is specific to this study, media, Jäger </w:t>
      </w:r>
      <w:r w:rsidR="00F62D52">
        <w:rPr>
          <w:rFonts w:eastAsia="Calibri" w:cs="Calibri"/>
          <w:lang w:val="en-GB"/>
        </w:rPr>
        <w:t>justifies its categorisation as a plane</w:t>
      </w:r>
      <w:r w:rsidR="006326DC">
        <w:rPr>
          <w:rFonts w:eastAsia="Calibri" w:cs="Calibri"/>
          <w:lang w:val="en-GB"/>
        </w:rPr>
        <w:t xml:space="preserve"> in the following way</w:t>
      </w:r>
      <w:r w:rsidRPr="00946EE6">
        <w:rPr>
          <w:rFonts w:eastAsia="Calibri" w:cs="Calibri"/>
          <w:lang w:val="en-GB"/>
        </w:rPr>
        <w:t xml:space="preserve">. </w:t>
      </w:r>
      <w:r w:rsidR="00A175DB">
        <w:rPr>
          <w:rFonts w:eastAsia="Calibri" w:cs="Calibri"/>
          <w:lang w:val="en-GB"/>
        </w:rPr>
        <w:t>A</w:t>
      </w:r>
      <w:r>
        <w:rPr>
          <w:rFonts w:eastAsia="Calibri" w:cs="Calibri"/>
          <w:lang w:val="en-GB"/>
        </w:rPr>
        <w:t>l</w:t>
      </w:r>
      <w:r w:rsidRPr="00946EE6">
        <w:rPr>
          <w:rFonts w:eastAsia="Calibri" w:cs="Calibri"/>
          <w:lang w:val="en-GB"/>
        </w:rPr>
        <w:t xml:space="preserve">though some media outlets are renowned for having a leading role, i.e. for providing news that is taken over by other media outlets, they themselves also take over information that has already been published by other media. Because information in different media outlets, especially the </w:t>
      </w:r>
      <w:r w:rsidRPr="00946EE6">
        <w:rPr>
          <w:rFonts w:eastAsia="Calibri" w:cs="Calibri"/>
          <w:lang w:val="en-GB"/>
        </w:rPr>
        <w:lastRenderedPageBreak/>
        <w:t>dominant ones, are thus usually similar, the media can be considered as rather uniform, and thus as a plane.</w:t>
      </w:r>
      <w:r>
        <w:rPr>
          <w:rFonts w:eastAsia="Calibri" w:cs="Calibri"/>
          <w:lang w:val="en-GB"/>
        </w:rPr>
        <w:t xml:space="preserve"> I provide a characterisation of the discourse plane medi</w:t>
      </w:r>
      <w:r w:rsidR="00A175DB">
        <w:rPr>
          <w:rFonts w:eastAsia="Calibri" w:cs="Calibri"/>
          <w:lang w:val="en-GB"/>
        </w:rPr>
        <w:t>a in the next chapter, section 5</w:t>
      </w:r>
      <w:r>
        <w:rPr>
          <w:rFonts w:eastAsia="Calibri" w:cs="Calibri"/>
          <w:lang w:val="en-GB"/>
        </w:rPr>
        <w:t xml:space="preserve">.1. </w:t>
      </w:r>
      <w:r w:rsidR="00057F07">
        <w:rPr>
          <w:rFonts w:eastAsia="Calibri" w:cs="Calibri"/>
          <w:lang w:val="en-GB"/>
        </w:rPr>
        <w:t>Within each plane, there are several sectors. For example, in the case of media, there are television and radio broadcasts, social media websites, newspapers, et cetera. Within each sector, there are several media outlets; for example in the sector newspapers there is the Daily Mail, the New York Times, the Guardian, and others. Each of these media has a discourse position.</w:t>
      </w:r>
    </w:p>
    <w:p w14:paraId="2BE2C63F" w14:textId="77777777" w:rsidR="00B549D5" w:rsidRPr="00946EE6" w:rsidRDefault="00B549D5" w:rsidP="00E52F0F">
      <w:pPr>
        <w:spacing w:after="0" w:line="360" w:lineRule="auto"/>
        <w:ind w:left="-6"/>
        <w:jc w:val="both"/>
        <w:rPr>
          <w:lang w:val="en-GB"/>
        </w:rPr>
      </w:pPr>
    </w:p>
    <w:p w14:paraId="35DC1D14" w14:textId="77777777" w:rsidR="00B549D5" w:rsidRPr="00946EE6" w:rsidRDefault="00B549D5" w:rsidP="00E52F0F">
      <w:pPr>
        <w:spacing w:after="0" w:line="360" w:lineRule="auto"/>
        <w:ind w:left="-6"/>
        <w:jc w:val="both"/>
        <w:rPr>
          <w:lang w:val="en-GB"/>
        </w:rPr>
      </w:pPr>
      <w:r w:rsidRPr="00946EE6">
        <w:rPr>
          <w:rFonts w:eastAsia="Calibri" w:cs="Calibri"/>
          <w:u w:val="single"/>
          <w:lang w:val="en-GB"/>
        </w:rPr>
        <w:t>Discourse position</w:t>
      </w:r>
    </w:p>
    <w:p w14:paraId="585458F6" w14:textId="44421B66" w:rsidR="00B549D5" w:rsidRPr="00946EE6" w:rsidRDefault="00B549D5" w:rsidP="00E52F0F">
      <w:pPr>
        <w:spacing w:after="0" w:line="360" w:lineRule="auto"/>
        <w:ind w:left="-6"/>
        <w:jc w:val="both"/>
        <w:rPr>
          <w:lang w:val="en-GB"/>
        </w:rPr>
      </w:pPr>
      <w:r w:rsidRPr="00946EE6">
        <w:rPr>
          <w:rFonts w:eastAsia="Calibri" w:cs="Calibri"/>
          <w:lang w:val="en-GB"/>
        </w:rPr>
        <w:t>A discourse position is the “position from which subjects, including individuals, groups and institutions, participate in and evaluate discourse.” (</w:t>
      </w:r>
      <w:r w:rsidR="00B352AC">
        <w:rPr>
          <w:rFonts w:eastAsia="Calibri" w:cs="Calibri"/>
          <w:lang w:val="en-GB"/>
        </w:rPr>
        <w:t xml:space="preserve">Jäger </w:t>
      </w:r>
      <w:r w:rsidR="00BE553E">
        <w:rPr>
          <w:rFonts w:eastAsia="Calibri" w:cs="Calibri"/>
          <w:lang w:val="en-GB"/>
        </w:rPr>
        <w:t>and</w:t>
      </w:r>
      <w:r w:rsidR="00B352AC">
        <w:rPr>
          <w:rFonts w:eastAsia="Calibri" w:cs="Calibri"/>
          <w:lang w:val="en-GB"/>
        </w:rPr>
        <w:t xml:space="preserve"> Maier, 2009</w:t>
      </w:r>
      <w:r w:rsidR="0079111A">
        <w:rPr>
          <w:rFonts w:eastAsia="Calibri" w:cs="Calibri"/>
          <w:lang w:val="en-GB"/>
        </w:rPr>
        <w:t xml:space="preserve">, </w:t>
      </w:r>
      <w:r w:rsidRPr="00946EE6">
        <w:rPr>
          <w:rFonts w:eastAsia="Calibri" w:cs="Calibri"/>
          <w:lang w:val="en-GB"/>
        </w:rPr>
        <w:t xml:space="preserve">49) </w:t>
      </w:r>
      <w:r w:rsidR="00057F07">
        <w:rPr>
          <w:rFonts w:eastAsia="Calibri" w:cs="Calibri"/>
          <w:lang w:val="en-GB"/>
        </w:rPr>
        <w:t xml:space="preserve">The discourse position of a medium such as the Guardian </w:t>
      </w:r>
      <w:r w:rsidRPr="00946EE6">
        <w:rPr>
          <w:rFonts w:eastAsia="Calibri" w:cs="Calibri"/>
          <w:lang w:val="en-GB"/>
        </w:rPr>
        <w:t>can be seen in t</w:t>
      </w:r>
      <w:r w:rsidR="00824EBB">
        <w:rPr>
          <w:rFonts w:eastAsia="Calibri" w:cs="Calibri"/>
          <w:lang w:val="en-GB"/>
        </w:rPr>
        <w:t>he framing and description of particular events</w:t>
      </w:r>
      <w:r w:rsidRPr="00946EE6">
        <w:rPr>
          <w:rFonts w:eastAsia="Calibri" w:cs="Calibri"/>
          <w:lang w:val="en-GB"/>
        </w:rPr>
        <w:t xml:space="preserve">. </w:t>
      </w:r>
      <w:r w:rsidR="00057F07">
        <w:rPr>
          <w:rFonts w:eastAsia="Calibri" w:cs="Calibri"/>
          <w:lang w:val="en-GB"/>
        </w:rPr>
        <w:t xml:space="preserve">For example, it may </w:t>
      </w:r>
      <w:r w:rsidR="00824EBB">
        <w:rPr>
          <w:rFonts w:eastAsia="Calibri" w:cs="Calibri"/>
          <w:lang w:val="en-GB"/>
        </w:rPr>
        <w:t xml:space="preserve">be progressive or conservative. </w:t>
      </w:r>
      <w:r w:rsidRPr="00946EE6">
        <w:rPr>
          <w:rFonts w:eastAsia="Calibri" w:cs="Calibri"/>
          <w:lang w:val="en-GB"/>
        </w:rPr>
        <w:t>The discourse position of subjects is itself formed by the discourses they are enmeshed in (</w:t>
      </w:r>
      <w:r w:rsidR="0079111A">
        <w:rPr>
          <w:rFonts w:eastAsia="Calibri" w:cs="Calibri"/>
          <w:lang w:val="en-GB"/>
        </w:rPr>
        <w:t>2009, 4</w:t>
      </w:r>
      <w:r w:rsidR="00B352AC">
        <w:rPr>
          <w:rFonts w:eastAsia="Calibri" w:cs="Calibri"/>
          <w:lang w:val="en-GB"/>
        </w:rPr>
        <w:t>9</w:t>
      </w:r>
      <w:r w:rsidRPr="00946EE6">
        <w:rPr>
          <w:rFonts w:eastAsia="Calibri" w:cs="Calibri"/>
          <w:lang w:val="en-GB"/>
        </w:rPr>
        <w:t>). And, in line with Foucault’s theory, the subjects produce and reproduce t</w:t>
      </w:r>
      <w:r w:rsidR="00B352AC">
        <w:rPr>
          <w:rFonts w:eastAsia="Calibri" w:cs="Calibri"/>
          <w:lang w:val="en-GB"/>
        </w:rPr>
        <w:t>he</w:t>
      </w:r>
      <w:r w:rsidR="00A175DB">
        <w:rPr>
          <w:rFonts w:eastAsia="Calibri" w:cs="Calibri"/>
          <w:lang w:val="en-GB"/>
        </w:rPr>
        <w:t>se</w:t>
      </w:r>
      <w:r w:rsidR="00B352AC">
        <w:rPr>
          <w:rFonts w:eastAsia="Calibri" w:cs="Calibri"/>
          <w:lang w:val="en-GB"/>
        </w:rPr>
        <w:t xml:space="preserve"> discourse positions as well</w:t>
      </w:r>
      <w:r w:rsidRPr="00946EE6">
        <w:rPr>
          <w:rFonts w:eastAsia="Calibri" w:cs="Calibri"/>
          <w:lang w:val="en-GB"/>
        </w:rPr>
        <w:t>. Regarding the discourse positions of various media, people can usually indicate if a newspaper tends toward the progressive, conservative, or centre (</w:t>
      </w:r>
      <w:r w:rsidR="00B352AC">
        <w:rPr>
          <w:rFonts w:eastAsia="Calibri" w:cs="Calibri"/>
          <w:lang w:val="en-GB"/>
        </w:rPr>
        <w:t>2009</w:t>
      </w:r>
      <w:r w:rsidR="0079111A">
        <w:rPr>
          <w:rFonts w:eastAsia="Calibri" w:cs="Calibri"/>
          <w:lang w:val="en-GB"/>
        </w:rPr>
        <w:t xml:space="preserve">, </w:t>
      </w:r>
      <w:r w:rsidRPr="00946EE6">
        <w:rPr>
          <w:rFonts w:eastAsia="Calibri" w:cs="Calibri"/>
          <w:lang w:val="en-GB"/>
        </w:rPr>
        <w:t xml:space="preserve">50). </w:t>
      </w:r>
    </w:p>
    <w:p w14:paraId="36E5C742" w14:textId="1226855B" w:rsidR="00B549D5" w:rsidRPr="00946EE6" w:rsidRDefault="00824EBB" w:rsidP="00E52F0F">
      <w:pPr>
        <w:spacing w:after="0" w:line="360" w:lineRule="auto"/>
        <w:ind w:left="-6" w:firstLine="733"/>
        <w:jc w:val="both"/>
        <w:rPr>
          <w:lang w:val="en-GB"/>
        </w:rPr>
      </w:pPr>
      <w:r>
        <w:rPr>
          <w:rFonts w:eastAsia="Calibri" w:cs="Calibri"/>
          <w:lang w:val="en-GB"/>
        </w:rPr>
        <w:t>Nevertheless</w:t>
      </w:r>
      <w:r w:rsidR="00B549D5" w:rsidRPr="00946EE6">
        <w:rPr>
          <w:rFonts w:eastAsia="Calibri" w:cs="Calibri"/>
          <w:lang w:val="en-GB"/>
        </w:rPr>
        <w:t>, discourse positions are only homogenous in their core, and may become diffuse when concerned with less central issues (</w:t>
      </w:r>
      <w:r w:rsidR="0079111A">
        <w:rPr>
          <w:rFonts w:eastAsia="Calibri" w:cs="Calibri"/>
          <w:lang w:val="en-GB"/>
        </w:rPr>
        <w:t xml:space="preserve">2009, </w:t>
      </w:r>
      <w:r w:rsidR="00B352AC">
        <w:rPr>
          <w:rFonts w:eastAsia="Calibri" w:cs="Calibri"/>
          <w:lang w:val="en-GB"/>
        </w:rPr>
        <w:t>50</w:t>
      </w:r>
      <w:r w:rsidR="00B549D5" w:rsidRPr="00946EE6">
        <w:rPr>
          <w:rFonts w:eastAsia="Calibri" w:cs="Calibri"/>
          <w:lang w:val="en-GB"/>
        </w:rPr>
        <w:t>). Hence, people may, for example, agree that it is important to take better care of the earth, but they may disagree on what the best methods to do so are.</w:t>
      </w:r>
      <w:r w:rsidR="00B549D5">
        <w:rPr>
          <w:rFonts w:eastAsia="Calibri" w:cs="Calibri"/>
          <w:lang w:val="en-GB"/>
        </w:rPr>
        <w:t xml:space="preserve"> In the case of a newspaper such as the Guardian, this </w:t>
      </w:r>
      <w:r>
        <w:rPr>
          <w:rFonts w:eastAsia="Calibri" w:cs="Calibri"/>
          <w:lang w:val="en-GB"/>
        </w:rPr>
        <w:t>can</w:t>
      </w:r>
      <w:r w:rsidR="00B549D5">
        <w:rPr>
          <w:rFonts w:eastAsia="Calibri" w:cs="Calibri"/>
          <w:lang w:val="en-GB"/>
        </w:rPr>
        <w:t xml:space="preserve"> mean it believes objectivity is important, but that the writers and editors disagree </w:t>
      </w:r>
      <w:r>
        <w:rPr>
          <w:rFonts w:eastAsia="Calibri" w:cs="Calibri"/>
          <w:lang w:val="en-GB"/>
        </w:rPr>
        <w:t>on</w:t>
      </w:r>
      <w:r w:rsidR="00B549D5">
        <w:rPr>
          <w:rFonts w:eastAsia="Calibri" w:cs="Calibri"/>
          <w:lang w:val="en-GB"/>
        </w:rPr>
        <w:t xml:space="preserve"> how this is best achieved. What the discourse position of the Guardian is I present i</w:t>
      </w:r>
      <w:r>
        <w:rPr>
          <w:rFonts w:eastAsia="Calibri" w:cs="Calibri"/>
          <w:lang w:val="en-GB"/>
        </w:rPr>
        <w:t>n the results chapter, section 5.2</w:t>
      </w:r>
      <w:r w:rsidR="00B549D5">
        <w:rPr>
          <w:rFonts w:eastAsia="Calibri" w:cs="Calibri"/>
          <w:lang w:val="en-GB"/>
        </w:rPr>
        <w:t>.</w:t>
      </w:r>
    </w:p>
    <w:p w14:paraId="281A0C6A" w14:textId="77777777" w:rsidR="00B549D5" w:rsidRDefault="00B549D5" w:rsidP="00E52F0F">
      <w:pPr>
        <w:spacing w:after="0" w:line="360" w:lineRule="auto"/>
        <w:ind w:left="-6"/>
        <w:jc w:val="both"/>
        <w:rPr>
          <w:lang w:val="en-GB"/>
        </w:rPr>
      </w:pPr>
    </w:p>
    <w:p w14:paraId="0A5B0565" w14:textId="77777777" w:rsidR="00B549D5" w:rsidRPr="001B4A91" w:rsidRDefault="00B549D5" w:rsidP="00E52F0F">
      <w:pPr>
        <w:spacing w:after="0" w:line="360" w:lineRule="auto"/>
        <w:ind w:left="-6"/>
        <w:jc w:val="both"/>
        <w:rPr>
          <w:u w:val="single"/>
          <w:lang w:val="en-GB"/>
        </w:rPr>
      </w:pPr>
      <w:r w:rsidRPr="001B4A91">
        <w:rPr>
          <w:u w:val="single"/>
          <w:lang w:val="en-GB"/>
        </w:rPr>
        <w:t>Discourse</w:t>
      </w:r>
    </w:p>
    <w:p w14:paraId="60EAA0B9" w14:textId="2781759D" w:rsidR="00B549D5" w:rsidRDefault="00B549D5" w:rsidP="00E52F0F">
      <w:pPr>
        <w:spacing w:after="0" w:line="360" w:lineRule="auto"/>
        <w:ind w:left="-6"/>
        <w:jc w:val="both"/>
        <w:rPr>
          <w:lang w:val="en-GB"/>
        </w:rPr>
      </w:pPr>
      <w:r>
        <w:rPr>
          <w:lang w:val="en-GB"/>
        </w:rPr>
        <w:t>After having established the broader issues, it is time to move on to the element that is the core of this research: the discourse. According to Jäger, a discourse should be regarded as “the flow of knowledge – and/or all societal knowledge stored – throughout all time”, which influences action of individuals and groups in society, and thereby exercises power (</w:t>
      </w:r>
      <w:r w:rsidR="00B352AC">
        <w:rPr>
          <w:lang w:val="en-GB"/>
        </w:rPr>
        <w:t xml:space="preserve">Jäger </w:t>
      </w:r>
      <w:r w:rsidR="00BE553E">
        <w:rPr>
          <w:lang w:val="en-GB"/>
        </w:rPr>
        <w:t>and</w:t>
      </w:r>
      <w:r w:rsidR="00B352AC">
        <w:rPr>
          <w:lang w:val="en-GB"/>
        </w:rPr>
        <w:t xml:space="preserve"> Maier, </w:t>
      </w:r>
      <w:r w:rsidR="0079111A">
        <w:rPr>
          <w:lang w:val="en-GB"/>
        </w:rPr>
        <w:t xml:space="preserve">2009, </w:t>
      </w:r>
      <w:r w:rsidR="001879E3">
        <w:rPr>
          <w:lang w:val="en-GB"/>
        </w:rPr>
        <w:t>39). This</w:t>
      </w:r>
      <w:r>
        <w:rPr>
          <w:lang w:val="en-GB"/>
        </w:rPr>
        <w:t xml:space="preserve"> knowledge should not be seen as one cohesive uniform entity; rather every discourse represents another part of the overall knowledge. For example, the discourse on global warming represent</w:t>
      </w:r>
      <w:r w:rsidR="001879E3">
        <w:rPr>
          <w:lang w:val="en-GB"/>
        </w:rPr>
        <w:t>s</w:t>
      </w:r>
      <w:r>
        <w:rPr>
          <w:lang w:val="en-GB"/>
        </w:rPr>
        <w:t xml:space="preserve"> part of the flow of knowledge: it constitutes the scientific articles that argue global warming is caused by humans, but also </w:t>
      </w:r>
      <w:r w:rsidR="001879E3">
        <w:rPr>
          <w:lang w:val="en-GB"/>
        </w:rPr>
        <w:t>those that argue</w:t>
      </w:r>
      <w:r>
        <w:rPr>
          <w:lang w:val="en-GB"/>
        </w:rPr>
        <w:t xml:space="preserve"> that it is just another period with a different climate, </w:t>
      </w:r>
      <w:r w:rsidR="001879E3">
        <w:rPr>
          <w:lang w:val="en-GB"/>
        </w:rPr>
        <w:t>such as</w:t>
      </w:r>
      <w:r>
        <w:rPr>
          <w:lang w:val="en-GB"/>
        </w:rPr>
        <w:t xml:space="preserve"> the ice age. Moreover, the discourse </w:t>
      </w:r>
      <w:r w:rsidR="001879E3">
        <w:rPr>
          <w:lang w:val="en-GB"/>
        </w:rPr>
        <w:t>differs</w:t>
      </w:r>
      <w:r>
        <w:rPr>
          <w:lang w:val="en-GB"/>
        </w:rPr>
        <w:t xml:space="preserve"> per place, group, and time, and thus flows. </w:t>
      </w:r>
      <w:r w:rsidR="001879E3">
        <w:rPr>
          <w:lang w:val="en-GB"/>
        </w:rPr>
        <w:t>Additionally,</w:t>
      </w:r>
      <w:r>
        <w:rPr>
          <w:lang w:val="en-GB"/>
        </w:rPr>
        <w:t xml:space="preserve"> it is made up of several</w:t>
      </w:r>
      <w:r w:rsidR="001879E3">
        <w:rPr>
          <w:lang w:val="en-GB"/>
        </w:rPr>
        <w:t xml:space="preserve"> interconnected themes</w:t>
      </w:r>
      <w:r>
        <w:rPr>
          <w:lang w:val="en-GB"/>
        </w:rPr>
        <w:t>. It is easiest to understand what a discourse entails by imagining a bundle of woollen threads: the</w:t>
      </w:r>
      <w:r w:rsidR="001879E3">
        <w:rPr>
          <w:lang w:val="en-GB"/>
        </w:rPr>
        <w:t xml:space="preserve"> bundle itself is the discourse</w:t>
      </w:r>
      <w:r>
        <w:rPr>
          <w:lang w:val="en-GB"/>
        </w:rPr>
        <w:t xml:space="preserve"> and the threads are the different themes – or in Jäger’s terms strands – in that discourse. Perhaps a room full of such bundles of wool that are also entangled with each other would constitute all knowledge throughout all time. When analysing discourse, however, one usually picks one bundle of wool, </w:t>
      </w:r>
      <w:r>
        <w:rPr>
          <w:lang w:val="en-GB"/>
        </w:rPr>
        <w:lastRenderedPageBreak/>
        <w:t xml:space="preserve">one discourse, and starts to study that specific bundle. Moreover, often one researches a specific theme, one specific thread of wool in the bundle: the discourse strand. And while doing so, </w:t>
      </w:r>
      <w:r w:rsidR="001879E3">
        <w:rPr>
          <w:lang w:val="en-GB"/>
        </w:rPr>
        <w:t>one</w:t>
      </w:r>
      <w:r>
        <w:rPr>
          <w:lang w:val="en-GB"/>
        </w:rPr>
        <w:t xml:space="preserve"> encounter</w:t>
      </w:r>
      <w:r w:rsidR="001879E3">
        <w:rPr>
          <w:lang w:val="en-GB"/>
        </w:rPr>
        <w:t>s</w:t>
      </w:r>
      <w:r>
        <w:rPr>
          <w:lang w:val="en-GB"/>
        </w:rPr>
        <w:t xml:space="preserve"> discursive knots.</w:t>
      </w:r>
    </w:p>
    <w:p w14:paraId="2424B96B" w14:textId="77777777" w:rsidR="00B549D5" w:rsidRPr="00946EE6" w:rsidRDefault="00B549D5" w:rsidP="00E52F0F">
      <w:pPr>
        <w:spacing w:after="0" w:line="360" w:lineRule="auto"/>
        <w:ind w:left="-6"/>
        <w:jc w:val="both"/>
        <w:rPr>
          <w:lang w:val="en-GB"/>
        </w:rPr>
      </w:pPr>
    </w:p>
    <w:p w14:paraId="2FE9FA0A" w14:textId="77777777" w:rsidR="00B549D5" w:rsidRPr="00946EE6" w:rsidRDefault="00B549D5" w:rsidP="00E52F0F">
      <w:pPr>
        <w:spacing w:after="0" w:line="360" w:lineRule="auto"/>
        <w:ind w:left="-6"/>
        <w:jc w:val="both"/>
        <w:rPr>
          <w:lang w:val="en-GB"/>
        </w:rPr>
      </w:pPr>
      <w:r w:rsidRPr="00946EE6">
        <w:rPr>
          <w:rFonts w:eastAsia="Calibri" w:cs="Calibri"/>
          <w:u w:val="single"/>
          <w:lang w:val="en-GB"/>
        </w:rPr>
        <w:t>Discursive knots</w:t>
      </w:r>
    </w:p>
    <w:p w14:paraId="3E2A2601" w14:textId="322CE0EB" w:rsidR="00B549D5" w:rsidRPr="00946EE6" w:rsidRDefault="00B549D5" w:rsidP="00E52F0F">
      <w:pPr>
        <w:spacing w:after="0" w:line="360" w:lineRule="auto"/>
        <w:ind w:left="-6"/>
        <w:jc w:val="both"/>
        <w:rPr>
          <w:lang w:val="en-GB"/>
        </w:rPr>
      </w:pPr>
      <w:r>
        <w:rPr>
          <w:rFonts w:eastAsia="Calibri" w:cs="Calibri"/>
          <w:lang w:val="en-GB"/>
        </w:rPr>
        <w:t>A discursive knot is the entanglement of different strands: the way in which different themes are bound up with each other (Jäger</w:t>
      </w:r>
      <w:r w:rsidR="00B352AC">
        <w:rPr>
          <w:rFonts w:eastAsia="Calibri" w:cs="Calibri"/>
          <w:lang w:val="en-GB"/>
        </w:rPr>
        <w:t xml:space="preserve"> </w:t>
      </w:r>
      <w:r w:rsidR="00BE553E">
        <w:rPr>
          <w:rFonts w:eastAsia="Calibri" w:cs="Calibri"/>
          <w:lang w:val="en-GB"/>
        </w:rPr>
        <w:t>and</w:t>
      </w:r>
      <w:r w:rsidR="00B352AC">
        <w:rPr>
          <w:rFonts w:eastAsia="Calibri" w:cs="Calibri"/>
          <w:lang w:val="en-GB"/>
        </w:rPr>
        <w:t xml:space="preserve"> Maier</w:t>
      </w:r>
      <w:r w:rsidR="0079111A">
        <w:rPr>
          <w:rFonts w:eastAsia="Calibri" w:cs="Calibri"/>
          <w:lang w:val="en-GB"/>
        </w:rPr>
        <w:t>, 2009, 4</w:t>
      </w:r>
      <w:r>
        <w:rPr>
          <w:rFonts w:eastAsia="Calibri" w:cs="Calibri"/>
          <w:lang w:val="en-GB"/>
        </w:rPr>
        <w:t xml:space="preserve">7). </w:t>
      </w:r>
      <w:r w:rsidRPr="00946EE6">
        <w:rPr>
          <w:rFonts w:eastAsia="Calibri" w:cs="Calibri"/>
          <w:lang w:val="en-GB"/>
        </w:rPr>
        <w:t>For example, in the statement ‘we have to do something about global warming or we will have an overflow of immigrants’</w:t>
      </w:r>
      <w:r>
        <w:rPr>
          <w:rFonts w:eastAsia="Calibri" w:cs="Calibri"/>
          <w:lang w:val="en-GB"/>
        </w:rPr>
        <w:t>,</w:t>
      </w:r>
      <w:r w:rsidRPr="00946EE6">
        <w:rPr>
          <w:rFonts w:eastAsia="Calibri" w:cs="Calibri"/>
          <w:lang w:val="en-GB"/>
        </w:rPr>
        <w:t xml:space="preserve"> the strand of climate change is entangled with the strand of immigration. Depending on the strands, </w:t>
      </w:r>
      <w:r w:rsidR="000249BA">
        <w:rPr>
          <w:rFonts w:eastAsia="Calibri" w:cs="Calibri"/>
          <w:lang w:val="en-GB"/>
        </w:rPr>
        <w:t>they</w:t>
      </w:r>
      <w:r w:rsidRPr="00946EE6">
        <w:rPr>
          <w:rFonts w:eastAsia="Calibri" w:cs="Calibri"/>
          <w:lang w:val="en-GB"/>
        </w:rPr>
        <w:t xml:space="preserve"> can be entangled more or less intensively. In the Netherlands, as in Germany, the discourse of immigration, </w:t>
      </w:r>
      <w:r>
        <w:rPr>
          <w:rFonts w:eastAsia="Calibri" w:cs="Calibri"/>
          <w:lang w:val="en-GB"/>
        </w:rPr>
        <w:t>especially</w:t>
      </w:r>
      <w:r w:rsidRPr="00946EE6">
        <w:rPr>
          <w:rFonts w:eastAsia="Calibri" w:cs="Calibri"/>
          <w:lang w:val="en-GB"/>
        </w:rPr>
        <w:t xml:space="preserve"> immigration o</w:t>
      </w:r>
      <w:r>
        <w:rPr>
          <w:rFonts w:eastAsia="Calibri" w:cs="Calibri"/>
          <w:lang w:val="en-GB"/>
        </w:rPr>
        <w:t xml:space="preserve">f people adhering to Islam, is intensively </w:t>
      </w:r>
      <w:r w:rsidRPr="00946EE6">
        <w:rPr>
          <w:rFonts w:eastAsia="Calibri" w:cs="Calibri"/>
          <w:lang w:val="en-GB"/>
        </w:rPr>
        <w:t>entangled with the discourse on women, which is exemplified in statements attributing sexist or patriarchal attitudes to male Muslim immigrants (</w:t>
      </w:r>
      <w:r w:rsidR="004D4027">
        <w:rPr>
          <w:rFonts w:eastAsia="Calibri" w:cs="Calibri"/>
          <w:lang w:val="en-GB"/>
        </w:rPr>
        <w:t>2009,</w:t>
      </w:r>
      <w:r w:rsidR="00B352AC">
        <w:rPr>
          <w:rFonts w:eastAsia="Calibri" w:cs="Calibri"/>
          <w:lang w:val="en-GB"/>
        </w:rPr>
        <w:t xml:space="preserve"> 47</w:t>
      </w:r>
      <w:r w:rsidRPr="00946EE6">
        <w:rPr>
          <w:rFonts w:eastAsia="Calibri" w:cs="Calibri"/>
          <w:lang w:val="en-GB"/>
        </w:rPr>
        <w:t xml:space="preserve">). In the case of </w:t>
      </w:r>
      <w:r w:rsidR="000249BA">
        <w:rPr>
          <w:rFonts w:eastAsia="Calibri" w:cs="Calibri"/>
          <w:lang w:val="en-GB"/>
        </w:rPr>
        <w:t>this study</w:t>
      </w:r>
      <w:r>
        <w:rPr>
          <w:rFonts w:eastAsia="Calibri" w:cs="Calibri"/>
          <w:lang w:val="en-GB"/>
        </w:rPr>
        <w:t xml:space="preserve"> – the </w:t>
      </w:r>
      <w:r w:rsidR="000249BA">
        <w:rPr>
          <w:rFonts w:eastAsia="Calibri" w:cs="Calibri"/>
          <w:lang w:val="en-GB"/>
        </w:rPr>
        <w:t xml:space="preserve">possible </w:t>
      </w:r>
      <w:r>
        <w:rPr>
          <w:rFonts w:eastAsia="Calibri" w:cs="Calibri"/>
          <w:lang w:val="en-GB"/>
        </w:rPr>
        <w:t xml:space="preserve">objectification of the people involved in the Beirut and Paris attacks </w:t>
      </w:r>
      <w:r w:rsidR="000249BA">
        <w:rPr>
          <w:rFonts w:eastAsia="Calibri" w:cs="Calibri"/>
          <w:lang w:val="en-GB"/>
        </w:rPr>
        <w:t>–</w:t>
      </w:r>
      <w:r>
        <w:rPr>
          <w:rFonts w:eastAsia="Calibri" w:cs="Calibri"/>
          <w:lang w:val="en-GB"/>
        </w:rPr>
        <w:t xml:space="preserve"> </w:t>
      </w:r>
      <w:r w:rsidRPr="00946EE6">
        <w:rPr>
          <w:rFonts w:eastAsia="Calibri" w:cs="Calibri"/>
          <w:lang w:val="en-GB"/>
        </w:rPr>
        <w:t xml:space="preserve">the strand of </w:t>
      </w:r>
      <w:r>
        <w:rPr>
          <w:rFonts w:eastAsia="Calibri" w:cs="Calibri"/>
          <w:lang w:val="en-GB"/>
        </w:rPr>
        <w:t xml:space="preserve">people involved in these </w:t>
      </w:r>
      <w:r w:rsidRPr="00946EE6">
        <w:rPr>
          <w:rFonts w:eastAsia="Calibri" w:cs="Calibri"/>
          <w:lang w:val="en-GB"/>
        </w:rPr>
        <w:t>terrorist attacks is intensively intertwined</w:t>
      </w:r>
      <w:r>
        <w:rPr>
          <w:rFonts w:eastAsia="Calibri" w:cs="Calibri"/>
          <w:lang w:val="en-GB"/>
        </w:rPr>
        <w:t xml:space="preserve"> with that of Isis, politics, and economics, amongst others</w:t>
      </w:r>
      <w:r w:rsidRPr="00946EE6">
        <w:rPr>
          <w:rFonts w:eastAsia="Calibri" w:cs="Calibri"/>
          <w:lang w:val="en-GB"/>
        </w:rPr>
        <w:t>.</w:t>
      </w:r>
      <w:r>
        <w:rPr>
          <w:rFonts w:eastAsia="Calibri" w:cs="Calibri"/>
          <w:lang w:val="en-GB"/>
        </w:rPr>
        <w:t xml:space="preserve"> Since part of the analysis is figuring out the discursive knots around terrorist attacks, the results of this ana</w:t>
      </w:r>
      <w:r w:rsidR="000249BA">
        <w:rPr>
          <w:rFonts w:eastAsia="Calibri" w:cs="Calibri"/>
          <w:lang w:val="en-GB"/>
        </w:rPr>
        <w:t>lysis are discussed in section 5</w:t>
      </w:r>
      <w:r>
        <w:rPr>
          <w:rFonts w:eastAsia="Calibri" w:cs="Calibri"/>
          <w:lang w:val="en-GB"/>
        </w:rPr>
        <w:t>.3.</w:t>
      </w:r>
    </w:p>
    <w:p w14:paraId="7200BC11" w14:textId="77777777" w:rsidR="00B549D5" w:rsidRPr="00946EE6" w:rsidRDefault="00B549D5" w:rsidP="00E52F0F">
      <w:pPr>
        <w:spacing w:after="0" w:line="360" w:lineRule="auto"/>
        <w:ind w:left="-6"/>
        <w:jc w:val="both"/>
        <w:rPr>
          <w:lang w:val="en-GB"/>
        </w:rPr>
      </w:pPr>
    </w:p>
    <w:p w14:paraId="213BD1DD" w14:textId="77777777" w:rsidR="00B549D5" w:rsidRPr="00946EE6" w:rsidRDefault="00B549D5" w:rsidP="00E52F0F">
      <w:pPr>
        <w:spacing w:after="0" w:line="360" w:lineRule="auto"/>
        <w:ind w:left="-6"/>
        <w:jc w:val="both"/>
        <w:rPr>
          <w:lang w:val="en-GB"/>
        </w:rPr>
      </w:pPr>
      <w:r w:rsidRPr="00946EE6">
        <w:rPr>
          <w:rFonts w:eastAsia="Calibri" w:cs="Calibri"/>
          <w:u w:val="single"/>
          <w:lang w:val="en-GB"/>
        </w:rPr>
        <w:t>Discourse strands</w:t>
      </w:r>
      <w:r w:rsidRPr="00946EE6">
        <w:rPr>
          <w:rFonts w:eastAsia="Calibri" w:cs="Calibri"/>
          <w:lang w:val="en-GB"/>
        </w:rPr>
        <w:t xml:space="preserve"> </w:t>
      </w:r>
    </w:p>
    <w:p w14:paraId="0EEEBE2A" w14:textId="3AC88BBA" w:rsidR="00B549D5" w:rsidRPr="00946EE6" w:rsidRDefault="00B549D5" w:rsidP="00E52F0F">
      <w:pPr>
        <w:spacing w:after="0" w:line="360" w:lineRule="auto"/>
        <w:ind w:left="-6"/>
        <w:jc w:val="both"/>
        <w:rPr>
          <w:lang w:val="en-GB"/>
        </w:rPr>
      </w:pPr>
      <w:r>
        <w:rPr>
          <w:rFonts w:eastAsia="Calibri" w:cs="Calibri"/>
          <w:lang w:val="en-GB"/>
        </w:rPr>
        <w:t xml:space="preserve">A discursive knot thus exists of several discourse strands, </w:t>
      </w:r>
      <w:r w:rsidR="000249BA">
        <w:rPr>
          <w:rFonts w:eastAsia="Calibri" w:cs="Calibri"/>
          <w:lang w:val="en-GB"/>
        </w:rPr>
        <w:t>also called themes</w:t>
      </w:r>
      <w:r w:rsidRPr="00946EE6">
        <w:rPr>
          <w:rFonts w:eastAsia="Calibri" w:cs="Calibri"/>
          <w:lang w:val="en-GB"/>
        </w:rPr>
        <w:t xml:space="preserve"> (</w:t>
      </w:r>
      <w:r w:rsidR="0079111A">
        <w:rPr>
          <w:rFonts w:eastAsia="Calibri" w:cs="Calibri"/>
          <w:lang w:val="en-GB"/>
        </w:rPr>
        <w:t xml:space="preserve">Jäger </w:t>
      </w:r>
      <w:r w:rsidR="00BE553E">
        <w:rPr>
          <w:rFonts w:eastAsia="Calibri" w:cs="Calibri"/>
          <w:lang w:val="en-GB"/>
        </w:rPr>
        <w:t>and</w:t>
      </w:r>
      <w:r w:rsidR="0079111A">
        <w:rPr>
          <w:rFonts w:eastAsia="Calibri" w:cs="Calibri"/>
          <w:lang w:val="en-GB"/>
        </w:rPr>
        <w:t xml:space="preserve"> Maier, 2009, </w:t>
      </w:r>
      <w:r w:rsidR="00B352AC">
        <w:rPr>
          <w:rFonts w:eastAsia="Calibri" w:cs="Calibri"/>
          <w:lang w:val="en-GB"/>
        </w:rPr>
        <w:t>47</w:t>
      </w:r>
      <w:r w:rsidR="00AE5831">
        <w:rPr>
          <w:rFonts w:eastAsia="Calibri" w:cs="Calibri"/>
          <w:lang w:val="en-GB"/>
        </w:rPr>
        <w:t>)</w:t>
      </w:r>
      <w:r>
        <w:rPr>
          <w:rFonts w:eastAsia="Calibri" w:cs="Calibri"/>
          <w:lang w:val="en-GB"/>
        </w:rPr>
        <w:t xml:space="preserve">. As mentioned before, several discourse </w:t>
      </w:r>
      <w:r w:rsidRPr="00946EE6">
        <w:rPr>
          <w:rFonts w:eastAsia="Calibri" w:cs="Calibri"/>
          <w:lang w:val="en-GB"/>
        </w:rPr>
        <w:t xml:space="preserve">strands </w:t>
      </w:r>
      <w:r>
        <w:rPr>
          <w:rFonts w:eastAsia="Calibri" w:cs="Calibri"/>
          <w:lang w:val="en-GB"/>
        </w:rPr>
        <w:t xml:space="preserve">together </w:t>
      </w:r>
      <w:r w:rsidRPr="00946EE6">
        <w:rPr>
          <w:rFonts w:eastAsia="Calibri" w:cs="Calibri"/>
          <w:lang w:val="en-GB"/>
        </w:rPr>
        <w:t>form the larger discourse</w:t>
      </w:r>
      <w:r>
        <w:rPr>
          <w:rFonts w:eastAsia="Calibri" w:cs="Calibri"/>
          <w:lang w:val="en-GB"/>
        </w:rPr>
        <w:t>:</w:t>
      </w:r>
      <w:r w:rsidRPr="00946EE6">
        <w:rPr>
          <w:rFonts w:eastAsia="Calibri" w:cs="Calibri"/>
          <w:lang w:val="en-GB"/>
        </w:rPr>
        <w:t xml:space="preserve"> one discourse is usually made up of a complex entanglement of different themes</w:t>
      </w:r>
      <w:r>
        <w:rPr>
          <w:rFonts w:eastAsia="Calibri" w:cs="Calibri"/>
          <w:lang w:val="en-GB"/>
        </w:rPr>
        <w:t xml:space="preserve">, like </w:t>
      </w:r>
      <w:r w:rsidR="000249BA">
        <w:rPr>
          <w:rFonts w:eastAsia="Calibri" w:cs="Calibri"/>
          <w:lang w:val="en-GB"/>
        </w:rPr>
        <w:t>a bundle</w:t>
      </w:r>
      <w:r>
        <w:rPr>
          <w:rFonts w:eastAsia="Calibri" w:cs="Calibri"/>
          <w:lang w:val="en-GB"/>
        </w:rPr>
        <w:t xml:space="preserve"> made up of different threads.</w:t>
      </w:r>
      <w:r w:rsidRPr="00946EE6">
        <w:rPr>
          <w:rFonts w:eastAsia="Calibri" w:cs="Calibri"/>
          <w:lang w:val="en-GB"/>
        </w:rPr>
        <w:t xml:space="preserve"> To analyse specific discourses, one has to decide what to include. This can be done in a synchronic or dia</w:t>
      </w:r>
      <w:r w:rsidR="0079111A">
        <w:rPr>
          <w:rFonts w:eastAsia="Calibri" w:cs="Calibri"/>
          <w:lang w:val="en-GB"/>
        </w:rPr>
        <w:t xml:space="preserve">chronic manner (Jäger, 2004, </w:t>
      </w:r>
      <w:r w:rsidRPr="00946EE6">
        <w:rPr>
          <w:rFonts w:eastAsia="Calibri" w:cs="Calibri"/>
          <w:lang w:val="en-GB"/>
        </w:rPr>
        <w:t>171). In a synchronic ana</w:t>
      </w:r>
      <w:r>
        <w:rPr>
          <w:rFonts w:eastAsia="Calibri" w:cs="Calibri"/>
          <w:lang w:val="en-GB"/>
        </w:rPr>
        <w:t>lysis, one dissects the ‘bundle’</w:t>
      </w:r>
      <w:r w:rsidRPr="00946EE6">
        <w:rPr>
          <w:rFonts w:eastAsia="Calibri" w:cs="Calibri"/>
          <w:lang w:val="en-GB"/>
        </w:rPr>
        <w:t xml:space="preserve"> at one specific spot, and consequently looks at the cut and the threads that are located in that cut. If one instead employs a diachronic analysis, different incisions </w:t>
      </w:r>
      <w:r w:rsidR="000249BA">
        <w:rPr>
          <w:rFonts w:eastAsia="Calibri" w:cs="Calibri"/>
          <w:lang w:val="en-GB"/>
        </w:rPr>
        <w:t>are made and compared</w:t>
      </w:r>
      <w:r w:rsidRPr="00946EE6">
        <w:rPr>
          <w:rFonts w:eastAsia="Calibri" w:cs="Calibri"/>
          <w:lang w:val="en-GB"/>
        </w:rPr>
        <w:t xml:space="preserve">. </w:t>
      </w:r>
      <w:r>
        <w:rPr>
          <w:rFonts w:eastAsia="Calibri" w:cs="Calibri"/>
          <w:lang w:val="en-GB"/>
        </w:rPr>
        <w:t>A diachronic analysis is often focused on what a discourse strand looked like at different points of time. It is like the bundle developed over time, and in each new bundle an in</w:t>
      </w:r>
      <w:r w:rsidR="000249BA">
        <w:rPr>
          <w:rFonts w:eastAsia="Calibri" w:cs="Calibri"/>
          <w:lang w:val="en-GB"/>
        </w:rPr>
        <w:t>cision is made at a similar spo</w:t>
      </w:r>
      <w:r>
        <w:rPr>
          <w:rFonts w:eastAsia="Calibri" w:cs="Calibri"/>
          <w:lang w:val="en-GB"/>
        </w:rPr>
        <w:t xml:space="preserve">t. </w:t>
      </w:r>
      <w:r w:rsidRPr="00946EE6">
        <w:rPr>
          <w:rFonts w:eastAsia="Calibri" w:cs="Calibri"/>
          <w:lang w:val="en-GB"/>
        </w:rPr>
        <w:t xml:space="preserve">Through this </w:t>
      </w:r>
      <w:r>
        <w:rPr>
          <w:rFonts w:eastAsia="Calibri" w:cs="Calibri"/>
          <w:lang w:val="en-GB"/>
        </w:rPr>
        <w:t xml:space="preserve">diachronic </w:t>
      </w:r>
      <w:r w:rsidRPr="00946EE6">
        <w:rPr>
          <w:rFonts w:eastAsia="Calibri" w:cs="Calibri"/>
          <w:lang w:val="en-GB"/>
        </w:rPr>
        <w:t xml:space="preserve">comparison one can analyse whether the strands themselves changed, and how this is reflected in the discourses. The difference thus, simply stated, lies in the time frame that one is analysing. Since the current study concerns the articles that discuss </w:t>
      </w:r>
      <w:r w:rsidR="000249BA">
        <w:rPr>
          <w:rFonts w:eastAsia="Calibri" w:cs="Calibri"/>
          <w:lang w:val="en-GB"/>
        </w:rPr>
        <w:t>two</w:t>
      </w:r>
      <w:r w:rsidRPr="00946EE6">
        <w:rPr>
          <w:rFonts w:eastAsia="Calibri" w:cs="Calibri"/>
          <w:lang w:val="en-GB"/>
        </w:rPr>
        <w:t xml:space="preserve"> specific event</w:t>
      </w:r>
      <w:r w:rsidR="000249BA">
        <w:rPr>
          <w:rFonts w:eastAsia="Calibri" w:cs="Calibri"/>
          <w:lang w:val="en-GB"/>
        </w:rPr>
        <w:t>s within the same time period</w:t>
      </w:r>
      <w:r w:rsidRPr="00946EE6">
        <w:rPr>
          <w:rFonts w:eastAsia="Calibri" w:cs="Calibri"/>
          <w:lang w:val="en-GB"/>
        </w:rPr>
        <w:t>, I employ a synchronic anal</w:t>
      </w:r>
      <w:r>
        <w:rPr>
          <w:rFonts w:eastAsia="Calibri" w:cs="Calibri"/>
          <w:lang w:val="en-GB"/>
        </w:rPr>
        <w:t>ysis, and analyse the discourse</w:t>
      </w:r>
      <w:r w:rsidRPr="00946EE6">
        <w:rPr>
          <w:rFonts w:eastAsia="Calibri" w:cs="Calibri"/>
          <w:lang w:val="en-GB"/>
        </w:rPr>
        <w:t xml:space="preserve"> that arose during and </w:t>
      </w:r>
      <w:r>
        <w:rPr>
          <w:rFonts w:eastAsia="Calibri" w:cs="Calibri"/>
          <w:lang w:val="en-GB"/>
        </w:rPr>
        <w:t>within three months</w:t>
      </w:r>
      <w:r w:rsidRPr="00946EE6">
        <w:rPr>
          <w:rFonts w:eastAsia="Calibri" w:cs="Calibri"/>
          <w:lang w:val="en-GB"/>
        </w:rPr>
        <w:t xml:space="preserve"> after the event.</w:t>
      </w:r>
      <w:r>
        <w:rPr>
          <w:lang w:val="en-GB"/>
        </w:rPr>
        <w:t xml:space="preserve"> </w:t>
      </w:r>
      <w:r w:rsidRPr="00946EE6">
        <w:rPr>
          <w:rFonts w:eastAsia="Calibri" w:cs="Calibri"/>
          <w:lang w:val="en-GB"/>
        </w:rPr>
        <w:t xml:space="preserve">The specific discourse strand analysed in this study is that of </w:t>
      </w:r>
      <w:r>
        <w:rPr>
          <w:rFonts w:eastAsia="Calibri" w:cs="Calibri"/>
          <w:lang w:val="en-GB"/>
        </w:rPr>
        <w:t xml:space="preserve">the </w:t>
      </w:r>
      <w:r w:rsidR="000249BA">
        <w:rPr>
          <w:rFonts w:eastAsia="Calibri" w:cs="Calibri"/>
          <w:lang w:val="en-GB"/>
        </w:rPr>
        <w:t>victims, witnesses, and relatives affected by</w:t>
      </w:r>
      <w:r>
        <w:rPr>
          <w:rFonts w:eastAsia="Calibri" w:cs="Calibri"/>
          <w:lang w:val="en-GB"/>
        </w:rPr>
        <w:t xml:space="preserve"> the </w:t>
      </w:r>
      <w:r w:rsidRPr="00946EE6">
        <w:rPr>
          <w:rFonts w:eastAsia="Calibri" w:cs="Calibri"/>
          <w:lang w:val="en-GB"/>
        </w:rPr>
        <w:t>terrorist attacks</w:t>
      </w:r>
      <w:r>
        <w:rPr>
          <w:rFonts w:eastAsia="Calibri" w:cs="Calibri"/>
          <w:lang w:val="en-GB"/>
        </w:rPr>
        <w:t xml:space="preserve"> in Paris and Beirut. A summary of this strand can be found in section </w:t>
      </w:r>
      <w:r w:rsidR="000249BA">
        <w:rPr>
          <w:rFonts w:eastAsia="Calibri" w:cs="Calibri"/>
          <w:lang w:val="en-GB"/>
        </w:rPr>
        <w:t>5.4</w:t>
      </w:r>
      <w:r>
        <w:rPr>
          <w:rFonts w:eastAsia="Calibri" w:cs="Calibri"/>
          <w:lang w:val="en-GB"/>
        </w:rPr>
        <w:t>.</w:t>
      </w:r>
      <w:r w:rsidRPr="00946EE6">
        <w:rPr>
          <w:rFonts w:eastAsia="Calibri" w:cs="Calibri"/>
          <w:lang w:val="en-GB"/>
        </w:rPr>
        <w:t xml:space="preserve"> </w:t>
      </w:r>
    </w:p>
    <w:p w14:paraId="7802118B" w14:textId="77777777" w:rsidR="00B549D5" w:rsidRPr="00946EE6" w:rsidRDefault="00B549D5" w:rsidP="00E52F0F">
      <w:pPr>
        <w:spacing w:after="0" w:line="360" w:lineRule="auto"/>
        <w:ind w:left="-6"/>
        <w:jc w:val="both"/>
        <w:rPr>
          <w:lang w:val="en-GB"/>
        </w:rPr>
      </w:pPr>
    </w:p>
    <w:p w14:paraId="2CD88300" w14:textId="77777777" w:rsidR="00934967" w:rsidRDefault="00934967" w:rsidP="00934967">
      <w:pPr>
        <w:spacing w:after="0" w:line="360" w:lineRule="auto"/>
        <w:ind w:left="-6"/>
        <w:jc w:val="both"/>
        <w:rPr>
          <w:rFonts w:eastAsia="Calibri" w:cs="Calibri"/>
          <w:u w:val="single"/>
          <w:lang w:val="en-GB"/>
        </w:rPr>
      </w:pPr>
    </w:p>
    <w:p w14:paraId="092651E6" w14:textId="77777777" w:rsidR="00934967" w:rsidRDefault="00934967" w:rsidP="00934967">
      <w:pPr>
        <w:spacing w:after="0" w:line="360" w:lineRule="auto"/>
        <w:ind w:left="-6"/>
        <w:jc w:val="both"/>
        <w:rPr>
          <w:rFonts w:eastAsia="Calibri" w:cs="Calibri"/>
          <w:u w:val="single"/>
          <w:lang w:val="en-GB"/>
        </w:rPr>
      </w:pPr>
    </w:p>
    <w:p w14:paraId="15ED299A" w14:textId="77777777" w:rsidR="00934967" w:rsidRDefault="00B549D5" w:rsidP="00934967">
      <w:pPr>
        <w:spacing w:after="0" w:line="360" w:lineRule="auto"/>
        <w:ind w:left="-6"/>
        <w:jc w:val="both"/>
        <w:rPr>
          <w:rFonts w:eastAsia="Calibri" w:cs="Calibri"/>
          <w:u w:val="single"/>
          <w:lang w:val="en-GB"/>
        </w:rPr>
      </w:pPr>
      <w:r w:rsidRPr="00946EE6">
        <w:rPr>
          <w:rFonts w:eastAsia="Calibri" w:cs="Calibri"/>
          <w:u w:val="single"/>
          <w:lang w:val="en-GB"/>
        </w:rPr>
        <w:lastRenderedPageBreak/>
        <w:t>Discourse fragments</w:t>
      </w:r>
    </w:p>
    <w:p w14:paraId="6A35CBDC" w14:textId="4661B138" w:rsidR="00B549D5" w:rsidRDefault="00B549D5" w:rsidP="00934967">
      <w:pPr>
        <w:spacing w:after="0" w:line="360" w:lineRule="auto"/>
        <w:ind w:left="-6"/>
        <w:jc w:val="both"/>
        <w:rPr>
          <w:rFonts w:eastAsia="Calibri" w:cs="Calibri"/>
          <w:lang w:val="en-GB"/>
        </w:rPr>
      </w:pPr>
      <w:r w:rsidRPr="00946EE6">
        <w:rPr>
          <w:rFonts w:eastAsia="Calibri" w:cs="Calibri"/>
          <w:lang w:val="en-GB"/>
        </w:rPr>
        <w:t>The next element in Jäger’s method is the discourse fragment (</w:t>
      </w:r>
      <w:r w:rsidR="00B352AC">
        <w:rPr>
          <w:rFonts w:eastAsia="Calibri" w:cs="Calibri"/>
          <w:lang w:val="en-GB"/>
        </w:rPr>
        <w:t>2004</w:t>
      </w:r>
      <w:r w:rsidRPr="00946EE6">
        <w:rPr>
          <w:rFonts w:eastAsia="Calibri" w:cs="Calibri"/>
          <w:lang w:val="en-GB"/>
        </w:rPr>
        <w:t xml:space="preserve">). A discourse fragment is a text, or part of a text, that addresses a specific topic, </w:t>
      </w:r>
      <w:r w:rsidR="000249BA">
        <w:rPr>
          <w:rFonts w:eastAsia="Calibri" w:cs="Calibri"/>
          <w:lang w:val="en-GB"/>
        </w:rPr>
        <w:t>for example</w:t>
      </w:r>
      <w:r w:rsidRPr="00946EE6">
        <w:rPr>
          <w:rFonts w:eastAsia="Calibri" w:cs="Calibri"/>
          <w:lang w:val="en-GB"/>
        </w:rPr>
        <w:t xml:space="preserve"> foreigners. Several discourse fragments on the same topic together constitute a discourse strand. </w:t>
      </w:r>
      <w:r w:rsidR="00FC64CD">
        <w:rPr>
          <w:rFonts w:eastAsia="Calibri" w:cs="Calibri"/>
          <w:lang w:val="en-GB"/>
        </w:rPr>
        <w:t>D</w:t>
      </w:r>
      <w:r w:rsidRPr="00946EE6">
        <w:rPr>
          <w:rFonts w:eastAsia="Calibri" w:cs="Calibri"/>
          <w:lang w:val="en-GB"/>
        </w:rPr>
        <w:t xml:space="preserve">iscourse fragments are </w:t>
      </w:r>
      <w:r w:rsidR="00FC64CD">
        <w:rPr>
          <w:rFonts w:eastAsia="Calibri" w:cs="Calibri"/>
          <w:lang w:val="en-GB"/>
        </w:rPr>
        <w:t>n</w:t>
      </w:r>
      <w:r w:rsidR="00FC64CD" w:rsidRPr="00946EE6">
        <w:rPr>
          <w:rFonts w:eastAsia="Calibri" w:cs="Calibri"/>
          <w:lang w:val="en-GB"/>
        </w:rPr>
        <w:t xml:space="preserve">ormally </w:t>
      </w:r>
      <w:r w:rsidRPr="00946EE6">
        <w:rPr>
          <w:rFonts w:eastAsia="Calibri" w:cs="Calibri"/>
          <w:lang w:val="en-GB"/>
        </w:rPr>
        <w:t>called texts, but Jäger</w:t>
      </w:r>
      <w:r w:rsidR="000249BA">
        <w:rPr>
          <w:rFonts w:eastAsia="Calibri" w:cs="Calibri"/>
          <w:lang w:val="en-GB"/>
        </w:rPr>
        <w:t xml:space="preserve"> argues texts </w:t>
      </w:r>
      <w:r w:rsidRPr="00946EE6">
        <w:rPr>
          <w:rFonts w:eastAsia="Calibri" w:cs="Calibri"/>
          <w:lang w:val="en-GB"/>
        </w:rPr>
        <w:t>can address several topics, and hence contain more than one discourse fragment (</w:t>
      </w:r>
      <w:r w:rsidR="00B352AC">
        <w:rPr>
          <w:rFonts w:eastAsia="Calibri" w:cs="Calibri"/>
          <w:lang w:val="en-GB"/>
        </w:rPr>
        <w:t>2004</w:t>
      </w:r>
      <w:r w:rsidRPr="00946EE6">
        <w:rPr>
          <w:rFonts w:eastAsia="Calibri" w:cs="Calibri"/>
          <w:lang w:val="en-GB"/>
        </w:rPr>
        <w:t>). When conducting a discourse analysis, one aims to analyse those fragments that are most typical of the discourse strand under study.</w:t>
      </w:r>
    </w:p>
    <w:p w14:paraId="5B182D2C" w14:textId="77777777" w:rsidR="00B549D5" w:rsidRPr="00946EE6" w:rsidRDefault="00B549D5" w:rsidP="00E52F0F">
      <w:pPr>
        <w:spacing w:line="360" w:lineRule="auto"/>
        <w:ind w:left="-6"/>
        <w:jc w:val="both"/>
        <w:rPr>
          <w:lang w:val="en-GB"/>
        </w:rPr>
      </w:pPr>
    </w:p>
    <w:p w14:paraId="4989E08D" w14:textId="533F4809" w:rsidR="00B549D5" w:rsidRPr="00F0601B" w:rsidRDefault="00882D21" w:rsidP="00E52F0F">
      <w:pPr>
        <w:pStyle w:val="Heading3"/>
        <w:spacing w:line="360" w:lineRule="auto"/>
        <w:ind w:left="-6"/>
        <w:jc w:val="both"/>
        <w:rPr>
          <w:lang w:val="en-GB"/>
        </w:rPr>
      </w:pPr>
      <w:bookmarkStart w:id="45" w:name="h.ur64rr8qejrc" w:colFirst="0" w:colLast="0"/>
      <w:bookmarkStart w:id="46" w:name="_Toc458983409"/>
      <w:bookmarkEnd w:id="45"/>
      <w:r>
        <w:rPr>
          <w:lang w:val="en-GB"/>
        </w:rPr>
        <w:t>4</w:t>
      </w:r>
      <w:r w:rsidR="00B549D5" w:rsidRPr="00F0601B">
        <w:rPr>
          <w:lang w:val="en-GB"/>
        </w:rPr>
        <w:t>.3.2.</w:t>
      </w:r>
      <w:r w:rsidR="00FC64CD">
        <w:rPr>
          <w:lang w:val="en-GB"/>
        </w:rPr>
        <w:t xml:space="preserve"> </w:t>
      </w:r>
      <w:r w:rsidR="002B77A7">
        <w:rPr>
          <w:lang w:val="en-GB"/>
        </w:rPr>
        <w:t xml:space="preserve">When </w:t>
      </w:r>
      <w:r w:rsidR="00B549D5" w:rsidRPr="00F0601B">
        <w:rPr>
          <w:lang w:val="en-GB"/>
        </w:rPr>
        <w:t>analysis is complete</w:t>
      </w:r>
      <w:bookmarkEnd w:id="46"/>
    </w:p>
    <w:p w14:paraId="49786CD2" w14:textId="7EBD60A6" w:rsidR="00B549D5" w:rsidRPr="00823F9C" w:rsidRDefault="00DD6075" w:rsidP="00E52F0F">
      <w:pPr>
        <w:spacing w:after="0" w:line="360" w:lineRule="auto"/>
        <w:ind w:left="-6"/>
        <w:jc w:val="both"/>
        <w:rPr>
          <w:lang w:val="en-GB"/>
        </w:rPr>
      </w:pPr>
      <w:r>
        <w:rPr>
          <w:rFonts w:eastAsia="Calibri" w:cs="Calibri"/>
          <w:lang w:val="en-GB"/>
        </w:rPr>
        <w:t>But how to know if the most typical fragments have been researched?</w:t>
      </w:r>
      <w:r w:rsidR="00B549D5" w:rsidRPr="00946EE6">
        <w:rPr>
          <w:rFonts w:eastAsia="Calibri" w:cs="Calibri"/>
          <w:lang w:val="en-GB"/>
        </w:rPr>
        <w:t xml:space="preserve"> According to Jäger, the analysis is complete when no formally new findings or other contents are found (</w:t>
      </w:r>
      <w:r w:rsidR="00B352AC">
        <w:rPr>
          <w:rFonts w:eastAsia="Calibri" w:cs="Calibri"/>
          <w:lang w:val="en-GB"/>
        </w:rPr>
        <w:t xml:space="preserve">Jäger </w:t>
      </w:r>
      <w:r w:rsidR="00BE553E">
        <w:rPr>
          <w:rFonts w:eastAsia="Calibri" w:cs="Calibri"/>
          <w:lang w:val="en-GB"/>
        </w:rPr>
        <w:t>and</w:t>
      </w:r>
      <w:r w:rsidR="00B352AC">
        <w:rPr>
          <w:rFonts w:eastAsia="Calibri" w:cs="Calibri"/>
          <w:lang w:val="en-GB"/>
        </w:rPr>
        <w:t xml:space="preserve"> Maier, 2009</w:t>
      </w:r>
      <w:r w:rsidR="0079111A">
        <w:rPr>
          <w:rFonts w:eastAsia="Calibri" w:cs="Calibri"/>
          <w:lang w:val="en-GB"/>
        </w:rPr>
        <w:t xml:space="preserve">, </w:t>
      </w:r>
      <w:r w:rsidR="00B549D5" w:rsidRPr="00946EE6">
        <w:rPr>
          <w:rFonts w:eastAsia="Calibri" w:cs="Calibri"/>
          <w:lang w:val="en-GB"/>
        </w:rPr>
        <w:t>51).</w:t>
      </w:r>
      <w:r w:rsidR="00B549D5">
        <w:rPr>
          <w:rFonts w:eastAsia="Calibri" w:cs="Calibri"/>
          <w:lang w:val="en-GB"/>
        </w:rPr>
        <w:t xml:space="preserve"> </w:t>
      </w:r>
      <w:r w:rsidR="00B549D5" w:rsidRPr="00946EE6">
        <w:rPr>
          <w:rFonts w:eastAsia="Calibri" w:cs="Calibri"/>
          <w:lang w:val="en-GB"/>
        </w:rPr>
        <w:t>Surprising, mainly to researchers used to quantitative methods, is that this point can be reached relatively</w:t>
      </w:r>
      <w:r w:rsidR="00B352AC">
        <w:rPr>
          <w:rFonts w:eastAsia="Calibri" w:cs="Calibri"/>
          <w:lang w:val="en-GB"/>
        </w:rPr>
        <w:t xml:space="preserve"> quickly in discourse analysis</w:t>
      </w:r>
      <w:r w:rsidR="00B549D5" w:rsidRPr="00946EE6">
        <w:rPr>
          <w:rFonts w:eastAsia="Calibri" w:cs="Calibri"/>
          <w:lang w:val="en-GB"/>
        </w:rPr>
        <w:t>. As Jäger explains: “[t]he arguments and contents that can be read or heard about a particular topic (e.g. immigration) at a particular time in a particular social location are amazingly limited (often in both senses of the word).” (</w:t>
      </w:r>
      <w:r w:rsidR="0079111A">
        <w:rPr>
          <w:rFonts w:eastAsia="Calibri" w:cs="Calibri"/>
          <w:lang w:val="en-GB"/>
        </w:rPr>
        <w:t xml:space="preserve">Jäger </w:t>
      </w:r>
      <w:r w:rsidR="00BE553E">
        <w:rPr>
          <w:rFonts w:eastAsia="Calibri" w:cs="Calibri"/>
          <w:lang w:val="en-GB"/>
        </w:rPr>
        <w:t>and</w:t>
      </w:r>
      <w:r w:rsidR="0079111A">
        <w:rPr>
          <w:rFonts w:eastAsia="Calibri" w:cs="Calibri"/>
          <w:lang w:val="en-GB"/>
        </w:rPr>
        <w:t xml:space="preserve"> Maier, 2009, </w:t>
      </w:r>
      <w:r w:rsidR="00B352AC">
        <w:rPr>
          <w:rFonts w:eastAsia="Calibri" w:cs="Calibri"/>
          <w:lang w:val="en-GB"/>
        </w:rPr>
        <w:t>51</w:t>
      </w:r>
      <w:r w:rsidR="00B549D5" w:rsidRPr="00946EE6">
        <w:rPr>
          <w:rFonts w:eastAsia="Calibri" w:cs="Calibri"/>
          <w:lang w:val="en-GB"/>
        </w:rPr>
        <w:t>.) When conducting discourse analysis, then, one continues with the analysis until one notices that the statements begin to rep</w:t>
      </w:r>
      <w:r>
        <w:rPr>
          <w:rFonts w:eastAsia="Calibri" w:cs="Calibri"/>
          <w:lang w:val="en-GB"/>
        </w:rPr>
        <w:t xml:space="preserve">eat themselves. If this happens, </w:t>
      </w:r>
      <w:r w:rsidR="00B549D5" w:rsidRPr="00946EE6">
        <w:rPr>
          <w:rFonts w:eastAsia="Calibri" w:cs="Calibri"/>
          <w:lang w:val="en-GB"/>
        </w:rPr>
        <w:t>completeness, i.e. “theoretical saturation”, has been achieved (</w:t>
      </w:r>
      <w:r w:rsidR="0079111A">
        <w:rPr>
          <w:rFonts w:eastAsia="Calibri" w:cs="Calibri"/>
          <w:lang w:val="en-GB"/>
        </w:rPr>
        <w:t>2009,</w:t>
      </w:r>
      <w:r w:rsidR="00B352AC">
        <w:rPr>
          <w:rFonts w:eastAsia="Calibri" w:cs="Calibri"/>
          <w:lang w:val="en-GB"/>
        </w:rPr>
        <w:t xml:space="preserve"> 51</w:t>
      </w:r>
      <w:r w:rsidR="00B549D5" w:rsidRPr="00946EE6">
        <w:rPr>
          <w:rFonts w:eastAsia="Calibri" w:cs="Calibri"/>
          <w:lang w:val="en-GB"/>
        </w:rPr>
        <w:t>).</w:t>
      </w:r>
      <w:r w:rsidR="00B549D5">
        <w:rPr>
          <w:rFonts w:eastAsia="Calibri" w:cs="Calibri"/>
          <w:lang w:val="en-GB"/>
        </w:rPr>
        <w:t xml:space="preserve"> It is important to emphasise that no </w:t>
      </w:r>
      <w:r w:rsidR="00B549D5">
        <w:rPr>
          <w:rFonts w:eastAsia="Calibri" w:cs="Calibri"/>
          <w:i/>
          <w:lang w:val="en-GB"/>
        </w:rPr>
        <w:t>formally</w:t>
      </w:r>
      <w:r w:rsidR="00B549D5">
        <w:rPr>
          <w:rFonts w:eastAsia="Calibri" w:cs="Calibri"/>
          <w:lang w:val="en-GB"/>
        </w:rPr>
        <w:t xml:space="preserve"> new findings should be found, </w:t>
      </w:r>
      <w:r w:rsidR="00AE5831">
        <w:rPr>
          <w:rFonts w:eastAsia="Calibri" w:cs="Calibri"/>
          <w:lang w:val="en-GB"/>
        </w:rPr>
        <w:t>meaning</w:t>
      </w:r>
      <w:r w:rsidR="00B549D5">
        <w:rPr>
          <w:rFonts w:eastAsia="Calibri" w:cs="Calibri"/>
          <w:lang w:val="en-GB"/>
        </w:rPr>
        <w:t xml:space="preserve"> that as soon as the arguments start to repeat themselves, one is close to completing one’s analysis. Moreover, because the researcher should pick discourse fragments that are as typical as possible, the arguments in those fragments are also likely to be as typical as possible, thus increasing the change of finding repetitions of them in other fragments.</w:t>
      </w:r>
    </w:p>
    <w:p w14:paraId="38AEE486" w14:textId="7F466D02" w:rsidR="00B549D5" w:rsidRPr="00946EE6" w:rsidRDefault="001F4513" w:rsidP="00E52F0F">
      <w:pPr>
        <w:spacing w:after="0" w:line="360" w:lineRule="auto"/>
        <w:ind w:left="-6" w:firstLine="726"/>
        <w:jc w:val="both"/>
        <w:rPr>
          <w:lang w:val="en-GB"/>
        </w:rPr>
      </w:pPr>
      <w:r>
        <w:rPr>
          <w:rFonts w:eastAsia="Calibri" w:cs="Calibri"/>
          <w:lang w:val="en-GB"/>
        </w:rPr>
        <w:t>Besides the main qualitative analyses, the research</w:t>
      </w:r>
      <w:r w:rsidR="00B549D5" w:rsidRPr="00946EE6">
        <w:rPr>
          <w:rFonts w:eastAsia="Calibri" w:cs="Calibri"/>
          <w:lang w:val="en-GB"/>
        </w:rPr>
        <w:t xml:space="preserve"> may be complemented by quantitative aspects. In discourse analysis, one can research how often a statement is made (</w:t>
      </w:r>
      <w:r w:rsidR="00B352AC">
        <w:rPr>
          <w:rFonts w:eastAsia="Calibri" w:cs="Calibri"/>
          <w:lang w:val="en-GB"/>
        </w:rPr>
        <w:t>2009</w:t>
      </w:r>
      <w:r w:rsidR="00B549D5" w:rsidRPr="00946EE6">
        <w:rPr>
          <w:rFonts w:eastAsia="Calibri" w:cs="Calibri"/>
          <w:lang w:val="en-GB"/>
        </w:rPr>
        <w:t xml:space="preserve">). By doing so, it is possible to identify focal issues in discourse strands, or arguments that have the form of slogans, and hence are surrounded by quite </w:t>
      </w:r>
      <w:r w:rsidR="00B352AC">
        <w:rPr>
          <w:rFonts w:eastAsia="Calibri" w:cs="Calibri"/>
          <w:lang w:val="en-GB"/>
        </w:rPr>
        <w:t>some prejudices and judgements</w:t>
      </w:r>
      <w:r w:rsidR="00B549D5" w:rsidRPr="00946EE6">
        <w:rPr>
          <w:rFonts w:eastAsia="Calibri" w:cs="Calibri"/>
          <w:lang w:val="en-GB"/>
        </w:rPr>
        <w:t xml:space="preserve">. </w:t>
      </w:r>
      <w:r w:rsidR="00B549D5">
        <w:rPr>
          <w:rFonts w:eastAsia="Calibri" w:cs="Calibri"/>
          <w:lang w:val="en-GB"/>
        </w:rPr>
        <w:t>According to Jäger, a statement</w:t>
      </w:r>
      <w:r w:rsidR="00B549D5" w:rsidRPr="00946EE6">
        <w:rPr>
          <w:rFonts w:eastAsia="Calibri" w:cs="Calibri"/>
          <w:lang w:val="en-GB"/>
        </w:rPr>
        <w:t xml:space="preserve"> has </w:t>
      </w:r>
      <w:r w:rsidR="00B549D5">
        <w:rPr>
          <w:rFonts w:eastAsia="Calibri" w:cs="Calibri"/>
          <w:lang w:val="en-GB"/>
        </w:rPr>
        <w:t xml:space="preserve">a </w:t>
      </w:r>
      <w:r w:rsidR="00B549D5" w:rsidRPr="00475636">
        <w:rPr>
          <w:rFonts w:eastAsia="Calibri" w:cs="Calibri"/>
          <w:lang w:val="en-GB"/>
        </w:rPr>
        <w:t>continued</w:t>
      </w:r>
      <w:r w:rsidR="00B549D5">
        <w:rPr>
          <w:rFonts w:eastAsia="Calibri" w:cs="Calibri"/>
          <w:lang w:val="en-GB"/>
        </w:rPr>
        <w:t xml:space="preserve"> effect</w:t>
      </w:r>
      <w:r w:rsidR="00B549D5" w:rsidRPr="00946EE6">
        <w:rPr>
          <w:rFonts w:eastAsia="Calibri" w:cs="Calibri"/>
          <w:lang w:val="en-GB"/>
        </w:rPr>
        <w:t xml:space="preserve"> and reinforces a particular knowledge if it is often repeated (</w:t>
      </w:r>
      <w:r w:rsidR="00B352AC">
        <w:rPr>
          <w:rFonts w:eastAsia="Calibri" w:cs="Calibri"/>
          <w:lang w:val="en-GB"/>
        </w:rPr>
        <w:t>2009)</w:t>
      </w:r>
      <w:r w:rsidR="00B549D5" w:rsidRPr="00946EE6">
        <w:rPr>
          <w:rFonts w:eastAsia="Calibri" w:cs="Calibri"/>
          <w:lang w:val="en-GB"/>
        </w:rPr>
        <w:t>. Quantitative aspects may thus illuminate the qualitative research; however, they are always of less</w:t>
      </w:r>
      <w:r>
        <w:rPr>
          <w:rFonts w:eastAsia="Calibri" w:cs="Calibri"/>
          <w:lang w:val="en-GB"/>
        </w:rPr>
        <w:t>er</w:t>
      </w:r>
      <w:r w:rsidR="00B549D5" w:rsidRPr="00946EE6">
        <w:rPr>
          <w:rFonts w:eastAsia="Calibri" w:cs="Calibri"/>
          <w:lang w:val="en-GB"/>
        </w:rPr>
        <w:t xml:space="preserve"> importance for the explanatory function of discourse analysis than the qualitative aspect (</w:t>
      </w:r>
      <w:r w:rsidR="00B352AC">
        <w:rPr>
          <w:rFonts w:eastAsia="Calibri" w:cs="Calibri"/>
          <w:lang w:val="en-GB"/>
        </w:rPr>
        <w:t>2009</w:t>
      </w:r>
      <w:r w:rsidR="00B549D5" w:rsidRPr="00946EE6">
        <w:rPr>
          <w:rFonts w:eastAsia="Calibri" w:cs="Calibri"/>
          <w:lang w:val="en-GB"/>
        </w:rPr>
        <w:t>).</w:t>
      </w:r>
      <w:r>
        <w:rPr>
          <w:rFonts w:eastAsia="Calibri" w:cs="Calibri"/>
          <w:lang w:val="en-GB"/>
        </w:rPr>
        <w:t xml:space="preserve"> </w:t>
      </w:r>
    </w:p>
    <w:p w14:paraId="2881C2F8" w14:textId="77777777" w:rsidR="00B549D5" w:rsidRPr="00946EE6" w:rsidRDefault="00B549D5" w:rsidP="00E52F0F">
      <w:pPr>
        <w:spacing w:line="360" w:lineRule="auto"/>
        <w:ind w:left="-6"/>
        <w:jc w:val="both"/>
        <w:rPr>
          <w:lang w:val="en-GB"/>
        </w:rPr>
      </w:pPr>
      <w:r w:rsidRPr="00946EE6">
        <w:rPr>
          <w:rFonts w:eastAsia="Calibri" w:cs="Calibri"/>
          <w:lang w:val="en-GB"/>
        </w:rPr>
        <w:t xml:space="preserve"> </w:t>
      </w:r>
    </w:p>
    <w:p w14:paraId="15217937" w14:textId="27CAAFA8" w:rsidR="00B549D5" w:rsidRPr="00F0601B" w:rsidRDefault="00882D21" w:rsidP="00E52F0F">
      <w:pPr>
        <w:pStyle w:val="Heading3"/>
        <w:spacing w:line="360" w:lineRule="auto"/>
        <w:ind w:left="-6"/>
        <w:jc w:val="both"/>
        <w:rPr>
          <w:lang w:val="en-GB"/>
        </w:rPr>
      </w:pPr>
      <w:bookmarkStart w:id="47" w:name="h.jrppkuld6mhy" w:colFirst="0" w:colLast="0"/>
      <w:bookmarkStart w:id="48" w:name="_Toc458983410"/>
      <w:bookmarkEnd w:id="47"/>
      <w:r>
        <w:rPr>
          <w:lang w:val="en-GB"/>
        </w:rPr>
        <w:t>4</w:t>
      </w:r>
      <w:r w:rsidR="00B549D5" w:rsidRPr="00F0601B">
        <w:rPr>
          <w:lang w:val="en-GB"/>
        </w:rPr>
        <w:t>.3.3.</w:t>
      </w:r>
      <w:r w:rsidR="00057F07">
        <w:rPr>
          <w:lang w:val="en-GB"/>
        </w:rPr>
        <w:t xml:space="preserve"> </w:t>
      </w:r>
      <w:r w:rsidR="00B549D5" w:rsidRPr="00F0601B">
        <w:rPr>
          <w:lang w:val="en-GB"/>
        </w:rPr>
        <w:t>Practical steps</w:t>
      </w:r>
      <w:bookmarkEnd w:id="48"/>
    </w:p>
    <w:p w14:paraId="4033F3A5" w14:textId="7CA5F6D9" w:rsidR="00B549D5" w:rsidRPr="00823F9C" w:rsidRDefault="001F4513" w:rsidP="00E52F0F">
      <w:pPr>
        <w:spacing w:after="0" w:line="360" w:lineRule="auto"/>
        <w:ind w:left="-6"/>
        <w:jc w:val="both"/>
        <w:rPr>
          <w:lang w:val="en-GB"/>
        </w:rPr>
      </w:pPr>
      <w:r>
        <w:rPr>
          <w:rFonts w:eastAsia="Calibri" w:cs="Calibri"/>
          <w:lang w:val="en-GB"/>
        </w:rPr>
        <w:t xml:space="preserve">Now that the theoretical background of the method is clear, it is time to move on to the actual method, including the concrete steps to take to conduct a critical discourse analysis. </w:t>
      </w:r>
      <w:r w:rsidR="00057F07">
        <w:rPr>
          <w:rFonts w:eastAsia="Calibri" w:cs="Calibri"/>
          <w:lang w:val="en-GB"/>
        </w:rPr>
        <w:t>These steps are the following. Firstly, one</w:t>
      </w:r>
      <w:r w:rsidR="00B549D5" w:rsidRPr="00946EE6">
        <w:rPr>
          <w:rFonts w:eastAsia="Calibri" w:cs="Calibri"/>
          <w:lang w:val="en-GB"/>
        </w:rPr>
        <w:t xml:space="preserve"> explain</w:t>
      </w:r>
      <w:r w:rsidR="00057F07">
        <w:rPr>
          <w:rFonts w:eastAsia="Calibri" w:cs="Calibri"/>
          <w:lang w:val="en-GB"/>
        </w:rPr>
        <w:t>s</w:t>
      </w:r>
      <w:r w:rsidR="00B549D5" w:rsidRPr="00946EE6">
        <w:rPr>
          <w:rFonts w:eastAsia="Calibri" w:cs="Calibri"/>
          <w:lang w:val="en-GB"/>
        </w:rPr>
        <w:t xml:space="preserve"> the characteristics of the discourse plane and the sector, and </w:t>
      </w:r>
      <w:r w:rsidR="00057F07">
        <w:rPr>
          <w:rFonts w:eastAsia="Calibri" w:cs="Calibri"/>
          <w:lang w:val="en-GB"/>
        </w:rPr>
        <w:t>secondly, one</w:t>
      </w:r>
      <w:r w:rsidR="00B549D5" w:rsidRPr="00946EE6">
        <w:rPr>
          <w:rFonts w:eastAsia="Calibri" w:cs="Calibri"/>
          <w:lang w:val="en-GB"/>
        </w:rPr>
        <w:t xml:space="preserve"> establish</w:t>
      </w:r>
      <w:r w:rsidR="00057F07">
        <w:rPr>
          <w:rFonts w:eastAsia="Calibri" w:cs="Calibri"/>
          <w:lang w:val="en-GB"/>
        </w:rPr>
        <w:t>es</w:t>
      </w:r>
      <w:r w:rsidR="00B549D5" w:rsidRPr="00946EE6">
        <w:rPr>
          <w:rFonts w:eastAsia="Calibri" w:cs="Calibri"/>
          <w:lang w:val="en-GB"/>
        </w:rPr>
        <w:t xml:space="preserve"> </w:t>
      </w:r>
      <w:r w:rsidR="00B549D5" w:rsidRPr="00946EE6">
        <w:rPr>
          <w:rFonts w:eastAsia="Calibri" w:cs="Calibri"/>
          <w:lang w:val="en-GB"/>
        </w:rPr>
        <w:lastRenderedPageBreak/>
        <w:t>and process</w:t>
      </w:r>
      <w:r w:rsidR="00057F07">
        <w:rPr>
          <w:rFonts w:eastAsia="Calibri" w:cs="Calibri"/>
          <w:lang w:val="en-GB"/>
        </w:rPr>
        <w:t>es</w:t>
      </w:r>
      <w:r w:rsidR="00B549D5" w:rsidRPr="00946EE6">
        <w:rPr>
          <w:rFonts w:eastAsia="Calibri" w:cs="Calibri"/>
          <w:lang w:val="en-GB"/>
        </w:rPr>
        <w:t xml:space="preserve"> the material (</w:t>
      </w:r>
      <w:r w:rsidR="00B352AC">
        <w:rPr>
          <w:rFonts w:eastAsia="Calibri" w:cs="Calibri"/>
          <w:lang w:val="en-GB"/>
        </w:rPr>
        <w:t xml:space="preserve">Jäger </w:t>
      </w:r>
      <w:r w:rsidR="00BE553E">
        <w:rPr>
          <w:rFonts w:eastAsia="Calibri" w:cs="Calibri"/>
          <w:lang w:val="en-GB"/>
        </w:rPr>
        <w:t>and</w:t>
      </w:r>
      <w:r w:rsidR="00B352AC">
        <w:rPr>
          <w:rFonts w:eastAsia="Calibri" w:cs="Calibri"/>
          <w:lang w:val="en-GB"/>
        </w:rPr>
        <w:t xml:space="preserve"> Maier, 2009</w:t>
      </w:r>
      <w:r w:rsidR="0079111A">
        <w:rPr>
          <w:rFonts w:eastAsia="Calibri" w:cs="Calibri"/>
          <w:lang w:val="en-GB"/>
        </w:rPr>
        <w:t xml:space="preserve">, </w:t>
      </w:r>
      <w:r w:rsidR="00B549D5" w:rsidRPr="00946EE6">
        <w:rPr>
          <w:rFonts w:eastAsia="Calibri" w:cs="Calibri"/>
          <w:lang w:val="en-GB"/>
        </w:rPr>
        <w:t xml:space="preserve">53). </w:t>
      </w:r>
      <w:r w:rsidR="00B549D5" w:rsidRPr="00823F9C">
        <w:rPr>
          <w:rFonts w:eastAsia="Calibri" w:cs="Calibri"/>
          <w:lang w:val="en-GB"/>
        </w:rPr>
        <w:t>This latter step is divided into three substeps (</w:t>
      </w:r>
      <w:r w:rsidR="0079111A">
        <w:rPr>
          <w:rFonts w:eastAsia="Calibri" w:cs="Calibri"/>
          <w:lang w:val="en-GB"/>
        </w:rPr>
        <w:t>2009,</w:t>
      </w:r>
      <w:r w:rsidR="00F56638">
        <w:rPr>
          <w:rFonts w:eastAsia="Calibri" w:cs="Calibri"/>
          <w:lang w:val="en-GB"/>
        </w:rPr>
        <w:t xml:space="preserve"> 53</w:t>
      </w:r>
      <w:r w:rsidR="00B549D5" w:rsidRPr="00823F9C">
        <w:rPr>
          <w:rFonts w:eastAsia="Calibri" w:cs="Calibri"/>
          <w:lang w:val="en-GB"/>
        </w:rPr>
        <w:t>):</w:t>
      </w:r>
    </w:p>
    <w:p w14:paraId="2416D16B" w14:textId="125DE588" w:rsidR="00B549D5" w:rsidRPr="00946EE6" w:rsidRDefault="00B549D5" w:rsidP="00E52F0F">
      <w:pPr>
        <w:numPr>
          <w:ilvl w:val="0"/>
          <w:numId w:val="2"/>
        </w:numPr>
        <w:spacing w:after="0" w:line="360" w:lineRule="auto"/>
        <w:ind w:hanging="360"/>
        <w:contextualSpacing/>
        <w:jc w:val="both"/>
        <w:rPr>
          <w:rFonts w:eastAsia="Calibri" w:cs="Calibri"/>
          <w:lang w:val="en-GB"/>
        </w:rPr>
      </w:pPr>
      <w:r w:rsidRPr="00946EE6">
        <w:rPr>
          <w:rFonts w:eastAsia="Calibri" w:cs="Calibri"/>
          <w:lang w:val="en-GB"/>
        </w:rPr>
        <w:t xml:space="preserve">Analysing the structure, including an evaluation of the material with reference to the discourse strand(s) that are </w:t>
      </w:r>
      <w:r w:rsidR="00472F44">
        <w:rPr>
          <w:rFonts w:eastAsia="Calibri" w:cs="Calibri"/>
          <w:lang w:val="en-GB"/>
        </w:rPr>
        <w:t>examined</w:t>
      </w:r>
      <w:r w:rsidR="00AE5831">
        <w:rPr>
          <w:rFonts w:eastAsia="Calibri" w:cs="Calibri"/>
          <w:lang w:val="en-GB"/>
        </w:rPr>
        <w:t>.</w:t>
      </w:r>
    </w:p>
    <w:p w14:paraId="1A6CAC7F" w14:textId="03B3626E" w:rsidR="00B549D5" w:rsidRPr="00946EE6" w:rsidRDefault="00B549D5" w:rsidP="00E52F0F">
      <w:pPr>
        <w:numPr>
          <w:ilvl w:val="0"/>
          <w:numId w:val="2"/>
        </w:numPr>
        <w:spacing w:after="0" w:line="360" w:lineRule="auto"/>
        <w:ind w:hanging="360"/>
        <w:contextualSpacing/>
        <w:jc w:val="both"/>
        <w:rPr>
          <w:rFonts w:eastAsia="Calibri" w:cs="Calibri"/>
          <w:lang w:val="en-GB"/>
        </w:rPr>
      </w:pPr>
      <w:r w:rsidRPr="00946EE6">
        <w:rPr>
          <w:rFonts w:eastAsia="Calibri" w:cs="Calibri"/>
          <w:lang w:val="en-GB"/>
        </w:rPr>
        <w:t>Conducting a fine analysing of discourse fragments that are as typical as possible of the sector and discourse position of the subject (</w:t>
      </w:r>
      <w:r w:rsidR="00472F44">
        <w:rPr>
          <w:rFonts w:eastAsia="Calibri" w:cs="Calibri"/>
          <w:lang w:val="en-GB"/>
        </w:rPr>
        <w:t>the Guardian</w:t>
      </w:r>
      <w:r w:rsidRPr="00946EE6">
        <w:rPr>
          <w:rFonts w:eastAsia="Calibri" w:cs="Calibri"/>
          <w:lang w:val="en-GB"/>
        </w:rPr>
        <w:t>). This includes allocating the fragment(s) to a superior theme.</w:t>
      </w:r>
    </w:p>
    <w:p w14:paraId="56224792" w14:textId="1EA1B9FA" w:rsidR="00B549D5" w:rsidRDefault="00B549D5" w:rsidP="00E52F0F">
      <w:pPr>
        <w:numPr>
          <w:ilvl w:val="0"/>
          <w:numId w:val="2"/>
        </w:numPr>
        <w:spacing w:after="0" w:line="360" w:lineRule="auto"/>
        <w:ind w:hanging="360"/>
        <w:contextualSpacing/>
        <w:jc w:val="both"/>
        <w:rPr>
          <w:rFonts w:eastAsia="Calibri" w:cs="Calibri"/>
          <w:lang w:val="en-GB"/>
        </w:rPr>
      </w:pPr>
      <w:r w:rsidRPr="00946EE6">
        <w:rPr>
          <w:rFonts w:eastAsia="Calibri" w:cs="Calibri"/>
          <w:lang w:val="en-GB"/>
        </w:rPr>
        <w:t>Conducting an overall analysis of the sector.</w:t>
      </w:r>
    </w:p>
    <w:p w14:paraId="3D686C2F" w14:textId="77777777" w:rsidR="00B352AC" w:rsidRPr="00946EE6" w:rsidRDefault="00B352AC" w:rsidP="00E52F0F">
      <w:pPr>
        <w:spacing w:after="0" w:line="360" w:lineRule="auto"/>
        <w:contextualSpacing/>
        <w:jc w:val="both"/>
        <w:rPr>
          <w:rFonts w:eastAsia="Calibri" w:cs="Calibri"/>
          <w:lang w:val="en-GB"/>
        </w:rPr>
      </w:pPr>
    </w:p>
    <w:p w14:paraId="7C209828" w14:textId="5F6EE122" w:rsidR="00B549D5" w:rsidRPr="00946EE6" w:rsidRDefault="00472F44" w:rsidP="00E52F0F">
      <w:pPr>
        <w:spacing w:after="0" w:line="360" w:lineRule="auto"/>
        <w:jc w:val="both"/>
        <w:rPr>
          <w:lang w:val="en-GB"/>
        </w:rPr>
      </w:pPr>
      <w:r>
        <w:rPr>
          <w:rFonts w:eastAsia="Calibri" w:cs="Calibri"/>
          <w:lang w:val="en-GB"/>
        </w:rPr>
        <w:t>S</w:t>
      </w:r>
      <w:r w:rsidR="00B549D5">
        <w:rPr>
          <w:rFonts w:eastAsia="Calibri" w:cs="Calibri"/>
          <w:lang w:val="en-GB"/>
        </w:rPr>
        <w:t>ince</w:t>
      </w:r>
      <w:r w:rsidR="00B549D5" w:rsidRPr="00946EE6">
        <w:rPr>
          <w:rFonts w:eastAsia="Calibri" w:cs="Calibri"/>
          <w:lang w:val="en-GB"/>
        </w:rPr>
        <w:t xml:space="preserve"> the list is tailored towards an analysis of discourses belon</w:t>
      </w:r>
      <w:r w:rsidR="00B549D5">
        <w:rPr>
          <w:rFonts w:eastAsia="Calibri" w:cs="Calibri"/>
          <w:lang w:val="en-GB"/>
        </w:rPr>
        <w:t>ging to the media plane,</w:t>
      </w:r>
      <w:r w:rsidR="00B549D5" w:rsidRPr="00946EE6">
        <w:rPr>
          <w:rFonts w:eastAsia="Calibri" w:cs="Calibri"/>
          <w:lang w:val="en-GB"/>
        </w:rPr>
        <w:t xml:space="preserve"> </w:t>
      </w:r>
      <w:r>
        <w:rPr>
          <w:rFonts w:eastAsia="Calibri" w:cs="Calibri"/>
          <w:lang w:val="en-GB"/>
        </w:rPr>
        <w:t xml:space="preserve">I have adopted </w:t>
      </w:r>
      <w:r w:rsidR="00B549D5" w:rsidRPr="00946EE6">
        <w:rPr>
          <w:rFonts w:eastAsia="Calibri" w:cs="Calibri"/>
          <w:lang w:val="en-GB"/>
        </w:rPr>
        <w:t>the order of the steps. As in the rest of this chapter, I merely explain what should be done in order to complete these step</w:t>
      </w:r>
      <w:r w:rsidR="00AE5831">
        <w:rPr>
          <w:rFonts w:eastAsia="Calibri" w:cs="Calibri"/>
          <w:lang w:val="en-GB"/>
        </w:rPr>
        <w:t>s</w:t>
      </w:r>
      <w:r w:rsidR="00B549D5" w:rsidRPr="00946EE6">
        <w:rPr>
          <w:rFonts w:eastAsia="Calibri" w:cs="Calibri"/>
          <w:lang w:val="en-GB"/>
        </w:rPr>
        <w:t xml:space="preserve">. The results of the steps and analysis are presented in the next chapter. </w:t>
      </w:r>
    </w:p>
    <w:p w14:paraId="3130B502" w14:textId="13559EA2" w:rsidR="00B549D5" w:rsidRPr="00946EE6" w:rsidRDefault="00B549D5" w:rsidP="00E52F0F">
      <w:pPr>
        <w:spacing w:after="0" w:line="360" w:lineRule="auto"/>
        <w:ind w:firstLine="720"/>
        <w:jc w:val="both"/>
        <w:rPr>
          <w:lang w:val="en-GB"/>
        </w:rPr>
      </w:pPr>
      <w:r w:rsidRPr="00946EE6">
        <w:rPr>
          <w:rFonts w:eastAsia="Calibri" w:cs="Calibri"/>
          <w:lang w:val="en-GB"/>
        </w:rPr>
        <w:t>The discourse plane that is under review in this study is the media. Hence, I research the general meaning of ‘media’, as well as the characteristics of media. To charact</w:t>
      </w:r>
      <w:r w:rsidR="00B352AC">
        <w:rPr>
          <w:rFonts w:eastAsia="Calibri" w:cs="Calibri"/>
          <w:lang w:val="en-GB"/>
        </w:rPr>
        <w:t>erise the sector, I investigate</w:t>
      </w:r>
      <w:r w:rsidRPr="00946EE6">
        <w:rPr>
          <w:rFonts w:eastAsia="Calibri" w:cs="Calibri"/>
          <w:lang w:val="en-GB"/>
        </w:rPr>
        <w:t xml:space="preserve"> what is characteristic of online newspapers, since the Guardian is part of </w:t>
      </w:r>
      <w:r w:rsidR="00472F44">
        <w:rPr>
          <w:rFonts w:eastAsia="Calibri" w:cs="Calibri"/>
          <w:lang w:val="en-GB"/>
        </w:rPr>
        <w:t>this sector</w:t>
      </w:r>
      <w:r w:rsidRPr="00946EE6">
        <w:rPr>
          <w:rFonts w:eastAsia="Calibri" w:cs="Calibri"/>
          <w:lang w:val="en-GB"/>
        </w:rPr>
        <w:t xml:space="preserve">. The second step, establishing and processing material, is the most important </w:t>
      </w:r>
      <w:r>
        <w:rPr>
          <w:rFonts w:eastAsia="Calibri" w:cs="Calibri"/>
          <w:lang w:val="en-GB"/>
        </w:rPr>
        <w:t>one</w:t>
      </w:r>
      <w:r w:rsidRPr="00946EE6">
        <w:rPr>
          <w:rFonts w:eastAsia="Calibri" w:cs="Calibri"/>
          <w:lang w:val="en-GB"/>
        </w:rPr>
        <w:t>. Establishing</w:t>
      </w:r>
      <w:r w:rsidR="00472F44">
        <w:rPr>
          <w:rFonts w:eastAsia="Calibri" w:cs="Calibri"/>
          <w:lang w:val="en-GB"/>
        </w:rPr>
        <w:t xml:space="preserve"> the material basically means</w:t>
      </w:r>
      <w:r w:rsidRPr="00946EE6">
        <w:rPr>
          <w:rFonts w:eastAsia="Calibri" w:cs="Calibri"/>
          <w:lang w:val="en-GB"/>
        </w:rPr>
        <w:t xml:space="preserve"> </w:t>
      </w:r>
      <w:r w:rsidR="00472F44">
        <w:rPr>
          <w:rFonts w:eastAsia="Calibri" w:cs="Calibri"/>
          <w:lang w:val="en-GB"/>
        </w:rPr>
        <w:t>choosing</w:t>
      </w:r>
      <w:r w:rsidRPr="00946EE6">
        <w:rPr>
          <w:rFonts w:eastAsia="Calibri" w:cs="Calibri"/>
          <w:lang w:val="en-GB"/>
        </w:rPr>
        <w:t xml:space="preserve"> one’s sample. My sample, and the reasoning behind my choice for those articles,</w:t>
      </w:r>
      <w:r>
        <w:rPr>
          <w:rFonts w:eastAsia="Calibri" w:cs="Calibri"/>
          <w:lang w:val="en-GB"/>
        </w:rPr>
        <w:t xml:space="preserve"> </w:t>
      </w:r>
      <w:r w:rsidR="00AE5831">
        <w:rPr>
          <w:rFonts w:eastAsia="Calibri" w:cs="Calibri"/>
          <w:lang w:val="en-GB"/>
        </w:rPr>
        <w:t>are explained</w:t>
      </w:r>
      <w:r>
        <w:rPr>
          <w:rFonts w:eastAsia="Calibri" w:cs="Calibri"/>
          <w:lang w:val="en-GB"/>
        </w:rPr>
        <w:t xml:space="preserve"> in </w:t>
      </w:r>
      <w:r w:rsidR="00472F44">
        <w:rPr>
          <w:rFonts w:eastAsia="Calibri" w:cs="Calibri"/>
          <w:lang w:val="en-GB"/>
        </w:rPr>
        <w:t xml:space="preserve">the next </w:t>
      </w:r>
      <w:r>
        <w:rPr>
          <w:rFonts w:eastAsia="Calibri" w:cs="Calibri"/>
          <w:lang w:val="en-GB"/>
        </w:rPr>
        <w:t>section</w:t>
      </w:r>
      <w:r w:rsidRPr="00946EE6">
        <w:rPr>
          <w:rFonts w:eastAsia="Calibri" w:cs="Calibri"/>
          <w:lang w:val="en-GB"/>
        </w:rPr>
        <w:t>. To process the material, I followed th</w:t>
      </w:r>
      <w:r w:rsidR="00472F44">
        <w:rPr>
          <w:rFonts w:eastAsia="Calibri" w:cs="Calibri"/>
          <w:lang w:val="en-GB"/>
        </w:rPr>
        <w:t>e three steps pointed out above:</w:t>
      </w:r>
      <w:r w:rsidRPr="00946EE6">
        <w:rPr>
          <w:rFonts w:eastAsia="Calibri" w:cs="Calibri"/>
          <w:lang w:val="en-GB"/>
        </w:rPr>
        <w:t xml:space="preserve"> a structure analysis, fine analysis, and overall analysis. </w:t>
      </w:r>
    </w:p>
    <w:p w14:paraId="349CD236" w14:textId="58B6F320" w:rsidR="00B549D5" w:rsidRPr="00946EE6" w:rsidRDefault="00B549D5" w:rsidP="00E52F0F">
      <w:pPr>
        <w:spacing w:after="0" w:line="360" w:lineRule="auto"/>
        <w:ind w:firstLine="720"/>
        <w:jc w:val="both"/>
        <w:rPr>
          <w:lang w:val="en-GB"/>
        </w:rPr>
      </w:pPr>
      <w:r w:rsidRPr="00946EE6">
        <w:rPr>
          <w:rFonts w:eastAsia="Calibri" w:cs="Calibri"/>
          <w:lang w:val="en-GB"/>
        </w:rPr>
        <w:t xml:space="preserve">The structure analysis </w:t>
      </w:r>
      <w:r w:rsidR="00472F44">
        <w:rPr>
          <w:rFonts w:eastAsia="Calibri" w:cs="Calibri"/>
          <w:lang w:val="en-GB"/>
        </w:rPr>
        <w:t>involves</w:t>
      </w:r>
      <w:r w:rsidRPr="00946EE6">
        <w:rPr>
          <w:rFonts w:eastAsia="Calibri" w:cs="Calibri"/>
          <w:lang w:val="en-GB"/>
        </w:rPr>
        <w:t xml:space="preserve"> processing the material of the entire selected discourse strand of the newspaper. In this study, I thus processed the material of the discourse strand ‘</w:t>
      </w:r>
      <w:r>
        <w:rPr>
          <w:rFonts w:eastAsia="Calibri" w:cs="Calibri"/>
          <w:lang w:val="en-GB"/>
        </w:rPr>
        <w:t xml:space="preserve">people </w:t>
      </w:r>
      <w:r w:rsidR="00472F44">
        <w:rPr>
          <w:rFonts w:eastAsia="Calibri" w:cs="Calibri"/>
          <w:lang w:val="en-GB"/>
        </w:rPr>
        <w:t>affected by</w:t>
      </w:r>
      <w:r>
        <w:rPr>
          <w:rFonts w:eastAsia="Calibri" w:cs="Calibri"/>
          <w:lang w:val="en-GB"/>
        </w:rPr>
        <w:t xml:space="preserve"> the Beirut and Paris </w:t>
      </w:r>
      <w:r w:rsidRPr="00946EE6">
        <w:rPr>
          <w:rFonts w:eastAsia="Calibri" w:cs="Calibri"/>
          <w:lang w:val="en-GB"/>
        </w:rPr>
        <w:t>attack</w:t>
      </w:r>
      <w:r>
        <w:rPr>
          <w:rFonts w:eastAsia="Calibri" w:cs="Calibri"/>
          <w:lang w:val="en-GB"/>
        </w:rPr>
        <w:t>s</w:t>
      </w:r>
      <w:r w:rsidRPr="00946EE6">
        <w:rPr>
          <w:rFonts w:eastAsia="Calibri" w:cs="Calibri"/>
          <w:lang w:val="en-GB"/>
        </w:rPr>
        <w:t>’ of the onli</w:t>
      </w:r>
      <w:r w:rsidR="00472F44">
        <w:rPr>
          <w:rFonts w:eastAsia="Calibri" w:cs="Calibri"/>
          <w:lang w:val="en-GB"/>
        </w:rPr>
        <w:t xml:space="preserve">ne international version of </w:t>
      </w:r>
      <w:r w:rsidRPr="00946EE6">
        <w:rPr>
          <w:rFonts w:eastAsia="Calibri" w:cs="Calibri"/>
          <w:lang w:val="en-GB"/>
        </w:rPr>
        <w:t>the Gua</w:t>
      </w:r>
      <w:r w:rsidR="00472F44">
        <w:rPr>
          <w:rFonts w:eastAsia="Calibri" w:cs="Calibri"/>
          <w:lang w:val="en-GB"/>
        </w:rPr>
        <w:t>rdian. For t</w:t>
      </w:r>
      <w:r w:rsidRPr="00946EE6">
        <w:rPr>
          <w:rFonts w:eastAsia="Calibri" w:cs="Calibri"/>
          <w:lang w:val="en-GB"/>
        </w:rPr>
        <w:t xml:space="preserve">he first stage </w:t>
      </w:r>
      <w:r w:rsidR="00472F44">
        <w:rPr>
          <w:rFonts w:eastAsia="Calibri" w:cs="Calibri"/>
          <w:lang w:val="en-GB"/>
        </w:rPr>
        <w:t>one produces</w:t>
      </w:r>
      <w:r w:rsidRPr="00946EE6">
        <w:rPr>
          <w:rFonts w:eastAsia="Calibri" w:cs="Calibri"/>
          <w:lang w:val="en-GB"/>
        </w:rPr>
        <w:t xml:space="preserve"> a general characterisation of the newspaper, </w:t>
      </w:r>
      <w:r w:rsidR="00472F44">
        <w:rPr>
          <w:rFonts w:eastAsia="Calibri" w:cs="Calibri"/>
          <w:lang w:val="en-GB"/>
        </w:rPr>
        <w:t>explaining</w:t>
      </w:r>
      <w:r w:rsidRPr="00946EE6">
        <w:rPr>
          <w:rFonts w:eastAsia="Calibri" w:cs="Calibri"/>
          <w:lang w:val="en-GB"/>
        </w:rPr>
        <w:t xml:space="preserve"> its readership, circulation, and political localisation. The second </w:t>
      </w:r>
      <w:r>
        <w:rPr>
          <w:rFonts w:eastAsia="Calibri" w:cs="Calibri"/>
          <w:lang w:val="en-GB"/>
        </w:rPr>
        <w:t>phase</w:t>
      </w:r>
      <w:r w:rsidRPr="00946EE6">
        <w:rPr>
          <w:rFonts w:eastAsia="Calibri" w:cs="Calibri"/>
          <w:lang w:val="en-GB"/>
        </w:rPr>
        <w:t xml:space="preserve"> </w:t>
      </w:r>
      <w:r w:rsidR="00472F44">
        <w:rPr>
          <w:rFonts w:eastAsia="Calibri" w:cs="Calibri"/>
          <w:lang w:val="en-GB"/>
        </w:rPr>
        <w:t>involves producing</w:t>
      </w:r>
      <w:r w:rsidRPr="00946EE6">
        <w:rPr>
          <w:rFonts w:eastAsia="Calibri" w:cs="Calibri"/>
          <w:lang w:val="en-GB"/>
        </w:rPr>
        <w:t xml:space="preserve"> an overview of the newspaper, which should be a review of a whole year of the discourse strand (Jäger</w:t>
      </w:r>
      <w:r w:rsidR="00B352AC">
        <w:rPr>
          <w:rFonts w:eastAsia="Calibri" w:cs="Calibri"/>
          <w:lang w:val="en-GB"/>
        </w:rPr>
        <w:t xml:space="preserve"> </w:t>
      </w:r>
      <w:r w:rsidR="00BE553E">
        <w:rPr>
          <w:rFonts w:eastAsia="Calibri" w:cs="Calibri"/>
          <w:lang w:val="en-GB"/>
        </w:rPr>
        <w:t>and</w:t>
      </w:r>
      <w:r w:rsidR="00E035FC">
        <w:rPr>
          <w:rFonts w:eastAsia="Calibri" w:cs="Calibri"/>
          <w:lang w:val="en-GB"/>
        </w:rPr>
        <w:t xml:space="preserve"> </w:t>
      </w:r>
      <w:r w:rsidR="00B352AC">
        <w:rPr>
          <w:rFonts w:eastAsia="Calibri" w:cs="Calibri"/>
          <w:lang w:val="en-GB"/>
        </w:rPr>
        <w:t>Maier</w:t>
      </w:r>
      <w:r w:rsidR="0079111A">
        <w:rPr>
          <w:rFonts w:eastAsia="Calibri" w:cs="Calibri"/>
          <w:lang w:val="en-GB"/>
        </w:rPr>
        <w:t xml:space="preserve">, 2009, </w:t>
      </w:r>
      <w:r w:rsidRPr="00946EE6">
        <w:rPr>
          <w:rFonts w:eastAsia="Calibri" w:cs="Calibri"/>
          <w:lang w:val="en-GB"/>
        </w:rPr>
        <w:t xml:space="preserve">54). </w:t>
      </w:r>
      <w:r w:rsidR="00E035FC">
        <w:rPr>
          <w:rFonts w:eastAsia="Calibri" w:cs="Calibri"/>
          <w:lang w:val="en-GB"/>
        </w:rPr>
        <w:t>Nonetheless</w:t>
      </w:r>
      <w:r w:rsidRPr="00946EE6">
        <w:rPr>
          <w:rFonts w:eastAsia="Calibri" w:cs="Calibri"/>
          <w:lang w:val="en-GB"/>
        </w:rPr>
        <w:t>, Jäger does not provide any explanat</w:t>
      </w:r>
      <w:r>
        <w:rPr>
          <w:rFonts w:eastAsia="Calibri" w:cs="Calibri"/>
          <w:lang w:val="en-GB"/>
        </w:rPr>
        <w:t>ion for why it should be a year, which makes</w:t>
      </w:r>
      <w:r w:rsidRPr="00946EE6">
        <w:rPr>
          <w:rFonts w:eastAsia="Calibri" w:cs="Calibri"/>
          <w:lang w:val="en-GB"/>
        </w:rPr>
        <w:t xml:space="preserve"> it seem like a rather arbitrary choice. Instead, I choose to review the material from the moment of the first attack in Beirut until May 22, 2016: the day of the </w:t>
      </w:r>
      <w:r w:rsidR="00E035FC">
        <w:rPr>
          <w:rFonts w:eastAsia="Calibri" w:cs="Calibri"/>
          <w:lang w:val="en-GB"/>
        </w:rPr>
        <w:t xml:space="preserve">terror </w:t>
      </w:r>
      <w:r w:rsidRPr="00946EE6">
        <w:rPr>
          <w:rFonts w:eastAsia="Calibri" w:cs="Calibri"/>
          <w:lang w:val="en-GB"/>
        </w:rPr>
        <w:t xml:space="preserve">attacks in Brussels. The focus of this thesis is </w:t>
      </w:r>
      <w:r w:rsidR="00E035FC">
        <w:rPr>
          <w:rFonts w:eastAsia="Calibri" w:cs="Calibri"/>
          <w:lang w:val="en-GB"/>
        </w:rPr>
        <w:t>the attacks in Beirut and Paris; hence,</w:t>
      </w:r>
      <w:r w:rsidRPr="00946EE6">
        <w:rPr>
          <w:rFonts w:eastAsia="Calibri" w:cs="Calibri"/>
          <w:lang w:val="en-GB"/>
        </w:rPr>
        <w:t xml:space="preserve"> researching articles that are written after the Brussels a</w:t>
      </w:r>
      <w:r>
        <w:rPr>
          <w:rFonts w:eastAsia="Calibri" w:cs="Calibri"/>
          <w:lang w:val="en-GB"/>
        </w:rPr>
        <w:t>ttack</w:t>
      </w:r>
      <w:r w:rsidR="00E035FC">
        <w:rPr>
          <w:rFonts w:eastAsia="Calibri" w:cs="Calibri"/>
          <w:lang w:val="en-GB"/>
        </w:rPr>
        <w:t>s</w:t>
      </w:r>
      <w:r>
        <w:rPr>
          <w:rFonts w:eastAsia="Calibri" w:cs="Calibri"/>
          <w:lang w:val="en-GB"/>
        </w:rPr>
        <w:t xml:space="preserve"> may distort this focus, because the Paris attacks may have affected the framing of Brussels and the reaction of the public. </w:t>
      </w:r>
      <w:r w:rsidRPr="00946EE6">
        <w:rPr>
          <w:rFonts w:eastAsia="Calibri" w:cs="Calibri"/>
          <w:lang w:val="en-GB"/>
        </w:rPr>
        <w:t xml:space="preserve">Moreover, by focusing solely on the Beirut and Paris articles, it becomes possible to see how other events, including possible future events, return to the topic. </w:t>
      </w:r>
      <w:r w:rsidR="00E035FC">
        <w:rPr>
          <w:rFonts w:eastAsia="Calibri" w:cs="Calibri"/>
          <w:lang w:val="en-GB"/>
        </w:rPr>
        <w:t>All in all, t</w:t>
      </w:r>
      <w:r w:rsidRPr="00946EE6">
        <w:rPr>
          <w:rFonts w:eastAsia="Calibri" w:cs="Calibri"/>
          <w:lang w:val="en-GB"/>
        </w:rPr>
        <w:t>he review of the newspaper material includes (1) a list of the articles that are analysed, accompanied by their bibliographic information, (2) a summary of the discourse strand addressed by the newspaper, and (3) an allocation of sole themes to thematic areas (</w:t>
      </w:r>
      <w:r w:rsidR="00B352AC">
        <w:rPr>
          <w:rFonts w:eastAsia="Calibri" w:cs="Calibri"/>
          <w:lang w:val="en-GB"/>
        </w:rPr>
        <w:t xml:space="preserve">Jäger </w:t>
      </w:r>
      <w:r w:rsidR="00BE553E">
        <w:rPr>
          <w:rFonts w:eastAsia="Calibri" w:cs="Calibri"/>
          <w:lang w:val="en-GB"/>
        </w:rPr>
        <w:t>and</w:t>
      </w:r>
      <w:r w:rsidR="00B352AC">
        <w:rPr>
          <w:rFonts w:eastAsia="Calibri" w:cs="Calibri"/>
          <w:lang w:val="en-GB"/>
        </w:rPr>
        <w:t xml:space="preserve"> Maier, 2009, </w:t>
      </w:r>
      <w:r w:rsidR="0079111A">
        <w:rPr>
          <w:rFonts w:eastAsia="Calibri" w:cs="Calibri"/>
          <w:lang w:val="en-GB"/>
        </w:rPr>
        <w:t>54-5</w:t>
      </w:r>
      <w:r w:rsidR="003107A7">
        <w:rPr>
          <w:rFonts w:eastAsia="Calibri" w:cs="Calibri"/>
          <w:lang w:val="en-GB"/>
        </w:rPr>
        <w:t xml:space="preserve">5). </w:t>
      </w:r>
      <w:r w:rsidRPr="00946EE6">
        <w:rPr>
          <w:rFonts w:eastAsia="Calibri" w:cs="Calibri"/>
          <w:lang w:val="en-GB"/>
        </w:rPr>
        <w:t xml:space="preserve">The list of articles can be found in </w:t>
      </w:r>
      <w:r w:rsidR="00050A50">
        <w:rPr>
          <w:rFonts w:eastAsia="Calibri" w:cs="Calibri"/>
          <w:lang w:val="en-GB"/>
        </w:rPr>
        <w:t>the appendix</w:t>
      </w:r>
      <w:r w:rsidRPr="00946EE6">
        <w:rPr>
          <w:rFonts w:eastAsia="Calibri" w:cs="Calibri"/>
          <w:lang w:val="en-GB"/>
        </w:rPr>
        <w:t xml:space="preserve">, and </w:t>
      </w:r>
      <w:r w:rsidR="00E035FC">
        <w:rPr>
          <w:rFonts w:eastAsia="Calibri" w:cs="Calibri"/>
          <w:lang w:val="en-GB"/>
        </w:rPr>
        <w:t>is</w:t>
      </w:r>
      <w:r w:rsidRPr="00946EE6">
        <w:rPr>
          <w:rFonts w:eastAsia="Calibri" w:cs="Calibri"/>
          <w:lang w:val="en-GB"/>
        </w:rPr>
        <w:t xml:space="preserve"> elaborated upon in section </w:t>
      </w:r>
      <w:r w:rsidR="00E035FC">
        <w:rPr>
          <w:rFonts w:eastAsia="Calibri" w:cs="Calibri"/>
          <w:lang w:val="en-GB"/>
        </w:rPr>
        <w:t>4</w:t>
      </w:r>
      <w:r w:rsidRPr="00946EE6">
        <w:rPr>
          <w:rFonts w:eastAsia="Calibri" w:cs="Calibri"/>
          <w:lang w:val="en-GB"/>
        </w:rPr>
        <w:t xml:space="preserve">.4., where I explain my sample. </w:t>
      </w:r>
      <w:r w:rsidRPr="00946EE6">
        <w:rPr>
          <w:rFonts w:eastAsia="Calibri" w:cs="Calibri"/>
          <w:lang w:val="en-GB"/>
        </w:rPr>
        <w:lastRenderedPageBreak/>
        <w:t>The results of the other steps are presented in the next chapter, as are the results of the fine analysis and overall analysis.</w:t>
      </w:r>
    </w:p>
    <w:p w14:paraId="7F393C34" w14:textId="1BAD03EC" w:rsidR="00B549D5" w:rsidRPr="00946EE6" w:rsidRDefault="00B549D5" w:rsidP="00E52F0F">
      <w:pPr>
        <w:spacing w:after="0" w:line="360" w:lineRule="auto"/>
        <w:ind w:firstLine="720"/>
        <w:jc w:val="both"/>
        <w:rPr>
          <w:lang w:val="en-GB"/>
        </w:rPr>
      </w:pPr>
      <w:r w:rsidRPr="00946EE6">
        <w:rPr>
          <w:rFonts w:eastAsia="Calibri" w:cs="Calibri"/>
          <w:lang w:val="en-GB"/>
        </w:rPr>
        <w:t xml:space="preserve">For the fine analysis one analyses discourse fragments of an article or several articles that are as typical as possible for the discourse position of the newspaper </w:t>
      </w:r>
      <w:r w:rsidR="00E035FC">
        <w:rPr>
          <w:rFonts w:eastAsia="Calibri" w:cs="Calibri"/>
          <w:lang w:val="en-GB"/>
        </w:rPr>
        <w:t>with regard to</w:t>
      </w:r>
      <w:r w:rsidRPr="00946EE6">
        <w:rPr>
          <w:rFonts w:eastAsia="Calibri" w:cs="Calibri"/>
          <w:lang w:val="en-GB"/>
        </w:rPr>
        <w:t xml:space="preserve"> the discourse strand (</w:t>
      </w:r>
      <w:r w:rsidR="00B352AC">
        <w:rPr>
          <w:rFonts w:eastAsia="Calibri" w:cs="Calibri"/>
          <w:lang w:val="en-GB"/>
        </w:rPr>
        <w:t xml:space="preserve">Jäger </w:t>
      </w:r>
      <w:r w:rsidR="00BE553E">
        <w:rPr>
          <w:rFonts w:eastAsia="Calibri" w:cs="Calibri"/>
          <w:lang w:val="en-GB"/>
        </w:rPr>
        <w:t>and</w:t>
      </w:r>
      <w:r w:rsidR="00B352AC">
        <w:rPr>
          <w:rFonts w:eastAsia="Calibri" w:cs="Calibri"/>
          <w:lang w:val="en-GB"/>
        </w:rPr>
        <w:t xml:space="preserve"> Maier, 2009</w:t>
      </w:r>
      <w:r w:rsidRPr="00946EE6">
        <w:rPr>
          <w:rFonts w:eastAsia="Calibri" w:cs="Calibri"/>
          <w:lang w:val="en-GB"/>
        </w:rPr>
        <w:t xml:space="preserve">). The institutional framework, text surface, rhetorical means, ideological statements, and other noteworthy issues are </w:t>
      </w:r>
      <w:r>
        <w:rPr>
          <w:rFonts w:eastAsia="Calibri" w:cs="Calibri"/>
          <w:lang w:val="en-GB"/>
        </w:rPr>
        <w:t>studied</w:t>
      </w:r>
      <w:r w:rsidRPr="00946EE6">
        <w:rPr>
          <w:rFonts w:eastAsia="Calibri" w:cs="Calibri"/>
          <w:lang w:val="en-GB"/>
        </w:rPr>
        <w:t xml:space="preserve">. The analysis of the institutional framework includes investigating the function and </w:t>
      </w:r>
      <w:r>
        <w:rPr>
          <w:rFonts w:eastAsia="Calibri" w:cs="Calibri"/>
          <w:lang w:val="en-GB"/>
        </w:rPr>
        <w:t xml:space="preserve">expertise </w:t>
      </w:r>
      <w:r w:rsidR="00AE5831">
        <w:rPr>
          <w:rFonts w:eastAsia="Calibri" w:cs="Calibri"/>
          <w:lang w:val="en-GB"/>
        </w:rPr>
        <w:t xml:space="preserve">of the </w:t>
      </w:r>
      <w:r>
        <w:rPr>
          <w:rFonts w:eastAsia="Calibri" w:cs="Calibri"/>
          <w:lang w:val="en-GB"/>
        </w:rPr>
        <w:t>author</w:t>
      </w:r>
      <w:r w:rsidR="00AE5831">
        <w:rPr>
          <w:rFonts w:eastAsia="Calibri" w:cs="Calibri"/>
          <w:lang w:val="en-GB"/>
        </w:rPr>
        <w:t>(s)</w:t>
      </w:r>
      <w:r>
        <w:rPr>
          <w:rFonts w:eastAsia="Calibri" w:cs="Calibri"/>
          <w:lang w:val="en-GB"/>
        </w:rPr>
        <w:t xml:space="preserve"> of the article</w:t>
      </w:r>
      <w:r w:rsidRPr="00946EE6">
        <w:rPr>
          <w:rFonts w:eastAsia="Calibri" w:cs="Calibri"/>
          <w:lang w:val="en-GB"/>
        </w:rPr>
        <w:t>s, the cause of the article</w:t>
      </w:r>
      <w:r>
        <w:rPr>
          <w:rFonts w:eastAsia="Calibri" w:cs="Calibri"/>
          <w:lang w:val="en-GB"/>
        </w:rPr>
        <w:t>s</w:t>
      </w:r>
      <w:r w:rsidRPr="00946EE6">
        <w:rPr>
          <w:rFonts w:eastAsia="Calibri" w:cs="Calibri"/>
          <w:lang w:val="en-GB"/>
        </w:rPr>
        <w:t xml:space="preserve">, and the section in which the article appeared. Researching the ‘surface’ of the text involves analysing the graphic layout, the headings, the structure in terms of the units of meaning, </w:t>
      </w:r>
      <w:r w:rsidR="00E035FC">
        <w:rPr>
          <w:rFonts w:eastAsia="Calibri" w:cs="Calibri"/>
          <w:lang w:val="en-GB"/>
        </w:rPr>
        <w:t xml:space="preserve">and </w:t>
      </w:r>
      <w:r w:rsidRPr="00946EE6">
        <w:rPr>
          <w:rFonts w:eastAsia="Calibri" w:cs="Calibri"/>
          <w:lang w:val="en-GB"/>
        </w:rPr>
        <w:t xml:space="preserve">the themes the article addresses. In order to analyse the rhetorical means I study the type, form, and logic of argumentation, the statements that are implied or insinuated, the symbolism, sayings, vocabulary, and style. Moreover, it also includes studying the players (such as persons) and references (for example, to a specific source of information). Regarding the ideological statements of the article(s), I study the implied understanding of the human being, of the particular society/state attacked, of international society, and of future expected reactions. A summary of the fine analysis highlighting the most important findings, and thus of the localisation of the discourse fragments in the discourse strand, as well as of the general argument presented in the fragments, is </w:t>
      </w:r>
      <w:r>
        <w:rPr>
          <w:rFonts w:eastAsia="Calibri" w:cs="Calibri"/>
          <w:lang w:val="en-GB"/>
        </w:rPr>
        <w:t>discussed</w:t>
      </w:r>
      <w:r w:rsidRPr="00946EE6">
        <w:rPr>
          <w:rFonts w:eastAsia="Calibri" w:cs="Calibri"/>
          <w:lang w:val="en-GB"/>
        </w:rPr>
        <w:t xml:space="preserve"> in the results section. </w:t>
      </w:r>
    </w:p>
    <w:p w14:paraId="51C787E2" w14:textId="15EADAB9" w:rsidR="00B549D5" w:rsidRPr="00946EE6" w:rsidRDefault="00B549D5" w:rsidP="00E52F0F">
      <w:pPr>
        <w:spacing w:after="0" w:line="360" w:lineRule="auto"/>
        <w:ind w:firstLine="720"/>
        <w:jc w:val="both"/>
        <w:rPr>
          <w:lang w:val="en-GB"/>
        </w:rPr>
      </w:pPr>
      <w:r w:rsidRPr="00946EE6">
        <w:rPr>
          <w:rFonts w:eastAsia="Calibri" w:cs="Calibri"/>
          <w:lang w:val="en-GB"/>
        </w:rPr>
        <w:t xml:space="preserve">The overall analysis is </w:t>
      </w:r>
      <w:r>
        <w:rPr>
          <w:rFonts w:eastAsia="Calibri" w:cs="Calibri"/>
          <w:lang w:val="en-GB"/>
        </w:rPr>
        <w:t>simply</w:t>
      </w:r>
      <w:r w:rsidRPr="00946EE6">
        <w:rPr>
          <w:rFonts w:eastAsia="Calibri" w:cs="Calibri"/>
          <w:lang w:val="en-GB"/>
        </w:rPr>
        <w:t xml:space="preserve"> the interpretation of the discourses present in the articles, as well as a justification for this inter</w:t>
      </w:r>
      <w:r w:rsidR="00E035FC">
        <w:rPr>
          <w:rFonts w:eastAsia="Calibri" w:cs="Calibri"/>
          <w:lang w:val="en-GB"/>
        </w:rPr>
        <w:t>pretation based on the contents,</w:t>
      </w:r>
      <w:r w:rsidRPr="00946EE6">
        <w:rPr>
          <w:rFonts w:eastAsia="Calibri" w:cs="Calibri"/>
          <w:lang w:val="en-GB"/>
        </w:rPr>
        <w:t xml:space="preserve"> structure and fine analysis. This analysis is </w:t>
      </w:r>
      <w:r>
        <w:rPr>
          <w:rFonts w:eastAsia="Calibri" w:cs="Calibri"/>
          <w:lang w:val="en-GB"/>
        </w:rPr>
        <w:t xml:space="preserve">also </w:t>
      </w:r>
      <w:r w:rsidRPr="00946EE6">
        <w:rPr>
          <w:rFonts w:eastAsia="Calibri" w:cs="Calibri"/>
          <w:lang w:val="en-GB"/>
        </w:rPr>
        <w:t xml:space="preserve">presented in the results section. </w:t>
      </w:r>
    </w:p>
    <w:p w14:paraId="6EB4BFA4" w14:textId="77777777" w:rsidR="00B549D5" w:rsidRPr="00946EE6" w:rsidRDefault="00B549D5" w:rsidP="00E52F0F">
      <w:pPr>
        <w:spacing w:line="360" w:lineRule="auto"/>
        <w:ind w:left="-6"/>
        <w:jc w:val="both"/>
        <w:rPr>
          <w:lang w:val="en-GB"/>
        </w:rPr>
      </w:pPr>
    </w:p>
    <w:p w14:paraId="2728EEEA" w14:textId="0123628C" w:rsidR="00B549D5" w:rsidRPr="00F0601B" w:rsidRDefault="00882D21" w:rsidP="00E52F0F">
      <w:pPr>
        <w:pStyle w:val="Heading2"/>
        <w:spacing w:line="360" w:lineRule="auto"/>
        <w:jc w:val="both"/>
        <w:rPr>
          <w:lang w:val="en-GB"/>
        </w:rPr>
      </w:pPr>
      <w:bookmarkStart w:id="49" w:name="h.84aqiqezlts8" w:colFirst="0" w:colLast="0"/>
      <w:bookmarkStart w:id="50" w:name="_Toc458983411"/>
      <w:bookmarkEnd w:id="49"/>
      <w:r>
        <w:rPr>
          <w:lang w:val="en-GB"/>
        </w:rPr>
        <w:t>4</w:t>
      </w:r>
      <w:r w:rsidR="00B549D5" w:rsidRPr="00F0601B">
        <w:rPr>
          <w:lang w:val="en-GB"/>
        </w:rPr>
        <w:t>.4. Sample</w:t>
      </w:r>
      <w:bookmarkEnd w:id="50"/>
    </w:p>
    <w:p w14:paraId="63DE3BFF" w14:textId="26132A73" w:rsidR="00B549D5" w:rsidRPr="00997F5B" w:rsidRDefault="006F0FBA" w:rsidP="00E52F0F">
      <w:pPr>
        <w:spacing w:after="0" w:line="360" w:lineRule="auto"/>
        <w:jc w:val="both"/>
        <w:rPr>
          <w:rFonts w:eastAsia="Calibri" w:cs="Calibri"/>
          <w:lang w:val="en-GB"/>
        </w:rPr>
      </w:pPr>
      <w:r>
        <w:rPr>
          <w:rFonts w:eastAsia="Calibri" w:cs="Calibri"/>
          <w:lang w:val="en-GB"/>
        </w:rPr>
        <w:t>For the structure analysis, t</w:t>
      </w:r>
      <w:r w:rsidR="00B549D5" w:rsidRPr="00946EE6">
        <w:rPr>
          <w:rFonts w:eastAsia="Calibri" w:cs="Calibri"/>
          <w:lang w:val="en-GB"/>
        </w:rPr>
        <w:t xml:space="preserve">he articles chosen were those that concerned the attacks in Beirut on November 12, 2015 and/or Paris on </w:t>
      </w:r>
      <w:r w:rsidR="00B549D5" w:rsidRPr="0088389D">
        <w:rPr>
          <w:rFonts w:eastAsia="Calibri" w:cs="Calibri"/>
          <w:lang w:val="en-GB"/>
        </w:rPr>
        <w:t xml:space="preserve">November 13, 2015 as visible from the title. </w:t>
      </w:r>
      <w:r w:rsidR="00AE5831" w:rsidRPr="0088389D">
        <w:rPr>
          <w:rFonts w:eastAsia="Calibri" w:cs="Calibri"/>
          <w:lang w:val="en-GB"/>
        </w:rPr>
        <w:t>The titles thus had to include t</w:t>
      </w:r>
      <w:r w:rsidR="00884D3E" w:rsidRPr="0088389D">
        <w:rPr>
          <w:rFonts w:eastAsia="Calibri" w:cs="Calibri"/>
          <w:lang w:val="en-GB"/>
        </w:rPr>
        <w:t xml:space="preserve">he words ‘Beirut’ – or a word clearly demarcating Beirut or the location where the attacks took place, such as ‘Lebanese capital’ or ‘Burj al-Barajneh’ – and ‘attacks’ – or a more concrete word for </w:t>
      </w:r>
      <w:r w:rsidR="002B3E70" w:rsidRPr="0088389D">
        <w:rPr>
          <w:rFonts w:eastAsia="Calibri" w:cs="Calibri"/>
          <w:lang w:val="en-GB"/>
        </w:rPr>
        <w:t xml:space="preserve">the </w:t>
      </w:r>
      <w:r w:rsidR="00884D3E" w:rsidRPr="0088389D">
        <w:rPr>
          <w:rFonts w:eastAsia="Calibri" w:cs="Calibri"/>
          <w:lang w:val="en-GB"/>
        </w:rPr>
        <w:t>attack</w:t>
      </w:r>
      <w:r w:rsidRPr="0088389D">
        <w:rPr>
          <w:rFonts w:eastAsia="Calibri" w:cs="Calibri"/>
          <w:lang w:val="en-GB"/>
        </w:rPr>
        <w:t>s</w:t>
      </w:r>
      <w:r w:rsidR="00884D3E" w:rsidRPr="0088389D">
        <w:rPr>
          <w:rFonts w:eastAsia="Calibri" w:cs="Calibri"/>
          <w:lang w:val="en-GB"/>
        </w:rPr>
        <w:t>, such as ‘bombing</w:t>
      </w:r>
      <w:r w:rsidRPr="0088389D">
        <w:rPr>
          <w:rFonts w:eastAsia="Calibri" w:cs="Calibri"/>
          <w:lang w:val="en-GB"/>
        </w:rPr>
        <w:t>s</w:t>
      </w:r>
      <w:r w:rsidR="00884D3E" w:rsidRPr="0088389D">
        <w:rPr>
          <w:rFonts w:eastAsia="Calibri" w:cs="Calibri"/>
          <w:lang w:val="en-GB"/>
        </w:rPr>
        <w:t>’</w:t>
      </w:r>
      <w:r w:rsidRPr="0088389D">
        <w:rPr>
          <w:rFonts w:eastAsia="Calibri" w:cs="Calibri"/>
          <w:lang w:val="en-GB"/>
        </w:rPr>
        <w:t>, ‘blasts’,</w:t>
      </w:r>
      <w:r w:rsidR="00884D3E" w:rsidRPr="0088389D">
        <w:rPr>
          <w:rFonts w:eastAsia="Calibri" w:cs="Calibri"/>
          <w:lang w:val="en-GB"/>
        </w:rPr>
        <w:t xml:space="preserve"> </w:t>
      </w:r>
      <w:r w:rsidRPr="0088389D">
        <w:rPr>
          <w:rFonts w:eastAsia="Calibri" w:cs="Calibri"/>
          <w:lang w:val="en-GB"/>
        </w:rPr>
        <w:t xml:space="preserve">‘assaults’, </w:t>
      </w:r>
      <w:r w:rsidR="00884D3E" w:rsidRPr="0088389D">
        <w:rPr>
          <w:rFonts w:eastAsia="Calibri" w:cs="Calibri"/>
          <w:lang w:val="en-GB"/>
        </w:rPr>
        <w:t>or ‘explosion</w:t>
      </w:r>
      <w:r w:rsidRPr="0088389D">
        <w:rPr>
          <w:rFonts w:eastAsia="Calibri" w:cs="Calibri"/>
          <w:lang w:val="en-GB"/>
        </w:rPr>
        <w:t>s</w:t>
      </w:r>
      <w:r w:rsidR="00884D3E" w:rsidRPr="0088389D">
        <w:rPr>
          <w:rFonts w:eastAsia="Calibri" w:cs="Calibri"/>
          <w:lang w:val="en-GB"/>
        </w:rPr>
        <w:t>’</w:t>
      </w:r>
      <w:r>
        <w:rPr>
          <w:rFonts w:eastAsia="Calibri" w:cs="Calibri"/>
          <w:lang w:val="en-GB"/>
        </w:rPr>
        <w:t xml:space="preserve"> (in single or plural)</w:t>
      </w:r>
      <w:r w:rsidR="00884D3E">
        <w:rPr>
          <w:rFonts w:eastAsia="Calibri" w:cs="Calibri"/>
          <w:lang w:val="en-GB"/>
        </w:rPr>
        <w:t xml:space="preserve"> – </w:t>
      </w:r>
      <w:r w:rsidR="00AE5831">
        <w:rPr>
          <w:rFonts w:eastAsia="Calibri" w:cs="Calibri"/>
          <w:lang w:val="en-GB"/>
        </w:rPr>
        <w:t xml:space="preserve">in such a way that the article clearly concerned </w:t>
      </w:r>
      <w:r w:rsidR="00884D3E">
        <w:rPr>
          <w:rFonts w:eastAsia="Calibri" w:cs="Calibri"/>
          <w:lang w:val="en-GB"/>
        </w:rPr>
        <w:t>the Beirut attacks. For the articles about Paris, the headlines had to include ‘Paris’ – or a word delineating the location, e.g. ‘Stade de France’</w:t>
      </w:r>
      <w:r>
        <w:rPr>
          <w:rFonts w:eastAsia="Calibri" w:cs="Calibri"/>
          <w:lang w:val="en-GB"/>
        </w:rPr>
        <w:t xml:space="preserve"> or ‘French capital’</w:t>
      </w:r>
      <w:r w:rsidR="00884D3E">
        <w:rPr>
          <w:rFonts w:eastAsia="Calibri" w:cs="Calibri"/>
          <w:lang w:val="en-GB"/>
        </w:rPr>
        <w:t xml:space="preserve"> – and ‘attacks’, ‘shootings’, ‘explosions’, </w:t>
      </w:r>
      <w:r>
        <w:rPr>
          <w:rFonts w:eastAsia="Calibri" w:cs="Calibri"/>
          <w:lang w:val="en-GB"/>
        </w:rPr>
        <w:t xml:space="preserve">‘blasts’, ‘assaults’, </w:t>
      </w:r>
      <w:r w:rsidR="00884D3E">
        <w:rPr>
          <w:rFonts w:eastAsia="Calibri" w:cs="Calibri"/>
          <w:lang w:val="en-GB"/>
        </w:rPr>
        <w:t>or ‘bombings’ (in single or plural)</w:t>
      </w:r>
      <w:r w:rsidR="00AE5831">
        <w:rPr>
          <w:rFonts w:eastAsia="Calibri" w:cs="Calibri"/>
          <w:lang w:val="en-GB"/>
        </w:rPr>
        <w:t xml:space="preserve">. </w:t>
      </w:r>
      <w:r w:rsidR="009F4625">
        <w:rPr>
          <w:rFonts w:eastAsia="Calibri" w:cs="Calibri"/>
          <w:lang w:val="en-GB"/>
        </w:rPr>
        <w:t xml:space="preserve">With articles, I mean those </w:t>
      </w:r>
      <w:r>
        <w:rPr>
          <w:rFonts w:eastAsia="Calibri" w:cs="Calibri"/>
          <w:lang w:val="en-GB"/>
        </w:rPr>
        <w:t>texts</w:t>
      </w:r>
      <w:r w:rsidR="009F4625">
        <w:rPr>
          <w:rFonts w:eastAsia="Calibri" w:cs="Calibri"/>
          <w:lang w:val="en-GB"/>
        </w:rPr>
        <w:t xml:space="preserve"> published by the Guardian as news articles, thereby excluding video and photo reports, commentaries</w:t>
      </w:r>
      <w:r>
        <w:rPr>
          <w:rFonts w:eastAsia="Calibri" w:cs="Calibri"/>
          <w:lang w:val="en-GB"/>
        </w:rPr>
        <w:t xml:space="preserve"> (</w:t>
      </w:r>
      <w:r w:rsidR="009656B7">
        <w:rPr>
          <w:rFonts w:eastAsia="Calibri" w:cs="Calibri"/>
          <w:lang w:val="en-GB"/>
        </w:rPr>
        <w:t>which include</w:t>
      </w:r>
      <w:r>
        <w:rPr>
          <w:rFonts w:eastAsia="Calibri" w:cs="Calibri"/>
          <w:lang w:val="en-GB"/>
        </w:rPr>
        <w:t xml:space="preserve"> opinion pieces)</w:t>
      </w:r>
      <w:r w:rsidR="009F4625">
        <w:rPr>
          <w:rFonts w:eastAsia="Calibri" w:cs="Calibri"/>
          <w:lang w:val="en-GB"/>
        </w:rPr>
        <w:t xml:space="preserve">, </w:t>
      </w:r>
      <w:r>
        <w:rPr>
          <w:rFonts w:eastAsia="Calibri" w:cs="Calibri"/>
          <w:lang w:val="en-GB"/>
        </w:rPr>
        <w:t xml:space="preserve">Guardian Witness articles, </w:t>
      </w:r>
      <w:r w:rsidR="00720FFE">
        <w:rPr>
          <w:rFonts w:eastAsia="Calibri" w:cs="Calibri"/>
          <w:lang w:val="en-GB"/>
        </w:rPr>
        <w:t xml:space="preserve">cartoons, </w:t>
      </w:r>
      <w:r>
        <w:rPr>
          <w:rFonts w:eastAsia="Calibri" w:cs="Calibri"/>
          <w:lang w:val="en-GB"/>
        </w:rPr>
        <w:t>podcasts, blogs, and editorials</w:t>
      </w:r>
      <w:r w:rsidR="00720FFE">
        <w:rPr>
          <w:rFonts w:eastAsia="Calibri" w:cs="Calibri"/>
          <w:lang w:val="en-GB"/>
        </w:rPr>
        <w:t xml:space="preserve">. </w:t>
      </w:r>
      <w:r w:rsidR="00997F5B">
        <w:rPr>
          <w:rFonts w:eastAsia="Calibri" w:cs="Calibri"/>
          <w:lang w:val="en-GB"/>
        </w:rPr>
        <w:t xml:space="preserve">For the fine analysis, I researched all articles the Guardian published on Beirut, namely three, and a part of those published on Paris, namely seven out of 217. </w:t>
      </w:r>
      <w:r w:rsidR="00997F5B">
        <w:rPr>
          <w:lang w:val="en-GB"/>
        </w:rPr>
        <w:t>Since the difference in amount of articles published on each event</w:t>
      </w:r>
      <w:r w:rsidR="009656B7">
        <w:rPr>
          <w:lang w:val="en-GB"/>
        </w:rPr>
        <w:t xml:space="preserve"> is already an </w:t>
      </w:r>
      <w:r w:rsidR="001F0E1B" w:rsidRPr="009656B7">
        <w:rPr>
          <w:lang w:val="en-GB"/>
        </w:rPr>
        <w:t xml:space="preserve">interesting result, I elaborate upon it in the next chapter, </w:t>
      </w:r>
      <w:r w:rsidR="0088389D" w:rsidRPr="009656B7">
        <w:rPr>
          <w:lang w:val="en-GB"/>
        </w:rPr>
        <w:t>section 5.5.</w:t>
      </w:r>
      <w:r w:rsidR="001F0E1B" w:rsidRPr="009656B7">
        <w:rPr>
          <w:lang w:val="en-GB"/>
        </w:rPr>
        <w:t xml:space="preserve"> </w:t>
      </w:r>
      <w:r w:rsidR="00997F5B">
        <w:rPr>
          <w:lang w:val="en-GB"/>
        </w:rPr>
        <w:t>However</w:t>
      </w:r>
      <w:r w:rsidR="001F0E1B" w:rsidRPr="009656B7">
        <w:rPr>
          <w:lang w:val="en-GB"/>
        </w:rPr>
        <w:t>, not all 217 articles about Paris were primarily concerned with the attacks themselves or with</w:t>
      </w:r>
      <w:r w:rsidR="001F0E1B">
        <w:rPr>
          <w:lang w:val="en-GB"/>
        </w:rPr>
        <w:t xml:space="preserve"> its victims</w:t>
      </w:r>
      <w:r w:rsidR="001F0E1B" w:rsidRPr="00946EE6">
        <w:rPr>
          <w:lang w:val="en-GB"/>
        </w:rPr>
        <w:t xml:space="preserve">. Some were focused on the </w:t>
      </w:r>
      <w:r w:rsidR="001F0E1B" w:rsidRPr="00946EE6">
        <w:rPr>
          <w:lang w:val="en-GB"/>
        </w:rPr>
        <w:lastRenderedPageBreak/>
        <w:t>reactions of politicians or sports players.</w:t>
      </w:r>
      <w:r w:rsidR="001F0E1B">
        <w:rPr>
          <w:lang w:val="en-GB"/>
        </w:rPr>
        <w:t xml:space="preserve"> Hence, a</w:t>
      </w:r>
      <w:r w:rsidR="001F0E1B">
        <w:rPr>
          <w:rFonts w:eastAsia="Calibri" w:cs="Calibri"/>
          <w:lang w:val="en-GB"/>
        </w:rPr>
        <w:t>fter reading all articles that were used for the structure analysis, I picked those that were most typical of the discourse and addressed all aspects to be researched for the fine analysis</w:t>
      </w:r>
      <w:r w:rsidR="00B549D5" w:rsidRPr="00946EE6">
        <w:rPr>
          <w:rFonts w:eastAsia="Calibri" w:cs="Calibri"/>
          <w:lang w:val="en-GB"/>
        </w:rPr>
        <w:t xml:space="preserve">. </w:t>
      </w:r>
      <w:r w:rsidR="009656B7" w:rsidRPr="00946EE6">
        <w:rPr>
          <w:lang w:val="en-GB"/>
        </w:rPr>
        <w:t xml:space="preserve">For the Beirut attacks, </w:t>
      </w:r>
      <w:r w:rsidR="009656B7">
        <w:rPr>
          <w:lang w:val="en-GB"/>
        </w:rPr>
        <w:t>all three articles were primarily concerned with the aspects to be researched: their key focus was on the attack, the aftermath in the</w:t>
      </w:r>
      <w:r w:rsidR="00997F5B">
        <w:rPr>
          <w:lang w:val="en-GB"/>
        </w:rPr>
        <w:t xml:space="preserve"> neighbourhood, and the victims</w:t>
      </w:r>
      <w:r w:rsidR="009656B7">
        <w:rPr>
          <w:lang w:val="en-GB"/>
        </w:rPr>
        <w:t xml:space="preserve">. For Paris, 40 articles were left after narrowing them down to ones primarily concerned with the attacks and/or the people </w:t>
      </w:r>
      <w:r w:rsidR="00997F5B">
        <w:rPr>
          <w:lang w:val="en-GB"/>
        </w:rPr>
        <w:t>affected</w:t>
      </w:r>
      <w:r w:rsidR="009656B7">
        <w:rPr>
          <w:lang w:val="en-GB"/>
        </w:rPr>
        <w:t xml:space="preserve">. From these, I choose the six articles that were shared most on social media to include in the fine analysis, with the sixth having 8,611 shares, 4,774 more than the seventh most shared article. By being shared more often, the influence of the articles increased, thereby also </w:t>
      </w:r>
      <w:r w:rsidR="00CB4196">
        <w:rPr>
          <w:lang w:val="en-GB"/>
        </w:rPr>
        <w:t xml:space="preserve">increasing the reflection and (re)production of the power relations in those articles. </w:t>
      </w:r>
      <w:r w:rsidR="009656B7">
        <w:rPr>
          <w:lang w:val="en-GB"/>
        </w:rPr>
        <w:t xml:space="preserve">Furthermore, I added one article concerned with the aftermath of the Paris attacks, so that all topics covered in the Beirut articles – the attack, the victims, and the aftermath – were also covered in the Paris articles. </w:t>
      </w:r>
      <w:r w:rsidR="001F0E1B">
        <w:rPr>
          <w:lang w:val="en-GB"/>
        </w:rPr>
        <w:t>The appendix</w:t>
      </w:r>
      <w:r w:rsidR="001F0E1B" w:rsidRPr="00946EE6">
        <w:rPr>
          <w:lang w:val="en-GB"/>
        </w:rPr>
        <w:t xml:space="preserve"> provides </w:t>
      </w:r>
      <w:r w:rsidR="001F0E1B">
        <w:rPr>
          <w:lang w:val="en-GB"/>
        </w:rPr>
        <w:t>a</w:t>
      </w:r>
      <w:r w:rsidR="001F0E1B" w:rsidRPr="00946EE6">
        <w:rPr>
          <w:lang w:val="en-GB"/>
        </w:rPr>
        <w:t xml:space="preserve"> list of arti</w:t>
      </w:r>
      <w:r w:rsidR="001F0E1B">
        <w:rPr>
          <w:lang w:val="en-GB"/>
        </w:rPr>
        <w:t>cles used for the fine analysis and for the structure analysis.</w:t>
      </w:r>
    </w:p>
    <w:p w14:paraId="35E4B4A3" w14:textId="77777777" w:rsidR="00B47D42" w:rsidRPr="00946EE6" w:rsidRDefault="00B47D42" w:rsidP="00E52F0F">
      <w:pPr>
        <w:spacing w:line="360" w:lineRule="auto"/>
        <w:ind w:left="-6"/>
        <w:jc w:val="both"/>
        <w:rPr>
          <w:lang w:val="en-GB"/>
        </w:rPr>
      </w:pPr>
    </w:p>
    <w:p w14:paraId="486341CF" w14:textId="5EB4C4ED" w:rsidR="003D0650" w:rsidRDefault="00F45ACB" w:rsidP="00E52F0F">
      <w:pPr>
        <w:pStyle w:val="Heading2"/>
        <w:spacing w:line="360" w:lineRule="auto"/>
        <w:jc w:val="both"/>
        <w:rPr>
          <w:lang w:val="en-GB"/>
        </w:rPr>
      </w:pPr>
      <w:bookmarkStart w:id="51" w:name="_Toc458983412"/>
      <w:bookmarkStart w:id="52" w:name="_Toc456883865"/>
      <w:bookmarkStart w:id="53" w:name="_Toc456884867"/>
      <w:bookmarkStart w:id="54" w:name="_Toc457239501"/>
      <w:r>
        <w:rPr>
          <w:lang w:val="en-GB"/>
        </w:rPr>
        <w:t>4.5. Limitations</w:t>
      </w:r>
      <w:bookmarkEnd w:id="51"/>
    </w:p>
    <w:p w14:paraId="31D76070" w14:textId="73D0DADE" w:rsidR="00642C60" w:rsidRDefault="003D0650" w:rsidP="00E52F0F">
      <w:pPr>
        <w:spacing w:after="0" w:line="360" w:lineRule="auto"/>
        <w:jc w:val="both"/>
        <w:rPr>
          <w:lang w:val="en-GB"/>
        </w:rPr>
      </w:pPr>
      <w:r>
        <w:rPr>
          <w:lang w:val="en-GB"/>
        </w:rPr>
        <w:t>There are several limitations to method used and choices made. I consider each in the following order: the choice for the Guardian, the choice for the articles included in the sample, the focus on specific words, and the general critique of CDA that words may be taken out of context.</w:t>
      </w:r>
      <w:r w:rsidR="00B47D42">
        <w:rPr>
          <w:lang w:val="en-GB"/>
        </w:rPr>
        <w:t xml:space="preserve"> </w:t>
      </w:r>
      <w:r>
        <w:rPr>
          <w:lang w:val="en-GB"/>
        </w:rPr>
        <w:t xml:space="preserve">Firstly, the Guardian may not be representative of other newspapers. As was stated, different newspapers often have a different discourse position, and as such may present another discourse than researched. It is thus likely that results derived from the Guardian are not (entirely) (re)produced by other news outlets. As the Guardian is explicitly devoted to objectivity, and is regarded as such by many of its readers, </w:t>
      </w:r>
      <w:r w:rsidR="004355C2">
        <w:rPr>
          <w:lang w:val="en-GB"/>
        </w:rPr>
        <w:t>those who value this alleged objectivity are more likely to reproduce the Guardian’s discourses</w:t>
      </w:r>
      <w:r w:rsidR="00B47D42">
        <w:rPr>
          <w:lang w:val="en-GB"/>
        </w:rPr>
        <w:t xml:space="preserve">. Nevertheless, comparative research is needed to examine whether this is the case. </w:t>
      </w:r>
      <w:r>
        <w:rPr>
          <w:lang w:val="en-GB"/>
        </w:rPr>
        <w:t>Secondly, my sample from the articles published by the Guardian may not be representative, especially with rega</w:t>
      </w:r>
      <w:r w:rsidR="00B47D42">
        <w:rPr>
          <w:lang w:val="en-GB"/>
        </w:rPr>
        <w:t xml:space="preserve">rd to the articles about Paris, since it was beyond the scope of this research to include all articles in the fine analysis. </w:t>
      </w:r>
      <w:r>
        <w:rPr>
          <w:lang w:val="en-GB"/>
        </w:rPr>
        <w:t>One of the general critiques directed at CDA approaches is the unsystematic way of obtaining samples</w:t>
      </w:r>
      <w:r w:rsidR="00B47D42">
        <w:rPr>
          <w:lang w:val="en-GB"/>
        </w:rPr>
        <w:t>: there is no consensus on one way of choosing one’s samples</w:t>
      </w:r>
      <w:r>
        <w:rPr>
          <w:lang w:val="en-GB"/>
        </w:rPr>
        <w:t xml:space="preserve"> (e.g. Stubbs, 1997). </w:t>
      </w:r>
      <w:r w:rsidR="00B47D42">
        <w:rPr>
          <w:lang w:val="en-GB"/>
        </w:rPr>
        <w:t>By explaining the choice for my sample in section 4.4. above, I aimed to clarify the way I used, which makes the research replicable</w:t>
      </w:r>
      <w:r w:rsidR="00095C8B">
        <w:rPr>
          <w:lang w:val="en-GB"/>
        </w:rPr>
        <w:t>, although not yet systemic</w:t>
      </w:r>
      <w:r w:rsidR="00B47D42">
        <w:rPr>
          <w:lang w:val="en-GB"/>
        </w:rPr>
        <w:t>. Lastly, there may be</w:t>
      </w:r>
      <w:r>
        <w:rPr>
          <w:lang w:val="en-GB"/>
        </w:rPr>
        <w:t xml:space="preserve"> too much focus on specific words instead of on cluster of words. As Michael Stubbs argues, “registers are very rarely defined by individual features, but consist of clusters of associated features which have a greater than chance </w:t>
      </w:r>
      <w:r w:rsidR="00642C60">
        <w:rPr>
          <w:lang w:val="en-GB"/>
        </w:rPr>
        <w:t xml:space="preserve">tendency to co-occur.” (1997, </w:t>
      </w:r>
      <w:r>
        <w:rPr>
          <w:lang w:val="en-GB"/>
        </w:rPr>
        <w:t xml:space="preserve">3). </w:t>
      </w:r>
      <w:r w:rsidR="00642C60">
        <w:rPr>
          <w:lang w:val="en-GB"/>
        </w:rPr>
        <w:t xml:space="preserve">By taking this limitation into account and paying attention to the word clusters, I aimed to minimise incorrect interpretation of the use of specific words. Nevertheless, the words and sentences used do feature more prominently in my thesis than </w:t>
      </w:r>
      <w:r w:rsidR="00095C8B">
        <w:rPr>
          <w:lang w:val="en-GB"/>
        </w:rPr>
        <w:t xml:space="preserve">broad </w:t>
      </w:r>
      <w:r w:rsidR="00642C60">
        <w:rPr>
          <w:lang w:val="en-GB"/>
        </w:rPr>
        <w:t>clusters of associated features.</w:t>
      </w:r>
    </w:p>
    <w:p w14:paraId="20733412" w14:textId="77777777" w:rsidR="003D0650" w:rsidRPr="003D0650" w:rsidRDefault="003D0650" w:rsidP="00E52F0F">
      <w:pPr>
        <w:spacing w:line="360" w:lineRule="auto"/>
        <w:rPr>
          <w:lang w:val="en-GB"/>
        </w:rPr>
      </w:pPr>
    </w:p>
    <w:p w14:paraId="5FB08AA3" w14:textId="66834062" w:rsidR="00B549D5" w:rsidRPr="00F0601B" w:rsidRDefault="001268E9" w:rsidP="00E52F0F">
      <w:pPr>
        <w:pStyle w:val="Heading2"/>
        <w:spacing w:line="360" w:lineRule="auto"/>
        <w:jc w:val="both"/>
        <w:rPr>
          <w:lang w:val="en-GB"/>
        </w:rPr>
      </w:pPr>
      <w:bookmarkStart w:id="55" w:name="_Toc458425068"/>
      <w:bookmarkStart w:id="56" w:name="_Toc458983413"/>
      <w:r>
        <w:rPr>
          <w:lang w:val="en-GB"/>
        </w:rPr>
        <w:lastRenderedPageBreak/>
        <w:t xml:space="preserve">4.6. </w:t>
      </w:r>
      <w:r w:rsidR="00B549D5" w:rsidRPr="00F0601B">
        <w:rPr>
          <w:lang w:val="en-GB"/>
        </w:rPr>
        <w:t>Conclusion</w:t>
      </w:r>
      <w:bookmarkEnd w:id="52"/>
      <w:bookmarkEnd w:id="53"/>
      <w:bookmarkEnd w:id="54"/>
      <w:bookmarkEnd w:id="55"/>
      <w:bookmarkEnd w:id="56"/>
    </w:p>
    <w:p w14:paraId="12C389BA" w14:textId="5737CFC1" w:rsidR="00B549D5" w:rsidRPr="00946EE6" w:rsidRDefault="00B549D5" w:rsidP="00E52F0F">
      <w:pPr>
        <w:spacing w:after="0" w:line="360" w:lineRule="auto"/>
        <w:ind w:left="-6"/>
        <w:jc w:val="both"/>
        <w:rPr>
          <w:lang w:val="en-GB"/>
        </w:rPr>
      </w:pPr>
      <w:r>
        <w:rPr>
          <w:rFonts w:eastAsia="Calibri" w:cs="Calibri"/>
          <w:lang w:val="en-GB"/>
        </w:rPr>
        <w:t xml:space="preserve">In my research I used the Critical Discourse Analysis (CDA) approach of the Duisburg School, specifically that of Siegfried Jäger. After reviewing Foucault’s thoughts on </w:t>
      </w:r>
      <w:r w:rsidRPr="00946EE6">
        <w:rPr>
          <w:rFonts w:eastAsia="Calibri" w:cs="Calibri"/>
          <w:lang w:val="en-GB"/>
        </w:rPr>
        <w:t xml:space="preserve">what he considers the appropriate method, </w:t>
      </w:r>
      <w:r>
        <w:rPr>
          <w:rFonts w:eastAsia="Calibri" w:cs="Calibri"/>
          <w:lang w:val="en-GB"/>
        </w:rPr>
        <w:t xml:space="preserve">it turned out that </w:t>
      </w:r>
      <w:r w:rsidRPr="00946EE6">
        <w:rPr>
          <w:rFonts w:eastAsia="Calibri" w:cs="Calibri"/>
          <w:lang w:val="en-GB"/>
        </w:rPr>
        <w:t xml:space="preserve">these statements are not overly clear, nor provide a practical guideline </w:t>
      </w:r>
      <w:r w:rsidR="0042563E">
        <w:rPr>
          <w:rFonts w:eastAsia="Calibri" w:cs="Calibri"/>
          <w:lang w:val="en-GB"/>
        </w:rPr>
        <w:t>for</w:t>
      </w:r>
      <w:r w:rsidRPr="00946EE6">
        <w:rPr>
          <w:rFonts w:eastAsia="Calibri" w:cs="Calibri"/>
          <w:lang w:val="en-GB"/>
        </w:rPr>
        <w:t xml:space="preserve"> how to conduct discourse analysis. Hence, I turned to the method of Jäger, who bases his method mostly on Foucault, with a slight adjustment founded on Leontjev’s activity theory. Jäger’s method is appropriate for this study not only because it is largely based on Foucault’s work, but also because it provides a clear overview of the analytical steps one should take. Hence, repetition of the study becomes possible, </w:t>
      </w:r>
      <w:r w:rsidR="0042563E">
        <w:rPr>
          <w:rFonts w:eastAsia="Calibri" w:cs="Calibri"/>
          <w:lang w:val="en-GB"/>
        </w:rPr>
        <w:t>as</w:t>
      </w:r>
      <w:r w:rsidRPr="00946EE6">
        <w:rPr>
          <w:rFonts w:eastAsia="Calibri" w:cs="Calibri"/>
          <w:lang w:val="en-GB"/>
        </w:rPr>
        <w:t xml:space="preserve"> all steps are </w:t>
      </w:r>
      <w:r w:rsidR="0042563E">
        <w:rPr>
          <w:rFonts w:eastAsia="Calibri" w:cs="Calibri"/>
          <w:lang w:val="en-GB"/>
        </w:rPr>
        <w:t>clarified</w:t>
      </w:r>
      <w:r w:rsidRPr="00946EE6">
        <w:rPr>
          <w:rFonts w:eastAsia="Calibri" w:cs="Calibri"/>
          <w:lang w:val="en-GB"/>
        </w:rPr>
        <w:t xml:space="preserve"> and explained. </w:t>
      </w:r>
      <w:r>
        <w:rPr>
          <w:rFonts w:eastAsia="Calibri" w:cs="Calibri"/>
          <w:lang w:val="en-GB"/>
        </w:rPr>
        <w:t>The findings of the analysis are hi</w:t>
      </w:r>
      <w:r w:rsidRPr="00946EE6">
        <w:rPr>
          <w:rFonts w:eastAsia="Calibri" w:cs="Calibri"/>
          <w:lang w:val="en-GB"/>
        </w:rPr>
        <w:t>g</w:t>
      </w:r>
      <w:r>
        <w:rPr>
          <w:rFonts w:eastAsia="Calibri" w:cs="Calibri"/>
          <w:lang w:val="en-GB"/>
        </w:rPr>
        <w:t xml:space="preserve">hlighted in the next chapter, the results. </w:t>
      </w:r>
    </w:p>
    <w:p w14:paraId="7287575E" w14:textId="77777777" w:rsidR="00B549D5" w:rsidRDefault="00B549D5" w:rsidP="00E52F0F">
      <w:pPr>
        <w:spacing w:line="360" w:lineRule="auto"/>
        <w:rPr>
          <w:lang w:val="en-GB"/>
        </w:rPr>
      </w:pPr>
      <w:r>
        <w:rPr>
          <w:lang w:val="en-GB"/>
        </w:rPr>
        <w:br w:type="page"/>
      </w:r>
    </w:p>
    <w:p w14:paraId="4D2FB732" w14:textId="6B726982" w:rsidR="00B549D5" w:rsidRPr="000309DA" w:rsidRDefault="00B549D5" w:rsidP="00E52F0F">
      <w:pPr>
        <w:pStyle w:val="Heading1"/>
        <w:spacing w:line="360" w:lineRule="auto"/>
        <w:rPr>
          <w:lang w:val="en-GB"/>
        </w:rPr>
      </w:pPr>
      <w:bookmarkStart w:id="57" w:name="_Toc458983414"/>
      <w:r w:rsidRPr="000309DA">
        <w:rPr>
          <w:lang w:val="en-GB"/>
        </w:rPr>
        <w:lastRenderedPageBreak/>
        <w:t>5. Results</w:t>
      </w:r>
      <w:bookmarkEnd w:id="57"/>
    </w:p>
    <w:p w14:paraId="3A93D15B" w14:textId="77777777" w:rsidR="00B549D5" w:rsidRPr="00381C71" w:rsidRDefault="00B549D5" w:rsidP="00E52F0F">
      <w:pPr>
        <w:spacing w:line="360" w:lineRule="auto"/>
        <w:jc w:val="both"/>
        <w:rPr>
          <w:lang w:val="en-GB"/>
        </w:rPr>
      </w:pPr>
    </w:p>
    <w:p w14:paraId="53D361E1" w14:textId="14C275F6" w:rsidR="00B549D5" w:rsidRDefault="00B549D5" w:rsidP="00E52F0F">
      <w:pPr>
        <w:spacing w:after="0" w:line="360" w:lineRule="auto"/>
        <w:jc w:val="both"/>
        <w:rPr>
          <w:lang w:val="en-GB"/>
        </w:rPr>
      </w:pPr>
      <w:r>
        <w:rPr>
          <w:lang w:val="en-GB"/>
        </w:rPr>
        <w:t>Ha</w:t>
      </w:r>
      <w:r w:rsidRPr="00AF37C9">
        <w:rPr>
          <w:lang w:val="en-GB"/>
        </w:rPr>
        <w:t>ving established the method</w:t>
      </w:r>
      <w:r>
        <w:rPr>
          <w:lang w:val="en-GB"/>
        </w:rPr>
        <w:t>ology</w:t>
      </w:r>
      <w:r w:rsidRPr="00AF37C9">
        <w:rPr>
          <w:lang w:val="en-GB"/>
        </w:rPr>
        <w:t xml:space="preserve">, it is now time to review the results. To </w:t>
      </w:r>
      <w:r>
        <w:rPr>
          <w:lang w:val="en-GB"/>
        </w:rPr>
        <w:t>make</w:t>
      </w:r>
      <w:r w:rsidRPr="00AF37C9">
        <w:rPr>
          <w:lang w:val="en-GB"/>
        </w:rPr>
        <w:t xml:space="preserve"> the reading</w:t>
      </w:r>
      <w:r>
        <w:rPr>
          <w:lang w:val="en-GB"/>
        </w:rPr>
        <w:t xml:space="preserve"> easier</w:t>
      </w:r>
      <w:r w:rsidRPr="00AF37C9">
        <w:rPr>
          <w:lang w:val="en-GB"/>
        </w:rPr>
        <w:t>, the structure follows the order in which the different parts of the method were presented: first the discourse plane and sector are established, after which the results of the structure analysis, including an analysis of the discourse position of the Guardian</w:t>
      </w:r>
      <w:r w:rsidR="00720FFE">
        <w:rPr>
          <w:lang w:val="en-GB"/>
        </w:rPr>
        <w:t>,</w:t>
      </w:r>
      <w:r w:rsidRPr="00AF37C9">
        <w:rPr>
          <w:lang w:val="en-GB"/>
        </w:rPr>
        <w:t xml:space="preserve"> is </w:t>
      </w:r>
      <w:r>
        <w:rPr>
          <w:lang w:val="en-GB"/>
        </w:rPr>
        <w:t>discussed</w:t>
      </w:r>
      <w:r w:rsidR="00720FFE">
        <w:rPr>
          <w:lang w:val="en-GB"/>
        </w:rPr>
        <w:t xml:space="preserve"> in section 5.2</w:t>
      </w:r>
      <w:r w:rsidRPr="00AF37C9">
        <w:rPr>
          <w:lang w:val="en-GB"/>
        </w:rPr>
        <w:t xml:space="preserve">. </w:t>
      </w:r>
      <w:r>
        <w:rPr>
          <w:lang w:val="en-GB"/>
        </w:rPr>
        <w:t xml:space="preserve">This chapter continues by summarising the </w:t>
      </w:r>
      <w:r w:rsidRPr="00AF37C9">
        <w:rPr>
          <w:lang w:val="en-GB"/>
        </w:rPr>
        <w:t xml:space="preserve">discursive knots </w:t>
      </w:r>
      <w:r>
        <w:rPr>
          <w:lang w:val="en-GB"/>
        </w:rPr>
        <w:t xml:space="preserve">around </w:t>
      </w:r>
      <w:r w:rsidRPr="00AF37C9">
        <w:rPr>
          <w:lang w:val="en-GB"/>
        </w:rPr>
        <w:t xml:space="preserve">and discourse strand of </w:t>
      </w:r>
      <w:r>
        <w:rPr>
          <w:lang w:val="en-GB"/>
        </w:rPr>
        <w:t xml:space="preserve">people </w:t>
      </w:r>
      <w:r w:rsidR="00370CB0">
        <w:rPr>
          <w:lang w:val="en-GB"/>
        </w:rPr>
        <w:t>affected by</w:t>
      </w:r>
      <w:r>
        <w:rPr>
          <w:lang w:val="en-GB"/>
        </w:rPr>
        <w:t xml:space="preserve"> </w:t>
      </w:r>
      <w:r w:rsidRPr="00AF37C9">
        <w:rPr>
          <w:lang w:val="en-GB"/>
        </w:rPr>
        <w:t xml:space="preserve">terrorist attacks. </w:t>
      </w:r>
      <w:r w:rsidR="00BD5964">
        <w:rPr>
          <w:lang w:val="en-GB"/>
        </w:rPr>
        <w:t>Before going into the results of the fine analysis, I briefly r</w:t>
      </w:r>
      <w:r w:rsidR="00370CB0">
        <w:rPr>
          <w:lang w:val="en-GB"/>
        </w:rPr>
        <w:t xml:space="preserve">eflect on the production of </w:t>
      </w:r>
      <w:r w:rsidR="00BD5964">
        <w:rPr>
          <w:lang w:val="en-GB"/>
        </w:rPr>
        <w:t xml:space="preserve">news articles in section 5.5. </w:t>
      </w:r>
      <w:r w:rsidRPr="00AF37C9">
        <w:rPr>
          <w:lang w:val="en-GB"/>
        </w:rPr>
        <w:t xml:space="preserve">Section </w:t>
      </w:r>
      <w:r w:rsidR="00BD5964">
        <w:rPr>
          <w:lang w:val="en-GB"/>
        </w:rPr>
        <w:t>5</w:t>
      </w:r>
      <w:r w:rsidRPr="00AF37C9">
        <w:rPr>
          <w:lang w:val="en-GB"/>
        </w:rPr>
        <w:t>.</w:t>
      </w:r>
      <w:r w:rsidR="00BD5964">
        <w:rPr>
          <w:lang w:val="en-GB"/>
        </w:rPr>
        <w:t>6</w:t>
      </w:r>
      <w:r w:rsidRPr="00AF37C9">
        <w:rPr>
          <w:lang w:val="en-GB"/>
        </w:rPr>
        <w:t xml:space="preserve">. </w:t>
      </w:r>
      <w:r w:rsidR="00720FFE">
        <w:rPr>
          <w:lang w:val="en-GB"/>
        </w:rPr>
        <w:t xml:space="preserve">starts with a reflection on the institutional framework and text surface, moving on to illustrations of the most used words in the articles on Beirut and Paris. It continues with a </w:t>
      </w:r>
      <w:r w:rsidRPr="00AF37C9">
        <w:rPr>
          <w:lang w:val="en-GB"/>
        </w:rPr>
        <w:t>discuss</w:t>
      </w:r>
      <w:r w:rsidR="00720FFE">
        <w:rPr>
          <w:lang w:val="en-GB"/>
        </w:rPr>
        <w:t>ion of</w:t>
      </w:r>
      <w:r w:rsidRPr="00AF37C9">
        <w:rPr>
          <w:lang w:val="en-GB"/>
        </w:rPr>
        <w:t xml:space="preserve"> the discourse fragments</w:t>
      </w:r>
      <w:r w:rsidR="00720FFE">
        <w:rPr>
          <w:lang w:val="en-GB"/>
        </w:rPr>
        <w:t>:</w:t>
      </w:r>
      <w:r>
        <w:rPr>
          <w:lang w:val="en-GB"/>
        </w:rPr>
        <w:t xml:space="preserve"> the descriptions of</w:t>
      </w:r>
      <w:r w:rsidR="00370CB0">
        <w:rPr>
          <w:lang w:val="en-GB"/>
        </w:rPr>
        <w:t xml:space="preserve"> the victims, witnesses, and relatives, as well as </w:t>
      </w:r>
      <w:r>
        <w:rPr>
          <w:lang w:val="en-GB"/>
        </w:rPr>
        <w:t>the</w:t>
      </w:r>
      <w:r w:rsidR="00370CB0">
        <w:rPr>
          <w:lang w:val="en-GB"/>
        </w:rPr>
        <w:t xml:space="preserve"> place and scene of attack</w:t>
      </w:r>
      <w:r>
        <w:rPr>
          <w:lang w:val="en-GB"/>
        </w:rPr>
        <w:t xml:space="preserve">. </w:t>
      </w:r>
      <w:r w:rsidR="00BD5964">
        <w:rPr>
          <w:lang w:val="en-GB"/>
        </w:rPr>
        <w:t>The results are interpreted with the aid of</w:t>
      </w:r>
      <w:r>
        <w:rPr>
          <w:lang w:val="en-GB"/>
        </w:rPr>
        <w:t xml:space="preserve"> Foucault’s power theory per section. In line with </w:t>
      </w:r>
      <w:r w:rsidR="00BD5964">
        <w:rPr>
          <w:lang w:val="en-GB"/>
        </w:rPr>
        <w:t>the structure of the previous chapter</w:t>
      </w:r>
      <w:r>
        <w:rPr>
          <w:lang w:val="en-GB"/>
        </w:rPr>
        <w:t>, part 5.</w:t>
      </w:r>
      <w:r w:rsidR="00BD5964">
        <w:rPr>
          <w:lang w:val="en-GB"/>
        </w:rPr>
        <w:t>7</w:t>
      </w:r>
      <w:r>
        <w:rPr>
          <w:lang w:val="en-GB"/>
        </w:rPr>
        <w:t xml:space="preserve">. presents the overall analysis, summarising the interpretation of the results in light of power relations, power/knowledge, and objectification. </w:t>
      </w:r>
    </w:p>
    <w:p w14:paraId="6F5EDC10" w14:textId="77777777" w:rsidR="00B549D5" w:rsidRPr="00AF37C9" w:rsidRDefault="00B549D5" w:rsidP="00E52F0F">
      <w:pPr>
        <w:spacing w:line="360" w:lineRule="auto"/>
        <w:jc w:val="both"/>
        <w:rPr>
          <w:lang w:val="en-GB"/>
        </w:rPr>
      </w:pPr>
    </w:p>
    <w:p w14:paraId="252D3E29" w14:textId="77777777" w:rsidR="00B549D5" w:rsidRPr="00CD7466" w:rsidRDefault="00B549D5" w:rsidP="00E52F0F">
      <w:pPr>
        <w:pStyle w:val="Heading2"/>
        <w:spacing w:line="360" w:lineRule="auto"/>
        <w:ind w:left="-6"/>
        <w:jc w:val="both"/>
        <w:rPr>
          <w:lang w:val="en-GB"/>
        </w:rPr>
      </w:pPr>
      <w:bookmarkStart w:id="58" w:name="h.9ae1207rb2pe" w:colFirst="0" w:colLast="0"/>
      <w:bookmarkStart w:id="59" w:name="_Toc458983415"/>
      <w:bookmarkEnd w:id="58"/>
      <w:r>
        <w:rPr>
          <w:rFonts w:eastAsia="Calibri" w:cs="Calibri"/>
          <w:lang w:val="en-GB"/>
        </w:rPr>
        <w:t>5</w:t>
      </w:r>
      <w:r w:rsidRPr="00CD7466">
        <w:rPr>
          <w:rFonts w:eastAsia="Calibri" w:cs="Calibri"/>
          <w:lang w:val="en-GB"/>
        </w:rPr>
        <w:t>.1. Discourse plane and sector: Media and online newspapers</w:t>
      </w:r>
      <w:bookmarkEnd w:id="59"/>
    </w:p>
    <w:p w14:paraId="53B6778C" w14:textId="0E29A1C3" w:rsidR="00B549D5" w:rsidRPr="00381C71" w:rsidRDefault="00B549D5" w:rsidP="00E52F0F">
      <w:pPr>
        <w:spacing w:after="0" w:line="360" w:lineRule="auto"/>
        <w:ind w:left="-6"/>
        <w:jc w:val="both"/>
        <w:rPr>
          <w:lang w:val="en-GB"/>
        </w:rPr>
      </w:pPr>
      <w:r w:rsidRPr="00381C71">
        <w:rPr>
          <w:rFonts w:ascii="Calibri" w:eastAsia="Calibri" w:hAnsi="Calibri" w:cs="Calibri"/>
          <w:lang w:val="en-GB"/>
        </w:rPr>
        <w:t>The discourse plane that is analysed in the current study is online media. In general, the category "media" encompasses a wide variety of types of communication, which is reflected in the definition given by the Oxford Dictionaries: “the main means of mass communication (broadcasting, publishing, and the Internet) regarded collectively” (“Media,” 2016). Moreover, the range of communication types included in the media has been broadened with the insurgence of social media such as Facebook and Instagram, to name only</w:t>
      </w:r>
      <w:r>
        <w:rPr>
          <w:rFonts w:ascii="Calibri" w:eastAsia="Calibri" w:hAnsi="Calibri" w:cs="Calibri"/>
          <w:lang w:val="en-GB"/>
        </w:rPr>
        <w:t xml:space="preserve"> two of the most famous ones in </w:t>
      </w:r>
      <w:r w:rsidRPr="00381C71">
        <w:rPr>
          <w:rFonts w:ascii="Calibri" w:eastAsia="Calibri" w:hAnsi="Calibri" w:cs="Calibri"/>
          <w:lang w:val="en-GB"/>
        </w:rPr>
        <w:t>countries</w:t>
      </w:r>
      <w:r>
        <w:rPr>
          <w:rFonts w:ascii="Calibri" w:eastAsia="Calibri" w:hAnsi="Calibri" w:cs="Calibri"/>
          <w:lang w:val="en-GB"/>
        </w:rPr>
        <w:t xml:space="preserve"> in Western Europe and the Anglosphere</w:t>
      </w:r>
      <w:r w:rsidRPr="00381C71">
        <w:rPr>
          <w:rFonts w:ascii="Calibri" w:eastAsia="Calibri" w:hAnsi="Calibri" w:cs="Calibri"/>
          <w:lang w:val="en-GB"/>
        </w:rPr>
        <w:t>.</w:t>
      </w:r>
      <w:r>
        <w:rPr>
          <w:rFonts w:ascii="Calibri" w:eastAsia="Calibri" w:hAnsi="Calibri" w:cs="Calibri"/>
          <w:lang w:val="en-GB"/>
        </w:rPr>
        <w:t xml:space="preserve"> By defining the discourse plane as online media instead of media, the characterisation </w:t>
      </w:r>
      <w:r w:rsidR="00860DCF">
        <w:rPr>
          <w:rFonts w:ascii="Calibri" w:eastAsia="Calibri" w:hAnsi="Calibri" w:cs="Calibri"/>
          <w:lang w:val="en-GB"/>
        </w:rPr>
        <w:t>is</w:t>
      </w:r>
      <w:r>
        <w:rPr>
          <w:rFonts w:ascii="Calibri" w:eastAsia="Calibri" w:hAnsi="Calibri" w:cs="Calibri"/>
          <w:lang w:val="en-GB"/>
        </w:rPr>
        <w:t xml:space="preserve"> made more specific. The three features distinctive for online media are </w:t>
      </w:r>
      <w:r w:rsidR="00860DCF">
        <w:rPr>
          <w:rFonts w:ascii="Calibri" w:eastAsia="Calibri" w:hAnsi="Calibri" w:cs="Calibri"/>
          <w:lang w:val="en-GB"/>
        </w:rPr>
        <w:t>(1)</w:t>
      </w:r>
      <w:r w:rsidRPr="00381C71">
        <w:rPr>
          <w:rFonts w:ascii="Calibri" w:eastAsia="Calibri" w:hAnsi="Calibri" w:cs="Calibri"/>
          <w:lang w:val="en-GB"/>
        </w:rPr>
        <w:t xml:space="preserve"> that they communicate information (</w:t>
      </w:r>
      <w:r w:rsidR="00860DCF">
        <w:rPr>
          <w:rFonts w:ascii="Calibri" w:eastAsia="Calibri" w:hAnsi="Calibri" w:cs="Calibri"/>
          <w:lang w:val="en-GB"/>
        </w:rPr>
        <w:t>defined in the broadest sense), (2)</w:t>
      </w:r>
      <w:r w:rsidRPr="00381C71">
        <w:rPr>
          <w:rFonts w:ascii="Calibri" w:eastAsia="Calibri" w:hAnsi="Calibri" w:cs="Calibri"/>
          <w:lang w:val="en-GB"/>
        </w:rPr>
        <w:t xml:space="preserve"> that this information is published in a medium that is accessible for or aimed at large numbe</w:t>
      </w:r>
      <w:r w:rsidR="00860DCF">
        <w:rPr>
          <w:rFonts w:ascii="Calibri" w:eastAsia="Calibri" w:hAnsi="Calibri" w:cs="Calibri"/>
          <w:lang w:val="en-GB"/>
        </w:rPr>
        <w:t>rs of persons, so-called masses,</w:t>
      </w:r>
      <w:r w:rsidRPr="00381C71">
        <w:rPr>
          <w:rFonts w:ascii="Calibri" w:eastAsia="Calibri" w:hAnsi="Calibri" w:cs="Calibri"/>
          <w:lang w:val="en-GB"/>
        </w:rPr>
        <w:t xml:space="preserve"> and </w:t>
      </w:r>
      <w:r w:rsidR="00860DCF">
        <w:rPr>
          <w:rFonts w:ascii="Calibri" w:eastAsia="Calibri" w:hAnsi="Calibri" w:cs="Calibri"/>
          <w:lang w:val="en-GB"/>
        </w:rPr>
        <w:t>(3)</w:t>
      </w:r>
      <w:r w:rsidRPr="00381C71">
        <w:rPr>
          <w:rFonts w:ascii="Calibri" w:eastAsia="Calibri" w:hAnsi="Calibri" w:cs="Calibri"/>
          <w:lang w:val="en-GB"/>
        </w:rPr>
        <w:t xml:space="preserve"> that the information is published online.</w:t>
      </w:r>
    </w:p>
    <w:p w14:paraId="1A1508BC" w14:textId="5641DCBA" w:rsidR="00B549D5" w:rsidRDefault="00B549D5" w:rsidP="00E52F0F">
      <w:pPr>
        <w:spacing w:after="0" w:line="360" w:lineRule="auto"/>
        <w:ind w:firstLine="720"/>
        <w:jc w:val="both"/>
        <w:rPr>
          <w:rFonts w:ascii="Calibri" w:eastAsia="Calibri" w:hAnsi="Calibri" w:cs="Calibri"/>
          <w:lang w:val="en-GB"/>
        </w:rPr>
      </w:pPr>
      <w:r>
        <w:rPr>
          <w:rFonts w:ascii="Calibri" w:eastAsia="Calibri" w:hAnsi="Calibri" w:cs="Calibri"/>
          <w:lang w:val="en-GB"/>
        </w:rPr>
        <w:t xml:space="preserve">To make the classification more specific, it is necessary to move </w:t>
      </w:r>
      <w:r w:rsidRPr="00381C71">
        <w:rPr>
          <w:rFonts w:ascii="Calibri" w:eastAsia="Calibri" w:hAnsi="Calibri" w:cs="Calibri"/>
          <w:lang w:val="en-GB"/>
        </w:rPr>
        <w:t>to the sector within the discourse plane addressed. This study analyses discourses in the sector of online newspapers, which are characterised by the publication of articles concerned with all kinds of topics that are regarded as "news". News is commonly defined as “[n]ewly received or noteworthy information, especially about recent ev</w:t>
      </w:r>
      <w:r>
        <w:rPr>
          <w:rFonts w:ascii="Calibri" w:eastAsia="Calibri" w:hAnsi="Calibri" w:cs="Calibri"/>
          <w:lang w:val="en-GB"/>
        </w:rPr>
        <w:t>ents” (“News”, 2016). Moreover</w:t>
      </w:r>
      <w:r w:rsidRPr="00381C71">
        <w:rPr>
          <w:rFonts w:ascii="Calibri" w:eastAsia="Calibri" w:hAnsi="Calibri" w:cs="Calibri"/>
          <w:lang w:val="en-GB"/>
        </w:rPr>
        <w:t xml:space="preserve">, newspapers are often regarded as more or less independent and neutral, offering </w:t>
      </w:r>
      <w:r>
        <w:rPr>
          <w:rFonts w:ascii="Calibri" w:eastAsia="Calibri" w:hAnsi="Calibri" w:cs="Calibri"/>
          <w:lang w:val="en-GB"/>
        </w:rPr>
        <w:t xml:space="preserve">approximately </w:t>
      </w:r>
      <w:r w:rsidRPr="00381C71">
        <w:rPr>
          <w:rFonts w:ascii="Calibri" w:eastAsia="Calibri" w:hAnsi="Calibri" w:cs="Calibri"/>
          <w:lang w:val="en-GB"/>
        </w:rPr>
        <w:t>objective description</w:t>
      </w:r>
      <w:r>
        <w:rPr>
          <w:rFonts w:ascii="Calibri" w:eastAsia="Calibri" w:hAnsi="Calibri" w:cs="Calibri"/>
          <w:lang w:val="en-GB"/>
        </w:rPr>
        <w:t>s</w:t>
      </w:r>
      <w:r w:rsidRPr="00381C71">
        <w:rPr>
          <w:rFonts w:ascii="Calibri" w:eastAsia="Calibri" w:hAnsi="Calibri" w:cs="Calibri"/>
          <w:lang w:val="en-GB"/>
        </w:rPr>
        <w:t xml:space="preserve"> of events. Nevertheless, newspapers cannot be neutral, if only because they have to make choices regarding the topics they will discuss. </w:t>
      </w:r>
      <w:r>
        <w:rPr>
          <w:rFonts w:ascii="Calibri" w:eastAsia="Calibri" w:hAnsi="Calibri" w:cs="Calibri"/>
          <w:lang w:val="en-GB"/>
        </w:rPr>
        <w:t xml:space="preserve">These choices are based on the values of reporters, editors, and heads of newspapers (Caldas-Coulthard, 2003). News is thus a cultural </w:t>
      </w:r>
      <w:r>
        <w:rPr>
          <w:rFonts w:ascii="Calibri" w:eastAsia="Calibri" w:hAnsi="Calibri" w:cs="Calibri"/>
          <w:lang w:val="en-GB"/>
        </w:rPr>
        <w:lastRenderedPageBreak/>
        <w:t xml:space="preserve">construct; it is a recontextualisation of events on the basis of certain values. News is, as Carmen Rosa Caldas-Coulthard describes it, “not the event, but the partial, ideologically framed </w:t>
      </w:r>
      <w:r>
        <w:rPr>
          <w:rFonts w:ascii="Calibri" w:eastAsia="Calibri" w:hAnsi="Calibri" w:cs="Calibri"/>
          <w:i/>
          <w:lang w:val="en-GB"/>
        </w:rPr>
        <w:t xml:space="preserve">report </w:t>
      </w:r>
      <w:r w:rsidR="0079111A">
        <w:rPr>
          <w:rFonts w:ascii="Calibri" w:eastAsia="Calibri" w:hAnsi="Calibri" w:cs="Calibri"/>
          <w:lang w:val="en-GB"/>
        </w:rPr>
        <w:t xml:space="preserve">of the event.” (2003, </w:t>
      </w:r>
      <w:r>
        <w:rPr>
          <w:rFonts w:ascii="Calibri" w:eastAsia="Calibri" w:hAnsi="Calibri" w:cs="Calibri"/>
          <w:lang w:val="en-GB"/>
        </w:rPr>
        <w:t xml:space="preserve">274, emphasis original) Figure </w:t>
      </w:r>
      <w:r w:rsidR="000941BF">
        <w:rPr>
          <w:rFonts w:ascii="Calibri" w:eastAsia="Calibri" w:hAnsi="Calibri" w:cs="Calibri"/>
          <w:lang w:val="en-GB"/>
        </w:rPr>
        <w:t>5</w:t>
      </w:r>
      <w:r>
        <w:rPr>
          <w:rFonts w:ascii="Calibri" w:eastAsia="Calibri" w:hAnsi="Calibri" w:cs="Calibri"/>
          <w:lang w:val="en-GB"/>
        </w:rPr>
        <w:t>.1 visualises the difference that framing can make.</w:t>
      </w:r>
    </w:p>
    <w:p w14:paraId="33FCC3BA" w14:textId="77777777" w:rsidR="00B549D5" w:rsidRDefault="00B549D5" w:rsidP="00E52F0F">
      <w:pPr>
        <w:spacing w:after="0" w:line="360" w:lineRule="auto"/>
        <w:ind w:firstLine="720"/>
        <w:jc w:val="both"/>
        <w:rPr>
          <w:rFonts w:ascii="Calibri" w:eastAsia="Calibri" w:hAnsi="Calibri" w:cs="Calibri"/>
          <w:lang w:val="en-GB"/>
        </w:rPr>
      </w:pPr>
    </w:p>
    <w:p w14:paraId="02ED8F97" w14:textId="7989A784" w:rsidR="00B549D5" w:rsidRPr="00BB34E7" w:rsidRDefault="00B549D5" w:rsidP="00720FFE">
      <w:pPr>
        <w:spacing w:after="0" w:line="360" w:lineRule="auto"/>
        <w:jc w:val="right"/>
        <w:rPr>
          <w:rFonts w:ascii="Calibri" w:eastAsia="Calibri" w:hAnsi="Calibri" w:cs="Calibri"/>
          <w:sz w:val="20"/>
          <w:lang w:val="en-GB"/>
        </w:rPr>
      </w:pPr>
      <w:r>
        <w:rPr>
          <w:noProof/>
          <w:lang w:val="en-US"/>
        </w:rPr>
        <w:drawing>
          <wp:inline distT="0" distB="0" distL="0" distR="0" wp14:anchorId="102192C3" wp14:editId="5D2DB699">
            <wp:extent cx="1590783" cy="1849902"/>
            <wp:effectExtent l="0" t="0" r="0" b="0"/>
            <wp:docPr id="3" name="Picture 3" descr="http://blog.ncase.me/content/images/2014/Aug/Screen-Shot-2014-07-31-at-20-27-4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log.ncase.me/content/images/2014/Aug/Screen-Shot-2014-07-31-at-20-27-44-2.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47225" cy="1915538"/>
                    </a:xfrm>
                    <a:prstGeom prst="rect">
                      <a:avLst/>
                    </a:prstGeom>
                    <a:noFill/>
                    <a:ln>
                      <a:noFill/>
                    </a:ln>
                  </pic:spPr>
                </pic:pic>
              </a:graphicData>
            </a:graphic>
          </wp:inline>
        </w:drawing>
      </w:r>
      <w:r w:rsidR="00BB34E7">
        <w:rPr>
          <w:rFonts w:ascii="Calibri" w:eastAsia="Calibri" w:hAnsi="Calibri" w:cs="Calibri"/>
          <w:lang w:val="en-GB"/>
        </w:rPr>
        <w:br/>
      </w:r>
      <w:r w:rsidRPr="00BB34E7">
        <w:rPr>
          <w:rFonts w:ascii="Calibri" w:eastAsia="Calibri" w:hAnsi="Calibri" w:cs="Calibri"/>
          <w:sz w:val="20"/>
          <w:lang w:val="en-GB"/>
        </w:rPr>
        <w:t xml:space="preserve">Figure </w:t>
      </w:r>
      <w:r w:rsidR="000941BF" w:rsidRPr="00BB34E7">
        <w:rPr>
          <w:rFonts w:ascii="Calibri" w:eastAsia="Calibri" w:hAnsi="Calibri" w:cs="Calibri"/>
          <w:sz w:val="20"/>
          <w:lang w:val="en-GB"/>
        </w:rPr>
        <w:t>5</w:t>
      </w:r>
      <w:r w:rsidRPr="00BB34E7">
        <w:rPr>
          <w:rFonts w:ascii="Calibri" w:eastAsia="Calibri" w:hAnsi="Calibri" w:cs="Calibri"/>
          <w:sz w:val="20"/>
          <w:lang w:val="en-GB"/>
        </w:rPr>
        <w:t>.1: Framing in media (Priestman, 2014)</w:t>
      </w:r>
    </w:p>
    <w:p w14:paraId="1E208F31" w14:textId="77777777" w:rsidR="00934967" w:rsidRDefault="00934967" w:rsidP="00E52F0F">
      <w:pPr>
        <w:spacing w:after="0" w:line="360" w:lineRule="auto"/>
        <w:ind w:firstLine="720"/>
        <w:jc w:val="both"/>
        <w:rPr>
          <w:rFonts w:ascii="Calibri" w:eastAsia="Calibri" w:hAnsi="Calibri" w:cs="Calibri"/>
          <w:lang w:val="en-GB"/>
        </w:rPr>
      </w:pPr>
    </w:p>
    <w:p w14:paraId="1448E786" w14:textId="04BD978A" w:rsidR="00B549D5" w:rsidRDefault="00B549D5" w:rsidP="00E52F0F">
      <w:pPr>
        <w:spacing w:after="0" w:line="360" w:lineRule="auto"/>
        <w:ind w:firstLine="720"/>
        <w:jc w:val="both"/>
        <w:rPr>
          <w:rFonts w:ascii="Calibri" w:eastAsia="Calibri" w:hAnsi="Calibri" w:cs="Calibri"/>
          <w:lang w:val="en-GB"/>
        </w:rPr>
      </w:pPr>
      <w:r>
        <w:rPr>
          <w:rFonts w:ascii="Calibri" w:eastAsia="Calibri" w:hAnsi="Calibri" w:cs="Calibri"/>
          <w:lang w:val="en-GB"/>
        </w:rPr>
        <w:t xml:space="preserve">The figure might exaggerate the framing, with a foot becoming a knife, but </w:t>
      </w:r>
      <w:r w:rsidR="00F52E3D">
        <w:rPr>
          <w:rFonts w:ascii="Calibri" w:eastAsia="Calibri" w:hAnsi="Calibri" w:cs="Calibri"/>
          <w:lang w:val="en-GB"/>
        </w:rPr>
        <w:t xml:space="preserve">it </w:t>
      </w:r>
      <w:r>
        <w:rPr>
          <w:rFonts w:ascii="Calibri" w:eastAsia="Calibri" w:hAnsi="Calibri" w:cs="Calibri"/>
          <w:lang w:val="en-GB"/>
        </w:rPr>
        <w:t xml:space="preserve">does show the impact </w:t>
      </w:r>
      <w:r w:rsidR="0094406D">
        <w:rPr>
          <w:rFonts w:ascii="Calibri" w:eastAsia="Calibri" w:hAnsi="Calibri" w:cs="Calibri"/>
          <w:lang w:val="en-GB"/>
        </w:rPr>
        <w:t xml:space="preserve">of </w:t>
      </w:r>
      <w:r>
        <w:rPr>
          <w:rFonts w:ascii="Calibri" w:eastAsia="Calibri" w:hAnsi="Calibri" w:cs="Calibri"/>
          <w:lang w:val="en-GB"/>
        </w:rPr>
        <w:t>selective reporting. Although there is an increasing awareness of the bias of news, it still has a privileged position in literate societies. Not only is it the language that people are exposed to the most, it is also still often believed to be a faithful account of what happened</w:t>
      </w:r>
      <w:r w:rsidR="0094406D" w:rsidRPr="0094406D">
        <w:rPr>
          <w:rFonts w:ascii="Calibri" w:eastAsia="Calibri" w:hAnsi="Calibri" w:cs="Calibri"/>
          <w:lang w:val="en-GB"/>
        </w:rPr>
        <w:t xml:space="preserve"> </w:t>
      </w:r>
      <w:r w:rsidR="0094406D">
        <w:rPr>
          <w:rFonts w:ascii="Calibri" w:eastAsia="Calibri" w:hAnsi="Calibri" w:cs="Calibri"/>
          <w:lang w:val="en-GB"/>
        </w:rPr>
        <w:t>(Caldas-Coulthard, 2003, 274)</w:t>
      </w:r>
      <w:r>
        <w:rPr>
          <w:rFonts w:ascii="Calibri" w:eastAsia="Calibri" w:hAnsi="Calibri" w:cs="Calibri"/>
          <w:lang w:val="en-GB"/>
        </w:rPr>
        <w:t>. The implication of knowing the news is thus knowing social facts (</w:t>
      </w:r>
      <w:r w:rsidR="0094406D">
        <w:rPr>
          <w:rFonts w:ascii="Calibri" w:eastAsia="Calibri" w:hAnsi="Calibri" w:cs="Calibri"/>
          <w:lang w:val="en-GB"/>
        </w:rPr>
        <w:t>2003, 274</w:t>
      </w:r>
      <w:r>
        <w:rPr>
          <w:rFonts w:ascii="Calibri" w:eastAsia="Calibri" w:hAnsi="Calibri" w:cs="Calibri"/>
          <w:lang w:val="en-GB"/>
        </w:rPr>
        <w:t>). One of the</w:t>
      </w:r>
      <w:r w:rsidRPr="00381C71">
        <w:rPr>
          <w:rFonts w:ascii="Calibri" w:eastAsia="Calibri" w:hAnsi="Calibri" w:cs="Calibri"/>
          <w:lang w:val="en-GB"/>
        </w:rPr>
        <w:t xml:space="preserve"> </w:t>
      </w:r>
      <w:r>
        <w:rPr>
          <w:rFonts w:ascii="Calibri" w:eastAsia="Calibri" w:hAnsi="Calibri" w:cs="Calibri"/>
          <w:lang w:val="en-GB"/>
        </w:rPr>
        <w:t>features</w:t>
      </w:r>
      <w:r w:rsidRPr="00381C71">
        <w:rPr>
          <w:rFonts w:ascii="Calibri" w:eastAsia="Calibri" w:hAnsi="Calibri" w:cs="Calibri"/>
          <w:lang w:val="en-GB"/>
        </w:rPr>
        <w:t xml:space="preserve"> </w:t>
      </w:r>
      <w:r>
        <w:rPr>
          <w:rFonts w:ascii="Calibri" w:eastAsia="Calibri" w:hAnsi="Calibri" w:cs="Calibri"/>
          <w:lang w:val="en-GB"/>
        </w:rPr>
        <w:t>aiding in this image is that a newspaper</w:t>
      </w:r>
      <w:r w:rsidRPr="00381C71">
        <w:rPr>
          <w:rFonts w:ascii="Calibri" w:eastAsia="Calibri" w:hAnsi="Calibri" w:cs="Calibri"/>
          <w:lang w:val="en-GB"/>
        </w:rPr>
        <w:t xml:space="preserve"> is (part of) an officially established organisation: while a single person or a group may also provide information about recent events, this is not </w:t>
      </w:r>
      <w:r w:rsidR="00786449">
        <w:rPr>
          <w:rFonts w:ascii="Calibri" w:eastAsia="Calibri" w:hAnsi="Calibri" w:cs="Calibri"/>
          <w:lang w:val="en-GB"/>
        </w:rPr>
        <w:t xml:space="preserve">usually </w:t>
      </w:r>
      <w:r w:rsidRPr="00381C71">
        <w:rPr>
          <w:rFonts w:ascii="Calibri" w:eastAsia="Calibri" w:hAnsi="Calibri" w:cs="Calibri"/>
          <w:lang w:val="en-GB"/>
        </w:rPr>
        <w:t>considered to be news.</w:t>
      </w:r>
      <w:r>
        <w:rPr>
          <w:rFonts w:ascii="Calibri" w:eastAsia="Calibri" w:hAnsi="Calibri" w:cs="Calibri"/>
          <w:lang w:val="en-GB"/>
        </w:rPr>
        <w:t xml:space="preserve"> The sector newspapers, to which th</w:t>
      </w:r>
      <w:r w:rsidRPr="00381C71">
        <w:rPr>
          <w:rFonts w:ascii="Calibri" w:eastAsia="Calibri" w:hAnsi="Calibri" w:cs="Calibri"/>
          <w:lang w:val="en-GB"/>
        </w:rPr>
        <w:t>e Guardian belongs</w:t>
      </w:r>
      <w:r>
        <w:rPr>
          <w:rFonts w:ascii="Calibri" w:eastAsia="Calibri" w:hAnsi="Calibri" w:cs="Calibri"/>
          <w:lang w:val="en-GB"/>
        </w:rPr>
        <w:t>, is thus</w:t>
      </w:r>
      <w:r w:rsidRPr="00381C71">
        <w:rPr>
          <w:rFonts w:ascii="Calibri" w:eastAsia="Calibri" w:hAnsi="Calibri" w:cs="Calibri"/>
          <w:lang w:val="en-GB"/>
        </w:rPr>
        <w:t xml:space="preserve"> characterised by the provision of information regarding recent events that are considered noteworthy, and by being (part of) an offic</w:t>
      </w:r>
      <w:r w:rsidR="0094406D">
        <w:rPr>
          <w:rFonts w:ascii="Calibri" w:eastAsia="Calibri" w:hAnsi="Calibri" w:cs="Calibri"/>
          <w:lang w:val="en-GB"/>
        </w:rPr>
        <w:t>ially established organisation.</w:t>
      </w:r>
    </w:p>
    <w:p w14:paraId="4BE6BA7F" w14:textId="77777777" w:rsidR="00B549D5" w:rsidRPr="0015572B" w:rsidRDefault="00B549D5" w:rsidP="00E52F0F">
      <w:pPr>
        <w:spacing w:line="360" w:lineRule="auto"/>
        <w:ind w:firstLine="720"/>
        <w:jc w:val="both"/>
        <w:rPr>
          <w:rFonts w:ascii="Calibri" w:eastAsia="Calibri" w:hAnsi="Calibri" w:cs="Calibri"/>
          <w:lang w:val="en-GB"/>
        </w:rPr>
      </w:pPr>
    </w:p>
    <w:p w14:paraId="6D8D8A87" w14:textId="77777777" w:rsidR="00B549D5" w:rsidRPr="00CD7466" w:rsidRDefault="00B549D5" w:rsidP="00E52F0F">
      <w:pPr>
        <w:pStyle w:val="Heading2"/>
        <w:spacing w:line="360" w:lineRule="auto"/>
        <w:jc w:val="both"/>
        <w:rPr>
          <w:lang w:val="en-GB"/>
        </w:rPr>
      </w:pPr>
      <w:bookmarkStart w:id="60" w:name="h.h4jvkucvt56b" w:colFirst="0" w:colLast="0"/>
      <w:bookmarkStart w:id="61" w:name="_Toc458983416"/>
      <w:bookmarkEnd w:id="60"/>
      <w:r>
        <w:rPr>
          <w:rFonts w:eastAsia="Calibri" w:cs="Calibri"/>
          <w:lang w:val="en-GB"/>
        </w:rPr>
        <w:t>5</w:t>
      </w:r>
      <w:r w:rsidRPr="00CD7466">
        <w:rPr>
          <w:rFonts w:eastAsia="Calibri" w:cs="Calibri"/>
          <w:lang w:val="en-GB"/>
        </w:rPr>
        <w:t>.2.</w:t>
      </w:r>
      <w:r>
        <w:rPr>
          <w:rFonts w:eastAsia="Calibri" w:cs="Calibri"/>
          <w:lang w:val="en-GB"/>
        </w:rPr>
        <w:t xml:space="preserve"> Structure analysis</w:t>
      </w:r>
      <w:r w:rsidRPr="00CD7466">
        <w:rPr>
          <w:rFonts w:eastAsia="Calibri" w:cs="Calibri"/>
          <w:lang w:val="en-GB"/>
        </w:rPr>
        <w:t xml:space="preserve">: Characterisation of the </w:t>
      </w:r>
      <w:r>
        <w:rPr>
          <w:rFonts w:eastAsia="Calibri" w:cs="Calibri"/>
          <w:lang w:val="en-GB"/>
        </w:rPr>
        <w:t>Guardian</w:t>
      </w:r>
      <w:r w:rsidRPr="00CD7466">
        <w:rPr>
          <w:rFonts w:eastAsia="Calibri" w:cs="Calibri"/>
          <w:lang w:val="en-GB"/>
        </w:rPr>
        <w:t xml:space="preserve"> and its discourse position</w:t>
      </w:r>
      <w:bookmarkEnd w:id="61"/>
    </w:p>
    <w:p w14:paraId="6A084890" w14:textId="2273E0CE" w:rsidR="00B549D5" w:rsidRPr="00381C71" w:rsidRDefault="00B549D5" w:rsidP="00E52F0F">
      <w:pPr>
        <w:spacing w:after="0" w:line="360" w:lineRule="auto"/>
        <w:ind w:left="-6"/>
        <w:jc w:val="both"/>
        <w:rPr>
          <w:lang w:val="en-GB"/>
        </w:rPr>
      </w:pPr>
      <w:r w:rsidRPr="00381C71">
        <w:rPr>
          <w:rFonts w:ascii="Calibri" w:eastAsia="Calibri" w:hAnsi="Calibri" w:cs="Calibri"/>
          <w:lang w:val="en-GB"/>
        </w:rPr>
        <w:t xml:space="preserve">In the structure analysis, </w:t>
      </w:r>
      <w:r>
        <w:rPr>
          <w:rFonts w:ascii="Calibri" w:eastAsia="Calibri" w:hAnsi="Calibri" w:cs="Calibri"/>
          <w:lang w:val="en-GB"/>
        </w:rPr>
        <w:t>the researcher</w:t>
      </w:r>
      <w:r w:rsidRPr="00381C71">
        <w:rPr>
          <w:rFonts w:ascii="Calibri" w:eastAsia="Calibri" w:hAnsi="Calibri" w:cs="Calibri"/>
          <w:lang w:val="en-GB"/>
        </w:rPr>
        <w:t xml:space="preserve"> processes the material of the entire selected discourse strand of the newspaper. In this study, I thus processed the material of the discourse strand </w:t>
      </w:r>
      <w:r>
        <w:rPr>
          <w:rFonts w:ascii="Calibri" w:eastAsia="Calibri" w:hAnsi="Calibri" w:cs="Calibri"/>
          <w:lang w:val="en-GB"/>
        </w:rPr>
        <w:t>‘</w:t>
      </w:r>
      <w:r w:rsidR="0094406D">
        <w:rPr>
          <w:rFonts w:ascii="Calibri" w:eastAsia="Calibri" w:hAnsi="Calibri" w:cs="Calibri"/>
          <w:lang w:val="en-GB"/>
        </w:rPr>
        <w:t>victims, witnesses, and relatives affected by</w:t>
      </w:r>
      <w:r>
        <w:rPr>
          <w:rFonts w:ascii="Calibri" w:eastAsia="Calibri" w:hAnsi="Calibri" w:cs="Calibri"/>
          <w:lang w:val="en-GB"/>
        </w:rPr>
        <w:t xml:space="preserve"> terrorist attacks’ </w:t>
      </w:r>
      <w:r w:rsidRPr="00381C71">
        <w:rPr>
          <w:rFonts w:ascii="Calibri" w:eastAsia="Calibri" w:hAnsi="Calibri" w:cs="Calibri"/>
          <w:lang w:val="en-GB"/>
        </w:rPr>
        <w:t>of the online international versio</w:t>
      </w:r>
      <w:r w:rsidR="0094406D">
        <w:rPr>
          <w:rFonts w:ascii="Calibri" w:eastAsia="Calibri" w:hAnsi="Calibri" w:cs="Calibri"/>
          <w:lang w:val="en-GB"/>
        </w:rPr>
        <w:t>n of the newspaper the Guardian</w:t>
      </w:r>
      <w:r w:rsidRPr="00381C71">
        <w:rPr>
          <w:rFonts w:ascii="Calibri" w:eastAsia="Calibri" w:hAnsi="Calibri" w:cs="Calibri"/>
          <w:lang w:val="en-GB"/>
        </w:rPr>
        <w:t>. The first step is to produce a general characterisation of the newspaper, including its readership, circulation, and political localisation</w:t>
      </w:r>
      <w:r>
        <w:rPr>
          <w:rFonts w:ascii="Calibri" w:eastAsia="Calibri" w:hAnsi="Calibri" w:cs="Calibri"/>
          <w:lang w:val="en-GB"/>
        </w:rPr>
        <w:t>, which clarifies its discourse position</w:t>
      </w:r>
      <w:r w:rsidRPr="00381C71">
        <w:rPr>
          <w:rFonts w:ascii="Calibri" w:eastAsia="Calibri" w:hAnsi="Calibri" w:cs="Calibri"/>
          <w:lang w:val="en-GB"/>
        </w:rPr>
        <w:t xml:space="preserve">. The second step, the review of the newspaper material, includes a list of the articles analysed </w:t>
      </w:r>
      <w:r w:rsidR="0094406D">
        <w:rPr>
          <w:rFonts w:ascii="Calibri" w:eastAsia="Calibri" w:hAnsi="Calibri" w:cs="Calibri"/>
          <w:lang w:val="en-GB"/>
        </w:rPr>
        <w:t>–</w:t>
      </w:r>
      <w:r w:rsidRPr="00381C71">
        <w:rPr>
          <w:rFonts w:ascii="Calibri" w:eastAsia="Calibri" w:hAnsi="Calibri" w:cs="Calibri"/>
          <w:lang w:val="en-GB"/>
        </w:rPr>
        <w:t xml:space="preserve"> which can be found in </w:t>
      </w:r>
      <w:r w:rsidR="00050A50">
        <w:rPr>
          <w:rFonts w:ascii="Calibri" w:eastAsia="Calibri" w:hAnsi="Calibri" w:cs="Calibri"/>
          <w:lang w:val="en-GB"/>
        </w:rPr>
        <w:t xml:space="preserve">the </w:t>
      </w:r>
      <w:r w:rsidRPr="00381C71">
        <w:rPr>
          <w:rFonts w:ascii="Calibri" w:eastAsia="Calibri" w:hAnsi="Calibri" w:cs="Calibri"/>
          <w:lang w:val="en-GB"/>
        </w:rPr>
        <w:t xml:space="preserve">appendix </w:t>
      </w:r>
      <w:r w:rsidR="0094406D">
        <w:rPr>
          <w:rFonts w:ascii="Calibri" w:eastAsia="Calibri" w:hAnsi="Calibri" w:cs="Calibri"/>
          <w:lang w:val="en-GB"/>
        </w:rPr>
        <w:t>–</w:t>
      </w:r>
      <w:r w:rsidRPr="00381C71">
        <w:rPr>
          <w:rFonts w:ascii="Calibri" w:eastAsia="Calibri" w:hAnsi="Calibri" w:cs="Calibri"/>
          <w:lang w:val="en-GB"/>
        </w:rPr>
        <w:t xml:space="preserve">, a summary of the discourse strand, and an allocation of sole </w:t>
      </w:r>
      <w:r w:rsidR="0094406D">
        <w:rPr>
          <w:rFonts w:ascii="Calibri" w:eastAsia="Calibri" w:hAnsi="Calibri" w:cs="Calibri"/>
          <w:lang w:val="en-GB"/>
        </w:rPr>
        <w:t>themes to thematic areas –</w:t>
      </w:r>
      <w:r w:rsidR="00786449">
        <w:rPr>
          <w:rFonts w:ascii="Calibri" w:eastAsia="Calibri" w:hAnsi="Calibri" w:cs="Calibri"/>
          <w:lang w:val="en-GB"/>
        </w:rPr>
        <w:t xml:space="preserve"> </w:t>
      </w:r>
      <w:r w:rsidRPr="00381C71">
        <w:rPr>
          <w:rFonts w:ascii="Calibri" w:eastAsia="Calibri" w:hAnsi="Calibri" w:cs="Calibri"/>
          <w:lang w:val="en-GB"/>
        </w:rPr>
        <w:t xml:space="preserve">which </w:t>
      </w:r>
      <w:r w:rsidR="0094406D">
        <w:rPr>
          <w:rFonts w:ascii="Calibri" w:eastAsia="Calibri" w:hAnsi="Calibri" w:cs="Calibri"/>
          <w:lang w:val="en-GB"/>
        </w:rPr>
        <w:t>are described in 5.3. and 5.4.</w:t>
      </w:r>
      <w:r w:rsidRPr="00381C71">
        <w:rPr>
          <w:rFonts w:ascii="Calibri" w:eastAsia="Calibri" w:hAnsi="Calibri" w:cs="Calibri"/>
          <w:lang w:val="en-GB"/>
        </w:rPr>
        <w:t xml:space="preserve"> Here I thus focus on providing a characterisation of the </w:t>
      </w:r>
      <w:r>
        <w:rPr>
          <w:rFonts w:ascii="Calibri" w:eastAsia="Calibri" w:hAnsi="Calibri" w:cs="Calibri"/>
          <w:lang w:val="en-GB"/>
        </w:rPr>
        <w:t>Guardian</w:t>
      </w:r>
      <w:r w:rsidR="0094406D">
        <w:rPr>
          <w:rFonts w:ascii="Calibri" w:eastAsia="Calibri" w:hAnsi="Calibri" w:cs="Calibri"/>
          <w:lang w:val="en-GB"/>
        </w:rPr>
        <w:t xml:space="preserve"> and its discourse position. </w:t>
      </w:r>
    </w:p>
    <w:p w14:paraId="5AD4AF53" w14:textId="2EDC0BBB" w:rsidR="00B549D5" w:rsidRPr="00381C71" w:rsidRDefault="00B549D5" w:rsidP="00E52F0F">
      <w:pPr>
        <w:spacing w:after="0" w:line="360" w:lineRule="auto"/>
        <w:ind w:firstLine="720"/>
        <w:jc w:val="both"/>
        <w:rPr>
          <w:lang w:val="en-GB"/>
        </w:rPr>
      </w:pPr>
      <w:r w:rsidRPr="00381C71">
        <w:rPr>
          <w:rFonts w:ascii="Calibri" w:eastAsia="Calibri" w:hAnsi="Calibri" w:cs="Calibri"/>
          <w:lang w:val="en-GB"/>
        </w:rPr>
        <w:t xml:space="preserve">The Guardian is a British daily newspaper with a printed and </w:t>
      </w:r>
      <w:r w:rsidR="00786449">
        <w:rPr>
          <w:rFonts w:ascii="Calibri" w:eastAsia="Calibri" w:hAnsi="Calibri" w:cs="Calibri"/>
          <w:lang w:val="en-GB"/>
        </w:rPr>
        <w:t xml:space="preserve">an </w:t>
      </w:r>
      <w:r w:rsidRPr="00381C71">
        <w:rPr>
          <w:rFonts w:ascii="Calibri" w:eastAsia="Calibri" w:hAnsi="Calibri" w:cs="Calibri"/>
          <w:lang w:val="en-GB"/>
        </w:rPr>
        <w:t xml:space="preserve">online version. It is part of the Guardian Media Group, which is owned by The Scott Trust Limited. The Scott Trust Limited is the only shareholder of the Guardian and reinvests its profits in journalism (“The Scott Trust”, 2015, para. </w:t>
      </w:r>
      <w:r w:rsidRPr="00B549D5">
        <w:rPr>
          <w:rFonts w:ascii="Calibri" w:eastAsia="Calibri" w:hAnsi="Calibri" w:cs="Calibri"/>
          <w:lang w:val="en-GB"/>
        </w:rPr>
        <w:t xml:space="preserve">3). </w:t>
      </w:r>
      <w:r w:rsidRPr="00381C71">
        <w:rPr>
          <w:rFonts w:ascii="Calibri" w:eastAsia="Calibri" w:hAnsi="Calibri" w:cs="Calibri"/>
          <w:lang w:val="en-GB"/>
        </w:rPr>
        <w:t xml:space="preserve">The </w:t>
      </w:r>
      <w:r w:rsidRPr="00381C71">
        <w:rPr>
          <w:rFonts w:ascii="Calibri" w:eastAsia="Calibri" w:hAnsi="Calibri" w:cs="Calibri"/>
          <w:lang w:val="en-GB"/>
        </w:rPr>
        <w:lastRenderedPageBreak/>
        <w:t>affiliation with the Scott Trust Limited provides an insight in the political location of the paper, as one of the core purposes of the Scott Trust is “to secure the financial and editorial independence of the Guardian in perpetuity: as a quality national newspaper without party affiliation; remaining faithful to its liberal tradition.” (</w:t>
      </w:r>
      <w:r w:rsidR="00F56638">
        <w:rPr>
          <w:rFonts w:ascii="Calibri" w:eastAsia="Calibri" w:hAnsi="Calibri" w:cs="Calibri"/>
          <w:lang w:val="en-GB"/>
        </w:rPr>
        <w:t>2015</w:t>
      </w:r>
      <w:r w:rsidRPr="00381C71">
        <w:rPr>
          <w:rFonts w:ascii="Calibri" w:eastAsia="Calibri" w:hAnsi="Calibri" w:cs="Calibri"/>
          <w:lang w:val="en-GB"/>
        </w:rPr>
        <w:t xml:space="preserve">, para. 2) Journalistic freedom and liberal values </w:t>
      </w:r>
      <w:r w:rsidR="00EA1648">
        <w:rPr>
          <w:rFonts w:ascii="Calibri" w:eastAsia="Calibri" w:hAnsi="Calibri" w:cs="Calibri"/>
          <w:lang w:val="en-GB"/>
        </w:rPr>
        <w:t xml:space="preserve">seem to be of great importance </w:t>
      </w:r>
      <w:r w:rsidRPr="00381C71">
        <w:rPr>
          <w:rFonts w:ascii="Calibri" w:eastAsia="Calibri" w:hAnsi="Calibri" w:cs="Calibri"/>
          <w:lang w:val="en-GB"/>
        </w:rPr>
        <w:t>(</w:t>
      </w:r>
      <w:r w:rsidR="00F56638">
        <w:rPr>
          <w:rFonts w:ascii="Calibri" w:eastAsia="Calibri" w:hAnsi="Calibri" w:cs="Calibri"/>
          <w:lang w:val="en-GB"/>
        </w:rPr>
        <w:t>2015</w:t>
      </w:r>
      <w:r w:rsidRPr="00381C71">
        <w:rPr>
          <w:rFonts w:ascii="Calibri" w:eastAsia="Calibri" w:hAnsi="Calibri" w:cs="Calibri"/>
          <w:lang w:val="en-GB"/>
        </w:rPr>
        <w:t>). The so-called "centenary leader"</w:t>
      </w:r>
      <w:r w:rsidR="00EA1648">
        <w:rPr>
          <w:rFonts w:ascii="Calibri" w:eastAsia="Calibri" w:hAnsi="Calibri" w:cs="Calibri"/>
          <w:lang w:val="en-GB"/>
        </w:rPr>
        <w:t>,</w:t>
      </w:r>
      <w:r w:rsidRPr="00381C71">
        <w:rPr>
          <w:rFonts w:ascii="Calibri" w:eastAsia="Calibri" w:hAnsi="Calibri" w:cs="Calibri"/>
          <w:lang w:val="en-GB"/>
        </w:rPr>
        <w:t xml:space="preserve"> written by Guardian editor Charles Prestwich Scott </w:t>
      </w:r>
      <w:r>
        <w:rPr>
          <w:rFonts w:ascii="Calibri" w:eastAsia="Calibri" w:hAnsi="Calibri" w:cs="Calibri"/>
          <w:lang w:val="en-GB"/>
        </w:rPr>
        <w:t>in</w:t>
      </w:r>
      <w:r w:rsidRPr="00381C71">
        <w:rPr>
          <w:rFonts w:ascii="Calibri" w:eastAsia="Calibri" w:hAnsi="Calibri" w:cs="Calibri"/>
          <w:lang w:val="en-GB"/>
        </w:rPr>
        <w:t xml:space="preserve"> 1921, is still used to denote the values hold by the Guardian (</w:t>
      </w:r>
      <w:r w:rsidR="00F56638">
        <w:rPr>
          <w:rFonts w:ascii="Calibri" w:eastAsia="Calibri" w:hAnsi="Calibri" w:cs="Calibri"/>
          <w:lang w:val="en-GB"/>
        </w:rPr>
        <w:t>2015</w:t>
      </w:r>
      <w:r w:rsidRPr="00381C71">
        <w:rPr>
          <w:rFonts w:ascii="Calibri" w:eastAsia="Calibri" w:hAnsi="Calibri" w:cs="Calibri"/>
          <w:lang w:val="en-GB"/>
        </w:rPr>
        <w:t xml:space="preserve">, para. </w:t>
      </w:r>
      <w:r w:rsidRPr="007A4871">
        <w:rPr>
          <w:rFonts w:ascii="Calibri" w:eastAsia="Calibri" w:hAnsi="Calibri" w:cs="Calibri"/>
          <w:lang w:val="en-GB"/>
        </w:rPr>
        <w:t xml:space="preserve">15). </w:t>
      </w:r>
      <w:r w:rsidRPr="00381C71">
        <w:rPr>
          <w:rFonts w:ascii="Calibri" w:eastAsia="Calibri" w:hAnsi="Calibri" w:cs="Calibri"/>
          <w:lang w:val="en-GB"/>
        </w:rPr>
        <w:t>Values mentioned are honesty, integrity, fairness, and a “sense of duty to the read</w:t>
      </w:r>
      <w:r w:rsidR="0079111A">
        <w:rPr>
          <w:rFonts w:ascii="Calibri" w:eastAsia="Calibri" w:hAnsi="Calibri" w:cs="Calibri"/>
          <w:lang w:val="en-GB"/>
        </w:rPr>
        <w:t xml:space="preserve">er and the community” (2015, </w:t>
      </w:r>
      <w:r w:rsidRPr="00381C71">
        <w:rPr>
          <w:rFonts w:ascii="Calibri" w:eastAsia="Calibri" w:hAnsi="Calibri" w:cs="Calibri"/>
          <w:lang w:val="en-GB"/>
        </w:rPr>
        <w:t>10). These values are exemplified in statements in the centenary leader</w:t>
      </w:r>
      <w:r>
        <w:rPr>
          <w:rFonts w:ascii="Calibri" w:eastAsia="Calibri" w:hAnsi="Calibri" w:cs="Calibri"/>
          <w:lang w:val="en-GB"/>
        </w:rPr>
        <w:t>,</w:t>
      </w:r>
      <w:r w:rsidRPr="00381C71">
        <w:rPr>
          <w:rFonts w:ascii="Calibri" w:eastAsia="Calibri" w:hAnsi="Calibri" w:cs="Calibri"/>
          <w:lang w:val="en-GB"/>
        </w:rPr>
        <w:t xml:space="preserve"> such as “comment is free, but facts are sacred”, “the voice of opponents is no less than that of friends and has a right to be heard”, and </w:t>
      </w:r>
      <w:r>
        <w:rPr>
          <w:rFonts w:ascii="Calibri" w:eastAsia="Calibri" w:hAnsi="Calibri" w:cs="Calibri"/>
          <w:lang w:val="en-GB"/>
        </w:rPr>
        <w:t xml:space="preserve">the referral to </w:t>
      </w:r>
      <w:r w:rsidRPr="00381C71">
        <w:rPr>
          <w:rFonts w:ascii="Calibri" w:eastAsia="Calibri" w:hAnsi="Calibri" w:cs="Calibri"/>
          <w:lang w:val="en-GB"/>
        </w:rPr>
        <w:t xml:space="preserve">the “moral as well as material existence” </w:t>
      </w:r>
      <w:r>
        <w:rPr>
          <w:rFonts w:ascii="Calibri" w:eastAsia="Calibri" w:hAnsi="Calibri" w:cs="Calibri"/>
          <w:lang w:val="en-GB"/>
        </w:rPr>
        <w:t>of</w:t>
      </w:r>
      <w:r w:rsidRPr="00381C71">
        <w:rPr>
          <w:rFonts w:ascii="Calibri" w:eastAsia="Calibri" w:hAnsi="Calibri" w:cs="Calibri"/>
          <w:lang w:val="en-GB"/>
        </w:rPr>
        <w:t xml:space="preserve"> newspapers</w:t>
      </w:r>
      <w:r>
        <w:rPr>
          <w:rFonts w:ascii="Calibri" w:eastAsia="Calibri" w:hAnsi="Calibri" w:cs="Calibri"/>
          <w:lang w:val="en-GB"/>
        </w:rPr>
        <w:t xml:space="preserve"> – which points to </w:t>
      </w:r>
      <w:r w:rsidRPr="00381C71">
        <w:rPr>
          <w:rFonts w:ascii="Calibri" w:eastAsia="Calibri" w:hAnsi="Calibri" w:cs="Calibri"/>
          <w:lang w:val="en-GB"/>
        </w:rPr>
        <w:t xml:space="preserve">two </w:t>
      </w:r>
      <w:r>
        <w:rPr>
          <w:rFonts w:ascii="Calibri" w:eastAsia="Calibri" w:hAnsi="Calibri" w:cs="Calibri"/>
          <w:lang w:val="en-GB"/>
        </w:rPr>
        <w:t>aspects</w:t>
      </w:r>
      <w:r w:rsidRPr="00381C71">
        <w:rPr>
          <w:rFonts w:ascii="Calibri" w:eastAsia="Calibri" w:hAnsi="Calibri" w:cs="Calibri"/>
          <w:lang w:val="en-GB"/>
        </w:rPr>
        <w:t xml:space="preserve"> of a newspaper</w:t>
      </w:r>
      <w:r>
        <w:rPr>
          <w:rFonts w:ascii="Calibri" w:eastAsia="Calibri" w:hAnsi="Calibri" w:cs="Calibri"/>
          <w:lang w:val="en-GB"/>
        </w:rPr>
        <w:t>: the newspaper</w:t>
      </w:r>
      <w:r w:rsidRPr="00381C71">
        <w:rPr>
          <w:rFonts w:ascii="Calibri" w:eastAsia="Calibri" w:hAnsi="Calibri" w:cs="Calibri"/>
          <w:lang w:val="en-GB"/>
        </w:rPr>
        <w:t xml:space="preserve"> as a reflection of and influencing factor on the readers, and as a business that needs to pay money to continue</w:t>
      </w:r>
      <w:r w:rsidR="0079111A">
        <w:rPr>
          <w:rFonts w:ascii="Calibri" w:eastAsia="Calibri" w:hAnsi="Calibri" w:cs="Calibri"/>
          <w:lang w:val="en-GB"/>
        </w:rPr>
        <w:t xml:space="preserve"> its existence (Scott, 2015, </w:t>
      </w:r>
      <w:r w:rsidR="00DC71AC">
        <w:rPr>
          <w:rFonts w:ascii="Calibri" w:eastAsia="Calibri" w:hAnsi="Calibri" w:cs="Calibri"/>
          <w:lang w:val="en-GB"/>
        </w:rPr>
        <w:t xml:space="preserve">10, </w:t>
      </w:r>
      <w:r w:rsidRPr="00381C71">
        <w:rPr>
          <w:rFonts w:ascii="Calibri" w:eastAsia="Calibri" w:hAnsi="Calibri" w:cs="Calibri"/>
          <w:lang w:val="en-GB"/>
        </w:rPr>
        <w:t xml:space="preserve">9). </w:t>
      </w:r>
    </w:p>
    <w:p w14:paraId="4D514BE5" w14:textId="6908E296" w:rsidR="00786449" w:rsidRDefault="00B549D5" w:rsidP="00E52F0F">
      <w:pPr>
        <w:spacing w:after="0" w:line="360" w:lineRule="auto"/>
        <w:ind w:left="-6" w:firstLine="816"/>
        <w:jc w:val="both"/>
        <w:rPr>
          <w:rFonts w:ascii="Calibri" w:eastAsia="Calibri" w:hAnsi="Calibri" w:cs="Calibri"/>
          <w:lang w:val="en-GB"/>
        </w:rPr>
      </w:pPr>
      <w:r>
        <w:rPr>
          <w:rFonts w:ascii="Calibri" w:eastAsia="Calibri" w:hAnsi="Calibri" w:cs="Calibri"/>
          <w:lang w:val="en-GB"/>
        </w:rPr>
        <w:t>T</w:t>
      </w:r>
      <w:r w:rsidRPr="00381C71">
        <w:rPr>
          <w:rFonts w:ascii="Calibri" w:eastAsia="Calibri" w:hAnsi="Calibri" w:cs="Calibri"/>
          <w:lang w:val="en-GB"/>
        </w:rPr>
        <w:t>he last ten years</w:t>
      </w:r>
      <w:r w:rsidR="00786449">
        <w:rPr>
          <w:rFonts w:ascii="Calibri" w:eastAsia="Calibri" w:hAnsi="Calibri" w:cs="Calibri"/>
          <w:lang w:val="en-GB"/>
        </w:rPr>
        <w:t>,</w:t>
      </w:r>
      <w:r w:rsidRPr="00381C71">
        <w:rPr>
          <w:rFonts w:ascii="Calibri" w:eastAsia="Calibri" w:hAnsi="Calibri" w:cs="Calibri"/>
          <w:lang w:val="en-GB"/>
        </w:rPr>
        <w:t xml:space="preserve"> editors with a public voice</w:t>
      </w:r>
      <w:r w:rsidR="00786449">
        <w:rPr>
          <w:rFonts w:ascii="Calibri" w:eastAsia="Calibri" w:hAnsi="Calibri" w:cs="Calibri"/>
          <w:lang w:val="en-GB"/>
        </w:rPr>
        <w:t xml:space="preserve"> agreed</w:t>
      </w:r>
      <w:r w:rsidRPr="00381C71">
        <w:rPr>
          <w:rFonts w:ascii="Calibri" w:eastAsia="Calibri" w:hAnsi="Calibri" w:cs="Calibri"/>
          <w:lang w:val="en-GB"/>
        </w:rPr>
        <w:t xml:space="preserve"> that the </w:t>
      </w:r>
      <w:r>
        <w:rPr>
          <w:rFonts w:ascii="Calibri" w:eastAsia="Calibri" w:hAnsi="Calibri" w:cs="Calibri"/>
          <w:lang w:val="en-GB"/>
        </w:rPr>
        <w:t>Guardian</w:t>
      </w:r>
      <w:r w:rsidRPr="00381C71">
        <w:rPr>
          <w:rFonts w:ascii="Calibri" w:eastAsia="Calibri" w:hAnsi="Calibri" w:cs="Calibri"/>
          <w:lang w:val="en-GB"/>
        </w:rPr>
        <w:t xml:space="preserve"> has a centre-left political stance (Katz as cite</w:t>
      </w:r>
      <w:r>
        <w:rPr>
          <w:rFonts w:ascii="Calibri" w:eastAsia="Calibri" w:hAnsi="Calibri" w:cs="Calibri"/>
          <w:lang w:val="en-GB"/>
        </w:rPr>
        <w:t>d in Wells, 2004; Ashley, 2008). In line with its statement that opponents have a right to be heard,</w:t>
      </w:r>
      <w:r w:rsidR="00786449">
        <w:rPr>
          <w:rFonts w:ascii="Calibri" w:eastAsia="Calibri" w:hAnsi="Calibri" w:cs="Calibri"/>
          <w:lang w:val="en-GB"/>
        </w:rPr>
        <w:t xml:space="preserve"> however,</w:t>
      </w:r>
      <w:r>
        <w:rPr>
          <w:rFonts w:ascii="Calibri" w:eastAsia="Calibri" w:hAnsi="Calibri" w:cs="Calibri"/>
          <w:lang w:val="en-GB"/>
        </w:rPr>
        <w:t xml:space="preserve"> </w:t>
      </w:r>
      <w:r w:rsidRPr="00381C71">
        <w:rPr>
          <w:rFonts w:ascii="Calibri" w:eastAsia="Calibri" w:hAnsi="Calibri" w:cs="Calibri"/>
          <w:lang w:val="en-GB"/>
        </w:rPr>
        <w:t>the</w:t>
      </w:r>
      <w:r>
        <w:rPr>
          <w:rFonts w:ascii="Calibri" w:eastAsia="Calibri" w:hAnsi="Calibri" w:cs="Calibri"/>
          <w:lang w:val="en-GB"/>
        </w:rPr>
        <w:t xml:space="preserve"> Guardian does have </w:t>
      </w:r>
      <w:r w:rsidRPr="00381C71">
        <w:rPr>
          <w:rFonts w:ascii="Calibri" w:eastAsia="Calibri" w:hAnsi="Calibri" w:cs="Calibri"/>
          <w:lang w:val="en-GB"/>
        </w:rPr>
        <w:t xml:space="preserve">space for </w:t>
      </w:r>
      <w:r>
        <w:rPr>
          <w:rFonts w:ascii="Calibri" w:eastAsia="Calibri" w:hAnsi="Calibri" w:cs="Calibri"/>
          <w:lang w:val="en-GB"/>
        </w:rPr>
        <w:t>publication</w:t>
      </w:r>
      <w:r w:rsidRPr="00381C71">
        <w:rPr>
          <w:rFonts w:ascii="Calibri" w:eastAsia="Calibri" w:hAnsi="Calibri" w:cs="Calibri"/>
          <w:lang w:val="en-GB"/>
        </w:rPr>
        <w:t xml:space="preserve"> by people in favour of centre-right parties</w:t>
      </w:r>
      <w:r w:rsidR="00786449">
        <w:rPr>
          <w:rFonts w:ascii="Calibri" w:eastAsia="Calibri" w:hAnsi="Calibri" w:cs="Calibri"/>
          <w:lang w:val="en-GB"/>
        </w:rPr>
        <w:t>,</w:t>
      </w:r>
      <w:r w:rsidRPr="00381C71">
        <w:rPr>
          <w:rFonts w:ascii="Calibri" w:eastAsia="Calibri" w:hAnsi="Calibri" w:cs="Calibri"/>
          <w:lang w:val="en-GB"/>
        </w:rPr>
        <w:t xml:space="preserve"> such as Max Hastings and the British Conservative politician Michael Gove. In the 2010 UK governmental elections, the Guardian supported the Liberal Democrats (Seaton, 2010; Editorial, 2010). In the 2015 UK elections, it changed its support to the Labour Party (Editorial, 2015</w:t>
      </w:r>
      <w:r w:rsidR="00BC5371">
        <w:rPr>
          <w:rFonts w:ascii="Calibri" w:eastAsia="Calibri" w:hAnsi="Calibri" w:cs="Calibri"/>
          <w:lang w:val="en-GB"/>
        </w:rPr>
        <w:t>a</w:t>
      </w:r>
      <w:r w:rsidRPr="00381C71">
        <w:rPr>
          <w:rFonts w:ascii="Calibri" w:eastAsia="Calibri" w:hAnsi="Calibri" w:cs="Calibri"/>
          <w:lang w:val="en-GB"/>
        </w:rPr>
        <w:t xml:space="preserve">). </w:t>
      </w:r>
      <w:r>
        <w:rPr>
          <w:rFonts w:ascii="Calibri" w:eastAsia="Calibri" w:hAnsi="Calibri" w:cs="Calibri"/>
          <w:lang w:val="en-GB"/>
        </w:rPr>
        <w:t xml:space="preserve">Both parties are, according to their websites, committed to democratic socialism, equality, and freedom (Webb, 2016; Gordon, n.d.). In general, </w:t>
      </w:r>
      <w:r w:rsidRPr="00381C71">
        <w:rPr>
          <w:rFonts w:ascii="Calibri" w:eastAsia="Calibri" w:hAnsi="Calibri" w:cs="Calibri"/>
          <w:lang w:val="en-GB"/>
        </w:rPr>
        <w:t xml:space="preserve">the Guardian </w:t>
      </w:r>
      <w:r w:rsidRPr="00786449">
        <w:rPr>
          <w:rFonts w:ascii="Calibri" w:eastAsia="Calibri" w:hAnsi="Calibri" w:cs="Calibri"/>
          <w:lang w:val="en-GB"/>
        </w:rPr>
        <w:t xml:space="preserve">is thus a liberal, left of centre, and </w:t>
      </w:r>
      <w:r w:rsidR="007077CB" w:rsidRPr="00786449">
        <w:rPr>
          <w:rFonts w:ascii="Calibri" w:eastAsia="Calibri" w:hAnsi="Calibri" w:cs="Calibri"/>
          <w:lang w:val="en-GB"/>
        </w:rPr>
        <w:t>relatively</w:t>
      </w:r>
      <w:r w:rsidRPr="00786449">
        <w:rPr>
          <w:rFonts w:ascii="Calibri" w:eastAsia="Calibri" w:hAnsi="Calibri" w:cs="Calibri"/>
          <w:lang w:val="en-GB"/>
        </w:rPr>
        <w:t xml:space="preserve"> progressive newspaper.</w:t>
      </w:r>
    </w:p>
    <w:p w14:paraId="5367E912" w14:textId="1926DA20" w:rsidR="00934967" w:rsidRPr="00934967" w:rsidRDefault="00B549D5" w:rsidP="00934967">
      <w:pPr>
        <w:spacing w:after="0" w:line="360" w:lineRule="auto"/>
        <w:ind w:left="-6" w:firstLine="816"/>
        <w:jc w:val="both"/>
        <w:rPr>
          <w:rFonts w:ascii="Calibri" w:eastAsia="Calibri" w:hAnsi="Calibri" w:cs="Calibri"/>
          <w:lang w:val="en-GB"/>
        </w:rPr>
      </w:pPr>
      <w:r w:rsidRPr="00786449">
        <w:rPr>
          <w:rFonts w:ascii="Calibri" w:eastAsia="Calibri" w:hAnsi="Calibri" w:cs="Calibri"/>
          <w:lang w:val="en-GB"/>
        </w:rPr>
        <w:t xml:space="preserve">Regarding the circulation and format of the online version of the Guardian, it is, naturally, </w:t>
      </w:r>
      <w:r w:rsidR="007077CB" w:rsidRPr="00786449">
        <w:rPr>
          <w:rFonts w:ascii="Calibri" w:eastAsia="Calibri" w:hAnsi="Calibri" w:cs="Calibri"/>
          <w:lang w:val="en-GB"/>
        </w:rPr>
        <w:t>aimed at</w:t>
      </w:r>
      <w:r w:rsidRPr="00786449">
        <w:rPr>
          <w:rFonts w:ascii="Calibri" w:eastAsia="Calibri" w:hAnsi="Calibri" w:cs="Calibri"/>
          <w:lang w:val="en-GB"/>
        </w:rPr>
        <w:t xml:space="preserve"> </w:t>
      </w:r>
      <w:r w:rsidR="007077CB" w:rsidRPr="00786449">
        <w:rPr>
          <w:rFonts w:ascii="Calibri" w:eastAsia="Calibri" w:hAnsi="Calibri" w:cs="Calibri"/>
          <w:lang w:val="en-GB"/>
        </w:rPr>
        <w:t>people</w:t>
      </w:r>
      <w:r w:rsidRPr="00786449">
        <w:rPr>
          <w:rFonts w:ascii="Calibri" w:eastAsia="Calibri" w:hAnsi="Calibri" w:cs="Calibri"/>
          <w:lang w:val="en-GB"/>
        </w:rPr>
        <w:t xml:space="preserve"> with access to internet</w:t>
      </w:r>
      <w:r w:rsidR="004E5F2A" w:rsidRPr="00786449">
        <w:rPr>
          <w:rFonts w:ascii="Calibri" w:eastAsia="Calibri" w:hAnsi="Calibri" w:cs="Calibri"/>
          <w:lang w:val="en-GB"/>
        </w:rPr>
        <w:t>. T</w:t>
      </w:r>
      <w:r w:rsidRPr="00786449">
        <w:rPr>
          <w:rFonts w:ascii="Calibri" w:eastAsia="Calibri" w:hAnsi="Calibri" w:cs="Calibri"/>
          <w:lang w:val="en-GB"/>
        </w:rPr>
        <w:t>he Guardian was</w:t>
      </w:r>
      <w:r w:rsidR="00786449">
        <w:rPr>
          <w:rFonts w:ascii="Calibri" w:eastAsia="Calibri" w:hAnsi="Calibri" w:cs="Calibri"/>
          <w:lang w:val="en-GB"/>
        </w:rPr>
        <w:t xml:space="preserve"> internationally</w:t>
      </w:r>
      <w:r w:rsidRPr="00786449">
        <w:rPr>
          <w:rFonts w:ascii="Calibri" w:eastAsia="Calibri" w:hAnsi="Calibri" w:cs="Calibri"/>
          <w:lang w:val="en-GB"/>
        </w:rPr>
        <w:t xml:space="preserve"> the second most read English-language newspaper website </w:t>
      </w:r>
      <w:r w:rsidR="00786449" w:rsidRPr="00786449">
        <w:rPr>
          <w:rFonts w:ascii="Calibri" w:eastAsia="Calibri" w:hAnsi="Calibri" w:cs="Calibri"/>
          <w:lang w:val="en-GB"/>
        </w:rPr>
        <w:t>in</w:t>
      </w:r>
      <w:r w:rsidRPr="00786449">
        <w:rPr>
          <w:rFonts w:ascii="Calibri" w:eastAsia="Calibri" w:hAnsi="Calibri" w:cs="Calibri"/>
          <w:lang w:val="en-GB"/>
        </w:rPr>
        <w:t xml:space="preserve"> October 2014, one place behind the Daily Mail's Mail Online (Sweney, 2014; </w:t>
      </w:r>
      <w:r w:rsidR="000941BF" w:rsidRPr="00786449">
        <w:rPr>
          <w:rFonts w:ascii="Calibri" w:eastAsia="Calibri" w:hAnsi="Calibri" w:cs="Calibri"/>
          <w:lang w:val="en-GB"/>
        </w:rPr>
        <w:t>“Guardian key stats”</w:t>
      </w:r>
      <w:r w:rsidRPr="00786449">
        <w:rPr>
          <w:rFonts w:ascii="Calibri" w:eastAsia="Calibri" w:hAnsi="Calibri" w:cs="Calibri"/>
          <w:lang w:val="en-GB"/>
        </w:rPr>
        <w:t>, 2016).</w:t>
      </w:r>
      <w:r w:rsidR="004E5F2A" w:rsidRPr="00786449">
        <w:rPr>
          <w:rFonts w:ascii="Calibri" w:eastAsia="Calibri" w:hAnsi="Calibri" w:cs="Calibri"/>
          <w:lang w:val="en-GB"/>
        </w:rPr>
        <w:t xml:space="preserve"> </w:t>
      </w:r>
      <w:r w:rsidR="00786449">
        <w:rPr>
          <w:rFonts w:ascii="Calibri" w:eastAsia="Calibri" w:hAnsi="Calibri" w:cs="Calibri"/>
          <w:lang w:val="en-GB"/>
        </w:rPr>
        <w:t>In the last months</w:t>
      </w:r>
      <w:r w:rsidR="004E5F2A" w:rsidRPr="00786449">
        <w:rPr>
          <w:rFonts w:ascii="Calibri" w:eastAsia="Calibri" w:hAnsi="Calibri" w:cs="Calibri"/>
          <w:lang w:val="en-GB"/>
        </w:rPr>
        <w:t>, it reached 38 millio</w:t>
      </w:r>
      <w:r w:rsidR="009363A8" w:rsidRPr="00786449">
        <w:rPr>
          <w:rFonts w:ascii="Calibri" w:eastAsia="Calibri" w:hAnsi="Calibri" w:cs="Calibri"/>
          <w:lang w:val="en-GB"/>
        </w:rPr>
        <w:t>n monthly global unique users (T</w:t>
      </w:r>
      <w:r w:rsidR="004E5F2A" w:rsidRPr="00786449">
        <w:rPr>
          <w:rFonts w:ascii="Calibri" w:eastAsia="Calibri" w:hAnsi="Calibri" w:cs="Calibri"/>
          <w:lang w:val="en-GB"/>
        </w:rPr>
        <w:t>he</w:t>
      </w:r>
      <w:r w:rsidR="009363A8" w:rsidRPr="00786449">
        <w:rPr>
          <w:rFonts w:ascii="Calibri" w:eastAsia="Calibri" w:hAnsi="Calibri" w:cs="Calibri"/>
          <w:lang w:val="en-GB"/>
        </w:rPr>
        <w:t xml:space="preserve"> G</w:t>
      </w:r>
      <w:r w:rsidR="004E5F2A" w:rsidRPr="00786449">
        <w:rPr>
          <w:rFonts w:ascii="Calibri" w:eastAsia="Calibri" w:hAnsi="Calibri" w:cs="Calibri"/>
          <w:lang w:val="en-GB"/>
        </w:rPr>
        <w:t>uardian</w:t>
      </w:r>
      <w:r w:rsidR="009363A8" w:rsidRPr="00786449">
        <w:rPr>
          <w:rFonts w:ascii="Calibri" w:eastAsia="Calibri" w:hAnsi="Calibri" w:cs="Calibri"/>
          <w:lang w:val="en-GB"/>
        </w:rPr>
        <w:t xml:space="preserve"> C</w:t>
      </w:r>
      <w:r w:rsidR="004E5F2A" w:rsidRPr="00786449">
        <w:rPr>
          <w:rFonts w:ascii="Calibri" w:eastAsia="Calibri" w:hAnsi="Calibri" w:cs="Calibri"/>
          <w:lang w:val="en-GB"/>
        </w:rPr>
        <w:t xml:space="preserve">ommercial, 2016). </w:t>
      </w:r>
      <w:r w:rsidR="00786449">
        <w:rPr>
          <w:rFonts w:ascii="Calibri" w:eastAsia="Calibri" w:hAnsi="Calibri" w:cs="Calibri"/>
          <w:lang w:val="en-GB"/>
        </w:rPr>
        <w:t>In November 2015, however, it reported more than 158 million monthly unique visito</w:t>
      </w:r>
      <w:r w:rsidR="00A719D4">
        <w:rPr>
          <w:rFonts w:ascii="Calibri" w:eastAsia="Calibri" w:hAnsi="Calibri" w:cs="Calibri"/>
          <w:lang w:val="en-GB"/>
        </w:rPr>
        <w:t>rs, transcending the current 78.</w:t>
      </w:r>
      <w:r w:rsidR="00786449">
        <w:rPr>
          <w:rFonts w:ascii="Calibri" w:eastAsia="Calibri" w:hAnsi="Calibri" w:cs="Calibri"/>
          <w:lang w:val="en-GB"/>
        </w:rPr>
        <w:t>1 million of the New York Times (GNM press office, 2015; The New York Times Media Kit, 2016</w:t>
      </w:r>
      <w:r w:rsidR="00A719D4">
        <w:rPr>
          <w:rFonts w:ascii="Calibri" w:eastAsia="Calibri" w:hAnsi="Calibri" w:cs="Calibri"/>
          <w:lang w:val="en-GB"/>
        </w:rPr>
        <w:t xml:space="preserve">). </w:t>
      </w:r>
      <w:r w:rsidRPr="00786449">
        <w:rPr>
          <w:rFonts w:ascii="Calibri" w:eastAsia="Calibri" w:hAnsi="Calibri" w:cs="Calibri"/>
          <w:lang w:val="en-GB"/>
        </w:rPr>
        <w:t xml:space="preserve">The fact that it </w:t>
      </w:r>
      <w:r w:rsidR="004E5F2A" w:rsidRPr="00786449">
        <w:rPr>
          <w:rFonts w:ascii="Calibri" w:eastAsia="Calibri" w:hAnsi="Calibri" w:cs="Calibri"/>
          <w:lang w:val="en-GB"/>
        </w:rPr>
        <w:t xml:space="preserve">has </w:t>
      </w:r>
      <w:r w:rsidRPr="00786449">
        <w:rPr>
          <w:rFonts w:ascii="Calibri" w:eastAsia="Calibri" w:hAnsi="Calibri" w:cs="Calibri"/>
          <w:lang w:val="en-GB"/>
        </w:rPr>
        <w:t xml:space="preserve">special online editions for the UK, the USA, and Australia </w:t>
      </w:r>
      <w:r w:rsidR="00A719D4">
        <w:rPr>
          <w:rFonts w:ascii="Calibri" w:eastAsia="Calibri" w:hAnsi="Calibri" w:cs="Calibri"/>
          <w:lang w:val="en-GB"/>
        </w:rPr>
        <w:t>has</w:t>
      </w:r>
      <w:r w:rsidRPr="00786449">
        <w:rPr>
          <w:rFonts w:ascii="Calibri" w:eastAsia="Calibri" w:hAnsi="Calibri" w:cs="Calibri"/>
          <w:lang w:val="en-GB"/>
        </w:rPr>
        <w:t xml:space="preserve"> </w:t>
      </w:r>
      <w:r w:rsidR="00A719D4">
        <w:rPr>
          <w:rFonts w:ascii="Calibri" w:eastAsia="Calibri" w:hAnsi="Calibri" w:cs="Calibri"/>
          <w:lang w:val="en-GB"/>
        </w:rPr>
        <w:t>probably</w:t>
      </w:r>
      <w:r w:rsidRPr="00786449">
        <w:rPr>
          <w:rFonts w:ascii="Calibri" w:eastAsia="Calibri" w:hAnsi="Calibri" w:cs="Calibri"/>
          <w:lang w:val="en-GB"/>
        </w:rPr>
        <w:t xml:space="preserve"> helped it to g</w:t>
      </w:r>
      <w:r w:rsidR="00C1772C" w:rsidRPr="00786449">
        <w:rPr>
          <w:rFonts w:ascii="Calibri" w:eastAsia="Calibri" w:hAnsi="Calibri" w:cs="Calibri"/>
          <w:lang w:val="en-GB"/>
        </w:rPr>
        <w:t>ain this global audience</w:t>
      </w:r>
      <w:r w:rsidRPr="00786449">
        <w:rPr>
          <w:rFonts w:ascii="Calibri" w:eastAsia="Calibri" w:hAnsi="Calibri" w:cs="Calibri"/>
          <w:lang w:val="en-GB"/>
        </w:rPr>
        <w:t xml:space="preserve"> (GNM press office, 2015, para. 3). </w:t>
      </w:r>
      <w:r w:rsidR="00A719D4">
        <w:rPr>
          <w:rFonts w:ascii="Calibri" w:eastAsia="Calibri" w:hAnsi="Calibri" w:cs="Calibri"/>
          <w:lang w:val="en-GB"/>
        </w:rPr>
        <w:t>As stated</w:t>
      </w:r>
      <w:r w:rsidRPr="00786449">
        <w:rPr>
          <w:rFonts w:ascii="Calibri" w:eastAsia="Calibri" w:hAnsi="Calibri" w:cs="Calibri"/>
          <w:lang w:val="en-GB"/>
        </w:rPr>
        <w:t xml:space="preserve">, the Guardian’s readers who were based in Europe significantly increased in November and December 2015, so during and shortly after the attacks in Beirut and Paris. It thus seems that people turn to the Guardian when a largely </w:t>
      </w:r>
      <w:r w:rsidRPr="00934967">
        <w:rPr>
          <w:rFonts w:ascii="Calibri" w:eastAsia="Calibri" w:hAnsi="Calibri" w:cs="Calibri"/>
          <w:lang w:val="en-GB"/>
        </w:rPr>
        <w:t xml:space="preserve">mediatised events has happened. One of the reasons for doing so is probably because it is free to access and does not require registration for viewing the content, in contrast to many other online newspapers. </w:t>
      </w:r>
      <w:r w:rsidR="00A719D4" w:rsidRPr="00934967">
        <w:rPr>
          <w:rFonts w:ascii="Calibri" w:eastAsia="Calibri" w:hAnsi="Calibri" w:cs="Calibri"/>
          <w:lang w:val="en-GB"/>
        </w:rPr>
        <w:t>Additionally,</w:t>
      </w:r>
      <w:r w:rsidR="00C1772C" w:rsidRPr="00934967">
        <w:rPr>
          <w:rFonts w:ascii="Calibri" w:eastAsia="Calibri" w:hAnsi="Calibri" w:cs="Calibri"/>
          <w:lang w:val="en-GB"/>
        </w:rPr>
        <w:t xml:space="preserve"> 78 per cent of Guardian visitors read the articles on their mobiles, and</w:t>
      </w:r>
      <w:r w:rsidR="00C040F0" w:rsidRPr="00934967">
        <w:rPr>
          <w:rFonts w:ascii="Calibri" w:eastAsia="Calibri" w:hAnsi="Calibri" w:cs="Calibri"/>
          <w:lang w:val="en-GB"/>
        </w:rPr>
        <w:t xml:space="preserve"> 34 per</w:t>
      </w:r>
      <w:r w:rsidR="00934967">
        <w:rPr>
          <w:rFonts w:ascii="Calibri" w:eastAsia="Calibri" w:hAnsi="Calibri" w:cs="Calibri"/>
          <w:lang w:val="en-GB"/>
        </w:rPr>
        <w:t xml:space="preserve"> </w:t>
      </w:r>
      <w:r w:rsidR="00C040F0" w:rsidRPr="00934967">
        <w:rPr>
          <w:rFonts w:ascii="Calibri" w:eastAsia="Calibri" w:hAnsi="Calibri" w:cs="Calibri"/>
          <w:lang w:val="en-GB"/>
        </w:rPr>
        <w:lastRenderedPageBreak/>
        <w:t>cent on their desktop (“Guardian key stats”</w:t>
      </w:r>
      <w:r w:rsidR="00C1772C" w:rsidRPr="00934967">
        <w:rPr>
          <w:rFonts w:ascii="Calibri" w:eastAsia="Calibri" w:hAnsi="Calibri" w:cs="Calibri"/>
          <w:lang w:val="en-GB"/>
        </w:rPr>
        <w:t>, 2016).</w:t>
      </w:r>
      <w:r w:rsidR="00C1772C" w:rsidRPr="00934967">
        <w:rPr>
          <w:rStyle w:val="FootnoteReference"/>
          <w:rFonts w:ascii="Calibri" w:eastAsia="Calibri" w:hAnsi="Calibri" w:cs="Calibri"/>
          <w:lang w:val="en-GB"/>
        </w:rPr>
        <w:footnoteReference w:id="7"/>
      </w:r>
      <w:r w:rsidR="00C1772C" w:rsidRPr="00934967">
        <w:rPr>
          <w:rFonts w:ascii="Calibri" w:eastAsia="Calibri" w:hAnsi="Calibri" w:cs="Calibri"/>
          <w:lang w:val="en-GB"/>
        </w:rPr>
        <w:t xml:space="preserve"> Another reason why people turn to the Guardian is that 67 per cent trust this newspaper more than </w:t>
      </w:r>
      <w:r w:rsidR="00C1772C" w:rsidRPr="00096054">
        <w:rPr>
          <w:rFonts w:ascii="Calibri" w:eastAsia="Calibri" w:hAnsi="Calibri" w:cs="Calibri"/>
          <w:lang w:val="en-GB"/>
        </w:rPr>
        <w:t>any other UK news provid</w:t>
      </w:r>
      <w:r w:rsidR="00096054">
        <w:rPr>
          <w:rFonts w:ascii="Calibri" w:eastAsia="Calibri" w:hAnsi="Calibri" w:cs="Calibri"/>
          <w:lang w:val="en-GB"/>
        </w:rPr>
        <w:t>er (</w:t>
      </w:r>
      <w:r w:rsidR="00C040F0">
        <w:rPr>
          <w:rFonts w:ascii="Calibri" w:eastAsia="Calibri" w:hAnsi="Calibri" w:cs="Calibri"/>
          <w:lang w:val="en-GB"/>
        </w:rPr>
        <w:t>“Guardian key stats”</w:t>
      </w:r>
      <w:r w:rsidR="00096054">
        <w:rPr>
          <w:rFonts w:ascii="Calibri" w:eastAsia="Calibri" w:hAnsi="Calibri" w:cs="Calibri"/>
          <w:lang w:val="en-GB"/>
        </w:rPr>
        <w:t xml:space="preserve">, 2016). </w:t>
      </w:r>
    </w:p>
    <w:p w14:paraId="24A8330C" w14:textId="1A0D53F8" w:rsidR="009363A8" w:rsidRDefault="00096054" w:rsidP="00E52F0F">
      <w:pPr>
        <w:spacing w:after="0" w:line="360" w:lineRule="auto"/>
        <w:ind w:left="-6" w:firstLine="816"/>
        <w:jc w:val="both"/>
        <w:rPr>
          <w:rFonts w:ascii="Calibri" w:eastAsia="Calibri" w:hAnsi="Calibri" w:cs="Calibri"/>
          <w:lang w:val="en-GB"/>
        </w:rPr>
      </w:pPr>
      <w:r>
        <w:rPr>
          <w:rFonts w:ascii="Calibri" w:eastAsia="Calibri" w:hAnsi="Calibri" w:cs="Calibri"/>
          <w:lang w:val="en-GB"/>
        </w:rPr>
        <w:t>In general</w:t>
      </w:r>
      <w:r w:rsidR="00B549D5">
        <w:rPr>
          <w:rFonts w:ascii="Calibri" w:eastAsia="Calibri" w:hAnsi="Calibri" w:cs="Calibri"/>
          <w:lang w:val="en-GB"/>
        </w:rPr>
        <w:t>, it is safe to say that t</w:t>
      </w:r>
      <w:r w:rsidR="00B549D5" w:rsidRPr="00381C71">
        <w:rPr>
          <w:rFonts w:ascii="Calibri" w:eastAsia="Calibri" w:hAnsi="Calibri" w:cs="Calibri"/>
          <w:lang w:val="en-GB"/>
        </w:rPr>
        <w:t xml:space="preserve">he Guardian has a large audience. </w:t>
      </w:r>
      <w:r w:rsidR="00B549D5">
        <w:rPr>
          <w:rFonts w:ascii="Calibri" w:eastAsia="Calibri" w:hAnsi="Calibri" w:cs="Calibri"/>
          <w:lang w:val="en-GB"/>
        </w:rPr>
        <w:t>But who are part of this audience? Are the readers predominantly male or female, or from one socioeconomic class?</w:t>
      </w:r>
      <w:r w:rsidR="004E5F2A">
        <w:rPr>
          <w:rFonts w:ascii="Calibri" w:eastAsia="Calibri" w:hAnsi="Calibri" w:cs="Calibri"/>
          <w:lang w:val="en-GB"/>
        </w:rPr>
        <w:t xml:space="preserve"> </w:t>
      </w:r>
      <w:r>
        <w:rPr>
          <w:rFonts w:ascii="Calibri" w:eastAsia="Calibri" w:hAnsi="Calibri" w:cs="Calibri"/>
          <w:lang w:val="en-GB"/>
        </w:rPr>
        <w:t xml:space="preserve">Which sections do they visit most often? </w:t>
      </w:r>
      <w:r w:rsidR="004E5F2A">
        <w:rPr>
          <w:rFonts w:ascii="Calibri" w:eastAsia="Calibri" w:hAnsi="Calibri" w:cs="Calibri"/>
          <w:lang w:val="en-GB"/>
        </w:rPr>
        <w:t>Fortunately, the Guardian publishes this information to attract advertisers, keeping them up to date in a monthly fashion. In 2015, they even conducted a Global P</w:t>
      </w:r>
      <w:r w:rsidR="00911A13">
        <w:rPr>
          <w:rFonts w:ascii="Calibri" w:eastAsia="Calibri" w:hAnsi="Calibri" w:cs="Calibri"/>
          <w:lang w:val="en-GB"/>
        </w:rPr>
        <w:t>rofiling Study, surveying 14.929</w:t>
      </w:r>
      <w:r w:rsidR="004E5F2A">
        <w:rPr>
          <w:rFonts w:ascii="Calibri" w:eastAsia="Calibri" w:hAnsi="Calibri" w:cs="Calibri"/>
          <w:lang w:val="en-GB"/>
        </w:rPr>
        <w:t xml:space="preserve"> site users</w:t>
      </w:r>
      <w:r w:rsidR="00C040F0">
        <w:rPr>
          <w:rFonts w:ascii="Calibri" w:eastAsia="Calibri" w:hAnsi="Calibri" w:cs="Calibri"/>
          <w:lang w:val="en-GB"/>
        </w:rPr>
        <w:t xml:space="preserve"> (“</w:t>
      </w:r>
      <w:r w:rsidR="004E5F2A">
        <w:rPr>
          <w:rFonts w:ascii="Calibri" w:eastAsia="Calibri" w:hAnsi="Calibri" w:cs="Calibri"/>
          <w:lang w:val="en-GB"/>
        </w:rPr>
        <w:t>Global Pro</w:t>
      </w:r>
      <w:r w:rsidR="00C040F0">
        <w:rPr>
          <w:rFonts w:ascii="Calibri" w:eastAsia="Calibri" w:hAnsi="Calibri" w:cs="Calibri"/>
          <w:lang w:val="en-GB"/>
        </w:rPr>
        <w:t>filing Study”, 2015</w:t>
      </w:r>
      <w:r>
        <w:rPr>
          <w:rFonts w:ascii="Calibri" w:eastAsia="Calibri" w:hAnsi="Calibri" w:cs="Calibri"/>
          <w:lang w:val="en-GB"/>
        </w:rPr>
        <w:t>).</w:t>
      </w:r>
      <w:r w:rsidR="00911A13">
        <w:rPr>
          <w:rStyle w:val="FootnoteReference"/>
          <w:rFonts w:ascii="Calibri" w:eastAsia="Calibri" w:hAnsi="Calibri" w:cs="Calibri"/>
          <w:lang w:val="en-GB"/>
        </w:rPr>
        <w:footnoteReference w:id="8"/>
      </w:r>
      <w:r>
        <w:rPr>
          <w:rFonts w:ascii="Calibri" w:eastAsia="Calibri" w:hAnsi="Calibri" w:cs="Calibri"/>
          <w:lang w:val="en-GB"/>
        </w:rPr>
        <w:t xml:space="preserve"> In general, the Guardian global users are progressive</w:t>
      </w:r>
      <w:r w:rsidR="006745AC">
        <w:rPr>
          <w:rFonts w:ascii="Calibri" w:eastAsia="Calibri" w:hAnsi="Calibri" w:cs="Calibri"/>
          <w:lang w:val="en-GB"/>
        </w:rPr>
        <w:t xml:space="preserve">, based on the percentage of readers who agreed with six statements published in figure 5.2. </w:t>
      </w:r>
      <w:r w:rsidR="009363A8">
        <w:rPr>
          <w:rFonts w:ascii="Calibri" w:eastAsia="Calibri" w:hAnsi="Calibri" w:cs="Calibri"/>
          <w:lang w:val="en-GB"/>
        </w:rPr>
        <w:t>Of the weekly visitors, 22 per cent belong</w:t>
      </w:r>
      <w:r w:rsidR="00A719D4">
        <w:rPr>
          <w:rFonts w:ascii="Calibri" w:eastAsia="Calibri" w:hAnsi="Calibri" w:cs="Calibri"/>
          <w:lang w:val="en-GB"/>
        </w:rPr>
        <w:t>s</w:t>
      </w:r>
      <w:r w:rsidR="009363A8">
        <w:rPr>
          <w:rFonts w:ascii="Calibri" w:eastAsia="Calibri" w:hAnsi="Calibri" w:cs="Calibri"/>
          <w:lang w:val="en-GB"/>
        </w:rPr>
        <w:t xml:space="preserve"> to the so-called ABC1 group, which is a marketing term for consumers from one of the three higher socio-economic groups, i.e. those who have more education and a higher income than </w:t>
      </w:r>
      <w:r w:rsidR="00A719D4">
        <w:rPr>
          <w:rFonts w:ascii="Calibri" w:eastAsia="Calibri" w:hAnsi="Calibri" w:cs="Calibri"/>
          <w:lang w:val="en-GB"/>
        </w:rPr>
        <w:t>average</w:t>
      </w:r>
      <w:r w:rsidR="009363A8">
        <w:rPr>
          <w:rFonts w:ascii="Calibri" w:eastAsia="Calibri" w:hAnsi="Calibri" w:cs="Calibri"/>
          <w:lang w:val="en-GB"/>
        </w:rPr>
        <w:t xml:space="preserve"> (“Guardian key stats”, 2016). </w:t>
      </w:r>
      <w:r w:rsidR="009363A8" w:rsidRPr="00381C71">
        <w:rPr>
          <w:rFonts w:ascii="Calibri" w:eastAsia="Calibri" w:hAnsi="Calibri" w:cs="Calibri"/>
          <w:lang w:val="en-GB"/>
        </w:rPr>
        <w:t>They like to travel, spend quite some money online, enjoy music and movies, and</w:t>
      </w:r>
      <w:r w:rsidR="009363A8">
        <w:rPr>
          <w:rFonts w:ascii="Calibri" w:eastAsia="Calibri" w:hAnsi="Calibri" w:cs="Calibri"/>
          <w:lang w:val="en-GB"/>
        </w:rPr>
        <w:t xml:space="preserve"> are tech savvy (“Guardian readership profile”, 2010; “Guardian Profiling Study”, 2015). Moreover, and </w:t>
      </w:r>
      <w:r w:rsidR="00A719D4">
        <w:rPr>
          <w:rFonts w:ascii="Calibri" w:eastAsia="Calibri" w:hAnsi="Calibri" w:cs="Calibri"/>
          <w:lang w:val="en-GB"/>
        </w:rPr>
        <w:t xml:space="preserve">important for this study, </w:t>
      </w:r>
      <w:r w:rsidR="009363A8">
        <w:rPr>
          <w:rFonts w:ascii="Calibri" w:eastAsia="Calibri" w:hAnsi="Calibri" w:cs="Calibri"/>
          <w:lang w:val="en-GB"/>
        </w:rPr>
        <w:t>the most popular sections amongst the core users are ‘World’, ‘Politics’, and local news (“Global Profiling Study”, 2015, slide 12). Regarding the social media activity of Guardian users, reading and sharing news articles are the most widespread activities: 76 per cent reads/accesses news articles and 55 per cent shares them (“Global Profiling Study”, 2015, slide 23). For demographic information, see table 5.1 below.</w:t>
      </w:r>
    </w:p>
    <w:p w14:paraId="12A10F4F" w14:textId="618E2181" w:rsidR="006745AC" w:rsidRDefault="006745AC" w:rsidP="00E52F0F">
      <w:pPr>
        <w:spacing w:after="0" w:line="360" w:lineRule="auto"/>
        <w:ind w:left="-6" w:firstLine="816"/>
        <w:jc w:val="both"/>
        <w:rPr>
          <w:rFonts w:ascii="Calibri" w:eastAsia="Calibri" w:hAnsi="Calibri" w:cs="Calibri"/>
          <w:lang w:val="en-GB"/>
        </w:rPr>
      </w:pPr>
    </w:p>
    <w:p w14:paraId="12D80E17" w14:textId="24DF1E52" w:rsidR="006745AC" w:rsidRDefault="006745AC" w:rsidP="00720FFE">
      <w:pPr>
        <w:spacing w:after="0" w:line="360" w:lineRule="auto"/>
        <w:ind w:left="-6" w:firstLine="6"/>
        <w:jc w:val="center"/>
        <w:rPr>
          <w:rFonts w:ascii="Calibri" w:eastAsia="Calibri" w:hAnsi="Calibri" w:cs="Calibri"/>
          <w:lang w:val="en-GB"/>
        </w:rPr>
      </w:pPr>
      <w:r>
        <w:rPr>
          <w:rFonts w:ascii="Calibri" w:eastAsia="Calibri" w:hAnsi="Calibri" w:cs="Calibri"/>
          <w:noProof/>
          <w:lang w:val="en-US"/>
        </w:rPr>
        <w:drawing>
          <wp:inline distT="0" distB="0" distL="0" distR="0" wp14:anchorId="1E9B085B" wp14:editId="5E47D941">
            <wp:extent cx="4945712" cy="2784430"/>
            <wp:effectExtent l="0" t="0" r="762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016-07-22.png"/>
                    <pic:cNvPicPr/>
                  </pic:nvPicPr>
                  <pic:blipFill rotWithShape="1">
                    <a:blip r:embed="rId9" cstate="print">
                      <a:extLst>
                        <a:ext uri="{28A0092B-C50C-407E-A947-70E740481C1C}">
                          <a14:useLocalDpi xmlns:a14="http://schemas.microsoft.com/office/drawing/2010/main" val="0"/>
                        </a:ext>
                      </a:extLst>
                    </a:blip>
                    <a:srcRect l="13004" t="12919" r="12577" b="12597"/>
                    <a:stretch/>
                  </pic:blipFill>
                  <pic:spPr bwMode="auto">
                    <a:xfrm>
                      <a:off x="0" y="0"/>
                      <a:ext cx="4963986" cy="2794718"/>
                    </a:xfrm>
                    <a:prstGeom prst="rect">
                      <a:avLst/>
                    </a:prstGeom>
                    <a:ln>
                      <a:noFill/>
                    </a:ln>
                    <a:extLst>
                      <a:ext uri="{53640926-AAD7-44D8-BBD7-CCE9431645EC}">
                        <a14:shadowObscured xmlns:a14="http://schemas.microsoft.com/office/drawing/2010/main"/>
                      </a:ext>
                    </a:extLst>
                  </pic:spPr>
                </pic:pic>
              </a:graphicData>
            </a:graphic>
          </wp:inline>
        </w:drawing>
      </w:r>
    </w:p>
    <w:p w14:paraId="665D6203" w14:textId="11DAF338" w:rsidR="00A719D4" w:rsidRDefault="00720FFE" w:rsidP="00720FFE">
      <w:pPr>
        <w:tabs>
          <w:tab w:val="left" w:pos="567"/>
        </w:tabs>
        <w:spacing w:after="0" w:line="360" w:lineRule="auto"/>
        <w:ind w:left="-6" w:firstLine="6"/>
        <w:jc w:val="both"/>
        <w:rPr>
          <w:rFonts w:ascii="Calibri" w:eastAsia="Calibri" w:hAnsi="Calibri" w:cs="Calibri"/>
          <w:sz w:val="20"/>
          <w:lang w:val="en-GB"/>
        </w:rPr>
      </w:pPr>
      <w:r>
        <w:rPr>
          <w:rFonts w:ascii="Calibri" w:eastAsia="Calibri" w:hAnsi="Calibri" w:cs="Calibri"/>
          <w:sz w:val="20"/>
          <w:lang w:val="en-GB"/>
        </w:rPr>
        <w:tab/>
        <w:t xml:space="preserve">  </w:t>
      </w:r>
      <w:r w:rsidR="006745AC" w:rsidRPr="00BB34E7">
        <w:rPr>
          <w:rFonts w:ascii="Calibri" w:eastAsia="Calibri" w:hAnsi="Calibri" w:cs="Calibri"/>
          <w:sz w:val="20"/>
          <w:lang w:val="en-GB"/>
        </w:rPr>
        <w:t>Figure 5.2</w:t>
      </w:r>
      <w:r w:rsidR="00DF5C20">
        <w:rPr>
          <w:rFonts w:ascii="Calibri" w:eastAsia="Calibri" w:hAnsi="Calibri" w:cs="Calibri"/>
          <w:sz w:val="20"/>
          <w:lang w:val="en-GB"/>
        </w:rPr>
        <w:t>:</w:t>
      </w:r>
      <w:r w:rsidR="006745AC" w:rsidRPr="00BB34E7">
        <w:rPr>
          <w:rFonts w:ascii="Calibri" w:eastAsia="Calibri" w:hAnsi="Calibri" w:cs="Calibri"/>
          <w:sz w:val="20"/>
          <w:lang w:val="en-GB"/>
        </w:rPr>
        <w:t xml:space="preserve"> Progres</w:t>
      </w:r>
      <w:r w:rsidR="00A719D4">
        <w:rPr>
          <w:rFonts w:ascii="Calibri" w:eastAsia="Calibri" w:hAnsi="Calibri" w:cs="Calibri"/>
          <w:sz w:val="20"/>
          <w:lang w:val="en-GB"/>
        </w:rPr>
        <w:t>sive audience of the Guardian (“Guardian Profiling Study”</w:t>
      </w:r>
      <w:r w:rsidR="006745AC" w:rsidRPr="00BB34E7">
        <w:rPr>
          <w:rFonts w:ascii="Calibri" w:eastAsia="Calibri" w:hAnsi="Calibri" w:cs="Calibri"/>
          <w:sz w:val="20"/>
          <w:lang w:val="en-GB"/>
        </w:rPr>
        <w:t>, 2015, slide 5)</w:t>
      </w:r>
    </w:p>
    <w:p w14:paraId="1F9C77F4" w14:textId="77777777" w:rsidR="00A719D4" w:rsidRDefault="00A719D4">
      <w:pPr>
        <w:rPr>
          <w:rFonts w:ascii="Calibri" w:eastAsia="Calibri" w:hAnsi="Calibri" w:cs="Calibri"/>
          <w:sz w:val="20"/>
          <w:lang w:val="en-GB"/>
        </w:rPr>
      </w:pPr>
      <w:r>
        <w:rPr>
          <w:rFonts w:ascii="Calibri" w:eastAsia="Calibri" w:hAnsi="Calibri" w:cs="Calibri"/>
          <w:sz w:val="20"/>
          <w:lang w:val="en-GB"/>
        </w:rPr>
        <w:br w:type="page"/>
      </w:r>
    </w:p>
    <w:tbl>
      <w:tblPr>
        <w:tblStyle w:val="GridTable2-Accent1"/>
        <w:tblW w:w="8767" w:type="dxa"/>
        <w:tblLayout w:type="fixed"/>
        <w:tblLook w:val="0600" w:firstRow="0" w:lastRow="0" w:firstColumn="0" w:lastColumn="0" w:noHBand="1" w:noVBand="1"/>
      </w:tblPr>
      <w:tblGrid>
        <w:gridCol w:w="2268"/>
        <w:gridCol w:w="1701"/>
        <w:gridCol w:w="2694"/>
        <w:gridCol w:w="2104"/>
      </w:tblGrid>
      <w:tr w:rsidR="00025B71" w14:paraId="117C2D76" w14:textId="77777777" w:rsidTr="002577C6">
        <w:trPr>
          <w:cantSplit/>
          <w:trHeight w:val="20"/>
        </w:trPr>
        <w:tc>
          <w:tcPr>
            <w:tcW w:w="6663" w:type="dxa"/>
            <w:gridSpan w:val="3"/>
            <w:tcBorders>
              <w:top w:val="nil"/>
            </w:tcBorders>
          </w:tcPr>
          <w:p w14:paraId="661495F3" w14:textId="77777777" w:rsidR="00025B71" w:rsidRPr="004A0290" w:rsidRDefault="00025B71" w:rsidP="00E52F0F">
            <w:pPr>
              <w:widowControl w:val="0"/>
              <w:spacing w:line="360" w:lineRule="auto"/>
              <w:jc w:val="both"/>
              <w:rPr>
                <w:lang w:val="en-GB"/>
              </w:rPr>
            </w:pPr>
          </w:p>
        </w:tc>
        <w:tc>
          <w:tcPr>
            <w:tcW w:w="2104" w:type="dxa"/>
            <w:tcBorders>
              <w:top w:val="nil"/>
            </w:tcBorders>
          </w:tcPr>
          <w:p w14:paraId="3EC97DC5" w14:textId="77777777" w:rsidR="00025B71" w:rsidRPr="004A0290" w:rsidRDefault="00025B71" w:rsidP="00E52F0F">
            <w:pPr>
              <w:widowControl w:val="0"/>
              <w:spacing w:line="360" w:lineRule="auto"/>
              <w:jc w:val="both"/>
            </w:pPr>
            <w:r w:rsidRPr="004A0290">
              <w:rPr>
                <w:rFonts w:ascii="Calibri" w:eastAsia="Calibri" w:hAnsi="Calibri" w:cs="Calibri"/>
              </w:rPr>
              <w:t>% of all adults</w:t>
            </w:r>
          </w:p>
        </w:tc>
      </w:tr>
      <w:tr w:rsidR="00025B71" w14:paraId="7AD1D66F" w14:textId="77777777" w:rsidTr="002577C6">
        <w:trPr>
          <w:cantSplit/>
          <w:trHeight w:val="20"/>
        </w:trPr>
        <w:tc>
          <w:tcPr>
            <w:tcW w:w="3969" w:type="dxa"/>
            <w:gridSpan w:val="2"/>
            <w:vMerge w:val="restart"/>
          </w:tcPr>
          <w:p w14:paraId="63E8B7E5" w14:textId="77777777" w:rsidR="00025B71" w:rsidRDefault="00025B71" w:rsidP="00E52F0F">
            <w:pPr>
              <w:widowControl w:val="0"/>
              <w:spacing w:line="360" w:lineRule="auto"/>
              <w:jc w:val="both"/>
            </w:pPr>
            <w:r>
              <w:rPr>
                <w:rFonts w:ascii="Calibri" w:eastAsia="Calibri" w:hAnsi="Calibri" w:cs="Calibri"/>
              </w:rPr>
              <w:t>Age group</w:t>
            </w:r>
          </w:p>
        </w:tc>
        <w:tc>
          <w:tcPr>
            <w:tcW w:w="2694" w:type="dxa"/>
          </w:tcPr>
          <w:p w14:paraId="71E3B696" w14:textId="109C2865" w:rsidR="00025B71" w:rsidRDefault="00025B71" w:rsidP="00E52F0F">
            <w:pPr>
              <w:widowControl w:val="0"/>
              <w:spacing w:line="360" w:lineRule="auto"/>
              <w:jc w:val="both"/>
            </w:pPr>
            <w:r>
              <w:rPr>
                <w:rFonts w:ascii="Calibri" w:eastAsia="Calibri" w:hAnsi="Calibri" w:cs="Calibri"/>
              </w:rPr>
              <w:t>18-24</w:t>
            </w:r>
          </w:p>
        </w:tc>
        <w:tc>
          <w:tcPr>
            <w:tcW w:w="2104" w:type="dxa"/>
          </w:tcPr>
          <w:p w14:paraId="47E095FF" w14:textId="00ED2EC3" w:rsidR="00025B71" w:rsidRDefault="00025B71" w:rsidP="00E52F0F">
            <w:pPr>
              <w:widowControl w:val="0"/>
              <w:spacing w:line="360" w:lineRule="auto"/>
              <w:jc w:val="both"/>
            </w:pPr>
            <w:r>
              <w:rPr>
                <w:rFonts w:ascii="Calibri" w:eastAsia="Calibri" w:hAnsi="Calibri" w:cs="Calibri"/>
              </w:rPr>
              <w:t>17</w:t>
            </w:r>
          </w:p>
        </w:tc>
      </w:tr>
      <w:tr w:rsidR="00025B71" w14:paraId="59A86122" w14:textId="77777777" w:rsidTr="002577C6">
        <w:trPr>
          <w:cantSplit/>
          <w:trHeight w:val="20"/>
        </w:trPr>
        <w:tc>
          <w:tcPr>
            <w:tcW w:w="3969" w:type="dxa"/>
            <w:gridSpan w:val="2"/>
            <w:vMerge/>
          </w:tcPr>
          <w:p w14:paraId="5F1C69AB" w14:textId="77777777" w:rsidR="00025B71" w:rsidRDefault="00025B71" w:rsidP="00E52F0F">
            <w:pPr>
              <w:widowControl w:val="0"/>
              <w:spacing w:line="360" w:lineRule="auto"/>
              <w:jc w:val="both"/>
            </w:pPr>
          </w:p>
        </w:tc>
        <w:tc>
          <w:tcPr>
            <w:tcW w:w="2694" w:type="dxa"/>
          </w:tcPr>
          <w:p w14:paraId="600E9D03" w14:textId="77777777" w:rsidR="00025B71" w:rsidRDefault="00025B71" w:rsidP="00E52F0F">
            <w:pPr>
              <w:widowControl w:val="0"/>
              <w:spacing w:line="360" w:lineRule="auto"/>
              <w:jc w:val="both"/>
            </w:pPr>
            <w:r>
              <w:rPr>
                <w:rFonts w:ascii="Calibri" w:eastAsia="Calibri" w:hAnsi="Calibri" w:cs="Calibri"/>
              </w:rPr>
              <w:t>25-34</w:t>
            </w:r>
          </w:p>
        </w:tc>
        <w:tc>
          <w:tcPr>
            <w:tcW w:w="2104" w:type="dxa"/>
          </w:tcPr>
          <w:p w14:paraId="2BAA5867" w14:textId="378C0DB0" w:rsidR="00025B71" w:rsidRDefault="00025B71" w:rsidP="00E52F0F">
            <w:pPr>
              <w:widowControl w:val="0"/>
              <w:spacing w:line="360" w:lineRule="auto"/>
              <w:jc w:val="both"/>
            </w:pPr>
            <w:r>
              <w:rPr>
                <w:rFonts w:ascii="Calibri" w:eastAsia="Calibri" w:hAnsi="Calibri" w:cs="Calibri"/>
              </w:rPr>
              <w:t>21</w:t>
            </w:r>
          </w:p>
        </w:tc>
      </w:tr>
      <w:tr w:rsidR="00025B71" w14:paraId="4172F664" w14:textId="77777777" w:rsidTr="002577C6">
        <w:trPr>
          <w:cantSplit/>
          <w:trHeight w:val="20"/>
        </w:trPr>
        <w:tc>
          <w:tcPr>
            <w:tcW w:w="3969" w:type="dxa"/>
            <w:gridSpan w:val="2"/>
            <w:vMerge/>
          </w:tcPr>
          <w:p w14:paraId="2BA32FF1" w14:textId="77777777" w:rsidR="00025B71" w:rsidRDefault="00025B71" w:rsidP="00E52F0F">
            <w:pPr>
              <w:widowControl w:val="0"/>
              <w:spacing w:line="360" w:lineRule="auto"/>
              <w:jc w:val="both"/>
            </w:pPr>
          </w:p>
        </w:tc>
        <w:tc>
          <w:tcPr>
            <w:tcW w:w="2694" w:type="dxa"/>
          </w:tcPr>
          <w:p w14:paraId="2E72FB2E" w14:textId="77777777" w:rsidR="00025B71" w:rsidRDefault="00025B71" w:rsidP="00E52F0F">
            <w:pPr>
              <w:widowControl w:val="0"/>
              <w:spacing w:line="360" w:lineRule="auto"/>
              <w:jc w:val="both"/>
            </w:pPr>
            <w:r>
              <w:rPr>
                <w:rFonts w:ascii="Calibri" w:eastAsia="Calibri" w:hAnsi="Calibri" w:cs="Calibri"/>
              </w:rPr>
              <w:t>35-44</w:t>
            </w:r>
          </w:p>
        </w:tc>
        <w:tc>
          <w:tcPr>
            <w:tcW w:w="2104" w:type="dxa"/>
          </w:tcPr>
          <w:p w14:paraId="0C1AEA42" w14:textId="77777777" w:rsidR="00025B71" w:rsidRDefault="00025B71" w:rsidP="00E52F0F">
            <w:pPr>
              <w:widowControl w:val="0"/>
              <w:spacing w:line="360" w:lineRule="auto"/>
              <w:jc w:val="both"/>
            </w:pPr>
            <w:r>
              <w:rPr>
                <w:rFonts w:ascii="Calibri" w:eastAsia="Calibri" w:hAnsi="Calibri" w:cs="Calibri"/>
              </w:rPr>
              <w:t>17</w:t>
            </w:r>
          </w:p>
        </w:tc>
      </w:tr>
      <w:tr w:rsidR="00025B71" w14:paraId="22E34BBA" w14:textId="77777777" w:rsidTr="002577C6">
        <w:trPr>
          <w:cantSplit/>
          <w:trHeight w:val="20"/>
        </w:trPr>
        <w:tc>
          <w:tcPr>
            <w:tcW w:w="3969" w:type="dxa"/>
            <w:gridSpan w:val="2"/>
            <w:vMerge/>
          </w:tcPr>
          <w:p w14:paraId="72633E81" w14:textId="77777777" w:rsidR="00025B71" w:rsidRDefault="00025B71" w:rsidP="00E52F0F">
            <w:pPr>
              <w:widowControl w:val="0"/>
              <w:spacing w:line="360" w:lineRule="auto"/>
              <w:jc w:val="both"/>
            </w:pPr>
          </w:p>
        </w:tc>
        <w:tc>
          <w:tcPr>
            <w:tcW w:w="2694" w:type="dxa"/>
          </w:tcPr>
          <w:p w14:paraId="6461D572" w14:textId="77777777" w:rsidR="00025B71" w:rsidRDefault="00025B71" w:rsidP="00E52F0F">
            <w:pPr>
              <w:widowControl w:val="0"/>
              <w:spacing w:line="360" w:lineRule="auto"/>
              <w:jc w:val="both"/>
            </w:pPr>
            <w:r>
              <w:rPr>
                <w:rFonts w:ascii="Calibri" w:eastAsia="Calibri" w:hAnsi="Calibri" w:cs="Calibri"/>
              </w:rPr>
              <w:t>45-54</w:t>
            </w:r>
          </w:p>
        </w:tc>
        <w:tc>
          <w:tcPr>
            <w:tcW w:w="2104" w:type="dxa"/>
          </w:tcPr>
          <w:p w14:paraId="1846568D" w14:textId="7FF9B343" w:rsidR="00025B71" w:rsidRDefault="00025B71" w:rsidP="00E52F0F">
            <w:pPr>
              <w:widowControl w:val="0"/>
              <w:spacing w:line="360" w:lineRule="auto"/>
              <w:jc w:val="both"/>
            </w:pPr>
            <w:r>
              <w:rPr>
                <w:rFonts w:ascii="Calibri" w:eastAsia="Calibri" w:hAnsi="Calibri" w:cs="Calibri"/>
              </w:rPr>
              <w:t>16</w:t>
            </w:r>
          </w:p>
        </w:tc>
      </w:tr>
      <w:tr w:rsidR="00025B71" w14:paraId="351D8F48" w14:textId="77777777" w:rsidTr="002577C6">
        <w:trPr>
          <w:cantSplit/>
          <w:trHeight w:val="20"/>
        </w:trPr>
        <w:tc>
          <w:tcPr>
            <w:tcW w:w="3969" w:type="dxa"/>
            <w:gridSpan w:val="2"/>
            <w:vMerge/>
          </w:tcPr>
          <w:p w14:paraId="04DCE5E8" w14:textId="77777777" w:rsidR="00025B71" w:rsidRDefault="00025B71" w:rsidP="00E52F0F">
            <w:pPr>
              <w:widowControl w:val="0"/>
              <w:spacing w:line="360" w:lineRule="auto"/>
              <w:jc w:val="both"/>
            </w:pPr>
          </w:p>
        </w:tc>
        <w:tc>
          <w:tcPr>
            <w:tcW w:w="2694" w:type="dxa"/>
          </w:tcPr>
          <w:p w14:paraId="296CA5C3" w14:textId="77777777" w:rsidR="00025B71" w:rsidRDefault="00025B71" w:rsidP="00E52F0F">
            <w:pPr>
              <w:widowControl w:val="0"/>
              <w:spacing w:line="360" w:lineRule="auto"/>
              <w:jc w:val="both"/>
            </w:pPr>
            <w:r>
              <w:rPr>
                <w:rFonts w:ascii="Calibri" w:eastAsia="Calibri" w:hAnsi="Calibri" w:cs="Calibri"/>
              </w:rPr>
              <w:t>55-64</w:t>
            </w:r>
          </w:p>
        </w:tc>
        <w:tc>
          <w:tcPr>
            <w:tcW w:w="2104" w:type="dxa"/>
          </w:tcPr>
          <w:p w14:paraId="481FF152" w14:textId="4172992C" w:rsidR="00025B71" w:rsidRDefault="00025B71" w:rsidP="00E52F0F">
            <w:pPr>
              <w:widowControl w:val="0"/>
              <w:spacing w:line="360" w:lineRule="auto"/>
              <w:jc w:val="both"/>
            </w:pPr>
            <w:r>
              <w:rPr>
                <w:rFonts w:ascii="Calibri" w:eastAsia="Calibri" w:hAnsi="Calibri" w:cs="Calibri"/>
              </w:rPr>
              <w:t>12</w:t>
            </w:r>
          </w:p>
        </w:tc>
      </w:tr>
      <w:tr w:rsidR="00025B71" w14:paraId="04B2AE86" w14:textId="77777777" w:rsidTr="002577C6">
        <w:trPr>
          <w:cantSplit/>
          <w:trHeight w:val="20"/>
        </w:trPr>
        <w:tc>
          <w:tcPr>
            <w:tcW w:w="3969" w:type="dxa"/>
            <w:gridSpan w:val="2"/>
            <w:vMerge/>
          </w:tcPr>
          <w:p w14:paraId="4A0E7C52" w14:textId="77777777" w:rsidR="00025B71" w:rsidRDefault="00025B71" w:rsidP="00E52F0F">
            <w:pPr>
              <w:widowControl w:val="0"/>
              <w:spacing w:line="360" w:lineRule="auto"/>
              <w:jc w:val="both"/>
            </w:pPr>
          </w:p>
        </w:tc>
        <w:tc>
          <w:tcPr>
            <w:tcW w:w="2694" w:type="dxa"/>
          </w:tcPr>
          <w:p w14:paraId="28C4345A" w14:textId="77777777" w:rsidR="00025B71" w:rsidRDefault="00025B71" w:rsidP="00E52F0F">
            <w:pPr>
              <w:widowControl w:val="0"/>
              <w:spacing w:line="360" w:lineRule="auto"/>
              <w:jc w:val="both"/>
            </w:pPr>
            <w:r>
              <w:rPr>
                <w:rFonts w:ascii="Calibri" w:eastAsia="Calibri" w:hAnsi="Calibri" w:cs="Calibri"/>
              </w:rPr>
              <w:t>65+</w:t>
            </w:r>
          </w:p>
        </w:tc>
        <w:tc>
          <w:tcPr>
            <w:tcW w:w="2104" w:type="dxa"/>
          </w:tcPr>
          <w:p w14:paraId="0A191D04" w14:textId="13BD5B27" w:rsidR="00025B71" w:rsidRDefault="009363A8" w:rsidP="00E52F0F">
            <w:pPr>
              <w:widowControl w:val="0"/>
              <w:spacing w:line="360" w:lineRule="auto"/>
              <w:jc w:val="both"/>
            </w:pPr>
            <w:r>
              <w:rPr>
                <w:rFonts w:ascii="Calibri" w:eastAsia="Calibri" w:hAnsi="Calibri" w:cs="Calibri"/>
              </w:rPr>
              <w:t>1</w:t>
            </w:r>
            <w:r w:rsidR="00025B71">
              <w:rPr>
                <w:rFonts w:ascii="Calibri" w:eastAsia="Calibri" w:hAnsi="Calibri" w:cs="Calibri"/>
              </w:rPr>
              <w:t>4</w:t>
            </w:r>
          </w:p>
        </w:tc>
      </w:tr>
      <w:tr w:rsidR="00A719D4" w14:paraId="1AF57126" w14:textId="77777777" w:rsidTr="002577C6">
        <w:trPr>
          <w:cantSplit/>
          <w:trHeight w:val="20"/>
        </w:trPr>
        <w:tc>
          <w:tcPr>
            <w:tcW w:w="3969" w:type="dxa"/>
            <w:gridSpan w:val="2"/>
            <w:vMerge w:val="restart"/>
          </w:tcPr>
          <w:p w14:paraId="55DDF863" w14:textId="77777777" w:rsidR="00A719D4" w:rsidRDefault="00A719D4" w:rsidP="00E52F0F">
            <w:pPr>
              <w:widowControl w:val="0"/>
              <w:spacing w:line="360" w:lineRule="auto"/>
              <w:jc w:val="both"/>
            </w:pPr>
            <w:r>
              <w:rPr>
                <w:rFonts w:ascii="Calibri" w:eastAsia="Calibri" w:hAnsi="Calibri" w:cs="Calibri"/>
              </w:rPr>
              <w:t>Gender</w:t>
            </w:r>
          </w:p>
        </w:tc>
        <w:tc>
          <w:tcPr>
            <w:tcW w:w="2694" w:type="dxa"/>
          </w:tcPr>
          <w:p w14:paraId="3F8ECBA9" w14:textId="6D852FAD" w:rsidR="00A719D4" w:rsidRDefault="00A719D4" w:rsidP="00E52F0F">
            <w:pPr>
              <w:widowControl w:val="0"/>
              <w:spacing w:line="360" w:lineRule="auto"/>
              <w:jc w:val="both"/>
            </w:pPr>
            <w:r>
              <w:rPr>
                <w:rFonts w:ascii="Calibri" w:eastAsia="Calibri" w:hAnsi="Calibri" w:cs="Calibri"/>
              </w:rPr>
              <w:t xml:space="preserve">Female </w:t>
            </w:r>
          </w:p>
        </w:tc>
        <w:tc>
          <w:tcPr>
            <w:tcW w:w="2104" w:type="dxa"/>
          </w:tcPr>
          <w:p w14:paraId="6427D6E1" w14:textId="4647378B" w:rsidR="00A719D4" w:rsidRDefault="00A719D4" w:rsidP="00E52F0F">
            <w:pPr>
              <w:widowControl w:val="0"/>
              <w:spacing w:line="360" w:lineRule="auto"/>
              <w:jc w:val="both"/>
            </w:pPr>
            <w:r>
              <w:rPr>
                <w:rFonts w:ascii="Calibri" w:eastAsia="Calibri" w:hAnsi="Calibri" w:cs="Calibri"/>
              </w:rPr>
              <w:t>51</w:t>
            </w:r>
          </w:p>
        </w:tc>
      </w:tr>
      <w:tr w:rsidR="00A719D4" w14:paraId="4536FBA8" w14:textId="77777777" w:rsidTr="002577C6">
        <w:trPr>
          <w:cantSplit/>
          <w:trHeight w:val="20"/>
        </w:trPr>
        <w:tc>
          <w:tcPr>
            <w:tcW w:w="3969" w:type="dxa"/>
            <w:gridSpan w:val="2"/>
            <w:vMerge/>
          </w:tcPr>
          <w:p w14:paraId="77BB98FD" w14:textId="77777777" w:rsidR="00A719D4" w:rsidRDefault="00A719D4" w:rsidP="00E52F0F">
            <w:pPr>
              <w:widowControl w:val="0"/>
              <w:spacing w:line="360" w:lineRule="auto"/>
              <w:jc w:val="both"/>
              <w:rPr>
                <w:rFonts w:ascii="Calibri" w:eastAsia="Calibri" w:hAnsi="Calibri" w:cs="Calibri"/>
              </w:rPr>
            </w:pPr>
          </w:p>
        </w:tc>
        <w:tc>
          <w:tcPr>
            <w:tcW w:w="2694" w:type="dxa"/>
          </w:tcPr>
          <w:p w14:paraId="72E9299A" w14:textId="76009CB7" w:rsidR="00A719D4" w:rsidRDefault="00A719D4" w:rsidP="00E52F0F">
            <w:pPr>
              <w:widowControl w:val="0"/>
              <w:spacing w:line="360" w:lineRule="auto"/>
              <w:jc w:val="both"/>
              <w:rPr>
                <w:rFonts w:ascii="Calibri" w:eastAsia="Calibri" w:hAnsi="Calibri" w:cs="Calibri"/>
              </w:rPr>
            </w:pPr>
            <w:r>
              <w:rPr>
                <w:rFonts w:ascii="Calibri" w:eastAsia="Calibri" w:hAnsi="Calibri" w:cs="Calibri"/>
              </w:rPr>
              <w:t xml:space="preserve">        ABC1 female</w:t>
            </w:r>
          </w:p>
        </w:tc>
        <w:tc>
          <w:tcPr>
            <w:tcW w:w="2104" w:type="dxa"/>
          </w:tcPr>
          <w:p w14:paraId="75EDF759" w14:textId="4FEC8E3D" w:rsidR="00A719D4" w:rsidRDefault="00A719D4" w:rsidP="00E52F0F">
            <w:pPr>
              <w:widowControl w:val="0"/>
              <w:spacing w:line="360" w:lineRule="auto"/>
              <w:jc w:val="both"/>
              <w:rPr>
                <w:rFonts w:ascii="Calibri" w:eastAsia="Calibri" w:hAnsi="Calibri" w:cs="Calibri"/>
              </w:rPr>
            </w:pPr>
            <w:r>
              <w:rPr>
                <w:rFonts w:ascii="Calibri" w:eastAsia="Calibri" w:hAnsi="Calibri" w:cs="Calibri"/>
              </w:rPr>
              <w:t>20</w:t>
            </w:r>
          </w:p>
        </w:tc>
      </w:tr>
      <w:tr w:rsidR="00A719D4" w14:paraId="0CA98F3F" w14:textId="77777777" w:rsidTr="002577C6">
        <w:trPr>
          <w:cantSplit/>
          <w:trHeight w:val="20"/>
        </w:trPr>
        <w:tc>
          <w:tcPr>
            <w:tcW w:w="3969" w:type="dxa"/>
            <w:gridSpan w:val="2"/>
            <w:vMerge/>
          </w:tcPr>
          <w:p w14:paraId="55026EFC" w14:textId="77777777" w:rsidR="00A719D4" w:rsidRDefault="00A719D4" w:rsidP="00E52F0F">
            <w:pPr>
              <w:widowControl w:val="0"/>
              <w:spacing w:line="360" w:lineRule="auto"/>
              <w:jc w:val="both"/>
            </w:pPr>
          </w:p>
        </w:tc>
        <w:tc>
          <w:tcPr>
            <w:tcW w:w="2694" w:type="dxa"/>
          </w:tcPr>
          <w:p w14:paraId="59688B84" w14:textId="5D869817" w:rsidR="00A719D4" w:rsidRDefault="00A719D4" w:rsidP="00E52F0F">
            <w:pPr>
              <w:widowControl w:val="0"/>
              <w:spacing w:line="360" w:lineRule="auto"/>
              <w:jc w:val="both"/>
            </w:pPr>
            <w:r>
              <w:rPr>
                <w:rFonts w:ascii="Calibri" w:eastAsia="Calibri" w:hAnsi="Calibri" w:cs="Calibri"/>
              </w:rPr>
              <w:t>Male</w:t>
            </w:r>
          </w:p>
        </w:tc>
        <w:tc>
          <w:tcPr>
            <w:tcW w:w="2104" w:type="dxa"/>
          </w:tcPr>
          <w:p w14:paraId="1ABD3C38" w14:textId="3E1FB767" w:rsidR="00A719D4" w:rsidRDefault="00A719D4" w:rsidP="00E52F0F">
            <w:pPr>
              <w:widowControl w:val="0"/>
              <w:spacing w:line="360" w:lineRule="auto"/>
              <w:jc w:val="both"/>
            </w:pPr>
            <w:r>
              <w:rPr>
                <w:rFonts w:ascii="Calibri" w:eastAsia="Calibri" w:hAnsi="Calibri" w:cs="Calibri"/>
              </w:rPr>
              <w:t>49</w:t>
            </w:r>
          </w:p>
        </w:tc>
      </w:tr>
      <w:tr w:rsidR="00A719D4" w14:paraId="69272227" w14:textId="77777777" w:rsidTr="002577C6">
        <w:trPr>
          <w:cantSplit/>
          <w:trHeight w:val="20"/>
        </w:trPr>
        <w:tc>
          <w:tcPr>
            <w:tcW w:w="3969" w:type="dxa"/>
            <w:gridSpan w:val="2"/>
            <w:vMerge/>
          </w:tcPr>
          <w:p w14:paraId="2ECCDBA5" w14:textId="77777777" w:rsidR="00A719D4" w:rsidRDefault="00A719D4" w:rsidP="00E52F0F">
            <w:pPr>
              <w:widowControl w:val="0"/>
              <w:spacing w:line="360" w:lineRule="auto"/>
              <w:jc w:val="both"/>
            </w:pPr>
          </w:p>
        </w:tc>
        <w:tc>
          <w:tcPr>
            <w:tcW w:w="2694" w:type="dxa"/>
          </w:tcPr>
          <w:p w14:paraId="041323FC" w14:textId="1D6ECC5B" w:rsidR="00A719D4" w:rsidRDefault="00A719D4" w:rsidP="00E52F0F">
            <w:pPr>
              <w:widowControl w:val="0"/>
              <w:spacing w:line="360" w:lineRule="auto"/>
              <w:jc w:val="both"/>
              <w:rPr>
                <w:rFonts w:ascii="Calibri" w:eastAsia="Calibri" w:hAnsi="Calibri" w:cs="Calibri"/>
              </w:rPr>
            </w:pPr>
            <w:r>
              <w:rPr>
                <w:rFonts w:ascii="Calibri" w:eastAsia="Calibri" w:hAnsi="Calibri" w:cs="Calibri"/>
              </w:rPr>
              <w:t xml:space="preserve">        ABC1 male</w:t>
            </w:r>
          </w:p>
        </w:tc>
        <w:tc>
          <w:tcPr>
            <w:tcW w:w="2104" w:type="dxa"/>
          </w:tcPr>
          <w:p w14:paraId="6D582242" w14:textId="1138A08F" w:rsidR="00A719D4" w:rsidRDefault="00A719D4" w:rsidP="00E52F0F">
            <w:pPr>
              <w:widowControl w:val="0"/>
              <w:spacing w:line="360" w:lineRule="auto"/>
              <w:jc w:val="both"/>
              <w:rPr>
                <w:rFonts w:ascii="Calibri" w:eastAsia="Calibri" w:hAnsi="Calibri" w:cs="Calibri"/>
              </w:rPr>
            </w:pPr>
            <w:r>
              <w:rPr>
                <w:rFonts w:ascii="Calibri" w:eastAsia="Calibri" w:hAnsi="Calibri" w:cs="Calibri"/>
              </w:rPr>
              <w:t>23</w:t>
            </w:r>
          </w:p>
        </w:tc>
      </w:tr>
      <w:tr w:rsidR="00025B71" w14:paraId="217BBCEB" w14:textId="77777777" w:rsidTr="002577C6">
        <w:trPr>
          <w:cantSplit/>
          <w:trHeight w:val="20"/>
        </w:trPr>
        <w:tc>
          <w:tcPr>
            <w:tcW w:w="3969" w:type="dxa"/>
            <w:gridSpan w:val="2"/>
            <w:vMerge w:val="restart"/>
          </w:tcPr>
          <w:p w14:paraId="5FE921C7" w14:textId="77777777" w:rsidR="00025B71" w:rsidRDefault="00025B71" w:rsidP="00E52F0F">
            <w:pPr>
              <w:widowControl w:val="0"/>
              <w:spacing w:line="360" w:lineRule="auto"/>
              <w:jc w:val="both"/>
            </w:pPr>
            <w:r>
              <w:rPr>
                <w:rFonts w:ascii="Calibri" w:eastAsia="Calibri" w:hAnsi="Calibri" w:cs="Calibri"/>
              </w:rPr>
              <w:t>Education</w:t>
            </w:r>
          </w:p>
        </w:tc>
        <w:tc>
          <w:tcPr>
            <w:tcW w:w="2694" w:type="dxa"/>
          </w:tcPr>
          <w:p w14:paraId="0DC1AA7C" w14:textId="53FAFD36" w:rsidR="00025B71" w:rsidRDefault="00025B71" w:rsidP="00E52F0F">
            <w:pPr>
              <w:widowControl w:val="0"/>
              <w:spacing w:line="360" w:lineRule="auto"/>
              <w:jc w:val="both"/>
            </w:pPr>
            <w:r>
              <w:rPr>
                <w:rFonts w:ascii="Calibri" w:eastAsia="Calibri" w:hAnsi="Calibri" w:cs="Calibri"/>
              </w:rPr>
              <w:t>TEA</w:t>
            </w:r>
            <w:r w:rsidR="002A3AD6">
              <w:rPr>
                <w:rStyle w:val="FootnoteReference"/>
                <w:rFonts w:ascii="Calibri" w:eastAsia="Calibri" w:hAnsi="Calibri" w:cs="Calibri"/>
              </w:rPr>
              <w:footnoteReference w:id="9"/>
            </w:r>
            <w:r>
              <w:rPr>
                <w:rFonts w:ascii="Calibri" w:eastAsia="Calibri" w:hAnsi="Calibri" w:cs="Calibri"/>
              </w:rPr>
              <w:t xml:space="preserve"> 18+</w:t>
            </w:r>
          </w:p>
        </w:tc>
        <w:tc>
          <w:tcPr>
            <w:tcW w:w="2104" w:type="dxa"/>
          </w:tcPr>
          <w:p w14:paraId="59B60CB2" w14:textId="77777777" w:rsidR="00025B71" w:rsidRDefault="00025B71" w:rsidP="00E52F0F">
            <w:pPr>
              <w:widowControl w:val="0"/>
              <w:spacing w:line="360" w:lineRule="auto"/>
              <w:jc w:val="both"/>
            </w:pPr>
            <w:r>
              <w:rPr>
                <w:rFonts w:ascii="Calibri" w:eastAsia="Calibri" w:hAnsi="Calibri" w:cs="Calibri"/>
              </w:rPr>
              <w:t>37</w:t>
            </w:r>
          </w:p>
        </w:tc>
      </w:tr>
      <w:tr w:rsidR="00025B71" w14:paraId="1CE5098F" w14:textId="77777777" w:rsidTr="002577C6">
        <w:trPr>
          <w:cantSplit/>
          <w:trHeight w:val="20"/>
        </w:trPr>
        <w:tc>
          <w:tcPr>
            <w:tcW w:w="3969" w:type="dxa"/>
            <w:gridSpan w:val="2"/>
            <w:vMerge/>
          </w:tcPr>
          <w:p w14:paraId="230B361A" w14:textId="77777777" w:rsidR="00025B71" w:rsidRDefault="00025B71" w:rsidP="00E52F0F">
            <w:pPr>
              <w:widowControl w:val="0"/>
              <w:spacing w:line="360" w:lineRule="auto"/>
              <w:jc w:val="both"/>
            </w:pPr>
          </w:p>
        </w:tc>
        <w:tc>
          <w:tcPr>
            <w:tcW w:w="2694" w:type="dxa"/>
          </w:tcPr>
          <w:p w14:paraId="002735CD" w14:textId="77777777" w:rsidR="00025B71" w:rsidRDefault="00025B71" w:rsidP="00E52F0F">
            <w:pPr>
              <w:widowControl w:val="0"/>
              <w:spacing w:line="360" w:lineRule="auto"/>
              <w:jc w:val="both"/>
            </w:pPr>
            <w:r>
              <w:rPr>
                <w:rFonts w:ascii="Calibri" w:eastAsia="Calibri" w:hAnsi="Calibri" w:cs="Calibri"/>
              </w:rPr>
              <w:t>TEA 21+</w:t>
            </w:r>
          </w:p>
        </w:tc>
        <w:tc>
          <w:tcPr>
            <w:tcW w:w="2104" w:type="dxa"/>
          </w:tcPr>
          <w:p w14:paraId="7B47AF58" w14:textId="77777777" w:rsidR="00025B71" w:rsidRDefault="00025B71" w:rsidP="00E52F0F">
            <w:pPr>
              <w:widowControl w:val="0"/>
              <w:spacing w:line="360" w:lineRule="auto"/>
              <w:jc w:val="both"/>
            </w:pPr>
            <w:r>
              <w:rPr>
                <w:rFonts w:ascii="Calibri" w:eastAsia="Calibri" w:hAnsi="Calibri" w:cs="Calibri"/>
              </w:rPr>
              <w:t>22</w:t>
            </w:r>
          </w:p>
        </w:tc>
      </w:tr>
      <w:tr w:rsidR="00025B71" w14:paraId="000820AF" w14:textId="77777777" w:rsidTr="002577C6">
        <w:trPr>
          <w:cantSplit/>
          <w:trHeight w:val="20"/>
        </w:trPr>
        <w:tc>
          <w:tcPr>
            <w:tcW w:w="3969" w:type="dxa"/>
            <w:gridSpan w:val="2"/>
            <w:vMerge/>
          </w:tcPr>
          <w:p w14:paraId="5140CB60" w14:textId="77777777" w:rsidR="00025B71" w:rsidRDefault="00025B71" w:rsidP="00E52F0F">
            <w:pPr>
              <w:widowControl w:val="0"/>
              <w:spacing w:line="360" w:lineRule="auto"/>
              <w:jc w:val="both"/>
            </w:pPr>
          </w:p>
        </w:tc>
        <w:tc>
          <w:tcPr>
            <w:tcW w:w="2694" w:type="dxa"/>
          </w:tcPr>
          <w:p w14:paraId="3DC6F785" w14:textId="351D47A4" w:rsidR="00025B71" w:rsidRDefault="00025B71" w:rsidP="00E52F0F">
            <w:pPr>
              <w:widowControl w:val="0"/>
              <w:spacing w:line="360" w:lineRule="auto"/>
              <w:jc w:val="both"/>
              <w:rPr>
                <w:rFonts w:ascii="Calibri" w:eastAsia="Calibri" w:hAnsi="Calibri" w:cs="Calibri"/>
              </w:rPr>
            </w:pPr>
            <w:r>
              <w:rPr>
                <w:rFonts w:ascii="Calibri" w:eastAsia="Calibri" w:hAnsi="Calibri" w:cs="Calibri"/>
              </w:rPr>
              <w:t>University degree or above</w:t>
            </w:r>
          </w:p>
        </w:tc>
        <w:tc>
          <w:tcPr>
            <w:tcW w:w="2104" w:type="dxa"/>
          </w:tcPr>
          <w:p w14:paraId="15127466" w14:textId="3F523665" w:rsidR="00025B71" w:rsidRDefault="00025B71" w:rsidP="00E52F0F">
            <w:pPr>
              <w:widowControl w:val="0"/>
              <w:spacing w:line="360" w:lineRule="auto"/>
              <w:jc w:val="both"/>
              <w:rPr>
                <w:rFonts w:ascii="Calibri" w:eastAsia="Calibri" w:hAnsi="Calibri" w:cs="Calibri"/>
              </w:rPr>
            </w:pPr>
            <w:r>
              <w:rPr>
                <w:rFonts w:ascii="Calibri" w:eastAsia="Calibri" w:hAnsi="Calibri" w:cs="Calibri"/>
              </w:rPr>
              <w:t>84</w:t>
            </w:r>
          </w:p>
        </w:tc>
      </w:tr>
      <w:tr w:rsidR="00025B71" w14:paraId="285825EB" w14:textId="77777777" w:rsidTr="002577C6">
        <w:trPr>
          <w:cantSplit/>
          <w:trHeight w:val="20"/>
        </w:trPr>
        <w:tc>
          <w:tcPr>
            <w:tcW w:w="3969" w:type="dxa"/>
            <w:gridSpan w:val="2"/>
            <w:vMerge w:val="restart"/>
          </w:tcPr>
          <w:p w14:paraId="19AC6202" w14:textId="77777777" w:rsidR="00025B71" w:rsidRDefault="00025B71" w:rsidP="00E52F0F">
            <w:pPr>
              <w:widowControl w:val="0"/>
              <w:spacing w:line="360" w:lineRule="auto"/>
              <w:jc w:val="both"/>
            </w:pPr>
            <w:r>
              <w:rPr>
                <w:rFonts w:ascii="Calibri" w:eastAsia="Calibri" w:hAnsi="Calibri" w:cs="Calibri"/>
              </w:rPr>
              <w:t xml:space="preserve">Working status </w:t>
            </w:r>
          </w:p>
        </w:tc>
        <w:tc>
          <w:tcPr>
            <w:tcW w:w="2694" w:type="dxa"/>
          </w:tcPr>
          <w:p w14:paraId="05389CE7" w14:textId="77777777" w:rsidR="00025B71" w:rsidRDefault="00025B71" w:rsidP="00E52F0F">
            <w:pPr>
              <w:widowControl w:val="0"/>
              <w:spacing w:line="360" w:lineRule="auto"/>
              <w:jc w:val="both"/>
            </w:pPr>
            <w:r>
              <w:rPr>
                <w:rFonts w:ascii="Calibri" w:eastAsia="Calibri" w:hAnsi="Calibri" w:cs="Calibri"/>
              </w:rPr>
              <w:t>Full time</w:t>
            </w:r>
          </w:p>
        </w:tc>
        <w:tc>
          <w:tcPr>
            <w:tcW w:w="2104" w:type="dxa"/>
          </w:tcPr>
          <w:p w14:paraId="67E809E8" w14:textId="77777777" w:rsidR="00025B71" w:rsidRDefault="00025B71" w:rsidP="00E52F0F">
            <w:pPr>
              <w:widowControl w:val="0"/>
              <w:spacing w:line="360" w:lineRule="auto"/>
              <w:jc w:val="both"/>
            </w:pPr>
            <w:r>
              <w:rPr>
                <w:rFonts w:ascii="Calibri" w:eastAsia="Calibri" w:hAnsi="Calibri" w:cs="Calibri"/>
              </w:rPr>
              <w:t>42</w:t>
            </w:r>
          </w:p>
        </w:tc>
      </w:tr>
      <w:tr w:rsidR="00025B71" w14:paraId="4DE6CFB8" w14:textId="77777777" w:rsidTr="002577C6">
        <w:trPr>
          <w:cantSplit/>
          <w:trHeight w:val="20"/>
        </w:trPr>
        <w:tc>
          <w:tcPr>
            <w:tcW w:w="3969" w:type="dxa"/>
            <w:gridSpan w:val="2"/>
            <w:vMerge/>
          </w:tcPr>
          <w:p w14:paraId="58B3686F" w14:textId="77777777" w:rsidR="00025B71" w:rsidRDefault="00025B71" w:rsidP="00E52F0F">
            <w:pPr>
              <w:widowControl w:val="0"/>
              <w:spacing w:line="360" w:lineRule="auto"/>
              <w:jc w:val="both"/>
            </w:pPr>
          </w:p>
        </w:tc>
        <w:tc>
          <w:tcPr>
            <w:tcW w:w="2694" w:type="dxa"/>
          </w:tcPr>
          <w:p w14:paraId="75BA4FC6" w14:textId="786FCAAE" w:rsidR="00025B71" w:rsidRDefault="009363A8" w:rsidP="00E52F0F">
            <w:pPr>
              <w:widowControl w:val="0"/>
              <w:spacing w:line="360" w:lineRule="auto"/>
              <w:jc w:val="both"/>
            </w:pPr>
            <w:r>
              <w:rPr>
                <w:rFonts w:ascii="Calibri" w:eastAsia="Calibri" w:hAnsi="Calibri" w:cs="Calibri"/>
              </w:rPr>
              <w:t xml:space="preserve">        </w:t>
            </w:r>
            <w:r w:rsidR="00025B71">
              <w:rPr>
                <w:rFonts w:ascii="Calibri" w:eastAsia="Calibri" w:hAnsi="Calibri" w:cs="Calibri"/>
              </w:rPr>
              <w:t>35+</w:t>
            </w:r>
          </w:p>
        </w:tc>
        <w:tc>
          <w:tcPr>
            <w:tcW w:w="2104" w:type="dxa"/>
          </w:tcPr>
          <w:p w14:paraId="07935CE3" w14:textId="77777777" w:rsidR="00025B71" w:rsidRDefault="00025B71" w:rsidP="00E52F0F">
            <w:pPr>
              <w:widowControl w:val="0"/>
              <w:spacing w:line="360" w:lineRule="auto"/>
              <w:jc w:val="both"/>
            </w:pPr>
            <w:r>
              <w:rPr>
                <w:rFonts w:ascii="Calibri" w:eastAsia="Calibri" w:hAnsi="Calibri" w:cs="Calibri"/>
              </w:rPr>
              <w:t>27</w:t>
            </w:r>
          </w:p>
        </w:tc>
      </w:tr>
      <w:tr w:rsidR="00025B71" w14:paraId="25A3D59B" w14:textId="77777777" w:rsidTr="002577C6">
        <w:trPr>
          <w:cantSplit/>
          <w:trHeight w:val="20"/>
        </w:trPr>
        <w:tc>
          <w:tcPr>
            <w:tcW w:w="3969" w:type="dxa"/>
            <w:gridSpan w:val="2"/>
            <w:vMerge/>
          </w:tcPr>
          <w:p w14:paraId="2ABBAB13" w14:textId="77777777" w:rsidR="00025B71" w:rsidRDefault="00025B71" w:rsidP="00E52F0F">
            <w:pPr>
              <w:widowControl w:val="0"/>
              <w:spacing w:line="360" w:lineRule="auto"/>
              <w:jc w:val="both"/>
            </w:pPr>
          </w:p>
        </w:tc>
        <w:tc>
          <w:tcPr>
            <w:tcW w:w="2694" w:type="dxa"/>
          </w:tcPr>
          <w:p w14:paraId="7C9EBA96" w14:textId="130DF500" w:rsidR="00025B71" w:rsidRDefault="009363A8" w:rsidP="00E52F0F">
            <w:pPr>
              <w:widowControl w:val="0"/>
              <w:spacing w:line="360" w:lineRule="auto"/>
              <w:jc w:val="both"/>
            </w:pPr>
            <w:r>
              <w:rPr>
                <w:rFonts w:ascii="Calibri" w:eastAsia="Calibri" w:hAnsi="Calibri" w:cs="Calibri"/>
              </w:rPr>
              <w:t xml:space="preserve">        </w:t>
            </w:r>
            <w:r w:rsidR="00025B71">
              <w:rPr>
                <w:rFonts w:ascii="Calibri" w:eastAsia="Calibri" w:hAnsi="Calibri" w:cs="Calibri"/>
              </w:rPr>
              <w:t>45+</w:t>
            </w:r>
          </w:p>
        </w:tc>
        <w:tc>
          <w:tcPr>
            <w:tcW w:w="2104" w:type="dxa"/>
          </w:tcPr>
          <w:p w14:paraId="7068FFA8" w14:textId="77777777" w:rsidR="00025B71" w:rsidRDefault="00025B71" w:rsidP="00E52F0F">
            <w:pPr>
              <w:widowControl w:val="0"/>
              <w:spacing w:line="360" w:lineRule="auto"/>
              <w:jc w:val="both"/>
            </w:pPr>
            <w:r>
              <w:rPr>
                <w:rFonts w:ascii="Calibri" w:eastAsia="Calibri" w:hAnsi="Calibri" w:cs="Calibri"/>
              </w:rPr>
              <w:t>17</w:t>
            </w:r>
          </w:p>
        </w:tc>
      </w:tr>
      <w:tr w:rsidR="00025B71" w14:paraId="58F37621" w14:textId="77777777" w:rsidTr="002577C6">
        <w:trPr>
          <w:cantSplit/>
          <w:trHeight w:val="20"/>
        </w:trPr>
        <w:tc>
          <w:tcPr>
            <w:tcW w:w="2268" w:type="dxa"/>
            <w:vMerge w:val="restart"/>
          </w:tcPr>
          <w:p w14:paraId="0AB0B259" w14:textId="0FD9F7FB" w:rsidR="00025B71" w:rsidRPr="00025B71" w:rsidRDefault="00025B71" w:rsidP="00E52F0F">
            <w:pPr>
              <w:widowControl w:val="0"/>
              <w:spacing w:line="360" w:lineRule="auto"/>
              <w:rPr>
                <w:lang w:val="en-GB"/>
              </w:rPr>
            </w:pPr>
            <w:r w:rsidRPr="00025B71">
              <w:rPr>
                <w:lang w:val="en-GB"/>
              </w:rPr>
              <w:t>Annual household income before tax</w:t>
            </w:r>
          </w:p>
        </w:tc>
        <w:tc>
          <w:tcPr>
            <w:tcW w:w="1701" w:type="dxa"/>
          </w:tcPr>
          <w:p w14:paraId="7F10B416" w14:textId="37B6AF2A" w:rsidR="00025B71" w:rsidRDefault="00025B71" w:rsidP="00E52F0F">
            <w:pPr>
              <w:widowControl w:val="0"/>
              <w:spacing w:line="360" w:lineRule="auto"/>
              <w:jc w:val="both"/>
            </w:pPr>
            <w:r>
              <w:t>UK</w:t>
            </w:r>
          </w:p>
        </w:tc>
        <w:tc>
          <w:tcPr>
            <w:tcW w:w="2694" w:type="dxa"/>
          </w:tcPr>
          <w:p w14:paraId="3ED9B597" w14:textId="445A0A26" w:rsidR="00025B71" w:rsidRDefault="00025B71" w:rsidP="00E52F0F">
            <w:pPr>
              <w:widowControl w:val="0"/>
              <w:spacing w:line="360" w:lineRule="auto"/>
              <w:jc w:val="both"/>
              <w:rPr>
                <w:rFonts w:ascii="Calibri" w:eastAsia="Calibri" w:hAnsi="Calibri" w:cs="Calibri"/>
              </w:rPr>
            </w:pPr>
            <w:r>
              <w:rPr>
                <w:rFonts w:ascii="Calibri" w:eastAsia="Calibri" w:hAnsi="Calibri" w:cs="Calibri"/>
              </w:rPr>
              <w:t>50,000+</w:t>
            </w:r>
          </w:p>
        </w:tc>
        <w:tc>
          <w:tcPr>
            <w:tcW w:w="2104" w:type="dxa"/>
          </w:tcPr>
          <w:p w14:paraId="4118369A" w14:textId="3EA313F2" w:rsidR="00025B71" w:rsidRDefault="00025B71" w:rsidP="00E52F0F">
            <w:pPr>
              <w:widowControl w:val="0"/>
              <w:spacing w:line="360" w:lineRule="auto"/>
              <w:jc w:val="both"/>
              <w:rPr>
                <w:rFonts w:ascii="Calibri" w:eastAsia="Calibri" w:hAnsi="Calibri" w:cs="Calibri"/>
              </w:rPr>
            </w:pPr>
            <w:r>
              <w:rPr>
                <w:rFonts w:ascii="Calibri" w:eastAsia="Calibri" w:hAnsi="Calibri" w:cs="Calibri"/>
              </w:rPr>
              <w:t>35</w:t>
            </w:r>
          </w:p>
        </w:tc>
      </w:tr>
      <w:tr w:rsidR="00025B71" w14:paraId="3A6F4427" w14:textId="77777777" w:rsidTr="002577C6">
        <w:trPr>
          <w:cantSplit/>
          <w:trHeight w:val="20"/>
        </w:trPr>
        <w:tc>
          <w:tcPr>
            <w:tcW w:w="2268" w:type="dxa"/>
            <w:vMerge/>
          </w:tcPr>
          <w:p w14:paraId="60F2B9AB" w14:textId="77777777" w:rsidR="00025B71" w:rsidRDefault="00025B71" w:rsidP="00E52F0F">
            <w:pPr>
              <w:widowControl w:val="0"/>
              <w:spacing w:line="360" w:lineRule="auto"/>
              <w:jc w:val="both"/>
            </w:pPr>
          </w:p>
        </w:tc>
        <w:tc>
          <w:tcPr>
            <w:tcW w:w="1701" w:type="dxa"/>
          </w:tcPr>
          <w:p w14:paraId="61A87220" w14:textId="766AA5E3" w:rsidR="00025B71" w:rsidRDefault="00025B71" w:rsidP="00E52F0F">
            <w:pPr>
              <w:widowControl w:val="0"/>
              <w:spacing w:line="360" w:lineRule="auto"/>
              <w:jc w:val="both"/>
            </w:pPr>
            <w:r>
              <w:t>Europe</w:t>
            </w:r>
          </w:p>
        </w:tc>
        <w:tc>
          <w:tcPr>
            <w:tcW w:w="2694" w:type="dxa"/>
          </w:tcPr>
          <w:p w14:paraId="162F1250" w14:textId="1140EE81" w:rsidR="00025B71" w:rsidRDefault="00025B71" w:rsidP="00E52F0F">
            <w:pPr>
              <w:widowControl w:val="0"/>
              <w:spacing w:line="360" w:lineRule="auto"/>
              <w:jc w:val="both"/>
              <w:rPr>
                <w:rFonts w:ascii="Calibri" w:eastAsia="Calibri" w:hAnsi="Calibri" w:cs="Calibri"/>
              </w:rPr>
            </w:pPr>
            <w:r>
              <w:rPr>
                <w:rFonts w:ascii="Calibri" w:eastAsia="Calibri" w:hAnsi="Calibri" w:cs="Calibri"/>
              </w:rPr>
              <w:t>50,000+</w:t>
            </w:r>
          </w:p>
        </w:tc>
        <w:tc>
          <w:tcPr>
            <w:tcW w:w="2104" w:type="dxa"/>
          </w:tcPr>
          <w:p w14:paraId="26DE54FD" w14:textId="030A7833" w:rsidR="00025B71" w:rsidRDefault="00025B71" w:rsidP="00E52F0F">
            <w:pPr>
              <w:widowControl w:val="0"/>
              <w:spacing w:line="360" w:lineRule="auto"/>
              <w:jc w:val="both"/>
              <w:rPr>
                <w:rFonts w:ascii="Calibri" w:eastAsia="Calibri" w:hAnsi="Calibri" w:cs="Calibri"/>
              </w:rPr>
            </w:pPr>
            <w:r>
              <w:rPr>
                <w:rFonts w:ascii="Calibri" w:eastAsia="Calibri" w:hAnsi="Calibri" w:cs="Calibri"/>
              </w:rPr>
              <w:t>41</w:t>
            </w:r>
          </w:p>
        </w:tc>
      </w:tr>
      <w:tr w:rsidR="00025B71" w14:paraId="778B4DBC" w14:textId="77777777" w:rsidTr="002577C6">
        <w:trPr>
          <w:cantSplit/>
          <w:trHeight w:val="20"/>
        </w:trPr>
        <w:tc>
          <w:tcPr>
            <w:tcW w:w="2268" w:type="dxa"/>
            <w:vMerge/>
          </w:tcPr>
          <w:p w14:paraId="08E39397" w14:textId="77777777" w:rsidR="00025B71" w:rsidRDefault="00025B71" w:rsidP="00E52F0F">
            <w:pPr>
              <w:widowControl w:val="0"/>
              <w:spacing w:line="360" w:lineRule="auto"/>
              <w:jc w:val="both"/>
            </w:pPr>
          </w:p>
        </w:tc>
        <w:tc>
          <w:tcPr>
            <w:tcW w:w="1701" w:type="dxa"/>
          </w:tcPr>
          <w:p w14:paraId="34E3C0BD" w14:textId="38515B5E" w:rsidR="00025B71" w:rsidRDefault="00025B71" w:rsidP="00E52F0F">
            <w:pPr>
              <w:widowControl w:val="0"/>
              <w:spacing w:line="360" w:lineRule="auto"/>
              <w:jc w:val="both"/>
            </w:pPr>
            <w:r>
              <w:t>Rest of World</w:t>
            </w:r>
          </w:p>
        </w:tc>
        <w:tc>
          <w:tcPr>
            <w:tcW w:w="2694" w:type="dxa"/>
          </w:tcPr>
          <w:p w14:paraId="2065D653" w14:textId="43B1EBE2" w:rsidR="00025B71" w:rsidRDefault="00025B71" w:rsidP="00E52F0F">
            <w:pPr>
              <w:widowControl w:val="0"/>
              <w:spacing w:line="360" w:lineRule="auto"/>
              <w:jc w:val="both"/>
              <w:rPr>
                <w:rFonts w:ascii="Calibri" w:eastAsia="Calibri" w:hAnsi="Calibri" w:cs="Calibri"/>
              </w:rPr>
            </w:pPr>
            <w:r>
              <w:rPr>
                <w:rFonts w:ascii="Calibri" w:eastAsia="Calibri" w:hAnsi="Calibri" w:cs="Calibri"/>
              </w:rPr>
              <w:t>70,000+</w:t>
            </w:r>
          </w:p>
        </w:tc>
        <w:tc>
          <w:tcPr>
            <w:tcW w:w="2104" w:type="dxa"/>
          </w:tcPr>
          <w:p w14:paraId="7DDBE273" w14:textId="1BB30F27" w:rsidR="00025B71" w:rsidRDefault="00025B71" w:rsidP="00E52F0F">
            <w:pPr>
              <w:widowControl w:val="0"/>
              <w:spacing w:line="360" w:lineRule="auto"/>
              <w:jc w:val="both"/>
              <w:rPr>
                <w:rFonts w:ascii="Calibri" w:eastAsia="Calibri" w:hAnsi="Calibri" w:cs="Calibri"/>
              </w:rPr>
            </w:pPr>
            <w:r>
              <w:rPr>
                <w:rFonts w:ascii="Calibri" w:eastAsia="Calibri" w:hAnsi="Calibri" w:cs="Calibri"/>
              </w:rPr>
              <w:t>48</w:t>
            </w:r>
          </w:p>
        </w:tc>
      </w:tr>
    </w:tbl>
    <w:p w14:paraId="39B3A1E8" w14:textId="1016A1CC" w:rsidR="00B549D5" w:rsidRPr="00BB34E7" w:rsidRDefault="00B549D5" w:rsidP="00E52F0F">
      <w:pPr>
        <w:spacing w:after="0" w:line="360" w:lineRule="auto"/>
        <w:ind w:left="-6"/>
        <w:jc w:val="both"/>
        <w:rPr>
          <w:sz w:val="20"/>
          <w:lang w:val="en-GB"/>
        </w:rPr>
      </w:pPr>
      <w:r w:rsidRPr="00BB34E7">
        <w:rPr>
          <w:rFonts w:ascii="Calibri" w:eastAsia="Calibri" w:hAnsi="Calibri" w:cs="Calibri"/>
          <w:sz w:val="20"/>
          <w:lang w:val="en-GB"/>
        </w:rPr>
        <w:t xml:space="preserve">Table </w:t>
      </w:r>
      <w:r w:rsidR="002577C6" w:rsidRPr="00BB34E7">
        <w:rPr>
          <w:rFonts w:ascii="Calibri" w:eastAsia="Calibri" w:hAnsi="Calibri" w:cs="Calibri"/>
          <w:sz w:val="20"/>
          <w:lang w:val="en-GB"/>
        </w:rPr>
        <w:t>5</w:t>
      </w:r>
      <w:r w:rsidRPr="00BB34E7">
        <w:rPr>
          <w:rFonts w:ascii="Calibri" w:eastAsia="Calibri" w:hAnsi="Calibri" w:cs="Calibri"/>
          <w:sz w:val="20"/>
          <w:lang w:val="en-GB"/>
        </w:rPr>
        <w:t>.1: Demographic information of the Guardian's readers (theguardian.com, 2010</w:t>
      </w:r>
      <w:r w:rsidR="00025B71" w:rsidRPr="00BB34E7">
        <w:rPr>
          <w:rFonts w:ascii="Calibri" w:eastAsia="Calibri" w:hAnsi="Calibri" w:cs="Calibri"/>
          <w:sz w:val="20"/>
          <w:lang w:val="en-GB"/>
        </w:rPr>
        <w:t xml:space="preserve">; </w:t>
      </w:r>
      <w:r w:rsidR="009363A8" w:rsidRPr="00BB34E7">
        <w:rPr>
          <w:rFonts w:ascii="Calibri" w:eastAsia="Calibri" w:hAnsi="Calibri" w:cs="Calibri"/>
          <w:sz w:val="20"/>
          <w:lang w:val="en-GB"/>
        </w:rPr>
        <w:t>“</w:t>
      </w:r>
      <w:r w:rsidR="00025B71" w:rsidRPr="00BB34E7">
        <w:rPr>
          <w:rFonts w:ascii="Calibri" w:eastAsia="Calibri" w:hAnsi="Calibri" w:cs="Calibri"/>
          <w:sz w:val="20"/>
          <w:lang w:val="en-GB"/>
        </w:rPr>
        <w:t>Guardian key stat</w:t>
      </w:r>
      <w:r w:rsidR="009363A8" w:rsidRPr="00BB34E7">
        <w:rPr>
          <w:rFonts w:ascii="Calibri" w:eastAsia="Calibri" w:hAnsi="Calibri" w:cs="Calibri"/>
          <w:sz w:val="20"/>
          <w:lang w:val="en-GB"/>
        </w:rPr>
        <w:t>s”</w:t>
      </w:r>
      <w:r w:rsidR="00025B71" w:rsidRPr="00BB34E7">
        <w:rPr>
          <w:rFonts w:ascii="Calibri" w:eastAsia="Calibri" w:hAnsi="Calibri" w:cs="Calibri"/>
          <w:sz w:val="20"/>
          <w:lang w:val="en-GB"/>
        </w:rPr>
        <w:t>, 2016</w:t>
      </w:r>
      <w:r w:rsidRPr="00BB34E7">
        <w:rPr>
          <w:rFonts w:ascii="Calibri" w:eastAsia="Calibri" w:hAnsi="Calibri" w:cs="Calibri"/>
          <w:sz w:val="20"/>
          <w:lang w:val="en-GB"/>
        </w:rPr>
        <w:t>)</w:t>
      </w:r>
    </w:p>
    <w:p w14:paraId="6FE55A48" w14:textId="77777777" w:rsidR="00A719D4" w:rsidRDefault="00A719D4" w:rsidP="00E52F0F">
      <w:pPr>
        <w:spacing w:after="0" w:line="360" w:lineRule="auto"/>
        <w:ind w:left="-6" w:firstLine="816"/>
        <w:jc w:val="both"/>
        <w:rPr>
          <w:rFonts w:ascii="Calibri" w:eastAsia="Calibri" w:hAnsi="Calibri" w:cs="Calibri"/>
          <w:lang w:val="en-GB"/>
        </w:rPr>
      </w:pPr>
    </w:p>
    <w:p w14:paraId="3B571BA5" w14:textId="1AC895A2" w:rsidR="00B549D5" w:rsidRDefault="002A3AD6" w:rsidP="00E52F0F">
      <w:pPr>
        <w:spacing w:after="0" w:line="360" w:lineRule="auto"/>
        <w:ind w:left="-6" w:firstLine="816"/>
        <w:jc w:val="both"/>
        <w:rPr>
          <w:rFonts w:ascii="Calibri" w:eastAsia="Calibri" w:hAnsi="Calibri" w:cs="Calibri"/>
          <w:lang w:val="en-GB"/>
        </w:rPr>
      </w:pPr>
      <w:r>
        <w:rPr>
          <w:rFonts w:ascii="Calibri" w:eastAsia="Calibri" w:hAnsi="Calibri" w:cs="Calibri"/>
          <w:lang w:val="en-GB"/>
        </w:rPr>
        <w:t>As the table shows, m</w:t>
      </w:r>
      <w:r w:rsidR="00B549D5" w:rsidRPr="00381C71">
        <w:rPr>
          <w:rFonts w:ascii="Calibri" w:eastAsia="Calibri" w:hAnsi="Calibri" w:cs="Calibri"/>
          <w:lang w:val="en-GB"/>
        </w:rPr>
        <w:t>ore than half of Guardian readers finished their education after turning 18 years old</w:t>
      </w:r>
      <w:r w:rsidR="009363A8">
        <w:rPr>
          <w:rFonts w:ascii="Calibri" w:eastAsia="Calibri" w:hAnsi="Calibri" w:cs="Calibri"/>
          <w:lang w:val="en-GB"/>
        </w:rPr>
        <w:t>, and 84 per cent attained a university degree or above</w:t>
      </w:r>
      <w:r w:rsidR="00B549D5" w:rsidRPr="00381C71">
        <w:rPr>
          <w:rFonts w:ascii="Calibri" w:eastAsia="Calibri" w:hAnsi="Calibri" w:cs="Calibri"/>
          <w:lang w:val="en-GB"/>
        </w:rPr>
        <w:t>. As can be seen</w:t>
      </w:r>
      <w:r w:rsidR="000941BF">
        <w:rPr>
          <w:rFonts w:ascii="Calibri" w:eastAsia="Calibri" w:hAnsi="Calibri" w:cs="Calibri"/>
          <w:lang w:val="en-GB"/>
        </w:rPr>
        <w:t xml:space="preserve"> above</w:t>
      </w:r>
      <w:r w:rsidR="00B549D5" w:rsidRPr="00381C71">
        <w:rPr>
          <w:rFonts w:ascii="Calibri" w:eastAsia="Calibri" w:hAnsi="Calibri" w:cs="Calibri"/>
          <w:lang w:val="en-GB"/>
        </w:rPr>
        <w:t>, there is a more or less even division of age groups, as well as of male and female readers</w:t>
      </w:r>
      <w:r w:rsidR="00B549D5" w:rsidRPr="00AF662F">
        <w:rPr>
          <w:rFonts w:ascii="Calibri" w:eastAsia="Calibri" w:hAnsi="Calibri" w:cs="Calibri"/>
          <w:lang w:val="en-GB"/>
        </w:rPr>
        <w:t>. The latter is important: if the readership was not approximately gender equal, the language and arguments used by the Guardian could perhaps be tailored to the dominant idea of what female or male re</w:t>
      </w:r>
      <w:r w:rsidR="00B549D5">
        <w:rPr>
          <w:rFonts w:ascii="Calibri" w:eastAsia="Calibri" w:hAnsi="Calibri" w:cs="Calibri"/>
          <w:lang w:val="en-GB"/>
        </w:rPr>
        <w:t>aders are accustomed to. Although an equal amount of female and male readers will not remove all linguistic bias towards certain power relations – for example, that men are less likely to care for children –, the extent to which they are uncritically reflected should be less. Furthermore, m</w:t>
      </w:r>
      <w:r w:rsidR="00B549D5" w:rsidRPr="00381C71">
        <w:rPr>
          <w:rFonts w:ascii="Calibri" w:eastAsia="Calibri" w:hAnsi="Calibri" w:cs="Calibri"/>
          <w:lang w:val="en-GB"/>
        </w:rPr>
        <w:t>ore than forty percent of the Guardian readers work full-time. All in all, the readership seems to be useful for the current analysis, as it allows me to generalise more than if the readers would only be below 30 or above 65, or only of one sex.</w:t>
      </w:r>
      <w:r w:rsidR="00B549D5">
        <w:rPr>
          <w:rFonts w:ascii="Calibri" w:eastAsia="Calibri" w:hAnsi="Calibri" w:cs="Calibri"/>
          <w:lang w:val="en-GB"/>
        </w:rPr>
        <w:t xml:space="preserve"> </w:t>
      </w:r>
    </w:p>
    <w:p w14:paraId="17CC6508" w14:textId="77777777" w:rsidR="00B549D5" w:rsidRPr="00381C71" w:rsidRDefault="00B549D5" w:rsidP="00E52F0F">
      <w:pPr>
        <w:spacing w:line="360" w:lineRule="auto"/>
        <w:ind w:left="-6" w:firstLine="816"/>
        <w:jc w:val="both"/>
        <w:rPr>
          <w:lang w:val="en-GB"/>
        </w:rPr>
      </w:pPr>
    </w:p>
    <w:p w14:paraId="174CA073" w14:textId="77777777" w:rsidR="00B549D5" w:rsidRPr="00CD7466" w:rsidRDefault="00B549D5" w:rsidP="00E52F0F">
      <w:pPr>
        <w:pStyle w:val="Heading2"/>
        <w:spacing w:line="360" w:lineRule="auto"/>
        <w:jc w:val="both"/>
        <w:rPr>
          <w:rFonts w:eastAsia="Calibri" w:cs="Calibri"/>
          <w:lang w:val="en-GB"/>
        </w:rPr>
      </w:pPr>
      <w:bookmarkStart w:id="62" w:name="h.skwuigafwgld" w:colFirst="0" w:colLast="0"/>
      <w:bookmarkStart w:id="63" w:name="_Toc458983417"/>
      <w:bookmarkEnd w:id="62"/>
      <w:r>
        <w:rPr>
          <w:rFonts w:eastAsia="Calibri" w:cs="Calibri"/>
          <w:lang w:val="en-GB"/>
        </w:rPr>
        <w:lastRenderedPageBreak/>
        <w:t>5</w:t>
      </w:r>
      <w:r w:rsidRPr="00CD7466">
        <w:rPr>
          <w:rFonts w:eastAsia="Calibri" w:cs="Calibri"/>
          <w:lang w:val="en-GB"/>
        </w:rPr>
        <w:t>.3. The discursive knot around terrorist attacks</w:t>
      </w:r>
      <w:bookmarkEnd w:id="63"/>
    </w:p>
    <w:p w14:paraId="71B42C9F" w14:textId="18EA9E58" w:rsidR="00B549D5" w:rsidRPr="00381C71" w:rsidRDefault="00B549D5" w:rsidP="00E52F0F">
      <w:pPr>
        <w:spacing w:after="0" w:line="360" w:lineRule="auto"/>
        <w:jc w:val="both"/>
        <w:rPr>
          <w:lang w:val="en-GB"/>
        </w:rPr>
      </w:pPr>
      <w:r w:rsidRPr="00381C71">
        <w:rPr>
          <w:rFonts w:ascii="Calibri" w:eastAsia="Calibri" w:hAnsi="Calibri" w:cs="Calibri"/>
          <w:lang w:val="en-GB"/>
        </w:rPr>
        <w:t xml:space="preserve">The main discourse strand of this research is </w:t>
      </w:r>
      <w:r>
        <w:rPr>
          <w:rFonts w:ascii="Calibri" w:eastAsia="Calibri" w:hAnsi="Calibri" w:cs="Calibri"/>
          <w:lang w:val="en-GB"/>
        </w:rPr>
        <w:t>‘</w:t>
      </w:r>
      <w:r w:rsidR="00875EDB">
        <w:rPr>
          <w:rFonts w:ascii="Calibri" w:eastAsia="Calibri" w:hAnsi="Calibri" w:cs="Calibri"/>
          <w:lang w:val="en-GB"/>
        </w:rPr>
        <w:t>victims, witnesses, and their relatives affected by</w:t>
      </w:r>
      <w:r>
        <w:rPr>
          <w:rFonts w:ascii="Calibri" w:eastAsia="Calibri" w:hAnsi="Calibri" w:cs="Calibri"/>
          <w:lang w:val="en-GB"/>
        </w:rPr>
        <w:t xml:space="preserve"> </w:t>
      </w:r>
      <w:r w:rsidRPr="00381C71">
        <w:rPr>
          <w:rFonts w:ascii="Calibri" w:eastAsia="Calibri" w:hAnsi="Calibri" w:cs="Calibri"/>
          <w:lang w:val="en-GB"/>
        </w:rPr>
        <w:t>terrorist attacks</w:t>
      </w:r>
      <w:r>
        <w:rPr>
          <w:rFonts w:ascii="Calibri" w:eastAsia="Calibri" w:hAnsi="Calibri" w:cs="Calibri"/>
          <w:lang w:val="en-GB"/>
        </w:rPr>
        <w:t>’</w:t>
      </w:r>
      <w:r w:rsidRPr="00381C71">
        <w:rPr>
          <w:rFonts w:ascii="Calibri" w:eastAsia="Calibri" w:hAnsi="Calibri" w:cs="Calibri"/>
          <w:lang w:val="en-GB"/>
        </w:rPr>
        <w:t>. Imagine the bundle of discourse strands entangled with terrorist attacks: it would be quite a big and messy bundle. This messy bundle can be recognised in the articles published about the Par</w:t>
      </w:r>
      <w:r>
        <w:rPr>
          <w:rFonts w:ascii="Calibri" w:eastAsia="Calibri" w:hAnsi="Calibri" w:cs="Calibri"/>
          <w:lang w:val="en-GB"/>
        </w:rPr>
        <w:t>is and Beirut attacks. T</w:t>
      </w:r>
      <w:r w:rsidRPr="00381C71">
        <w:rPr>
          <w:rFonts w:ascii="Calibri" w:eastAsia="Calibri" w:hAnsi="Calibri" w:cs="Calibri"/>
          <w:lang w:val="en-GB"/>
        </w:rPr>
        <w:t xml:space="preserve">errorism is not only linked with more obvious themes such as national and international politics, the economy, and war, but also with social media, sports, even fashion. Immediately after both the Beirut and the Paris attacks Lebanon and France established new national policies; mostly tighter security and new </w:t>
      </w:r>
      <w:r>
        <w:rPr>
          <w:rFonts w:ascii="Calibri" w:eastAsia="Calibri" w:hAnsi="Calibri" w:cs="Calibri"/>
          <w:lang w:val="en-GB"/>
        </w:rPr>
        <w:t>counter</w:t>
      </w:r>
      <w:r w:rsidRPr="00381C71">
        <w:rPr>
          <w:rFonts w:ascii="Calibri" w:eastAsia="Calibri" w:hAnsi="Calibri" w:cs="Calibri"/>
          <w:lang w:val="en-GB"/>
        </w:rPr>
        <w:t xml:space="preserve">-terrorism policies, but also, especially in the case of France, foreign policies aimed at the war in Syria. The attacks also sparked reactions from governments of other states, such as </w:t>
      </w:r>
      <w:r w:rsidR="00875EDB">
        <w:rPr>
          <w:rFonts w:ascii="Calibri" w:eastAsia="Calibri" w:hAnsi="Calibri" w:cs="Calibri"/>
          <w:lang w:val="en-GB"/>
        </w:rPr>
        <w:t xml:space="preserve">the </w:t>
      </w:r>
      <w:r w:rsidRPr="00381C71">
        <w:rPr>
          <w:rFonts w:ascii="Calibri" w:eastAsia="Calibri" w:hAnsi="Calibri" w:cs="Calibri"/>
          <w:lang w:val="en-GB"/>
        </w:rPr>
        <w:t>U</w:t>
      </w:r>
      <w:r w:rsidR="00875EDB">
        <w:rPr>
          <w:rFonts w:ascii="Calibri" w:eastAsia="Calibri" w:hAnsi="Calibri" w:cs="Calibri"/>
          <w:lang w:val="en-GB"/>
        </w:rPr>
        <w:t xml:space="preserve">nited </w:t>
      </w:r>
      <w:r w:rsidR="00C45D4D">
        <w:rPr>
          <w:rFonts w:ascii="Calibri" w:eastAsia="Calibri" w:hAnsi="Calibri" w:cs="Calibri"/>
          <w:lang w:val="en-GB"/>
        </w:rPr>
        <w:t>States’</w:t>
      </w:r>
      <w:r w:rsidR="00106FC1">
        <w:rPr>
          <w:rFonts w:ascii="Calibri" w:eastAsia="Calibri" w:hAnsi="Calibri" w:cs="Calibri"/>
          <w:lang w:val="en-GB"/>
        </w:rPr>
        <w:t xml:space="preserve"> President Barack Obama's, China's P</w:t>
      </w:r>
      <w:r w:rsidRPr="00381C71">
        <w:rPr>
          <w:rFonts w:ascii="Calibri" w:eastAsia="Calibri" w:hAnsi="Calibri" w:cs="Calibri"/>
          <w:lang w:val="en-GB"/>
        </w:rPr>
        <w:t>resi</w:t>
      </w:r>
      <w:r w:rsidR="00106FC1">
        <w:rPr>
          <w:rFonts w:ascii="Calibri" w:eastAsia="Calibri" w:hAnsi="Calibri" w:cs="Calibri"/>
          <w:lang w:val="en-GB"/>
        </w:rPr>
        <w:t>dent Xi Jingping's, and Iran's P</w:t>
      </w:r>
      <w:r w:rsidRPr="00381C71">
        <w:rPr>
          <w:rFonts w:ascii="Calibri" w:eastAsia="Calibri" w:hAnsi="Calibri" w:cs="Calibri"/>
          <w:lang w:val="en-GB"/>
        </w:rPr>
        <w:t xml:space="preserve">resident Hassan Rouhani's condemnation of the Paris attacks (McCurry and Rawlinson, 2015). An international collaboration was established among many European countries to further the investigation around the identities of the attackers in Paris, as well as to capture those attackers who had fled the scene. </w:t>
      </w:r>
      <w:r>
        <w:rPr>
          <w:rFonts w:ascii="Calibri" w:eastAsia="Calibri" w:hAnsi="Calibri" w:cs="Calibri"/>
          <w:lang w:val="en-GB"/>
        </w:rPr>
        <w:t>Furthermore</w:t>
      </w:r>
      <w:r w:rsidRPr="00381C71">
        <w:rPr>
          <w:rFonts w:ascii="Calibri" w:eastAsia="Calibri" w:hAnsi="Calibri" w:cs="Calibri"/>
          <w:lang w:val="en-GB"/>
        </w:rPr>
        <w:t xml:space="preserve">, the terrorist attacks were not only bound up with international policies directly related to terrorism; they were also bound up with the Conference of the Parties to the United Nations Convention (COP21) climate talks that were held from the 30th of November to the 12th of December 2015 in Paris. </w:t>
      </w:r>
      <w:r>
        <w:rPr>
          <w:rFonts w:ascii="Calibri" w:eastAsia="Calibri" w:hAnsi="Calibri" w:cs="Calibri"/>
          <w:lang w:val="en-GB"/>
        </w:rPr>
        <w:t>Discourses around c</w:t>
      </w:r>
      <w:r w:rsidRPr="00381C71">
        <w:rPr>
          <w:rFonts w:ascii="Calibri" w:eastAsia="Calibri" w:hAnsi="Calibri" w:cs="Calibri"/>
          <w:lang w:val="en-GB"/>
        </w:rPr>
        <w:t xml:space="preserve">limate change are of course bound up with </w:t>
      </w:r>
      <w:r>
        <w:rPr>
          <w:rFonts w:ascii="Calibri" w:eastAsia="Calibri" w:hAnsi="Calibri" w:cs="Calibri"/>
          <w:lang w:val="en-GB"/>
        </w:rPr>
        <w:t>discourses on</w:t>
      </w:r>
      <w:r w:rsidRPr="00381C71">
        <w:rPr>
          <w:rFonts w:ascii="Calibri" w:eastAsia="Calibri" w:hAnsi="Calibri" w:cs="Calibri"/>
          <w:lang w:val="en-GB"/>
        </w:rPr>
        <w:t xml:space="preserve"> economy, which is in turn entangled with discourse on terrorism through, for example, tourism, and the financing of the war on Isis. Isis can be regarded as a strand</w:t>
      </w:r>
      <w:r w:rsidR="00875EDB">
        <w:rPr>
          <w:rFonts w:ascii="Calibri" w:eastAsia="Calibri" w:hAnsi="Calibri" w:cs="Calibri"/>
          <w:lang w:val="en-GB"/>
        </w:rPr>
        <w:t xml:space="preserve"> in itself, which is </w:t>
      </w:r>
      <w:r w:rsidRPr="00381C71">
        <w:rPr>
          <w:rFonts w:ascii="Calibri" w:eastAsia="Calibri" w:hAnsi="Calibri" w:cs="Calibri"/>
          <w:lang w:val="en-GB"/>
        </w:rPr>
        <w:t xml:space="preserve">tied up </w:t>
      </w:r>
      <w:r w:rsidR="002A3AD6">
        <w:rPr>
          <w:rFonts w:ascii="Calibri" w:eastAsia="Calibri" w:hAnsi="Calibri" w:cs="Calibri"/>
          <w:lang w:val="en-GB"/>
        </w:rPr>
        <w:t>with the war in the Middle East and</w:t>
      </w:r>
      <w:r w:rsidRPr="00381C71">
        <w:rPr>
          <w:rFonts w:ascii="Calibri" w:eastAsia="Calibri" w:hAnsi="Calibri" w:cs="Calibri"/>
          <w:lang w:val="en-GB"/>
        </w:rPr>
        <w:t xml:space="preserve"> with the dis</w:t>
      </w:r>
      <w:r w:rsidR="002A3AD6">
        <w:rPr>
          <w:rFonts w:ascii="Calibri" w:eastAsia="Calibri" w:hAnsi="Calibri" w:cs="Calibri"/>
          <w:lang w:val="en-GB"/>
        </w:rPr>
        <w:t>course on Islam</w:t>
      </w:r>
      <w:r w:rsidRPr="00381C71">
        <w:rPr>
          <w:rFonts w:ascii="Calibri" w:eastAsia="Calibri" w:hAnsi="Calibri" w:cs="Calibri"/>
          <w:lang w:val="en-GB"/>
        </w:rPr>
        <w:t>.</w:t>
      </w:r>
      <w:r w:rsidR="002A3AD6">
        <w:rPr>
          <w:rFonts w:ascii="Calibri" w:eastAsia="Calibri" w:hAnsi="Calibri" w:cs="Calibri"/>
          <w:lang w:val="en-GB"/>
        </w:rPr>
        <w:t xml:space="preserve"> Moreover, due to the amount of refugees fleeing the war in which Isis is involved, Isis is also entangled with the discourse on refugees.</w:t>
      </w:r>
      <w:r w:rsidRPr="00381C71">
        <w:rPr>
          <w:rFonts w:ascii="Calibri" w:eastAsia="Calibri" w:hAnsi="Calibri" w:cs="Calibri"/>
          <w:lang w:val="en-GB"/>
        </w:rPr>
        <w:t xml:space="preserve"> </w:t>
      </w:r>
    </w:p>
    <w:p w14:paraId="2820CF97" w14:textId="6E3B9681" w:rsidR="00B549D5" w:rsidRDefault="00B549D5" w:rsidP="00E52F0F">
      <w:pPr>
        <w:spacing w:after="0" w:line="360" w:lineRule="auto"/>
        <w:ind w:firstLine="720"/>
        <w:jc w:val="both"/>
        <w:rPr>
          <w:rFonts w:ascii="Calibri" w:eastAsia="Calibri" w:hAnsi="Calibri" w:cs="Calibri"/>
          <w:lang w:val="en-GB"/>
        </w:rPr>
      </w:pPr>
      <w:r>
        <w:rPr>
          <w:rFonts w:ascii="Calibri" w:eastAsia="Calibri" w:hAnsi="Calibri" w:cs="Calibri"/>
          <w:lang w:val="en-GB"/>
        </w:rPr>
        <w:t xml:space="preserve">The less obvious knots were those that linked terrorism and sports or entertainment events. The amount of </w:t>
      </w:r>
      <w:r w:rsidRPr="00381C71">
        <w:rPr>
          <w:rFonts w:ascii="Calibri" w:eastAsia="Calibri" w:hAnsi="Calibri" w:cs="Calibri"/>
          <w:lang w:val="en-GB"/>
        </w:rPr>
        <w:t xml:space="preserve">articles </w:t>
      </w:r>
      <w:r>
        <w:rPr>
          <w:rFonts w:ascii="Calibri" w:eastAsia="Calibri" w:hAnsi="Calibri" w:cs="Calibri"/>
          <w:lang w:val="en-GB"/>
        </w:rPr>
        <w:t>discussing</w:t>
      </w:r>
      <w:r w:rsidRPr="00381C71">
        <w:rPr>
          <w:rFonts w:ascii="Calibri" w:eastAsia="Calibri" w:hAnsi="Calibri" w:cs="Calibri"/>
          <w:lang w:val="en-GB"/>
        </w:rPr>
        <w:t xml:space="preserve"> the reaction of sp</w:t>
      </w:r>
      <w:r>
        <w:rPr>
          <w:rFonts w:ascii="Calibri" w:eastAsia="Calibri" w:hAnsi="Calibri" w:cs="Calibri"/>
          <w:lang w:val="en-GB"/>
        </w:rPr>
        <w:t>ort teams, matches, and coaches</w:t>
      </w:r>
      <w:r w:rsidRPr="00381C71">
        <w:rPr>
          <w:rFonts w:ascii="Calibri" w:eastAsia="Calibri" w:hAnsi="Calibri" w:cs="Calibri"/>
          <w:lang w:val="en-GB"/>
        </w:rPr>
        <w:t xml:space="preserve"> on the Paris attacks</w:t>
      </w:r>
      <w:r>
        <w:rPr>
          <w:rFonts w:ascii="Calibri" w:eastAsia="Calibri" w:hAnsi="Calibri" w:cs="Calibri"/>
          <w:lang w:val="en-GB"/>
        </w:rPr>
        <w:t xml:space="preserve"> was astonishing</w:t>
      </w:r>
      <w:r w:rsidRPr="00381C71">
        <w:rPr>
          <w:rFonts w:ascii="Calibri" w:eastAsia="Calibri" w:hAnsi="Calibri" w:cs="Calibri"/>
          <w:lang w:val="en-GB"/>
        </w:rPr>
        <w:t xml:space="preserve">. In the first few days, even weeks, after the attacks in Paris articles were published that mentioned </w:t>
      </w:r>
      <w:r>
        <w:rPr>
          <w:rFonts w:ascii="Calibri" w:eastAsia="Calibri" w:hAnsi="Calibri" w:cs="Calibri"/>
          <w:lang w:val="en-GB"/>
        </w:rPr>
        <w:t>whether or not a</w:t>
      </w:r>
      <w:r w:rsidRPr="00381C71">
        <w:rPr>
          <w:rFonts w:ascii="Calibri" w:eastAsia="Calibri" w:hAnsi="Calibri" w:cs="Calibri"/>
          <w:lang w:val="en-GB"/>
        </w:rPr>
        <w:t xml:space="preserve"> match would continue, what statement a specific team had published, or what state officials thought of matches </w:t>
      </w:r>
      <w:r>
        <w:rPr>
          <w:rFonts w:ascii="Calibri" w:eastAsia="Calibri" w:hAnsi="Calibri" w:cs="Calibri"/>
          <w:lang w:val="en-GB"/>
        </w:rPr>
        <w:t xml:space="preserve">continuing </w:t>
      </w:r>
      <w:r w:rsidRPr="00381C71">
        <w:rPr>
          <w:rFonts w:ascii="Calibri" w:eastAsia="Calibri" w:hAnsi="Calibri" w:cs="Calibri"/>
          <w:lang w:val="en-GB"/>
        </w:rPr>
        <w:t xml:space="preserve">or not. </w:t>
      </w:r>
      <w:r>
        <w:rPr>
          <w:rFonts w:ascii="Calibri" w:eastAsia="Calibri" w:hAnsi="Calibri" w:cs="Calibri"/>
          <w:lang w:val="en-GB"/>
        </w:rPr>
        <w:t>These types of statements could also be found in the articles concerned with the music industry. These texts did not</w:t>
      </w:r>
      <w:r w:rsidRPr="00381C71">
        <w:rPr>
          <w:rFonts w:ascii="Calibri" w:eastAsia="Calibri" w:hAnsi="Calibri" w:cs="Calibri"/>
          <w:lang w:val="en-GB"/>
        </w:rPr>
        <w:t xml:space="preserve"> </w:t>
      </w:r>
      <w:r>
        <w:rPr>
          <w:rFonts w:ascii="Calibri" w:eastAsia="Calibri" w:hAnsi="Calibri" w:cs="Calibri"/>
          <w:lang w:val="en-GB"/>
        </w:rPr>
        <w:t>just</w:t>
      </w:r>
      <w:r w:rsidRPr="00381C71">
        <w:rPr>
          <w:rFonts w:ascii="Calibri" w:eastAsia="Calibri" w:hAnsi="Calibri" w:cs="Calibri"/>
          <w:lang w:val="en-GB"/>
        </w:rPr>
        <w:t xml:space="preserve"> </w:t>
      </w:r>
      <w:r>
        <w:rPr>
          <w:rFonts w:ascii="Calibri" w:eastAsia="Calibri" w:hAnsi="Calibri" w:cs="Calibri"/>
          <w:lang w:val="en-GB"/>
        </w:rPr>
        <w:t>reflect</w:t>
      </w:r>
      <w:r w:rsidRPr="00381C71">
        <w:rPr>
          <w:rFonts w:ascii="Calibri" w:eastAsia="Calibri" w:hAnsi="Calibri" w:cs="Calibri"/>
          <w:lang w:val="en-GB"/>
        </w:rPr>
        <w:t xml:space="preserve"> the statements and actions of the band Eagles of Death Metal, who experienced the attacks first-hand by playing in the concert hall Bataclan where the attack with most fatalities</w:t>
      </w:r>
      <w:r>
        <w:rPr>
          <w:rFonts w:ascii="Calibri" w:eastAsia="Calibri" w:hAnsi="Calibri" w:cs="Calibri"/>
          <w:lang w:val="en-GB"/>
        </w:rPr>
        <w:t xml:space="preserve"> in Paris</w:t>
      </w:r>
      <w:r w:rsidRPr="00381C71">
        <w:rPr>
          <w:rFonts w:ascii="Calibri" w:eastAsia="Calibri" w:hAnsi="Calibri" w:cs="Calibri"/>
          <w:lang w:val="en-GB"/>
        </w:rPr>
        <w:t xml:space="preserve"> took place. </w:t>
      </w:r>
      <w:r w:rsidR="00875EDB">
        <w:rPr>
          <w:rFonts w:ascii="Calibri" w:eastAsia="Calibri" w:hAnsi="Calibri" w:cs="Calibri"/>
          <w:lang w:val="en-GB"/>
        </w:rPr>
        <w:t xml:space="preserve">Famous artists such as </w:t>
      </w:r>
      <w:r w:rsidRPr="00381C71">
        <w:rPr>
          <w:rFonts w:ascii="Calibri" w:eastAsia="Calibri" w:hAnsi="Calibri" w:cs="Calibri"/>
          <w:lang w:val="en-GB"/>
        </w:rPr>
        <w:t xml:space="preserve">Madonna, U2, Jared Leto, and Celine Dion also expressed their sympathy for the people in Paris by playing specific songs, or, as Madonna, giving an extra small concert for free on the streets of Paris. </w:t>
      </w:r>
      <w:r>
        <w:rPr>
          <w:rFonts w:ascii="Calibri" w:eastAsia="Calibri" w:hAnsi="Calibri" w:cs="Calibri"/>
          <w:lang w:val="en-GB"/>
        </w:rPr>
        <w:t xml:space="preserve">Another way in which sympathy with the victims of terrorist attacks was demonstrated was by including Parisian motifs in the menswear show of Louis Vuitton (Ferrier, 2016). </w:t>
      </w:r>
    </w:p>
    <w:p w14:paraId="0DC8A934" w14:textId="44164D73" w:rsidR="00B549D5" w:rsidRPr="00381C71" w:rsidRDefault="00B549D5" w:rsidP="00E52F0F">
      <w:pPr>
        <w:spacing w:after="0" w:line="360" w:lineRule="auto"/>
        <w:ind w:firstLine="720"/>
        <w:jc w:val="both"/>
        <w:rPr>
          <w:lang w:val="en-GB"/>
        </w:rPr>
      </w:pPr>
      <w:r>
        <w:rPr>
          <w:rFonts w:ascii="Calibri" w:eastAsia="Calibri" w:hAnsi="Calibri" w:cs="Calibri"/>
          <w:lang w:val="en-GB"/>
        </w:rPr>
        <w:t xml:space="preserve">The discursive knot around terrorist attacks is thus quite big, and relatively messy, with each strand being tied to almost all other strands. Nonetheless, certain power relations already start to appear. The articles that indirectly talk of terrorist attacks, for example by discussing whether a football match will </w:t>
      </w:r>
      <w:r>
        <w:rPr>
          <w:rFonts w:ascii="Calibri" w:eastAsia="Calibri" w:hAnsi="Calibri" w:cs="Calibri"/>
          <w:lang w:val="en-GB"/>
        </w:rPr>
        <w:lastRenderedPageBreak/>
        <w:t xml:space="preserve">continue or not, usually concern attacks in Western Europe. The discourses on the attacks in places outside of Western Europe or the Anglosphere are connected only with the more obvious discourse strands such as politics and war. As </w:t>
      </w:r>
      <w:r w:rsidR="00875EDB">
        <w:rPr>
          <w:rFonts w:ascii="Calibri" w:eastAsia="Calibri" w:hAnsi="Calibri" w:cs="Calibri"/>
          <w:lang w:val="en-GB"/>
        </w:rPr>
        <w:t>hypothesised</w:t>
      </w:r>
      <w:r>
        <w:rPr>
          <w:rFonts w:ascii="Calibri" w:eastAsia="Calibri" w:hAnsi="Calibri" w:cs="Calibri"/>
          <w:lang w:val="en-GB"/>
        </w:rPr>
        <w:t>, less attention is paid to the effects and reactions on attacks conducted outside Western Europe and the Anglosphere. Nevertheless, this does not yet tell us what exactly is stated in the discourses themselves, especially in the discourse strand of terrorist attacks.</w:t>
      </w:r>
    </w:p>
    <w:p w14:paraId="660FDF18" w14:textId="77777777" w:rsidR="00B549D5" w:rsidRPr="00381C71" w:rsidRDefault="00B549D5" w:rsidP="00E52F0F">
      <w:pPr>
        <w:spacing w:line="360" w:lineRule="auto"/>
        <w:jc w:val="both"/>
        <w:rPr>
          <w:lang w:val="en-GB"/>
        </w:rPr>
      </w:pPr>
    </w:p>
    <w:p w14:paraId="09EE8632" w14:textId="3F611D53" w:rsidR="00B549D5" w:rsidRPr="00CD7466" w:rsidRDefault="00B549D5" w:rsidP="00E52F0F">
      <w:pPr>
        <w:pStyle w:val="Heading2"/>
        <w:spacing w:line="360" w:lineRule="auto"/>
        <w:jc w:val="both"/>
        <w:rPr>
          <w:lang w:val="en-GB"/>
        </w:rPr>
      </w:pPr>
      <w:bookmarkStart w:id="64" w:name="h.y612ow4dnz32" w:colFirst="0" w:colLast="0"/>
      <w:bookmarkStart w:id="65" w:name="_Toc458983418"/>
      <w:bookmarkEnd w:id="64"/>
      <w:r>
        <w:rPr>
          <w:rFonts w:eastAsia="Calibri" w:cs="Calibri"/>
          <w:lang w:val="en-GB"/>
        </w:rPr>
        <w:t>5</w:t>
      </w:r>
      <w:r w:rsidRPr="00CD7466">
        <w:rPr>
          <w:rFonts w:eastAsia="Calibri" w:cs="Calibri"/>
          <w:lang w:val="en-GB"/>
        </w:rPr>
        <w:t>.</w:t>
      </w:r>
      <w:r w:rsidR="002A3AD6">
        <w:rPr>
          <w:rFonts w:eastAsia="Calibri" w:cs="Calibri"/>
          <w:lang w:val="en-GB"/>
        </w:rPr>
        <w:t>4</w:t>
      </w:r>
      <w:r w:rsidRPr="00CD7466">
        <w:rPr>
          <w:rFonts w:eastAsia="Calibri" w:cs="Calibri"/>
          <w:lang w:val="en-GB"/>
        </w:rPr>
        <w:t>. Discourse strand: Terrorist attacks</w:t>
      </w:r>
      <w:bookmarkEnd w:id="65"/>
      <w:r>
        <w:rPr>
          <w:rFonts w:eastAsia="Calibri" w:cs="Calibri"/>
          <w:lang w:val="en-GB"/>
        </w:rPr>
        <w:t xml:space="preserve"> </w:t>
      </w:r>
    </w:p>
    <w:p w14:paraId="1E9EE3EA" w14:textId="2CA611FB" w:rsidR="00B549D5" w:rsidRPr="00381C71" w:rsidRDefault="00B549D5" w:rsidP="00E52F0F">
      <w:pPr>
        <w:spacing w:after="0" w:line="360" w:lineRule="auto"/>
        <w:jc w:val="both"/>
        <w:rPr>
          <w:lang w:val="en-GB"/>
        </w:rPr>
      </w:pPr>
      <w:r w:rsidRPr="00381C71">
        <w:rPr>
          <w:rFonts w:ascii="Calibri" w:eastAsia="Calibri" w:hAnsi="Calibri" w:cs="Calibri"/>
          <w:lang w:val="en-GB"/>
        </w:rPr>
        <w:t xml:space="preserve">Due to the amount of strands in the bundle in which </w:t>
      </w:r>
      <w:r>
        <w:rPr>
          <w:rFonts w:ascii="Calibri" w:eastAsia="Calibri" w:hAnsi="Calibri" w:cs="Calibri"/>
          <w:lang w:val="en-GB"/>
        </w:rPr>
        <w:t>terrorist attacks are</w:t>
      </w:r>
      <w:r w:rsidRPr="00381C71">
        <w:rPr>
          <w:rFonts w:ascii="Calibri" w:eastAsia="Calibri" w:hAnsi="Calibri" w:cs="Calibri"/>
          <w:lang w:val="en-GB"/>
        </w:rPr>
        <w:t xml:space="preserve"> caught up, defining what exactly and singularly belongs to the strand of </w:t>
      </w:r>
      <w:r>
        <w:rPr>
          <w:rFonts w:ascii="Calibri" w:eastAsia="Calibri" w:hAnsi="Calibri" w:cs="Calibri"/>
          <w:lang w:val="en-GB"/>
        </w:rPr>
        <w:t>‘</w:t>
      </w:r>
      <w:r w:rsidR="00875EDB">
        <w:rPr>
          <w:rFonts w:ascii="Calibri" w:eastAsia="Calibri" w:hAnsi="Calibri" w:cs="Calibri"/>
          <w:lang w:val="en-GB"/>
        </w:rPr>
        <w:t>those affected by</w:t>
      </w:r>
      <w:r>
        <w:rPr>
          <w:rFonts w:ascii="Calibri" w:eastAsia="Calibri" w:hAnsi="Calibri" w:cs="Calibri"/>
          <w:lang w:val="en-GB"/>
        </w:rPr>
        <w:t xml:space="preserve"> terrorist attacks’</w:t>
      </w:r>
      <w:r w:rsidRPr="00381C71">
        <w:rPr>
          <w:rFonts w:ascii="Calibri" w:eastAsia="Calibri" w:hAnsi="Calibri" w:cs="Calibri"/>
          <w:lang w:val="en-GB"/>
        </w:rPr>
        <w:t xml:space="preserve"> is not an easy task. This task is further complicated by the limited amount of time available for this study, and the focus of the study. What is represented in the following paragraphs must therefore be seen as a representation of the discourses of terrorist attacks in the Guardian, mostly based on the coverage of the Beirut and Paris attacks. </w:t>
      </w:r>
      <w:r>
        <w:rPr>
          <w:rFonts w:ascii="Calibri" w:eastAsia="Calibri" w:hAnsi="Calibri" w:cs="Calibri"/>
          <w:lang w:val="en-GB"/>
        </w:rPr>
        <w:t>T</w:t>
      </w:r>
      <w:r w:rsidRPr="00381C71">
        <w:rPr>
          <w:rFonts w:ascii="Calibri" w:eastAsia="Calibri" w:hAnsi="Calibri" w:cs="Calibri"/>
          <w:lang w:val="en-GB"/>
        </w:rPr>
        <w:t xml:space="preserve">his limits the current study, </w:t>
      </w:r>
      <w:r>
        <w:rPr>
          <w:rFonts w:ascii="Calibri" w:eastAsia="Calibri" w:hAnsi="Calibri" w:cs="Calibri"/>
          <w:lang w:val="en-GB"/>
        </w:rPr>
        <w:t xml:space="preserve">as it prevents me from comparing the discourses about the terrorist attacks in Paris and Beirut to the general discourse on terror attacks in the Guardian. Nonetheless, </w:t>
      </w:r>
      <w:r w:rsidRPr="00381C71">
        <w:rPr>
          <w:rFonts w:ascii="Calibri" w:eastAsia="Calibri" w:hAnsi="Calibri" w:cs="Calibri"/>
          <w:lang w:val="en-GB"/>
        </w:rPr>
        <w:t xml:space="preserve">it also allows for an improvement with </w:t>
      </w:r>
      <w:r w:rsidR="00006D3D">
        <w:rPr>
          <w:rFonts w:ascii="Calibri" w:eastAsia="Calibri" w:hAnsi="Calibri" w:cs="Calibri"/>
          <w:lang w:val="en-GB"/>
        </w:rPr>
        <w:t>regard to the allocation of sub</w:t>
      </w:r>
      <w:r w:rsidRPr="00381C71">
        <w:rPr>
          <w:rFonts w:ascii="Calibri" w:eastAsia="Calibri" w:hAnsi="Calibri" w:cs="Calibri"/>
          <w:lang w:val="en-GB"/>
        </w:rPr>
        <w:t>themes to the s</w:t>
      </w:r>
      <w:r>
        <w:rPr>
          <w:rFonts w:ascii="Calibri" w:eastAsia="Calibri" w:hAnsi="Calibri" w:cs="Calibri"/>
          <w:lang w:val="en-GB"/>
        </w:rPr>
        <w:t>trand, as the strand itself is already more specific.</w:t>
      </w:r>
    </w:p>
    <w:p w14:paraId="509A40E1" w14:textId="1713EBC1" w:rsidR="00B549D5" w:rsidRDefault="00B549D5" w:rsidP="00E52F0F">
      <w:pPr>
        <w:spacing w:after="0" w:line="360" w:lineRule="auto"/>
        <w:ind w:firstLine="720"/>
        <w:jc w:val="both"/>
        <w:rPr>
          <w:rFonts w:ascii="Calibri" w:eastAsia="Calibri" w:hAnsi="Calibri" w:cs="Calibri"/>
          <w:lang w:val="en-GB"/>
        </w:rPr>
      </w:pPr>
      <w:r w:rsidRPr="00381C71">
        <w:rPr>
          <w:rFonts w:ascii="Calibri" w:eastAsia="Calibri" w:hAnsi="Calibri" w:cs="Calibri"/>
          <w:lang w:val="en-GB"/>
        </w:rPr>
        <w:t>The discourse strand of terrorist attacks</w:t>
      </w:r>
      <w:r>
        <w:rPr>
          <w:rFonts w:ascii="Calibri" w:eastAsia="Calibri" w:hAnsi="Calibri" w:cs="Calibri"/>
          <w:lang w:val="en-GB"/>
        </w:rPr>
        <w:t xml:space="preserve"> has several characteristics. Firstly</w:t>
      </w:r>
      <w:r w:rsidRPr="00381C71">
        <w:rPr>
          <w:rFonts w:ascii="Calibri" w:eastAsia="Calibri" w:hAnsi="Calibri" w:cs="Calibri"/>
          <w:lang w:val="en-GB"/>
        </w:rPr>
        <w:t xml:space="preserve">, a terrorist attacks is always described as a negative event. Terrorism is </w:t>
      </w:r>
      <w:r w:rsidR="002A3AD6">
        <w:rPr>
          <w:rFonts w:ascii="Calibri" w:eastAsia="Calibri" w:hAnsi="Calibri" w:cs="Calibri"/>
          <w:lang w:val="en-GB"/>
        </w:rPr>
        <w:t xml:space="preserve">often regarded to be </w:t>
      </w:r>
      <w:r w:rsidRPr="00381C71">
        <w:rPr>
          <w:rFonts w:ascii="Calibri" w:eastAsia="Calibri" w:hAnsi="Calibri" w:cs="Calibri"/>
          <w:lang w:val="en-GB"/>
        </w:rPr>
        <w:t>morally unforgivable, because it is aimed at non-combatants, usually civilians, who are described as innocent victims</w:t>
      </w:r>
      <w:r w:rsidR="002A3AD6">
        <w:rPr>
          <w:rFonts w:ascii="Calibri" w:eastAsia="Calibri" w:hAnsi="Calibri" w:cs="Calibri"/>
          <w:lang w:val="en-GB"/>
        </w:rPr>
        <w:t xml:space="preserve"> (Robinson, 2008; Safi, 2015; Willsher, Harding, </w:t>
      </w:r>
      <w:r w:rsidR="00BE553E">
        <w:rPr>
          <w:rFonts w:ascii="Calibri" w:eastAsia="Calibri" w:hAnsi="Calibri" w:cs="Calibri"/>
          <w:lang w:val="en-GB"/>
        </w:rPr>
        <w:t>and</w:t>
      </w:r>
      <w:r w:rsidR="002A3AD6">
        <w:rPr>
          <w:rFonts w:ascii="Calibri" w:eastAsia="Calibri" w:hAnsi="Calibri" w:cs="Calibri"/>
          <w:lang w:val="en-GB"/>
        </w:rPr>
        <w:t xml:space="preserve"> Graham-Harrison, 2015)</w:t>
      </w:r>
      <w:r w:rsidRPr="00381C71">
        <w:rPr>
          <w:rFonts w:ascii="Calibri" w:eastAsia="Calibri" w:hAnsi="Calibri" w:cs="Calibri"/>
          <w:lang w:val="en-GB"/>
        </w:rPr>
        <w:t>. Not only the people directly affected, but their relatives also suffer, because their loved ones have unexpectedly been taken away from them</w:t>
      </w:r>
      <w:r>
        <w:rPr>
          <w:rFonts w:ascii="Calibri" w:eastAsia="Calibri" w:hAnsi="Calibri" w:cs="Calibri"/>
          <w:lang w:val="en-GB"/>
        </w:rPr>
        <w:t>. If attacks are not considered morally unforgivable, the</w:t>
      </w:r>
      <w:r w:rsidR="00875EDB">
        <w:rPr>
          <w:rFonts w:ascii="Calibri" w:eastAsia="Calibri" w:hAnsi="Calibri" w:cs="Calibri"/>
          <w:lang w:val="en-GB"/>
        </w:rPr>
        <w:t xml:space="preserve"> attackers</w:t>
      </w:r>
      <w:r>
        <w:rPr>
          <w:rFonts w:ascii="Calibri" w:eastAsia="Calibri" w:hAnsi="Calibri" w:cs="Calibri"/>
          <w:lang w:val="en-GB"/>
        </w:rPr>
        <w:t xml:space="preserve"> are usually given another d</w:t>
      </w:r>
      <w:r w:rsidR="00875EDB">
        <w:rPr>
          <w:rFonts w:ascii="Calibri" w:eastAsia="Calibri" w:hAnsi="Calibri" w:cs="Calibri"/>
          <w:lang w:val="en-GB"/>
        </w:rPr>
        <w:t>escription, such as a guerrillas or</w:t>
      </w:r>
      <w:r>
        <w:rPr>
          <w:rFonts w:ascii="Calibri" w:eastAsia="Calibri" w:hAnsi="Calibri" w:cs="Calibri"/>
          <w:lang w:val="en-GB"/>
        </w:rPr>
        <w:t xml:space="preserve"> freedom fighters</w:t>
      </w:r>
      <w:r w:rsidR="002A3AD6">
        <w:rPr>
          <w:rFonts w:ascii="Calibri" w:eastAsia="Calibri" w:hAnsi="Calibri" w:cs="Calibri"/>
          <w:lang w:val="en-GB"/>
        </w:rPr>
        <w:t>, or another discourse is adopted, focusing on how the</w:t>
      </w:r>
      <w:r w:rsidR="00875EDB">
        <w:rPr>
          <w:rFonts w:ascii="Calibri" w:eastAsia="Calibri" w:hAnsi="Calibri" w:cs="Calibri"/>
          <w:lang w:val="en-GB"/>
        </w:rPr>
        <w:t xml:space="preserve"> receiving country has incited the</w:t>
      </w:r>
      <w:r w:rsidR="002A3AD6">
        <w:rPr>
          <w:rFonts w:ascii="Calibri" w:eastAsia="Calibri" w:hAnsi="Calibri" w:cs="Calibri"/>
          <w:lang w:val="en-GB"/>
        </w:rPr>
        <w:t xml:space="preserve"> terrorist act (Robinson, 2008)</w:t>
      </w:r>
      <w:r>
        <w:rPr>
          <w:rFonts w:ascii="Calibri" w:eastAsia="Calibri" w:hAnsi="Calibri" w:cs="Calibri"/>
          <w:lang w:val="en-GB"/>
        </w:rPr>
        <w:t>.</w:t>
      </w:r>
      <w:r w:rsidRPr="00381C71">
        <w:rPr>
          <w:rFonts w:ascii="Calibri" w:eastAsia="Calibri" w:hAnsi="Calibri" w:cs="Calibri"/>
          <w:lang w:val="en-GB"/>
        </w:rPr>
        <w:t xml:space="preserve"> Another distinctive feature of a terrorist attack is that the amount of people simultaneously performing such an attack is quite low; usually it is no more than ten individuals</w:t>
      </w:r>
      <w:r>
        <w:rPr>
          <w:rFonts w:ascii="Calibri" w:eastAsia="Calibri" w:hAnsi="Calibri" w:cs="Calibri"/>
          <w:lang w:val="en-GB"/>
        </w:rPr>
        <w:t xml:space="preserve">. Suicide bombing has become a </w:t>
      </w:r>
      <w:r w:rsidRPr="00381C71">
        <w:rPr>
          <w:rFonts w:ascii="Calibri" w:eastAsia="Calibri" w:hAnsi="Calibri" w:cs="Calibri"/>
          <w:lang w:val="en-GB"/>
        </w:rPr>
        <w:t>recurring method used in terrorist attacks; by detonating a bomb which is</w:t>
      </w:r>
      <w:r w:rsidR="00BE4857">
        <w:rPr>
          <w:rFonts w:ascii="Calibri" w:eastAsia="Calibri" w:hAnsi="Calibri" w:cs="Calibri"/>
          <w:lang w:val="en-GB"/>
        </w:rPr>
        <w:t xml:space="preserve"> attached</w:t>
      </w:r>
      <w:r w:rsidRPr="00381C71">
        <w:rPr>
          <w:rFonts w:ascii="Calibri" w:eastAsia="Calibri" w:hAnsi="Calibri" w:cs="Calibri"/>
          <w:lang w:val="en-GB"/>
        </w:rPr>
        <w:t xml:space="preserve"> </w:t>
      </w:r>
      <w:r>
        <w:rPr>
          <w:rFonts w:ascii="Calibri" w:eastAsia="Calibri" w:hAnsi="Calibri" w:cs="Calibri"/>
          <w:lang w:val="en-GB"/>
        </w:rPr>
        <w:t>to the body, the attacker</w:t>
      </w:r>
      <w:r w:rsidRPr="00381C71">
        <w:rPr>
          <w:rFonts w:ascii="Calibri" w:eastAsia="Calibri" w:hAnsi="Calibri" w:cs="Calibri"/>
          <w:lang w:val="en-GB"/>
        </w:rPr>
        <w:t xml:space="preserve"> </w:t>
      </w:r>
      <w:r w:rsidR="00BE4857">
        <w:rPr>
          <w:rFonts w:ascii="Calibri" w:eastAsia="Calibri" w:hAnsi="Calibri" w:cs="Calibri"/>
          <w:lang w:val="en-GB"/>
        </w:rPr>
        <w:t>kill</w:t>
      </w:r>
      <w:r w:rsidRPr="00381C71">
        <w:rPr>
          <w:rFonts w:ascii="Calibri" w:eastAsia="Calibri" w:hAnsi="Calibri" w:cs="Calibri"/>
          <w:lang w:val="en-GB"/>
        </w:rPr>
        <w:t xml:space="preserve"> several people </w:t>
      </w:r>
      <w:r w:rsidR="00BE4857">
        <w:rPr>
          <w:rFonts w:ascii="Calibri" w:eastAsia="Calibri" w:hAnsi="Calibri" w:cs="Calibri"/>
          <w:lang w:val="en-GB"/>
        </w:rPr>
        <w:t>with his/her own death</w:t>
      </w:r>
      <w:r w:rsidR="00A53F50">
        <w:rPr>
          <w:rFonts w:ascii="Calibri" w:eastAsia="Calibri" w:hAnsi="Calibri" w:cs="Calibri"/>
          <w:lang w:val="en-GB"/>
        </w:rPr>
        <w:t xml:space="preserve"> (Schweitzer, 2000)</w:t>
      </w:r>
      <w:r w:rsidRPr="00381C71">
        <w:rPr>
          <w:rFonts w:ascii="Calibri" w:eastAsia="Calibri" w:hAnsi="Calibri" w:cs="Calibri"/>
          <w:lang w:val="en-GB"/>
        </w:rPr>
        <w:t>. The amount of people killed by terrorist attacks may differ substantially; nevertheless, the aim of terrorist attacks is always portrayed as killing as many people as possible</w:t>
      </w:r>
      <w:r w:rsidR="002A3AD6">
        <w:rPr>
          <w:rFonts w:ascii="Calibri" w:eastAsia="Calibri" w:hAnsi="Calibri" w:cs="Calibri"/>
          <w:lang w:val="en-GB"/>
        </w:rPr>
        <w:t>, and inflicting fear and anxiety (</w:t>
      </w:r>
      <w:r w:rsidR="00A53F50">
        <w:rPr>
          <w:rFonts w:ascii="Calibri" w:eastAsia="Calibri" w:hAnsi="Calibri" w:cs="Calibri"/>
          <w:lang w:val="en-GB"/>
        </w:rPr>
        <w:t>Schweitzer, 2000)</w:t>
      </w:r>
      <w:r w:rsidRPr="00381C71">
        <w:rPr>
          <w:rFonts w:ascii="Calibri" w:eastAsia="Calibri" w:hAnsi="Calibri" w:cs="Calibri"/>
          <w:lang w:val="en-GB"/>
        </w:rPr>
        <w:t>. If no one but the attacker was killed, th</w:t>
      </w:r>
      <w:r>
        <w:rPr>
          <w:rFonts w:ascii="Calibri" w:eastAsia="Calibri" w:hAnsi="Calibri" w:cs="Calibri"/>
          <w:lang w:val="en-GB"/>
        </w:rPr>
        <w:t>e attack may be described as a ‘failed’</w:t>
      </w:r>
      <w:r w:rsidRPr="00381C71">
        <w:rPr>
          <w:rFonts w:ascii="Calibri" w:eastAsia="Calibri" w:hAnsi="Calibri" w:cs="Calibri"/>
          <w:lang w:val="en-GB"/>
        </w:rPr>
        <w:t xml:space="preserve"> terrorist attack. The attackers usually kill on the basis</w:t>
      </w:r>
      <w:r>
        <w:rPr>
          <w:rFonts w:ascii="Calibri" w:eastAsia="Calibri" w:hAnsi="Calibri" w:cs="Calibri"/>
          <w:lang w:val="en-GB"/>
        </w:rPr>
        <w:t xml:space="preserve"> of an ideological </w:t>
      </w:r>
      <w:r w:rsidR="00BE4857">
        <w:rPr>
          <w:rFonts w:ascii="Calibri" w:eastAsia="Calibri" w:hAnsi="Calibri" w:cs="Calibri"/>
          <w:lang w:val="en-GB"/>
        </w:rPr>
        <w:t>standpoint:</w:t>
      </w:r>
      <w:r w:rsidRPr="00381C71">
        <w:rPr>
          <w:rFonts w:ascii="Calibri" w:eastAsia="Calibri" w:hAnsi="Calibri" w:cs="Calibri"/>
          <w:lang w:val="en-GB"/>
        </w:rPr>
        <w:t xml:space="preserve"> they attack for what </w:t>
      </w:r>
      <w:r>
        <w:rPr>
          <w:rFonts w:ascii="Calibri" w:eastAsia="Calibri" w:hAnsi="Calibri" w:cs="Calibri"/>
          <w:lang w:val="en-GB"/>
        </w:rPr>
        <w:t>in their eyes is ‘the greater good’</w:t>
      </w:r>
      <w:r w:rsidRPr="00381C71">
        <w:rPr>
          <w:rFonts w:ascii="Calibri" w:eastAsia="Calibri" w:hAnsi="Calibri" w:cs="Calibri"/>
          <w:lang w:val="en-GB"/>
        </w:rPr>
        <w:t xml:space="preserve"> that should be reality</w:t>
      </w:r>
      <w:r w:rsidR="00A53F50">
        <w:rPr>
          <w:rFonts w:ascii="Calibri" w:eastAsia="Calibri" w:hAnsi="Calibri" w:cs="Calibri"/>
          <w:lang w:val="en-GB"/>
        </w:rPr>
        <w:t xml:space="preserve"> (Srenshaw, 1988; Blomberg, Gaibulloev, </w:t>
      </w:r>
      <w:r w:rsidR="00BE553E">
        <w:rPr>
          <w:rFonts w:ascii="Calibri" w:eastAsia="Calibri" w:hAnsi="Calibri" w:cs="Calibri"/>
          <w:lang w:val="en-GB"/>
        </w:rPr>
        <w:t>and</w:t>
      </w:r>
      <w:r w:rsidR="00A53F50">
        <w:rPr>
          <w:rFonts w:ascii="Calibri" w:eastAsia="Calibri" w:hAnsi="Calibri" w:cs="Calibri"/>
          <w:lang w:val="en-GB"/>
        </w:rPr>
        <w:t xml:space="preserve"> Sandler, 2011)</w:t>
      </w:r>
      <w:r w:rsidRPr="00381C71">
        <w:rPr>
          <w:rFonts w:ascii="Calibri" w:eastAsia="Calibri" w:hAnsi="Calibri" w:cs="Calibri"/>
          <w:lang w:val="en-GB"/>
        </w:rPr>
        <w:t>. In general, a te</w:t>
      </w:r>
      <w:r w:rsidR="00BE4857">
        <w:rPr>
          <w:rFonts w:ascii="Calibri" w:eastAsia="Calibri" w:hAnsi="Calibri" w:cs="Calibri"/>
          <w:lang w:val="en-GB"/>
        </w:rPr>
        <w:t>rrorist attack has a big impact:</w:t>
      </w:r>
      <w:r w:rsidRPr="00381C71">
        <w:rPr>
          <w:rFonts w:ascii="Calibri" w:eastAsia="Calibri" w:hAnsi="Calibri" w:cs="Calibri"/>
          <w:lang w:val="en-GB"/>
        </w:rPr>
        <w:t xml:space="preserve"> not only are people killed, the area is damaged, and it has a big psychological impact on the survivors, as well as on </w:t>
      </w:r>
      <w:r>
        <w:rPr>
          <w:rFonts w:ascii="Calibri" w:eastAsia="Calibri" w:hAnsi="Calibri" w:cs="Calibri"/>
          <w:lang w:val="en-GB"/>
        </w:rPr>
        <w:t>many relatives and inhabitants of the area</w:t>
      </w:r>
      <w:r w:rsidR="00A53F50">
        <w:rPr>
          <w:rFonts w:ascii="Calibri" w:eastAsia="Calibri" w:hAnsi="Calibri" w:cs="Calibri"/>
          <w:lang w:val="en-GB"/>
        </w:rPr>
        <w:t xml:space="preserve"> (Sweitzer, 2000; Robinson, 2008)</w:t>
      </w:r>
      <w:r w:rsidRPr="00381C71">
        <w:rPr>
          <w:rFonts w:ascii="Calibri" w:eastAsia="Calibri" w:hAnsi="Calibri" w:cs="Calibri"/>
          <w:lang w:val="en-GB"/>
        </w:rPr>
        <w:t>.</w:t>
      </w:r>
      <w:r>
        <w:rPr>
          <w:rFonts w:ascii="Calibri" w:eastAsia="Calibri" w:hAnsi="Calibri" w:cs="Calibri"/>
          <w:lang w:val="en-GB"/>
        </w:rPr>
        <w:t xml:space="preserve"> Moreover, its effects may be felt by p</w:t>
      </w:r>
      <w:r w:rsidR="003107A7">
        <w:rPr>
          <w:rFonts w:ascii="Calibri" w:eastAsia="Calibri" w:hAnsi="Calibri" w:cs="Calibri"/>
          <w:lang w:val="en-GB"/>
        </w:rPr>
        <w:t xml:space="preserve">eople geographically far away: </w:t>
      </w:r>
      <w:r>
        <w:rPr>
          <w:rFonts w:ascii="Calibri" w:eastAsia="Calibri" w:hAnsi="Calibri" w:cs="Calibri"/>
          <w:lang w:val="en-GB"/>
        </w:rPr>
        <w:t>people who</w:t>
      </w:r>
      <w:r w:rsidRPr="00381C71">
        <w:rPr>
          <w:rFonts w:ascii="Calibri" w:eastAsia="Calibri" w:hAnsi="Calibri" w:cs="Calibri"/>
          <w:lang w:val="en-GB"/>
        </w:rPr>
        <w:t xml:space="preserve"> identify with the scene of</w:t>
      </w:r>
      <w:r>
        <w:rPr>
          <w:rFonts w:ascii="Calibri" w:eastAsia="Calibri" w:hAnsi="Calibri" w:cs="Calibri"/>
          <w:lang w:val="en-GB"/>
        </w:rPr>
        <w:t xml:space="preserve"> the attack and/or the victims may start fearing for their own lives. </w:t>
      </w:r>
      <w:r w:rsidR="00A53F50">
        <w:rPr>
          <w:rFonts w:ascii="Calibri" w:eastAsia="Calibri" w:hAnsi="Calibri" w:cs="Calibri"/>
          <w:lang w:val="en-GB"/>
        </w:rPr>
        <w:t xml:space="preserve">The full media </w:t>
      </w:r>
      <w:r w:rsidR="00A53F50">
        <w:rPr>
          <w:rFonts w:ascii="Calibri" w:eastAsia="Calibri" w:hAnsi="Calibri" w:cs="Calibri"/>
          <w:lang w:val="en-GB"/>
        </w:rPr>
        <w:lastRenderedPageBreak/>
        <w:t xml:space="preserve">coverage of attacks is increases this feature (Sweitzer, 2000). </w:t>
      </w:r>
      <w:r w:rsidR="00BE4857">
        <w:rPr>
          <w:rFonts w:ascii="Calibri" w:eastAsia="Calibri" w:hAnsi="Calibri" w:cs="Calibri"/>
          <w:lang w:val="en-GB"/>
        </w:rPr>
        <w:t>T</w:t>
      </w:r>
      <w:r>
        <w:rPr>
          <w:rFonts w:ascii="Calibri" w:eastAsia="Calibri" w:hAnsi="Calibri" w:cs="Calibri"/>
          <w:lang w:val="en-GB"/>
        </w:rPr>
        <w:t xml:space="preserve">errorist attacks are </w:t>
      </w:r>
      <w:r w:rsidR="00A53F50">
        <w:rPr>
          <w:rFonts w:ascii="Calibri" w:eastAsia="Calibri" w:hAnsi="Calibri" w:cs="Calibri"/>
          <w:lang w:val="en-GB"/>
        </w:rPr>
        <w:t xml:space="preserve">regularly </w:t>
      </w:r>
      <w:r>
        <w:rPr>
          <w:rFonts w:ascii="Calibri" w:eastAsia="Calibri" w:hAnsi="Calibri" w:cs="Calibri"/>
          <w:lang w:val="en-GB"/>
        </w:rPr>
        <w:t>described in a one-way fashion: the terrorists are the bad people, the victims are innocent</w:t>
      </w:r>
      <w:r w:rsidR="00A53F50">
        <w:rPr>
          <w:rFonts w:ascii="Calibri" w:eastAsia="Calibri" w:hAnsi="Calibri" w:cs="Calibri"/>
          <w:lang w:val="en-GB"/>
        </w:rPr>
        <w:t xml:space="preserve"> (Robinson, 2008)</w:t>
      </w:r>
      <w:r w:rsidR="00BE4857">
        <w:rPr>
          <w:rFonts w:ascii="Calibri" w:eastAsia="Calibri" w:hAnsi="Calibri" w:cs="Calibri"/>
          <w:lang w:val="en-GB"/>
        </w:rPr>
        <w:t>. Alt</w:t>
      </w:r>
      <w:r>
        <w:rPr>
          <w:rFonts w:ascii="Calibri" w:eastAsia="Calibri" w:hAnsi="Calibri" w:cs="Calibri"/>
          <w:lang w:val="en-GB"/>
        </w:rPr>
        <w:t xml:space="preserve">hough there is usually a certain truth to this; after all, people killing other people are acting horrifically, and the people getting killed in such attacks are usually not doing anything condemnable, it is a grand oversimplification of the situation. But by always describing terrorists as those who should be condemned, and victims as those who were helpless, rigid power relations that divide </w:t>
      </w:r>
      <w:r w:rsidR="00BE4857" w:rsidRPr="0093193C">
        <w:rPr>
          <w:rFonts w:ascii="Calibri" w:eastAsia="Calibri" w:hAnsi="Calibri" w:cs="Calibri"/>
          <w:lang w:val="en-GB"/>
        </w:rPr>
        <w:t>people into categories</w:t>
      </w:r>
      <w:r w:rsidRPr="0093193C">
        <w:rPr>
          <w:rFonts w:ascii="Calibri" w:eastAsia="Calibri" w:hAnsi="Calibri" w:cs="Calibri"/>
          <w:lang w:val="en-GB"/>
        </w:rPr>
        <w:t xml:space="preserve"> </w:t>
      </w:r>
      <w:r w:rsidR="00BE4857" w:rsidRPr="0093193C">
        <w:rPr>
          <w:rFonts w:ascii="Calibri" w:eastAsia="Calibri" w:hAnsi="Calibri" w:cs="Calibri"/>
          <w:lang w:val="en-GB"/>
        </w:rPr>
        <w:t>are kept reproduced</w:t>
      </w:r>
      <w:r w:rsidRPr="0093193C">
        <w:rPr>
          <w:rFonts w:ascii="Calibri" w:eastAsia="Calibri" w:hAnsi="Calibri" w:cs="Calibri"/>
          <w:lang w:val="en-GB"/>
        </w:rPr>
        <w:t xml:space="preserve">. </w:t>
      </w:r>
      <w:r w:rsidR="0093193C" w:rsidRPr="0093193C">
        <w:rPr>
          <w:rFonts w:ascii="Calibri" w:eastAsia="Calibri" w:hAnsi="Calibri" w:cs="Calibri"/>
          <w:lang w:val="en-GB"/>
        </w:rPr>
        <w:t xml:space="preserve">To see whether other power relations are also (re)produced, </w:t>
      </w:r>
      <w:r w:rsidR="006A06DC" w:rsidRPr="0093193C">
        <w:rPr>
          <w:rFonts w:ascii="Calibri" w:eastAsia="Calibri" w:hAnsi="Calibri" w:cs="Calibri"/>
          <w:lang w:val="en-GB"/>
        </w:rPr>
        <w:t>the</w:t>
      </w:r>
      <w:r w:rsidR="006A06DC">
        <w:rPr>
          <w:rFonts w:ascii="Calibri" w:eastAsia="Calibri" w:hAnsi="Calibri" w:cs="Calibri"/>
          <w:lang w:val="en-GB"/>
        </w:rPr>
        <w:t xml:space="preserve"> next section </w:t>
      </w:r>
      <w:r w:rsidR="0093193C">
        <w:rPr>
          <w:rFonts w:ascii="Calibri" w:eastAsia="Calibri" w:hAnsi="Calibri" w:cs="Calibri"/>
          <w:lang w:val="en-GB"/>
        </w:rPr>
        <w:t>discusses</w:t>
      </w:r>
      <w:r w:rsidR="006A06DC">
        <w:rPr>
          <w:rFonts w:ascii="Calibri" w:eastAsia="Calibri" w:hAnsi="Calibri" w:cs="Calibri"/>
          <w:lang w:val="en-GB"/>
        </w:rPr>
        <w:t xml:space="preserve"> the amount of news and texts produced by the Guardian </w:t>
      </w:r>
      <w:r w:rsidR="0093193C">
        <w:rPr>
          <w:rFonts w:ascii="Calibri" w:eastAsia="Calibri" w:hAnsi="Calibri" w:cs="Calibri"/>
          <w:lang w:val="en-GB"/>
        </w:rPr>
        <w:t>on the Paris and Beirut attacks, before heading into the fine analysis.</w:t>
      </w:r>
    </w:p>
    <w:p w14:paraId="6B429040" w14:textId="77777777" w:rsidR="006A06DC" w:rsidRDefault="006A06DC" w:rsidP="00E52F0F">
      <w:pPr>
        <w:spacing w:line="360" w:lineRule="auto"/>
        <w:ind w:firstLine="720"/>
        <w:jc w:val="both"/>
        <w:rPr>
          <w:rFonts w:ascii="Calibri" w:eastAsia="Calibri" w:hAnsi="Calibri" w:cs="Calibri"/>
          <w:highlight w:val="yellow"/>
          <w:lang w:val="en-GB"/>
        </w:rPr>
      </w:pPr>
    </w:p>
    <w:p w14:paraId="73A4C7AE" w14:textId="0FC64814" w:rsidR="006A06DC" w:rsidRPr="006A06DC" w:rsidRDefault="006A06DC" w:rsidP="00E52F0F">
      <w:pPr>
        <w:pStyle w:val="Heading2"/>
        <w:spacing w:line="360" w:lineRule="auto"/>
        <w:rPr>
          <w:rFonts w:eastAsia="Calibri"/>
          <w:lang w:val="en-GB"/>
        </w:rPr>
      </w:pPr>
      <w:bookmarkStart w:id="66" w:name="_Toc458983419"/>
      <w:r w:rsidRPr="006A06DC">
        <w:rPr>
          <w:rFonts w:eastAsia="Calibri"/>
          <w:lang w:val="en-GB"/>
        </w:rPr>
        <w:t>5.5. Specifics on production of Guardian texts on Beirut</w:t>
      </w:r>
      <w:r w:rsidR="002B77A7">
        <w:rPr>
          <w:rFonts w:eastAsia="Calibri"/>
          <w:lang w:val="en-GB"/>
        </w:rPr>
        <w:t xml:space="preserve"> and Paris</w:t>
      </w:r>
      <w:bookmarkEnd w:id="66"/>
    </w:p>
    <w:p w14:paraId="55F79F7E" w14:textId="651D921D" w:rsidR="006A06DC" w:rsidRDefault="006A06DC" w:rsidP="00E52F0F">
      <w:pPr>
        <w:spacing w:after="0" w:line="360" w:lineRule="auto"/>
        <w:jc w:val="both"/>
        <w:rPr>
          <w:rFonts w:ascii="Calibri" w:eastAsia="Calibri" w:hAnsi="Calibri" w:cs="Calibri"/>
          <w:lang w:val="en-GB"/>
        </w:rPr>
      </w:pPr>
      <w:r>
        <w:rPr>
          <w:rFonts w:ascii="Calibri" w:eastAsia="Calibri" w:hAnsi="Calibri" w:cs="Calibri"/>
          <w:lang w:val="en-GB"/>
        </w:rPr>
        <w:t>My hypothesis concerning the Guardian’s production on news about Paris and Beirut was the following:</w:t>
      </w:r>
    </w:p>
    <w:p w14:paraId="1FF953A5" w14:textId="77777777" w:rsidR="006A06DC" w:rsidRDefault="006A06DC" w:rsidP="00E52F0F">
      <w:pPr>
        <w:spacing w:after="0" w:line="360" w:lineRule="auto"/>
        <w:ind w:firstLine="720"/>
        <w:jc w:val="both"/>
        <w:rPr>
          <w:rFonts w:ascii="Calibri" w:eastAsia="Calibri" w:hAnsi="Calibri" w:cs="Calibri"/>
          <w:lang w:val="en-GB"/>
        </w:rPr>
      </w:pPr>
    </w:p>
    <w:p w14:paraId="2412FDC0" w14:textId="3895643D" w:rsidR="006A06DC" w:rsidRPr="0093193C" w:rsidRDefault="006A06DC" w:rsidP="0093193C">
      <w:pPr>
        <w:pStyle w:val="ListParagraph"/>
        <w:spacing w:after="0" w:line="360" w:lineRule="auto"/>
        <w:ind w:left="1134" w:right="708"/>
        <w:rPr>
          <w:i/>
          <w:lang w:val="en-GB"/>
        </w:rPr>
      </w:pPr>
      <w:r w:rsidRPr="0093193C">
        <w:rPr>
          <w:i/>
          <w:lang w:val="en-GB"/>
        </w:rPr>
        <w:t>The Guardian produces more articles on the Paris attacks than on the Beirut attacks, and the former are more often shared on social media than the latter.</w:t>
      </w:r>
    </w:p>
    <w:p w14:paraId="74605098" w14:textId="77777777" w:rsidR="006A06DC" w:rsidRDefault="006A06DC" w:rsidP="00E52F0F">
      <w:pPr>
        <w:spacing w:after="0" w:line="360" w:lineRule="auto"/>
        <w:jc w:val="both"/>
        <w:rPr>
          <w:rFonts w:ascii="Calibri" w:eastAsia="Calibri" w:hAnsi="Calibri" w:cs="Calibri"/>
          <w:lang w:val="en-GB"/>
        </w:rPr>
      </w:pPr>
    </w:p>
    <w:p w14:paraId="0B9A9CE4" w14:textId="68C8D365" w:rsidR="009F64CD" w:rsidRDefault="009F64CD" w:rsidP="00E52F0F">
      <w:pPr>
        <w:spacing w:after="0" w:line="360" w:lineRule="auto"/>
        <w:jc w:val="both"/>
        <w:rPr>
          <w:rFonts w:ascii="Calibri" w:eastAsia="Calibri" w:hAnsi="Calibri" w:cs="Calibri"/>
          <w:lang w:val="en-GB"/>
        </w:rPr>
      </w:pPr>
      <w:r>
        <w:rPr>
          <w:rFonts w:ascii="Calibri" w:eastAsia="Calibri" w:hAnsi="Calibri" w:cs="Calibri"/>
          <w:lang w:val="en-GB"/>
        </w:rPr>
        <w:t>As stated in section 4.4., there were 217 articles on Paris, and 3 on Beirut that included the words chosen in the title, to ensure they were concerned with the attacks.</w:t>
      </w:r>
      <w:r w:rsidR="0093193C">
        <w:rPr>
          <w:rStyle w:val="FootnoteReference"/>
          <w:rFonts w:ascii="Calibri" w:eastAsia="Calibri" w:hAnsi="Calibri" w:cs="Calibri"/>
          <w:lang w:val="en-GB"/>
        </w:rPr>
        <w:footnoteReference w:id="10"/>
      </w:r>
      <w:r>
        <w:rPr>
          <w:rFonts w:ascii="Calibri" w:eastAsia="Calibri" w:hAnsi="Calibri" w:cs="Calibri"/>
          <w:lang w:val="en-GB"/>
        </w:rPr>
        <w:t xml:space="preserve"> </w:t>
      </w:r>
      <w:r w:rsidR="00C605FA">
        <w:rPr>
          <w:rFonts w:ascii="Calibri" w:eastAsia="Calibri" w:hAnsi="Calibri" w:cs="Calibri"/>
          <w:lang w:val="en-GB"/>
        </w:rPr>
        <w:t>Figure</w:t>
      </w:r>
      <w:r>
        <w:rPr>
          <w:rFonts w:ascii="Calibri" w:eastAsia="Calibri" w:hAnsi="Calibri" w:cs="Calibri"/>
          <w:lang w:val="en-GB"/>
        </w:rPr>
        <w:t xml:space="preserve"> </w:t>
      </w:r>
      <w:r w:rsidR="00C605FA">
        <w:rPr>
          <w:rFonts w:ascii="Calibri" w:eastAsia="Calibri" w:hAnsi="Calibri" w:cs="Calibri"/>
          <w:lang w:val="en-GB"/>
        </w:rPr>
        <w:t>5.3</w:t>
      </w:r>
      <w:r>
        <w:rPr>
          <w:rFonts w:ascii="Calibri" w:eastAsia="Calibri" w:hAnsi="Calibri" w:cs="Calibri"/>
          <w:lang w:val="en-GB"/>
        </w:rPr>
        <w:t xml:space="preserve"> below </w:t>
      </w:r>
      <w:r w:rsidR="00C605FA">
        <w:rPr>
          <w:rFonts w:ascii="Calibri" w:eastAsia="Calibri" w:hAnsi="Calibri" w:cs="Calibri"/>
          <w:lang w:val="en-GB"/>
        </w:rPr>
        <w:t>elaborates on this and</w:t>
      </w:r>
      <w:r>
        <w:rPr>
          <w:rFonts w:ascii="Calibri" w:eastAsia="Calibri" w:hAnsi="Calibri" w:cs="Calibri"/>
          <w:lang w:val="en-GB"/>
        </w:rPr>
        <w:t xml:space="preserve"> other categories of </w:t>
      </w:r>
      <w:r w:rsidR="004E443A">
        <w:rPr>
          <w:rFonts w:ascii="Calibri" w:eastAsia="Calibri" w:hAnsi="Calibri" w:cs="Calibri"/>
          <w:lang w:val="en-GB"/>
        </w:rPr>
        <w:t>news</w:t>
      </w:r>
      <w:r w:rsidR="00C605FA">
        <w:rPr>
          <w:rFonts w:ascii="Calibri" w:eastAsia="Calibri" w:hAnsi="Calibri" w:cs="Calibri"/>
          <w:lang w:val="en-GB"/>
        </w:rPr>
        <w:t xml:space="preserve"> with the chosen</w:t>
      </w:r>
      <w:r w:rsidR="006A06DC">
        <w:rPr>
          <w:rFonts w:ascii="Calibri" w:eastAsia="Calibri" w:hAnsi="Calibri" w:cs="Calibri"/>
          <w:lang w:val="en-GB"/>
        </w:rPr>
        <w:t xml:space="preserve"> words in the title. </w:t>
      </w:r>
    </w:p>
    <w:p w14:paraId="139FAB3A" w14:textId="2AA6F66B" w:rsidR="009F64CD" w:rsidRDefault="009F64CD" w:rsidP="00E52F0F">
      <w:pPr>
        <w:spacing w:after="0" w:line="360" w:lineRule="auto"/>
        <w:ind w:firstLine="720"/>
        <w:jc w:val="both"/>
        <w:rPr>
          <w:rFonts w:ascii="Calibri" w:eastAsia="Calibri" w:hAnsi="Calibri" w:cs="Calibri"/>
          <w:lang w:val="en-GB"/>
        </w:rPr>
      </w:pPr>
      <w:r>
        <w:rPr>
          <w:noProof/>
          <w:lang w:val="en-US"/>
        </w:rPr>
        <w:drawing>
          <wp:anchor distT="0" distB="0" distL="114300" distR="114300" simplePos="0" relativeHeight="251659264" behindDoc="0" locked="0" layoutInCell="1" allowOverlap="1" wp14:anchorId="62483E29" wp14:editId="1DB18999">
            <wp:simplePos x="0" y="0"/>
            <wp:positionH relativeFrom="column">
              <wp:posOffset>-3810</wp:posOffset>
            </wp:positionH>
            <wp:positionV relativeFrom="paragraph">
              <wp:posOffset>252730</wp:posOffset>
            </wp:positionV>
            <wp:extent cx="5712460" cy="2376000"/>
            <wp:effectExtent l="0" t="0" r="2540" b="5715"/>
            <wp:wrapSquare wrapText="bothSides"/>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p>
    <w:p w14:paraId="7EF46AEA" w14:textId="4D75860B" w:rsidR="009F3D81" w:rsidRPr="00BB34E7" w:rsidRDefault="00C605FA" w:rsidP="00E52F0F">
      <w:pPr>
        <w:spacing w:after="0" w:line="360" w:lineRule="auto"/>
        <w:ind w:right="850"/>
        <w:jc w:val="both"/>
        <w:rPr>
          <w:rFonts w:ascii="Calibri" w:eastAsia="Calibri" w:hAnsi="Calibri" w:cs="Calibri"/>
          <w:sz w:val="20"/>
          <w:lang w:val="en-GB"/>
        </w:rPr>
      </w:pPr>
      <w:r w:rsidRPr="00BB34E7">
        <w:rPr>
          <w:rFonts w:ascii="Calibri" w:eastAsia="Calibri" w:hAnsi="Calibri" w:cs="Calibri"/>
          <w:sz w:val="20"/>
          <w:lang w:val="en-GB"/>
        </w:rPr>
        <w:t>Figure 5.3</w:t>
      </w:r>
      <w:r w:rsidR="009F64CD" w:rsidRPr="00BB34E7">
        <w:rPr>
          <w:rFonts w:ascii="Calibri" w:eastAsia="Calibri" w:hAnsi="Calibri" w:cs="Calibri"/>
          <w:sz w:val="20"/>
          <w:lang w:val="en-GB"/>
        </w:rPr>
        <w:t>: Comparison of Guardian texts on Beirut and Paris with head</w:t>
      </w:r>
      <w:r w:rsidR="009F3D81" w:rsidRPr="00BB34E7">
        <w:rPr>
          <w:rFonts w:ascii="Calibri" w:eastAsia="Calibri" w:hAnsi="Calibri" w:cs="Calibri"/>
          <w:sz w:val="20"/>
          <w:lang w:val="en-GB"/>
        </w:rPr>
        <w:t>lines that include chosen words.</w:t>
      </w:r>
      <w:r w:rsidR="009F3D81" w:rsidRPr="00BB34E7">
        <w:rPr>
          <w:rFonts w:ascii="Calibri" w:eastAsia="Calibri" w:hAnsi="Calibri" w:cs="Calibri"/>
          <w:sz w:val="20"/>
          <w:lang w:val="en-GB"/>
        </w:rPr>
        <w:br/>
        <w:t>*Includes podcasts, ‘How do I…’ and ‘A life in…’ articles.</w:t>
      </w:r>
    </w:p>
    <w:p w14:paraId="0FBDC2BE" w14:textId="77777777" w:rsidR="009F64CD" w:rsidRDefault="009F64CD" w:rsidP="00E52F0F">
      <w:pPr>
        <w:spacing w:after="0" w:line="360" w:lineRule="auto"/>
        <w:ind w:firstLine="720"/>
        <w:jc w:val="both"/>
        <w:rPr>
          <w:rFonts w:ascii="Calibri" w:eastAsia="Calibri" w:hAnsi="Calibri" w:cs="Calibri"/>
          <w:lang w:val="en-GB"/>
        </w:rPr>
      </w:pPr>
    </w:p>
    <w:p w14:paraId="55208865" w14:textId="6C90BF77" w:rsidR="00100E9F" w:rsidRDefault="009F64CD" w:rsidP="00934967">
      <w:pPr>
        <w:spacing w:after="0" w:line="360" w:lineRule="auto"/>
        <w:jc w:val="both"/>
        <w:rPr>
          <w:rFonts w:ascii="Calibri" w:eastAsia="Calibri" w:hAnsi="Calibri" w:cs="Calibri"/>
          <w:lang w:val="en-GB"/>
        </w:rPr>
      </w:pPr>
      <w:r>
        <w:rPr>
          <w:rFonts w:ascii="Calibri" w:eastAsia="Calibri" w:hAnsi="Calibri" w:cs="Calibri"/>
          <w:lang w:val="en-GB"/>
        </w:rPr>
        <w:t xml:space="preserve">As </w:t>
      </w:r>
      <w:r w:rsidR="00C605FA">
        <w:rPr>
          <w:rFonts w:ascii="Calibri" w:eastAsia="Calibri" w:hAnsi="Calibri" w:cs="Calibri"/>
          <w:lang w:val="en-GB"/>
        </w:rPr>
        <w:t>figure 5.3</w:t>
      </w:r>
      <w:r>
        <w:rPr>
          <w:rFonts w:ascii="Calibri" w:eastAsia="Calibri" w:hAnsi="Calibri" w:cs="Calibri"/>
          <w:lang w:val="en-GB"/>
        </w:rPr>
        <w:t xml:space="preserve"> shows, not only is there a discrepancy in the number of news articles about Paris and Beirut, but also in the other categories of the Guardian. </w:t>
      </w:r>
      <w:r w:rsidR="00100E9F">
        <w:rPr>
          <w:rFonts w:ascii="Calibri" w:eastAsia="Calibri" w:hAnsi="Calibri" w:cs="Calibri"/>
          <w:lang w:val="en-GB"/>
        </w:rPr>
        <w:t xml:space="preserve">Whereas there were several fragments in each category for Paris, there was only one video and </w:t>
      </w:r>
      <w:r w:rsidR="00C605FA">
        <w:rPr>
          <w:rFonts w:ascii="Calibri" w:eastAsia="Calibri" w:hAnsi="Calibri" w:cs="Calibri"/>
          <w:lang w:val="en-GB"/>
        </w:rPr>
        <w:t xml:space="preserve">one </w:t>
      </w:r>
      <w:r w:rsidR="00100E9F">
        <w:rPr>
          <w:rFonts w:ascii="Calibri" w:eastAsia="Calibri" w:hAnsi="Calibri" w:cs="Calibri"/>
          <w:lang w:val="en-GB"/>
        </w:rPr>
        <w:t>Guardian Witness article about the Beirut attacks, with no pieces in the other categories. Furthermore, of the news articles, 16 articles about Paris and only 1 for Beirut were feature articles. Feature articles focus more on the human experience than on the hard facts of a news story, giving more detail</w:t>
      </w:r>
      <w:r w:rsidR="0093193C">
        <w:rPr>
          <w:rFonts w:ascii="Calibri" w:eastAsia="Calibri" w:hAnsi="Calibri" w:cs="Calibri"/>
          <w:lang w:val="en-GB"/>
        </w:rPr>
        <w:t>s</w:t>
      </w:r>
      <w:r w:rsidR="00100E9F">
        <w:rPr>
          <w:rFonts w:ascii="Calibri" w:eastAsia="Calibri" w:hAnsi="Calibri" w:cs="Calibri"/>
          <w:lang w:val="en-GB"/>
        </w:rPr>
        <w:t xml:space="preserve"> and descriptions. However, these were not all the articles that were linked with the attacks. </w:t>
      </w:r>
      <w:r w:rsidR="00C605FA">
        <w:rPr>
          <w:rFonts w:ascii="Calibri" w:eastAsia="Calibri" w:hAnsi="Calibri" w:cs="Calibri"/>
          <w:lang w:val="en-GB"/>
        </w:rPr>
        <w:t>Figure 5.4</w:t>
      </w:r>
      <w:r w:rsidR="00100E9F">
        <w:rPr>
          <w:rFonts w:ascii="Calibri" w:eastAsia="Calibri" w:hAnsi="Calibri" w:cs="Calibri"/>
          <w:lang w:val="en-GB"/>
        </w:rPr>
        <w:t xml:space="preserve"> presents the news that was part of the topic ‘Paris attacks’ created by the Guardian or was </w:t>
      </w:r>
      <w:r w:rsidR="00C605FA">
        <w:rPr>
          <w:rFonts w:ascii="Calibri" w:eastAsia="Calibri" w:hAnsi="Calibri" w:cs="Calibri"/>
          <w:lang w:val="en-GB"/>
        </w:rPr>
        <w:t>related</w:t>
      </w:r>
      <w:r w:rsidR="00100E9F">
        <w:rPr>
          <w:rFonts w:ascii="Calibri" w:eastAsia="Calibri" w:hAnsi="Calibri" w:cs="Calibri"/>
          <w:lang w:val="en-GB"/>
        </w:rPr>
        <w:t xml:space="preserve"> to Beirut as visible from the headline</w:t>
      </w:r>
      <w:r w:rsidR="009F3D81">
        <w:rPr>
          <w:rFonts w:ascii="Calibri" w:eastAsia="Calibri" w:hAnsi="Calibri" w:cs="Calibri"/>
          <w:lang w:val="en-GB"/>
        </w:rPr>
        <w:t>,</w:t>
      </w:r>
      <w:r w:rsidR="00100E9F">
        <w:rPr>
          <w:rStyle w:val="FootnoteReference"/>
          <w:rFonts w:ascii="Calibri" w:eastAsia="Calibri" w:hAnsi="Calibri" w:cs="Calibri"/>
          <w:lang w:val="en-GB"/>
        </w:rPr>
        <w:footnoteReference w:id="11"/>
      </w:r>
      <w:r w:rsidR="00100E9F">
        <w:rPr>
          <w:rFonts w:ascii="Calibri" w:eastAsia="Calibri" w:hAnsi="Calibri" w:cs="Calibri"/>
          <w:lang w:val="en-GB"/>
        </w:rPr>
        <w:t xml:space="preserve"> but did not contain the </w:t>
      </w:r>
      <w:r w:rsidR="00C605FA">
        <w:rPr>
          <w:rFonts w:ascii="Calibri" w:eastAsia="Calibri" w:hAnsi="Calibri" w:cs="Calibri"/>
          <w:lang w:val="en-GB"/>
        </w:rPr>
        <w:t>chosen</w:t>
      </w:r>
      <w:r w:rsidR="00100E9F">
        <w:rPr>
          <w:rFonts w:ascii="Calibri" w:eastAsia="Calibri" w:hAnsi="Calibri" w:cs="Calibri"/>
          <w:lang w:val="en-GB"/>
        </w:rPr>
        <w:t xml:space="preserve"> words.</w:t>
      </w:r>
    </w:p>
    <w:p w14:paraId="331212C7" w14:textId="77777777" w:rsidR="009F3D81" w:rsidRDefault="009F3D81" w:rsidP="00E52F0F">
      <w:pPr>
        <w:spacing w:after="0" w:line="360" w:lineRule="auto"/>
        <w:ind w:firstLine="720"/>
        <w:jc w:val="both"/>
        <w:rPr>
          <w:rFonts w:ascii="Calibri" w:eastAsia="Calibri" w:hAnsi="Calibri" w:cs="Calibri"/>
          <w:lang w:val="en-GB"/>
        </w:rPr>
      </w:pPr>
    </w:p>
    <w:p w14:paraId="3CB0014B" w14:textId="35D44289" w:rsidR="00100E9F" w:rsidRDefault="00100E9F" w:rsidP="00E52F0F">
      <w:pPr>
        <w:spacing w:after="0" w:line="360" w:lineRule="auto"/>
        <w:ind w:right="283"/>
        <w:jc w:val="both"/>
        <w:rPr>
          <w:rFonts w:ascii="Calibri" w:eastAsia="Calibri" w:hAnsi="Calibri" w:cs="Calibri"/>
          <w:lang w:val="en-GB"/>
        </w:rPr>
      </w:pPr>
      <w:r>
        <w:rPr>
          <w:noProof/>
          <w:lang w:val="en-US"/>
        </w:rPr>
        <w:drawing>
          <wp:inline distT="0" distB="0" distL="0" distR="0" wp14:anchorId="2DD55D3D" wp14:editId="5F0AA120">
            <wp:extent cx="5712460" cy="2376000"/>
            <wp:effectExtent l="0" t="0" r="2540" b="571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C605FA" w:rsidRPr="00BB34E7">
        <w:rPr>
          <w:rFonts w:ascii="Calibri" w:eastAsia="Calibri" w:hAnsi="Calibri" w:cs="Calibri"/>
          <w:sz w:val="20"/>
          <w:lang w:val="en-GB"/>
        </w:rPr>
        <w:t>Figure</w:t>
      </w:r>
      <w:r w:rsidRPr="00BB34E7">
        <w:rPr>
          <w:rFonts w:ascii="Calibri" w:eastAsia="Calibri" w:hAnsi="Calibri" w:cs="Calibri"/>
          <w:sz w:val="20"/>
          <w:lang w:val="en-GB"/>
        </w:rPr>
        <w:t xml:space="preserve"> 5.</w:t>
      </w:r>
      <w:r w:rsidR="00C605FA" w:rsidRPr="00BB34E7">
        <w:rPr>
          <w:rFonts w:ascii="Calibri" w:eastAsia="Calibri" w:hAnsi="Calibri" w:cs="Calibri"/>
          <w:sz w:val="20"/>
          <w:lang w:val="en-GB"/>
        </w:rPr>
        <w:t>4</w:t>
      </w:r>
      <w:r w:rsidR="004A68D2">
        <w:rPr>
          <w:rFonts w:ascii="Calibri" w:eastAsia="Calibri" w:hAnsi="Calibri" w:cs="Calibri"/>
          <w:sz w:val="20"/>
          <w:lang w:val="en-GB"/>
        </w:rPr>
        <w:t>:</w:t>
      </w:r>
      <w:r w:rsidR="004A68D2" w:rsidRPr="00BB34E7">
        <w:rPr>
          <w:rFonts w:ascii="Calibri" w:eastAsia="Calibri" w:hAnsi="Calibri" w:cs="Calibri"/>
          <w:sz w:val="20"/>
          <w:lang w:val="en-GB"/>
        </w:rPr>
        <w:t xml:space="preserve"> Comparison of Guardian texts on Beirut and Paris with headlines that </w:t>
      </w:r>
      <w:r w:rsidR="004A68D2">
        <w:rPr>
          <w:rFonts w:ascii="Calibri" w:eastAsia="Calibri" w:hAnsi="Calibri" w:cs="Calibri"/>
          <w:sz w:val="20"/>
          <w:lang w:val="en-GB"/>
        </w:rPr>
        <w:t>do not include</w:t>
      </w:r>
      <w:r w:rsidR="004A68D2" w:rsidRPr="00BB34E7">
        <w:rPr>
          <w:rFonts w:ascii="Calibri" w:eastAsia="Calibri" w:hAnsi="Calibri" w:cs="Calibri"/>
          <w:sz w:val="20"/>
          <w:lang w:val="en-GB"/>
        </w:rPr>
        <w:t xml:space="preserve"> chosen words</w:t>
      </w:r>
      <w:r w:rsidRPr="00BB34E7">
        <w:rPr>
          <w:rFonts w:ascii="Calibri" w:eastAsia="Calibri" w:hAnsi="Calibri" w:cs="Calibri"/>
          <w:sz w:val="20"/>
          <w:lang w:val="en-GB"/>
        </w:rPr>
        <w:t>.</w:t>
      </w:r>
      <w:r w:rsidR="009F3D81" w:rsidRPr="00BB34E7">
        <w:rPr>
          <w:rFonts w:ascii="Calibri" w:eastAsia="Calibri" w:hAnsi="Calibri" w:cs="Calibri"/>
          <w:sz w:val="20"/>
          <w:lang w:val="en-GB"/>
        </w:rPr>
        <w:br/>
        <w:t>*Includes podcasts, ‘How do I…’ and ‘A life in…’ articles.</w:t>
      </w:r>
    </w:p>
    <w:p w14:paraId="0B9D6BBF" w14:textId="77777777" w:rsidR="00C605FA" w:rsidRDefault="00C605FA" w:rsidP="00E52F0F">
      <w:pPr>
        <w:spacing w:after="0" w:line="360" w:lineRule="auto"/>
        <w:ind w:firstLine="709"/>
        <w:jc w:val="both"/>
        <w:rPr>
          <w:rFonts w:ascii="Calibri" w:eastAsia="Calibri" w:hAnsi="Calibri" w:cs="Calibri"/>
          <w:lang w:val="en-GB"/>
        </w:rPr>
      </w:pPr>
    </w:p>
    <w:p w14:paraId="708A1801" w14:textId="7194CA0E" w:rsidR="007B63A8" w:rsidRDefault="00C605FA" w:rsidP="00E52F0F">
      <w:pPr>
        <w:spacing w:after="0" w:line="360" w:lineRule="auto"/>
        <w:ind w:firstLine="709"/>
        <w:jc w:val="both"/>
        <w:rPr>
          <w:rFonts w:ascii="Calibri" w:eastAsia="Calibri" w:hAnsi="Calibri" w:cs="Calibri"/>
          <w:lang w:val="en-GB"/>
        </w:rPr>
      </w:pPr>
      <w:r>
        <w:rPr>
          <w:rFonts w:ascii="Calibri" w:eastAsia="Calibri" w:hAnsi="Calibri" w:cs="Calibri"/>
          <w:lang w:val="en-GB"/>
        </w:rPr>
        <w:t>All in all, the Guardian produced much more news on the Paris attack</w:t>
      </w:r>
      <w:r w:rsidR="009050ED">
        <w:rPr>
          <w:rFonts w:ascii="Calibri" w:eastAsia="Calibri" w:hAnsi="Calibri" w:cs="Calibri"/>
          <w:lang w:val="en-GB"/>
        </w:rPr>
        <w:t>s</w:t>
      </w:r>
      <w:r>
        <w:rPr>
          <w:rFonts w:ascii="Calibri" w:eastAsia="Calibri" w:hAnsi="Calibri" w:cs="Calibri"/>
          <w:lang w:val="en-GB"/>
        </w:rPr>
        <w:t xml:space="preserve"> than on the Beirut </w:t>
      </w:r>
      <w:r w:rsidR="009050ED">
        <w:rPr>
          <w:rFonts w:ascii="Calibri" w:eastAsia="Calibri" w:hAnsi="Calibri" w:cs="Calibri"/>
          <w:lang w:val="en-GB"/>
        </w:rPr>
        <w:t>assaults</w:t>
      </w:r>
      <w:r>
        <w:rPr>
          <w:rFonts w:ascii="Calibri" w:eastAsia="Calibri" w:hAnsi="Calibri" w:cs="Calibri"/>
          <w:lang w:val="en-GB"/>
        </w:rPr>
        <w:t>, thereby confirmin</w:t>
      </w:r>
      <w:r w:rsidR="004417ED">
        <w:rPr>
          <w:rFonts w:ascii="Calibri" w:eastAsia="Calibri" w:hAnsi="Calibri" w:cs="Calibri"/>
          <w:lang w:val="en-GB"/>
        </w:rPr>
        <w:t>g the first part of hypothesis 1</w:t>
      </w:r>
      <w:r>
        <w:rPr>
          <w:rFonts w:ascii="Calibri" w:eastAsia="Calibri" w:hAnsi="Calibri" w:cs="Calibri"/>
          <w:lang w:val="en-GB"/>
        </w:rPr>
        <w:t>.</w:t>
      </w:r>
      <w:r w:rsidR="008F2A5F">
        <w:rPr>
          <w:rFonts w:ascii="Calibri" w:eastAsia="Calibri" w:hAnsi="Calibri" w:cs="Calibri"/>
          <w:lang w:val="en-GB"/>
        </w:rPr>
        <w:t xml:space="preserve"> </w:t>
      </w:r>
      <w:r w:rsidR="00566076">
        <w:rPr>
          <w:rFonts w:ascii="Calibri" w:eastAsia="Calibri" w:hAnsi="Calibri" w:cs="Calibri"/>
          <w:lang w:val="en-GB"/>
        </w:rPr>
        <w:t>This is in line with broader results found by Suman Deb Roy, who states that in the first 30 hours after the story first broke, 443 media outlets wrote about Beirut at least once, whereas for Paris this number was 4</w:t>
      </w:r>
      <w:r w:rsidR="0093193C">
        <w:rPr>
          <w:rFonts w:ascii="Calibri" w:eastAsia="Calibri" w:hAnsi="Calibri" w:cs="Calibri"/>
          <w:lang w:val="en-GB"/>
        </w:rPr>
        <w:t>,</w:t>
      </w:r>
      <w:r w:rsidR="00566076">
        <w:rPr>
          <w:rFonts w:ascii="Calibri" w:eastAsia="Calibri" w:hAnsi="Calibri" w:cs="Calibri"/>
          <w:lang w:val="en-GB"/>
        </w:rPr>
        <w:t>705 (2015). For the top 500</w:t>
      </w:r>
      <w:r w:rsidR="00E20CF1">
        <w:rPr>
          <w:rFonts w:ascii="Calibri" w:eastAsia="Calibri" w:hAnsi="Calibri" w:cs="Calibri"/>
          <w:lang w:val="en-GB"/>
        </w:rPr>
        <w:t xml:space="preserve"> media outlets</w:t>
      </w:r>
      <w:r w:rsidR="0093193C">
        <w:rPr>
          <w:rFonts w:ascii="Calibri" w:eastAsia="Calibri" w:hAnsi="Calibri" w:cs="Calibri"/>
          <w:lang w:val="en-GB"/>
        </w:rPr>
        <w:t xml:space="preserve"> </w:t>
      </w:r>
      <w:r w:rsidR="0093193C" w:rsidRPr="00293753">
        <w:rPr>
          <w:rFonts w:ascii="Calibri" w:eastAsia="Calibri" w:hAnsi="Calibri" w:cs="Calibri"/>
          <w:lang w:val="en-GB"/>
        </w:rPr>
        <w:t>whose</w:t>
      </w:r>
      <w:r w:rsidR="0093193C">
        <w:rPr>
          <w:rFonts w:ascii="Calibri" w:eastAsia="Calibri" w:hAnsi="Calibri" w:cs="Calibri"/>
          <w:lang w:val="en-GB"/>
        </w:rPr>
        <w:t xml:space="preserve"> news is</w:t>
      </w:r>
      <w:r w:rsidR="00E20CF1">
        <w:rPr>
          <w:rFonts w:ascii="Calibri" w:eastAsia="Calibri" w:hAnsi="Calibri" w:cs="Calibri"/>
          <w:lang w:val="en-GB"/>
        </w:rPr>
        <w:t xml:space="preserve"> most share</w:t>
      </w:r>
      <w:r w:rsidR="0093193C">
        <w:rPr>
          <w:rFonts w:ascii="Calibri" w:eastAsia="Calibri" w:hAnsi="Calibri" w:cs="Calibri"/>
          <w:lang w:val="en-GB"/>
        </w:rPr>
        <w:t>d</w:t>
      </w:r>
      <w:r w:rsidR="00E20CF1">
        <w:rPr>
          <w:rFonts w:ascii="Calibri" w:eastAsia="Calibri" w:hAnsi="Calibri" w:cs="Calibri"/>
          <w:lang w:val="en-GB"/>
        </w:rPr>
        <w:t xml:space="preserve"> in general, the discrepancy was similar, with approximately 11 per cent covering Beirut, and 51 per c</w:t>
      </w:r>
      <w:r w:rsidR="000E57F3">
        <w:rPr>
          <w:rFonts w:ascii="Calibri" w:eastAsia="Calibri" w:hAnsi="Calibri" w:cs="Calibri"/>
          <w:lang w:val="en-GB"/>
        </w:rPr>
        <w:t>ent covering Paris in the same time p</w:t>
      </w:r>
      <w:r w:rsidR="00E20CF1">
        <w:rPr>
          <w:rFonts w:ascii="Calibri" w:eastAsia="Calibri" w:hAnsi="Calibri" w:cs="Calibri"/>
          <w:lang w:val="en-GB"/>
        </w:rPr>
        <w:t xml:space="preserve">eriod (Roy, 2015). </w:t>
      </w:r>
      <w:r w:rsidR="008F2A5F">
        <w:rPr>
          <w:rFonts w:ascii="Calibri" w:eastAsia="Calibri" w:hAnsi="Calibri" w:cs="Calibri"/>
          <w:lang w:val="en-GB"/>
        </w:rPr>
        <w:t>T</w:t>
      </w:r>
      <w:r>
        <w:rPr>
          <w:rFonts w:ascii="Calibri" w:eastAsia="Calibri" w:hAnsi="Calibri" w:cs="Calibri"/>
          <w:lang w:val="en-GB"/>
        </w:rPr>
        <w:t>he second part of the hypothesis – namely that the articles would also be shared more often by readers than the articles on Beirut –</w:t>
      </w:r>
      <w:r w:rsidR="008F2A5F">
        <w:rPr>
          <w:rFonts w:ascii="Calibri" w:eastAsia="Calibri" w:hAnsi="Calibri" w:cs="Calibri"/>
          <w:lang w:val="en-GB"/>
        </w:rPr>
        <w:t xml:space="preserve"> can</w:t>
      </w:r>
      <w:r w:rsidR="00F24154">
        <w:rPr>
          <w:rFonts w:ascii="Calibri" w:eastAsia="Calibri" w:hAnsi="Calibri" w:cs="Calibri"/>
          <w:lang w:val="en-GB"/>
        </w:rPr>
        <w:t xml:space="preserve"> also</w:t>
      </w:r>
      <w:r>
        <w:rPr>
          <w:rFonts w:ascii="Calibri" w:eastAsia="Calibri" w:hAnsi="Calibri" w:cs="Calibri"/>
          <w:lang w:val="en-GB"/>
        </w:rPr>
        <w:t xml:space="preserve"> be confirmed</w:t>
      </w:r>
      <w:r w:rsidR="008F2A5F">
        <w:rPr>
          <w:rFonts w:ascii="Calibri" w:eastAsia="Calibri" w:hAnsi="Calibri" w:cs="Calibri"/>
          <w:lang w:val="en-GB"/>
        </w:rPr>
        <w:t>, but not without some reservations</w:t>
      </w:r>
      <w:r>
        <w:rPr>
          <w:rFonts w:ascii="Calibri" w:eastAsia="Calibri" w:hAnsi="Calibri" w:cs="Calibri"/>
          <w:lang w:val="en-GB"/>
        </w:rPr>
        <w:t xml:space="preserve">. </w:t>
      </w:r>
      <w:r w:rsidR="007B63A8">
        <w:rPr>
          <w:rFonts w:ascii="Calibri" w:eastAsia="Calibri" w:hAnsi="Calibri" w:cs="Calibri"/>
          <w:lang w:val="en-GB"/>
        </w:rPr>
        <w:t>The articles about Beirut were shared respectively 32,994, 38,182, and 7,309 times</w:t>
      </w:r>
      <w:r w:rsidR="008F2A5F">
        <w:rPr>
          <w:rFonts w:ascii="Calibri" w:eastAsia="Calibri" w:hAnsi="Calibri" w:cs="Calibri"/>
          <w:lang w:val="en-GB"/>
        </w:rPr>
        <w:t>, coming to a total of 78,485 shares</w:t>
      </w:r>
      <w:r w:rsidR="007B63A8">
        <w:rPr>
          <w:rFonts w:ascii="Calibri" w:eastAsia="Calibri" w:hAnsi="Calibri" w:cs="Calibri"/>
          <w:lang w:val="en-GB"/>
        </w:rPr>
        <w:t xml:space="preserve"> (Shaheen, 2015a; Shaheen, 2015b; Associated Press</w:t>
      </w:r>
      <w:r w:rsidR="0052685C">
        <w:rPr>
          <w:rFonts w:ascii="Calibri" w:eastAsia="Calibri" w:hAnsi="Calibri" w:cs="Calibri"/>
          <w:lang w:val="en-GB"/>
        </w:rPr>
        <w:t xml:space="preserve"> in Beirut</w:t>
      </w:r>
      <w:r w:rsidR="007B63A8">
        <w:rPr>
          <w:rFonts w:ascii="Calibri" w:eastAsia="Calibri" w:hAnsi="Calibri" w:cs="Calibri"/>
          <w:lang w:val="en-GB"/>
        </w:rPr>
        <w:t>, 2015).</w:t>
      </w:r>
      <w:r w:rsidR="00F24154">
        <w:rPr>
          <w:rStyle w:val="FootnoteReference"/>
          <w:rFonts w:ascii="Calibri" w:eastAsia="Calibri" w:hAnsi="Calibri" w:cs="Calibri"/>
          <w:lang w:val="en-GB"/>
        </w:rPr>
        <w:footnoteReference w:id="12"/>
      </w:r>
      <w:r w:rsidR="007B63A8">
        <w:rPr>
          <w:rFonts w:ascii="Calibri" w:eastAsia="Calibri" w:hAnsi="Calibri" w:cs="Calibri"/>
          <w:lang w:val="en-GB"/>
        </w:rPr>
        <w:t xml:space="preserve"> </w:t>
      </w:r>
      <w:r w:rsidR="008F2A5F">
        <w:rPr>
          <w:rFonts w:ascii="Calibri" w:eastAsia="Calibri" w:hAnsi="Calibri" w:cs="Calibri"/>
          <w:lang w:val="en-GB"/>
        </w:rPr>
        <w:t>In total, the</w:t>
      </w:r>
      <w:r w:rsidR="007B63A8">
        <w:rPr>
          <w:rFonts w:ascii="Calibri" w:eastAsia="Calibri" w:hAnsi="Calibri" w:cs="Calibri"/>
          <w:lang w:val="en-GB"/>
        </w:rPr>
        <w:t xml:space="preserve"> articles about Paris</w:t>
      </w:r>
      <w:r w:rsidR="000E57F3">
        <w:rPr>
          <w:rFonts w:ascii="Calibri" w:eastAsia="Calibri" w:hAnsi="Calibri" w:cs="Calibri"/>
          <w:lang w:val="en-GB"/>
        </w:rPr>
        <w:t xml:space="preserve"> that included the words ‘Paris attacks’ and directly </w:t>
      </w:r>
      <w:r w:rsidR="000E57F3">
        <w:rPr>
          <w:rFonts w:ascii="Calibri" w:eastAsia="Calibri" w:hAnsi="Calibri" w:cs="Calibri"/>
          <w:lang w:val="en-GB"/>
        </w:rPr>
        <w:lastRenderedPageBreak/>
        <w:t>concerned these attacks</w:t>
      </w:r>
      <w:r w:rsidR="007B63A8">
        <w:rPr>
          <w:rFonts w:ascii="Calibri" w:eastAsia="Calibri" w:hAnsi="Calibri" w:cs="Calibri"/>
          <w:lang w:val="en-GB"/>
        </w:rPr>
        <w:t xml:space="preserve"> were shared</w:t>
      </w:r>
      <w:r w:rsidR="008F2A5F">
        <w:rPr>
          <w:rFonts w:ascii="Calibri" w:eastAsia="Calibri" w:hAnsi="Calibri" w:cs="Calibri"/>
          <w:lang w:val="en-GB"/>
        </w:rPr>
        <w:t xml:space="preserve"> 119,031 times. </w:t>
      </w:r>
      <w:r w:rsidR="000E57F3">
        <w:rPr>
          <w:rFonts w:ascii="Calibri" w:eastAsia="Calibri" w:hAnsi="Calibri" w:cs="Calibri"/>
          <w:lang w:val="en-GB"/>
        </w:rPr>
        <w:t>For these articles, h</w:t>
      </w:r>
      <w:r w:rsidR="008F2A5F">
        <w:rPr>
          <w:rFonts w:ascii="Calibri" w:eastAsia="Calibri" w:hAnsi="Calibri" w:cs="Calibri"/>
          <w:lang w:val="en-GB"/>
        </w:rPr>
        <w:t xml:space="preserve">owever, the times </w:t>
      </w:r>
      <w:r w:rsidR="000E57F3">
        <w:rPr>
          <w:rFonts w:ascii="Calibri" w:eastAsia="Calibri" w:hAnsi="Calibri" w:cs="Calibri"/>
          <w:lang w:val="en-GB"/>
        </w:rPr>
        <w:t>they were</w:t>
      </w:r>
      <w:r w:rsidR="008F2A5F">
        <w:rPr>
          <w:rFonts w:ascii="Calibri" w:eastAsia="Calibri" w:hAnsi="Calibri" w:cs="Calibri"/>
          <w:lang w:val="en-GB"/>
        </w:rPr>
        <w:t xml:space="preserve"> shared varied </w:t>
      </w:r>
      <w:r w:rsidR="007B63A8">
        <w:rPr>
          <w:rFonts w:ascii="Calibri" w:eastAsia="Calibri" w:hAnsi="Calibri" w:cs="Calibri"/>
          <w:lang w:val="en-GB"/>
        </w:rPr>
        <w:t xml:space="preserve">between </w:t>
      </w:r>
      <w:r w:rsidR="008F2A5F">
        <w:rPr>
          <w:rFonts w:ascii="Calibri" w:eastAsia="Calibri" w:hAnsi="Calibri" w:cs="Calibri"/>
          <w:lang w:val="en-GB"/>
        </w:rPr>
        <w:t>39</w:t>
      </w:r>
      <w:r w:rsidR="007B63A8">
        <w:rPr>
          <w:rFonts w:ascii="Calibri" w:eastAsia="Calibri" w:hAnsi="Calibri" w:cs="Calibri"/>
          <w:lang w:val="en-GB"/>
        </w:rPr>
        <w:t xml:space="preserve"> and </w:t>
      </w:r>
      <w:r w:rsidR="008F2A5F">
        <w:rPr>
          <w:rFonts w:ascii="Calibri" w:eastAsia="Calibri" w:hAnsi="Calibri" w:cs="Calibri"/>
          <w:lang w:val="en-GB"/>
        </w:rPr>
        <w:t xml:space="preserve">23,318 times per article (Halliday </w:t>
      </w:r>
      <w:r w:rsidR="00BE553E">
        <w:rPr>
          <w:rFonts w:ascii="Calibri" w:eastAsia="Calibri" w:hAnsi="Calibri" w:cs="Calibri"/>
          <w:lang w:val="en-GB"/>
        </w:rPr>
        <w:t>and</w:t>
      </w:r>
      <w:r w:rsidR="008F2A5F">
        <w:rPr>
          <w:rFonts w:ascii="Calibri" w:eastAsia="Calibri" w:hAnsi="Calibri" w:cs="Calibri"/>
          <w:lang w:val="en-GB"/>
        </w:rPr>
        <w:t xml:space="preserve"> Bucks, 2015; Henley </w:t>
      </w:r>
      <w:r w:rsidR="00BE553E">
        <w:rPr>
          <w:rFonts w:ascii="Calibri" w:eastAsia="Calibri" w:hAnsi="Calibri" w:cs="Calibri"/>
          <w:lang w:val="en-GB"/>
        </w:rPr>
        <w:t>and</w:t>
      </w:r>
      <w:r w:rsidR="008F2A5F">
        <w:rPr>
          <w:rFonts w:ascii="Calibri" w:eastAsia="Calibri" w:hAnsi="Calibri" w:cs="Calibri"/>
          <w:lang w:val="en-GB"/>
        </w:rPr>
        <w:t xml:space="preserve"> Chrisafis, 2015), w</w:t>
      </w:r>
      <w:r w:rsidR="00882A65">
        <w:rPr>
          <w:rFonts w:ascii="Calibri" w:eastAsia="Calibri" w:hAnsi="Calibri" w:cs="Calibri"/>
          <w:lang w:val="en-GB"/>
        </w:rPr>
        <w:t>hich is</w:t>
      </w:r>
      <w:r w:rsidR="008F2A5F">
        <w:rPr>
          <w:rFonts w:ascii="Calibri" w:eastAsia="Calibri" w:hAnsi="Calibri" w:cs="Calibri"/>
          <w:lang w:val="en-GB"/>
        </w:rPr>
        <w:t xml:space="preserve"> lower than two of the three articles about Beirut.</w:t>
      </w:r>
      <w:r w:rsidR="00882A65">
        <w:rPr>
          <w:rFonts w:ascii="Calibri" w:eastAsia="Calibri" w:hAnsi="Calibri" w:cs="Calibri"/>
          <w:lang w:val="en-GB"/>
        </w:rPr>
        <w:t xml:space="preserve"> </w:t>
      </w:r>
      <w:r w:rsidR="00D438C8">
        <w:rPr>
          <w:rFonts w:ascii="Calibri" w:eastAsia="Calibri" w:hAnsi="Calibri" w:cs="Calibri"/>
          <w:lang w:val="en-GB"/>
        </w:rPr>
        <w:t>Furthermore, two of the topics that were shared most concern how Muslim were affected</w:t>
      </w:r>
      <w:r w:rsidR="009050ED">
        <w:rPr>
          <w:rFonts w:ascii="Calibri" w:eastAsia="Calibri" w:hAnsi="Calibri" w:cs="Calibri"/>
          <w:lang w:val="en-GB"/>
        </w:rPr>
        <w:t>, and one dealt with the extent of global solidarity</w:t>
      </w:r>
      <w:r w:rsidR="00D438C8">
        <w:rPr>
          <w:rFonts w:ascii="Calibri" w:eastAsia="Calibri" w:hAnsi="Calibri" w:cs="Calibri"/>
          <w:lang w:val="en-GB"/>
        </w:rPr>
        <w:t xml:space="preserve">. </w:t>
      </w:r>
      <w:r w:rsidR="00882A65">
        <w:rPr>
          <w:rFonts w:ascii="Calibri" w:eastAsia="Calibri" w:hAnsi="Calibri" w:cs="Calibri"/>
          <w:lang w:val="en-GB"/>
        </w:rPr>
        <w:t xml:space="preserve">Table 5.2 below shows the headlines of the </w:t>
      </w:r>
      <w:r w:rsidR="009050ED">
        <w:rPr>
          <w:rFonts w:ascii="Calibri" w:eastAsia="Calibri" w:hAnsi="Calibri" w:cs="Calibri"/>
          <w:lang w:val="en-GB"/>
        </w:rPr>
        <w:t>six</w:t>
      </w:r>
      <w:r w:rsidR="00882A65">
        <w:rPr>
          <w:rFonts w:ascii="Calibri" w:eastAsia="Calibri" w:hAnsi="Calibri" w:cs="Calibri"/>
          <w:lang w:val="en-GB"/>
        </w:rPr>
        <w:t xml:space="preserve"> articles about Paris </w:t>
      </w:r>
      <w:r w:rsidR="009050ED">
        <w:rPr>
          <w:rFonts w:ascii="Calibri" w:eastAsia="Calibri" w:hAnsi="Calibri" w:cs="Calibri"/>
          <w:lang w:val="en-GB"/>
        </w:rPr>
        <w:t>that were shared the most.</w:t>
      </w:r>
      <w:r w:rsidR="00F84B9A">
        <w:rPr>
          <w:rStyle w:val="FootnoteReference"/>
          <w:rFonts w:ascii="Calibri" w:eastAsia="Calibri" w:hAnsi="Calibri" w:cs="Calibri"/>
          <w:lang w:val="en-GB"/>
        </w:rPr>
        <w:footnoteReference w:id="13"/>
      </w:r>
      <w:r w:rsidR="009050ED">
        <w:rPr>
          <w:rFonts w:ascii="Calibri" w:eastAsia="Calibri" w:hAnsi="Calibri" w:cs="Calibri"/>
          <w:lang w:val="en-GB"/>
        </w:rPr>
        <w:t xml:space="preserve"> </w:t>
      </w:r>
    </w:p>
    <w:p w14:paraId="628FFAD0" w14:textId="77777777" w:rsidR="00A841EE" w:rsidRDefault="00A841EE" w:rsidP="00E52F0F">
      <w:pPr>
        <w:spacing w:after="0" w:line="360" w:lineRule="auto"/>
        <w:ind w:firstLine="709"/>
        <w:jc w:val="both"/>
        <w:rPr>
          <w:rFonts w:ascii="Calibri" w:eastAsia="Calibri" w:hAnsi="Calibri" w:cs="Calibri"/>
          <w:lang w:val="en-GB"/>
        </w:rPr>
      </w:pPr>
    </w:p>
    <w:tbl>
      <w:tblPr>
        <w:tblStyle w:val="GridTable2-Accent1"/>
        <w:tblpPr w:leftFromText="141" w:rightFromText="141" w:vertAnchor="text" w:tblpY="1"/>
        <w:tblOverlap w:val="never"/>
        <w:tblW w:w="9072" w:type="dxa"/>
        <w:tblLayout w:type="fixed"/>
        <w:tblLook w:val="0600" w:firstRow="0" w:lastRow="0" w:firstColumn="0" w:lastColumn="0" w:noHBand="1" w:noVBand="1"/>
      </w:tblPr>
      <w:tblGrid>
        <w:gridCol w:w="7655"/>
        <w:gridCol w:w="1417"/>
      </w:tblGrid>
      <w:tr w:rsidR="00A841EE" w14:paraId="7497F242" w14:textId="77777777" w:rsidTr="00A841EE">
        <w:trPr>
          <w:cantSplit/>
          <w:trHeight w:val="20"/>
        </w:trPr>
        <w:tc>
          <w:tcPr>
            <w:tcW w:w="7655" w:type="dxa"/>
            <w:tcBorders>
              <w:top w:val="nil"/>
            </w:tcBorders>
          </w:tcPr>
          <w:p w14:paraId="29EE5ECC" w14:textId="3E28F7A7" w:rsidR="00A841EE" w:rsidRPr="00A841EE" w:rsidRDefault="00A841EE" w:rsidP="00E52F0F">
            <w:pPr>
              <w:widowControl w:val="0"/>
              <w:spacing w:line="360" w:lineRule="auto"/>
              <w:jc w:val="both"/>
              <w:rPr>
                <w:i/>
              </w:rPr>
            </w:pPr>
            <w:r w:rsidRPr="00A841EE">
              <w:rPr>
                <w:rFonts w:ascii="Calibri" w:eastAsia="Calibri" w:hAnsi="Calibri" w:cs="Calibri"/>
                <w:i/>
                <w:lang w:val="en-GB"/>
              </w:rPr>
              <w:t>Headline</w:t>
            </w:r>
          </w:p>
        </w:tc>
        <w:tc>
          <w:tcPr>
            <w:tcW w:w="1417" w:type="dxa"/>
            <w:tcBorders>
              <w:top w:val="nil"/>
            </w:tcBorders>
          </w:tcPr>
          <w:p w14:paraId="38B78C8E" w14:textId="3D5FB44A" w:rsidR="00A841EE" w:rsidRPr="00A841EE" w:rsidRDefault="00A841EE" w:rsidP="00E52F0F">
            <w:pPr>
              <w:widowControl w:val="0"/>
              <w:spacing w:line="360" w:lineRule="auto"/>
              <w:jc w:val="center"/>
              <w:rPr>
                <w:i/>
              </w:rPr>
            </w:pPr>
            <w:r w:rsidRPr="00A841EE">
              <w:rPr>
                <w:rFonts w:ascii="Calibri" w:eastAsia="Calibri" w:hAnsi="Calibri" w:cs="Calibri"/>
                <w:i/>
                <w:lang w:val="en-GB"/>
              </w:rPr>
              <w:t>Shares</w:t>
            </w:r>
          </w:p>
        </w:tc>
      </w:tr>
      <w:tr w:rsidR="00A841EE" w14:paraId="262A1F99" w14:textId="77777777" w:rsidTr="00A841EE">
        <w:trPr>
          <w:cantSplit/>
          <w:trHeight w:val="20"/>
        </w:trPr>
        <w:tc>
          <w:tcPr>
            <w:tcW w:w="7655" w:type="dxa"/>
          </w:tcPr>
          <w:p w14:paraId="1D9B5ED3" w14:textId="25B6A10B" w:rsidR="00A841EE" w:rsidRPr="00A841EE" w:rsidRDefault="00A841EE" w:rsidP="00E52F0F">
            <w:pPr>
              <w:widowControl w:val="0"/>
              <w:spacing w:line="360" w:lineRule="auto"/>
              <w:rPr>
                <w:lang w:val="en-GB"/>
              </w:rPr>
            </w:pPr>
            <w:r>
              <w:rPr>
                <w:rFonts w:ascii="Calibri" w:eastAsia="Calibri" w:hAnsi="Calibri" w:cs="Calibri"/>
                <w:lang w:val="en-GB"/>
              </w:rPr>
              <w:t>Paris terror attacks: Hollande says Isis atrocity was ‘act of war’</w:t>
            </w:r>
          </w:p>
        </w:tc>
        <w:tc>
          <w:tcPr>
            <w:tcW w:w="1417" w:type="dxa"/>
          </w:tcPr>
          <w:p w14:paraId="6C918863" w14:textId="23A3F0E9" w:rsidR="00A841EE" w:rsidRDefault="00A841EE" w:rsidP="00E52F0F">
            <w:pPr>
              <w:widowControl w:val="0"/>
              <w:spacing w:line="360" w:lineRule="auto"/>
              <w:jc w:val="center"/>
            </w:pPr>
            <w:r>
              <w:rPr>
                <w:rFonts w:ascii="Calibri" w:eastAsia="Calibri" w:hAnsi="Calibri" w:cs="Calibri"/>
                <w:lang w:val="en-GB"/>
              </w:rPr>
              <w:t>23,318</w:t>
            </w:r>
          </w:p>
        </w:tc>
      </w:tr>
      <w:tr w:rsidR="00A841EE" w14:paraId="1DA96E88" w14:textId="77777777" w:rsidTr="00A841EE">
        <w:trPr>
          <w:cantSplit/>
          <w:trHeight w:val="20"/>
        </w:trPr>
        <w:tc>
          <w:tcPr>
            <w:tcW w:w="7655" w:type="dxa"/>
          </w:tcPr>
          <w:p w14:paraId="75C4381D" w14:textId="25623744" w:rsidR="00A841EE" w:rsidRPr="00A841EE" w:rsidRDefault="00A841EE" w:rsidP="00E52F0F">
            <w:pPr>
              <w:widowControl w:val="0"/>
              <w:spacing w:line="360" w:lineRule="auto"/>
              <w:rPr>
                <w:lang w:val="en-GB"/>
              </w:rPr>
            </w:pPr>
            <w:r>
              <w:rPr>
                <w:rFonts w:ascii="Calibri" w:eastAsia="Calibri" w:hAnsi="Calibri" w:cs="Calibri"/>
                <w:lang w:val="en-GB"/>
              </w:rPr>
              <w:t>Identities of Paris terror attack victims from more than a dozen countries emerge</w:t>
            </w:r>
          </w:p>
        </w:tc>
        <w:tc>
          <w:tcPr>
            <w:tcW w:w="1417" w:type="dxa"/>
          </w:tcPr>
          <w:p w14:paraId="03A9A19B" w14:textId="404D7E5B" w:rsidR="00A841EE" w:rsidRDefault="00A841EE" w:rsidP="00E52F0F">
            <w:pPr>
              <w:widowControl w:val="0"/>
              <w:spacing w:line="360" w:lineRule="auto"/>
              <w:jc w:val="center"/>
            </w:pPr>
            <w:r>
              <w:rPr>
                <w:rFonts w:ascii="Calibri" w:eastAsia="Calibri" w:hAnsi="Calibri" w:cs="Calibri"/>
                <w:lang w:val="en-GB"/>
              </w:rPr>
              <w:t>21,672</w:t>
            </w:r>
          </w:p>
        </w:tc>
      </w:tr>
      <w:tr w:rsidR="00A841EE" w14:paraId="62A56C3E" w14:textId="77777777" w:rsidTr="00A841EE">
        <w:trPr>
          <w:cantSplit/>
          <w:trHeight w:val="20"/>
        </w:trPr>
        <w:tc>
          <w:tcPr>
            <w:tcW w:w="7655" w:type="dxa"/>
          </w:tcPr>
          <w:p w14:paraId="56677839" w14:textId="146B01E1" w:rsidR="00A841EE" w:rsidRPr="00A841EE" w:rsidRDefault="00A841EE" w:rsidP="00E52F0F">
            <w:pPr>
              <w:widowControl w:val="0"/>
              <w:spacing w:line="360" w:lineRule="auto"/>
              <w:rPr>
                <w:lang w:val="en-GB"/>
              </w:rPr>
            </w:pPr>
            <w:r>
              <w:rPr>
                <w:rFonts w:ascii="Calibri" w:eastAsia="Calibri" w:hAnsi="Calibri" w:cs="Calibri"/>
                <w:lang w:val="en-GB"/>
              </w:rPr>
              <w:t>‘The media have failed us’: British Muslims on the coverage of the Paris attacks</w:t>
            </w:r>
          </w:p>
        </w:tc>
        <w:tc>
          <w:tcPr>
            <w:tcW w:w="1417" w:type="dxa"/>
          </w:tcPr>
          <w:p w14:paraId="5A7C03AA" w14:textId="2829D9E9" w:rsidR="00A841EE" w:rsidRDefault="00A841EE" w:rsidP="00E52F0F">
            <w:pPr>
              <w:widowControl w:val="0"/>
              <w:spacing w:line="360" w:lineRule="auto"/>
              <w:jc w:val="center"/>
            </w:pPr>
            <w:r>
              <w:rPr>
                <w:rFonts w:ascii="Calibri" w:eastAsia="Calibri" w:hAnsi="Calibri" w:cs="Calibri"/>
                <w:lang w:val="en-GB"/>
              </w:rPr>
              <w:t>13,328</w:t>
            </w:r>
          </w:p>
        </w:tc>
      </w:tr>
      <w:tr w:rsidR="00A841EE" w14:paraId="40B94699" w14:textId="77777777" w:rsidTr="00A841EE">
        <w:trPr>
          <w:cantSplit/>
          <w:trHeight w:val="78"/>
        </w:trPr>
        <w:tc>
          <w:tcPr>
            <w:tcW w:w="7655" w:type="dxa"/>
          </w:tcPr>
          <w:p w14:paraId="689C4D98" w14:textId="63802B4F" w:rsidR="00A841EE" w:rsidRPr="00A841EE" w:rsidRDefault="00A841EE" w:rsidP="00E52F0F">
            <w:pPr>
              <w:widowControl w:val="0"/>
              <w:spacing w:line="360" w:lineRule="auto"/>
              <w:rPr>
                <w:lang w:val="en-GB"/>
              </w:rPr>
            </w:pPr>
            <w:r>
              <w:rPr>
                <w:rFonts w:ascii="Calibri" w:eastAsia="Calibri" w:hAnsi="Calibri" w:cs="Calibri"/>
                <w:lang w:val="en-GB"/>
              </w:rPr>
              <w:t>Paris attacks: what we know in wake of killings</w:t>
            </w:r>
          </w:p>
        </w:tc>
        <w:tc>
          <w:tcPr>
            <w:tcW w:w="1417" w:type="dxa"/>
          </w:tcPr>
          <w:p w14:paraId="4F59BD20" w14:textId="7496D067" w:rsidR="00A841EE" w:rsidRDefault="00A841EE" w:rsidP="00E52F0F">
            <w:pPr>
              <w:widowControl w:val="0"/>
              <w:spacing w:line="360" w:lineRule="auto"/>
              <w:jc w:val="center"/>
            </w:pPr>
            <w:r>
              <w:rPr>
                <w:rFonts w:ascii="Calibri" w:eastAsia="Calibri" w:hAnsi="Calibri" w:cs="Calibri"/>
                <w:lang w:val="en-GB"/>
              </w:rPr>
              <w:t>10,960</w:t>
            </w:r>
          </w:p>
        </w:tc>
      </w:tr>
      <w:tr w:rsidR="00A841EE" w14:paraId="0096E91C" w14:textId="77777777" w:rsidTr="00A841EE">
        <w:trPr>
          <w:cantSplit/>
          <w:trHeight w:val="20"/>
        </w:trPr>
        <w:tc>
          <w:tcPr>
            <w:tcW w:w="7655" w:type="dxa"/>
          </w:tcPr>
          <w:p w14:paraId="192894CA" w14:textId="3B8DEF4F" w:rsidR="00A841EE" w:rsidRPr="00A841EE" w:rsidRDefault="00A841EE" w:rsidP="00E52F0F">
            <w:pPr>
              <w:widowControl w:val="0"/>
              <w:spacing w:line="360" w:lineRule="auto"/>
              <w:rPr>
                <w:lang w:val="en-GB"/>
              </w:rPr>
            </w:pPr>
            <w:r>
              <w:rPr>
                <w:rFonts w:ascii="Calibri" w:eastAsia="Calibri" w:hAnsi="Calibri" w:cs="Calibri"/>
                <w:lang w:val="en-GB"/>
              </w:rPr>
              <w:t>Paris attacks: the Muslim victims of terrorist bullets</w:t>
            </w:r>
          </w:p>
        </w:tc>
        <w:tc>
          <w:tcPr>
            <w:tcW w:w="1417" w:type="dxa"/>
          </w:tcPr>
          <w:p w14:paraId="44E0D6A2" w14:textId="1ED91D25" w:rsidR="00A841EE" w:rsidRDefault="00A841EE" w:rsidP="00E52F0F">
            <w:pPr>
              <w:widowControl w:val="0"/>
              <w:spacing w:line="360" w:lineRule="auto"/>
              <w:jc w:val="center"/>
            </w:pPr>
            <w:r>
              <w:rPr>
                <w:rFonts w:ascii="Calibri" w:eastAsia="Calibri" w:hAnsi="Calibri" w:cs="Calibri"/>
                <w:lang w:val="en-GB"/>
              </w:rPr>
              <w:t xml:space="preserve">  9,403</w:t>
            </w:r>
          </w:p>
        </w:tc>
      </w:tr>
      <w:tr w:rsidR="009050ED" w14:paraId="0F83623D" w14:textId="77777777" w:rsidTr="00A841EE">
        <w:trPr>
          <w:cantSplit/>
          <w:trHeight w:val="20"/>
        </w:trPr>
        <w:tc>
          <w:tcPr>
            <w:tcW w:w="7655" w:type="dxa"/>
          </w:tcPr>
          <w:p w14:paraId="77F2EB26" w14:textId="0BE6792B" w:rsidR="009050ED" w:rsidRDefault="009050ED" w:rsidP="00E52F0F">
            <w:pPr>
              <w:widowControl w:val="0"/>
              <w:spacing w:line="360" w:lineRule="auto"/>
              <w:rPr>
                <w:rFonts w:ascii="Calibri" w:eastAsia="Calibri" w:hAnsi="Calibri" w:cs="Calibri"/>
                <w:lang w:val="en-GB"/>
              </w:rPr>
            </w:pPr>
            <w:r>
              <w:rPr>
                <w:rFonts w:ascii="Calibri" w:eastAsia="Calibri" w:hAnsi="Calibri" w:cs="Calibri"/>
                <w:lang w:val="en-GB"/>
              </w:rPr>
              <w:t>Paris attacks: how far does our global solidarity extend?</w:t>
            </w:r>
          </w:p>
        </w:tc>
        <w:tc>
          <w:tcPr>
            <w:tcW w:w="1417" w:type="dxa"/>
          </w:tcPr>
          <w:p w14:paraId="3D3403D2" w14:textId="7BF066D7" w:rsidR="009050ED" w:rsidRDefault="009050ED" w:rsidP="00E52F0F">
            <w:pPr>
              <w:widowControl w:val="0"/>
              <w:spacing w:line="360" w:lineRule="auto"/>
              <w:jc w:val="center"/>
              <w:rPr>
                <w:rFonts w:ascii="Calibri" w:eastAsia="Calibri" w:hAnsi="Calibri" w:cs="Calibri"/>
                <w:lang w:val="en-GB"/>
              </w:rPr>
            </w:pPr>
            <w:r>
              <w:rPr>
                <w:rFonts w:ascii="Calibri" w:eastAsia="Calibri" w:hAnsi="Calibri" w:cs="Calibri"/>
                <w:lang w:val="en-GB"/>
              </w:rPr>
              <w:t xml:space="preserve">  8,611</w:t>
            </w:r>
          </w:p>
        </w:tc>
      </w:tr>
    </w:tbl>
    <w:p w14:paraId="3A597998" w14:textId="0322FA21" w:rsidR="00882A65" w:rsidRPr="00BB34E7" w:rsidRDefault="00882A65" w:rsidP="00E52F0F">
      <w:pPr>
        <w:spacing w:after="0" w:line="360" w:lineRule="auto"/>
        <w:jc w:val="both"/>
        <w:rPr>
          <w:rFonts w:ascii="Calibri" w:eastAsia="Calibri" w:hAnsi="Calibri" w:cs="Calibri"/>
          <w:sz w:val="20"/>
          <w:lang w:val="en-GB"/>
        </w:rPr>
      </w:pPr>
      <w:r w:rsidRPr="00BB34E7">
        <w:rPr>
          <w:rFonts w:ascii="Calibri" w:eastAsia="Calibri" w:hAnsi="Calibri" w:cs="Calibri"/>
          <w:sz w:val="20"/>
          <w:lang w:val="en-GB"/>
        </w:rPr>
        <w:t>Table 5.2</w:t>
      </w:r>
      <w:r w:rsidR="0093193C">
        <w:rPr>
          <w:rFonts w:ascii="Calibri" w:eastAsia="Calibri" w:hAnsi="Calibri" w:cs="Calibri"/>
          <w:sz w:val="20"/>
          <w:lang w:val="en-GB"/>
        </w:rPr>
        <w:t>:</w:t>
      </w:r>
      <w:r w:rsidRPr="00BB34E7">
        <w:rPr>
          <w:rFonts w:ascii="Calibri" w:eastAsia="Calibri" w:hAnsi="Calibri" w:cs="Calibri"/>
          <w:sz w:val="20"/>
          <w:lang w:val="en-GB"/>
        </w:rPr>
        <w:t xml:space="preserve"> Headlines of </w:t>
      </w:r>
      <w:r w:rsidR="00E92A0B">
        <w:rPr>
          <w:rFonts w:ascii="Calibri" w:eastAsia="Calibri" w:hAnsi="Calibri" w:cs="Calibri"/>
          <w:sz w:val="20"/>
          <w:lang w:val="en-GB"/>
        </w:rPr>
        <w:t>six</w:t>
      </w:r>
      <w:r w:rsidRPr="00BB34E7">
        <w:rPr>
          <w:rFonts w:ascii="Calibri" w:eastAsia="Calibri" w:hAnsi="Calibri" w:cs="Calibri"/>
          <w:sz w:val="20"/>
          <w:lang w:val="en-GB"/>
        </w:rPr>
        <w:t xml:space="preserve"> most shared articles about Paris</w:t>
      </w:r>
      <w:r w:rsidR="0093193C">
        <w:rPr>
          <w:rFonts w:ascii="Calibri" w:eastAsia="Calibri" w:hAnsi="Calibri" w:cs="Calibri"/>
          <w:sz w:val="20"/>
          <w:lang w:val="en-GB"/>
        </w:rPr>
        <w:t xml:space="preserve"> attacks</w:t>
      </w:r>
      <w:r w:rsidRPr="00BB34E7">
        <w:rPr>
          <w:rFonts w:ascii="Calibri" w:eastAsia="Calibri" w:hAnsi="Calibri" w:cs="Calibri"/>
          <w:sz w:val="20"/>
          <w:lang w:val="en-GB"/>
        </w:rPr>
        <w:t xml:space="preserve"> (</w:t>
      </w:r>
      <w:r w:rsidR="009050ED">
        <w:rPr>
          <w:rFonts w:ascii="Calibri" w:eastAsia="Calibri" w:hAnsi="Calibri" w:cs="Calibri"/>
          <w:sz w:val="20"/>
          <w:lang w:val="en-GB"/>
        </w:rPr>
        <w:t>from top to bottom</w:t>
      </w:r>
      <w:r w:rsidRPr="00BB34E7">
        <w:rPr>
          <w:rFonts w:ascii="Calibri" w:eastAsia="Calibri" w:hAnsi="Calibri" w:cs="Calibri"/>
          <w:sz w:val="20"/>
          <w:lang w:val="en-GB"/>
        </w:rPr>
        <w:t xml:space="preserve">: Henley </w:t>
      </w:r>
      <w:r w:rsidR="00BE553E">
        <w:rPr>
          <w:rFonts w:ascii="Calibri" w:eastAsia="Calibri" w:hAnsi="Calibri" w:cs="Calibri"/>
          <w:sz w:val="20"/>
          <w:lang w:val="en-GB"/>
        </w:rPr>
        <w:t>and</w:t>
      </w:r>
      <w:r w:rsidRPr="00BB34E7">
        <w:rPr>
          <w:rFonts w:ascii="Calibri" w:eastAsia="Calibri" w:hAnsi="Calibri" w:cs="Calibri"/>
          <w:sz w:val="20"/>
          <w:lang w:val="en-GB"/>
        </w:rPr>
        <w:t xml:space="preserve"> Chrisafis, 2015; Davidson and agencies, 2015; Fishwick, 2015; Phipps </w:t>
      </w:r>
      <w:r w:rsidR="00BE553E">
        <w:rPr>
          <w:rFonts w:ascii="Calibri" w:eastAsia="Calibri" w:hAnsi="Calibri" w:cs="Calibri"/>
          <w:sz w:val="20"/>
          <w:lang w:val="en-GB"/>
        </w:rPr>
        <w:t>and</w:t>
      </w:r>
      <w:r w:rsidRPr="00BB34E7">
        <w:rPr>
          <w:rFonts w:ascii="Calibri" w:eastAsia="Calibri" w:hAnsi="Calibri" w:cs="Calibri"/>
          <w:sz w:val="20"/>
          <w:lang w:val="en-GB"/>
        </w:rPr>
        <w:t xml:space="preserve"> Rawlinson, 2015</w:t>
      </w:r>
      <w:r w:rsidR="0052685C">
        <w:rPr>
          <w:rFonts w:ascii="Calibri" w:eastAsia="Calibri" w:hAnsi="Calibri" w:cs="Calibri"/>
          <w:sz w:val="20"/>
          <w:lang w:val="en-GB"/>
        </w:rPr>
        <w:t>a</w:t>
      </w:r>
      <w:r w:rsidRPr="00BB34E7">
        <w:rPr>
          <w:rFonts w:ascii="Calibri" w:eastAsia="Calibri" w:hAnsi="Calibri" w:cs="Calibri"/>
          <w:sz w:val="20"/>
          <w:lang w:val="en-GB"/>
        </w:rPr>
        <w:t>; Penketh, 2015</w:t>
      </w:r>
      <w:r w:rsidR="009050ED">
        <w:rPr>
          <w:rFonts w:ascii="Calibri" w:eastAsia="Calibri" w:hAnsi="Calibri" w:cs="Calibri"/>
          <w:sz w:val="20"/>
          <w:lang w:val="en-GB"/>
        </w:rPr>
        <w:t>; Shearlaw, 2015</w:t>
      </w:r>
      <w:r w:rsidRPr="00BB34E7">
        <w:rPr>
          <w:rFonts w:ascii="Calibri" w:eastAsia="Calibri" w:hAnsi="Calibri" w:cs="Calibri"/>
          <w:sz w:val="20"/>
          <w:lang w:val="en-GB"/>
        </w:rPr>
        <w:t>)</w:t>
      </w:r>
      <w:r w:rsidR="0052685C">
        <w:rPr>
          <w:rFonts w:ascii="Calibri" w:eastAsia="Calibri" w:hAnsi="Calibri" w:cs="Calibri"/>
          <w:sz w:val="20"/>
          <w:lang w:val="en-GB"/>
        </w:rPr>
        <w:t>.</w:t>
      </w:r>
    </w:p>
    <w:p w14:paraId="39F31889" w14:textId="77777777" w:rsidR="00882A65" w:rsidRDefault="00882A65" w:rsidP="00E52F0F">
      <w:pPr>
        <w:spacing w:after="0" w:line="360" w:lineRule="auto"/>
        <w:ind w:firstLine="709"/>
        <w:jc w:val="both"/>
        <w:rPr>
          <w:rFonts w:ascii="Calibri" w:eastAsia="Calibri" w:hAnsi="Calibri" w:cs="Calibri"/>
          <w:lang w:val="en-GB"/>
        </w:rPr>
      </w:pPr>
    </w:p>
    <w:p w14:paraId="591380DC" w14:textId="156D8263" w:rsidR="00EE3733" w:rsidRPr="00C91C07" w:rsidRDefault="009050ED" w:rsidP="00720FFE">
      <w:pPr>
        <w:spacing w:after="0" w:line="360" w:lineRule="auto"/>
        <w:jc w:val="both"/>
        <w:rPr>
          <w:rFonts w:ascii="Calibri" w:eastAsia="Calibri" w:hAnsi="Calibri" w:cs="Calibri"/>
          <w:b/>
          <w:lang w:val="en-GB"/>
        </w:rPr>
      </w:pPr>
      <w:r w:rsidRPr="00F078A7">
        <w:rPr>
          <w:rFonts w:ascii="Calibri" w:eastAsia="Calibri" w:hAnsi="Calibri" w:cs="Calibri"/>
          <w:lang w:val="en-GB"/>
        </w:rPr>
        <w:t>Unfortunately, I could not see at what moment the shares of</w:t>
      </w:r>
      <w:r w:rsidR="00F078A7" w:rsidRPr="00F078A7">
        <w:rPr>
          <w:rFonts w:ascii="Calibri" w:eastAsia="Calibri" w:hAnsi="Calibri" w:cs="Calibri"/>
          <w:lang w:val="en-GB"/>
        </w:rPr>
        <w:t xml:space="preserve"> each of the articles – including</w:t>
      </w:r>
      <w:r w:rsidRPr="00F078A7">
        <w:rPr>
          <w:rFonts w:ascii="Calibri" w:eastAsia="Calibri" w:hAnsi="Calibri" w:cs="Calibri"/>
          <w:lang w:val="en-GB"/>
        </w:rPr>
        <w:t xml:space="preserve"> the ones about Beirut –</w:t>
      </w:r>
      <w:r w:rsidR="008E6F03" w:rsidRPr="00F078A7">
        <w:rPr>
          <w:rFonts w:ascii="Calibri" w:eastAsia="Calibri" w:hAnsi="Calibri" w:cs="Calibri"/>
          <w:lang w:val="en-GB"/>
        </w:rPr>
        <w:t xml:space="preserve"> increased</w:t>
      </w:r>
      <w:r w:rsidRPr="00F078A7">
        <w:rPr>
          <w:rFonts w:ascii="Calibri" w:eastAsia="Calibri" w:hAnsi="Calibri" w:cs="Calibri"/>
          <w:lang w:val="en-GB"/>
        </w:rPr>
        <w:t xml:space="preserve">. </w:t>
      </w:r>
      <w:r w:rsidR="000E57F3" w:rsidRPr="00F078A7">
        <w:rPr>
          <w:rFonts w:ascii="Calibri" w:eastAsia="Calibri" w:hAnsi="Calibri" w:cs="Calibri"/>
          <w:lang w:val="en-GB"/>
        </w:rPr>
        <w:t xml:space="preserve">Nevertheless, </w:t>
      </w:r>
      <w:r w:rsidR="008E6F03" w:rsidRPr="00F078A7">
        <w:rPr>
          <w:rFonts w:ascii="Calibri" w:eastAsia="Calibri" w:hAnsi="Calibri" w:cs="Calibri"/>
          <w:lang w:val="en-GB"/>
        </w:rPr>
        <w:t xml:space="preserve">two further factors should be taken into consideration. </w:t>
      </w:r>
      <w:r w:rsidR="00F84B9A" w:rsidRPr="00F078A7">
        <w:rPr>
          <w:rFonts w:ascii="Calibri" w:eastAsia="Calibri" w:hAnsi="Calibri" w:cs="Calibri"/>
          <w:lang w:val="en-GB"/>
        </w:rPr>
        <w:t>To begin with</w:t>
      </w:r>
      <w:r w:rsidR="008E6F03" w:rsidRPr="00F078A7">
        <w:rPr>
          <w:rFonts w:ascii="Calibri" w:eastAsia="Calibri" w:hAnsi="Calibri" w:cs="Calibri"/>
          <w:lang w:val="en-GB"/>
        </w:rPr>
        <w:t xml:space="preserve">, </w:t>
      </w:r>
      <w:r w:rsidR="000E57F3" w:rsidRPr="00F078A7">
        <w:rPr>
          <w:rFonts w:ascii="Calibri" w:eastAsia="Calibri" w:hAnsi="Calibri" w:cs="Calibri"/>
          <w:lang w:val="en-GB"/>
        </w:rPr>
        <w:t>the first live blog</w:t>
      </w:r>
      <w:r w:rsidR="00293753">
        <w:rPr>
          <w:rFonts w:ascii="Calibri" w:eastAsia="Calibri" w:hAnsi="Calibri" w:cs="Calibri"/>
          <w:lang w:val="en-GB"/>
        </w:rPr>
        <w:t xml:space="preserve"> </w:t>
      </w:r>
      <w:r w:rsidR="000E57F3" w:rsidRPr="00F078A7">
        <w:rPr>
          <w:rFonts w:ascii="Calibri" w:eastAsia="Calibri" w:hAnsi="Calibri" w:cs="Calibri"/>
          <w:lang w:val="en-GB"/>
        </w:rPr>
        <w:t>about</w:t>
      </w:r>
      <w:r w:rsidR="000E57F3">
        <w:rPr>
          <w:rFonts w:ascii="Calibri" w:eastAsia="Calibri" w:hAnsi="Calibri" w:cs="Calibri"/>
          <w:lang w:val="en-GB"/>
        </w:rPr>
        <w:t xml:space="preserve"> the Paris attacks</w:t>
      </w:r>
      <w:r w:rsidR="00293753">
        <w:rPr>
          <w:rFonts w:ascii="Calibri" w:eastAsia="Calibri" w:hAnsi="Calibri" w:cs="Calibri"/>
          <w:lang w:val="en-GB"/>
        </w:rPr>
        <w:t>, which started three minutes after the first explosion,</w:t>
      </w:r>
      <w:r w:rsidR="000E57F3">
        <w:rPr>
          <w:rFonts w:ascii="Calibri" w:eastAsia="Calibri" w:hAnsi="Calibri" w:cs="Calibri"/>
          <w:lang w:val="en-GB"/>
        </w:rPr>
        <w:t xml:space="preserve"> was shared 48,154 times</w:t>
      </w:r>
      <w:r w:rsidR="00F84B9A">
        <w:rPr>
          <w:rFonts w:ascii="Calibri" w:eastAsia="Calibri" w:hAnsi="Calibri" w:cs="Calibri"/>
          <w:lang w:val="en-GB"/>
        </w:rPr>
        <w:t xml:space="preserve">, the second </w:t>
      </w:r>
      <w:r w:rsidR="00293753">
        <w:rPr>
          <w:rFonts w:ascii="Calibri" w:eastAsia="Calibri" w:hAnsi="Calibri" w:cs="Calibri"/>
          <w:lang w:val="en-GB"/>
        </w:rPr>
        <w:t xml:space="preserve">live blog was shared </w:t>
      </w:r>
      <w:r w:rsidR="00F84B9A">
        <w:rPr>
          <w:rFonts w:ascii="Calibri" w:eastAsia="Calibri" w:hAnsi="Calibri" w:cs="Calibri"/>
          <w:lang w:val="en-GB"/>
        </w:rPr>
        <w:t>42,333 times</w:t>
      </w:r>
      <w:r w:rsidR="000E57F3">
        <w:rPr>
          <w:rFonts w:ascii="Calibri" w:eastAsia="Calibri" w:hAnsi="Calibri" w:cs="Calibri"/>
          <w:lang w:val="en-GB"/>
        </w:rPr>
        <w:t xml:space="preserve"> (Phipps </w:t>
      </w:r>
      <w:r w:rsidR="00BE553E">
        <w:rPr>
          <w:rFonts w:ascii="Calibri" w:eastAsia="Calibri" w:hAnsi="Calibri" w:cs="Calibri"/>
          <w:lang w:val="en-GB"/>
        </w:rPr>
        <w:t>and</w:t>
      </w:r>
      <w:r w:rsidR="000E57F3">
        <w:rPr>
          <w:rFonts w:ascii="Calibri" w:eastAsia="Calibri" w:hAnsi="Calibri" w:cs="Calibri"/>
          <w:lang w:val="en-GB"/>
        </w:rPr>
        <w:t xml:space="preserve"> Rawlinson, 2015</w:t>
      </w:r>
      <w:r w:rsidR="0052685C">
        <w:rPr>
          <w:rFonts w:ascii="Calibri" w:eastAsia="Calibri" w:hAnsi="Calibri" w:cs="Calibri"/>
          <w:lang w:val="en-GB"/>
        </w:rPr>
        <w:t>b</w:t>
      </w:r>
      <w:r w:rsidR="00F84B9A">
        <w:rPr>
          <w:rFonts w:ascii="Calibri" w:eastAsia="Calibri" w:hAnsi="Calibri" w:cs="Calibri"/>
          <w:lang w:val="en-GB"/>
        </w:rPr>
        <w:t xml:space="preserve">; Elgot, Phipps </w:t>
      </w:r>
      <w:r w:rsidR="00BE553E">
        <w:rPr>
          <w:rFonts w:ascii="Calibri" w:eastAsia="Calibri" w:hAnsi="Calibri" w:cs="Calibri"/>
          <w:lang w:val="en-GB"/>
        </w:rPr>
        <w:t>and</w:t>
      </w:r>
      <w:r w:rsidR="00F84B9A">
        <w:rPr>
          <w:rFonts w:ascii="Calibri" w:eastAsia="Calibri" w:hAnsi="Calibri" w:cs="Calibri"/>
          <w:lang w:val="en-GB"/>
        </w:rPr>
        <w:t xml:space="preserve"> Bucks, 2015</w:t>
      </w:r>
      <w:r w:rsidR="000E57F3">
        <w:rPr>
          <w:rFonts w:ascii="Calibri" w:eastAsia="Calibri" w:hAnsi="Calibri" w:cs="Calibri"/>
          <w:lang w:val="en-GB"/>
        </w:rPr>
        <w:t>)</w:t>
      </w:r>
      <w:r w:rsidR="008E6F03">
        <w:rPr>
          <w:rFonts w:ascii="Calibri" w:eastAsia="Calibri" w:hAnsi="Calibri" w:cs="Calibri"/>
          <w:lang w:val="en-GB"/>
        </w:rPr>
        <w:t>. Secondly, sharing on social media can have a significant effect on the production of news (Roy, 2015).</w:t>
      </w:r>
      <w:r w:rsidR="00566076">
        <w:rPr>
          <w:rFonts w:ascii="Calibri" w:eastAsia="Calibri" w:hAnsi="Calibri" w:cs="Calibri"/>
          <w:lang w:val="en-GB"/>
        </w:rPr>
        <w:t xml:space="preserve"> Roy examined this effect, </w:t>
      </w:r>
      <w:r w:rsidR="00293753">
        <w:rPr>
          <w:rFonts w:ascii="Calibri" w:eastAsia="Calibri" w:hAnsi="Calibri" w:cs="Calibri"/>
          <w:lang w:val="en-GB"/>
        </w:rPr>
        <w:t>investigating</w:t>
      </w:r>
      <w:r w:rsidR="00566076">
        <w:rPr>
          <w:rFonts w:ascii="Calibri" w:eastAsia="Calibri" w:hAnsi="Calibri" w:cs="Calibri"/>
          <w:lang w:val="en-GB"/>
        </w:rPr>
        <w:t xml:space="preserve"> to what extent the news about Beirut and Paris influenced Twitter, and vice versa (2015). </w:t>
      </w:r>
      <w:r w:rsidR="00E20CF1">
        <w:rPr>
          <w:rFonts w:ascii="Calibri" w:eastAsia="Calibri" w:hAnsi="Calibri" w:cs="Calibri"/>
          <w:lang w:val="en-GB"/>
        </w:rPr>
        <w:t>He discovered that, even before the Paris attacks,</w:t>
      </w:r>
      <w:r w:rsidR="00F078A7">
        <w:rPr>
          <w:rFonts w:ascii="Calibri" w:eastAsia="Calibri" w:hAnsi="Calibri" w:cs="Calibri"/>
          <w:lang w:val="en-GB"/>
        </w:rPr>
        <w:t xml:space="preserve"> the Beirut bombings did not gain</w:t>
      </w:r>
      <w:r w:rsidR="00E20CF1">
        <w:rPr>
          <w:rFonts w:ascii="Calibri" w:eastAsia="Calibri" w:hAnsi="Calibri" w:cs="Calibri"/>
          <w:lang w:val="en-GB"/>
        </w:rPr>
        <w:t xml:space="preserve"> significant attention (2015). An hour after each event, the Beirut articles received only five per cent of the attention given to Paris on Twitter (2015). </w:t>
      </w:r>
      <w:r w:rsidR="00EE3733">
        <w:rPr>
          <w:rFonts w:ascii="Calibri" w:eastAsia="Calibri" w:hAnsi="Calibri" w:cs="Calibri"/>
          <w:lang w:val="en-GB"/>
        </w:rPr>
        <w:t>Using a granger analysis</w:t>
      </w:r>
      <w:r w:rsidR="008E6F03">
        <w:rPr>
          <w:rFonts w:ascii="Calibri" w:eastAsia="Calibri" w:hAnsi="Calibri" w:cs="Calibri"/>
          <w:lang w:val="en-GB"/>
        </w:rPr>
        <w:t>,</w:t>
      </w:r>
      <w:r w:rsidR="00EE3733">
        <w:rPr>
          <w:rStyle w:val="FootnoteReference"/>
          <w:rFonts w:ascii="Calibri" w:eastAsia="Calibri" w:hAnsi="Calibri" w:cs="Calibri"/>
          <w:lang w:val="en-GB"/>
        </w:rPr>
        <w:footnoteReference w:id="14"/>
      </w:r>
      <w:r w:rsidR="00EE3733">
        <w:rPr>
          <w:rFonts w:ascii="Calibri" w:eastAsia="Calibri" w:hAnsi="Calibri" w:cs="Calibri"/>
          <w:lang w:val="en-GB"/>
        </w:rPr>
        <w:t xml:space="preserve"> Roy discovered that Twitter attention significantly affected coverage of both the Beirut and Paris attacks in the first thirty hours after t</w:t>
      </w:r>
      <w:r w:rsidR="00F078A7">
        <w:rPr>
          <w:rFonts w:ascii="Calibri" w:eastAsia="Calibri" w:hAnsi="Calibri" w:cs="Calibri"/>
          <w:lang w:val="en-GB"/>
        </w:rPr>
        <w:t xml:space="preserve">he events, while the reverse – </w:t>
      </w:r>
      <w:r w:rsidR="00EE3733">
        <w:rPr>
          <w:rFonts w:ascii="Calibri" w:eastAsia="Calibri" w:hAnsi="Calibri" w:cs="Calibri"/>
          <w:lang w:val="en-GB"/>
        </w:rPr>
        <w:t xml:space="preserve">coverage affecting attention – was insignificant (2015). </w:t>
      </w:r>
      <w:r w:rsidR="006E7217">
        <w:rPr>
          <w:rFonts w:ascii="Calibri" w:eastAsia="Calibri" w:hAnsi="Calibri" w:cs="Calibri"/>
          <w:lang w:val="en-GB"/>
        </w:rPr>
        <w:t xml:space="preserve">If something similar would be the case for the Guardian articles and social media sharing of these articles, this would mean that in the first days the shares would be lower for the ones about Beirut, and high for the ones about Paris, increasing the incitement for the Guardian to continue publishing about the latter. In that </w:t>
      </w:r>
      <w:r w:rsidR="006E7217">
        <w:rPr>
          <w:rFonts w:ascii="Calibri" w:eastAsia="Calibri" w:hAnsi="Calibri" w:cs="Calibri"/>
          <w:lang w:val="en-GB"/>
        </w:rPr>
        <w:lastRenderedPageBreak/>
        <w:t xml:space="preserve">case, the high number of shares for the Beirut articles could be explained by the later outcry on social media rather than an initial interest: </w:t>
      </w:r>
      <w:r w:rsidR="00823D59">
        <w:rPr>
          <w:rFonts w:ascii="Calibri" w:eastAsia="Calibri" w:hAnsi="Calibri" w:cs="Calibri"/>
          <w:lang w:val="en-GB"/>
        </w:rPr>
        <w:t>at least some</w:t>
      </w:r>
      <w:r w:rsidR="006E7217">
        <w:rPr>
          <w:rFonts w:ascii="Calibri" w:eastAsia="Calibri" w:hAnsi="Calibri" w:cs="Calibri"/>
          <w:lang w:val="en-GB"/>
        </w:rPr>
        <w:t xml:space="preserve"> social media users started sharing the Beirut articles</w:t>
      </w:r>
      <w:r w:rsidR="00293753">
        <w:rPr>
          <w:rFonts w:ascii="Calibri" w:eastAsia="Calibri" w:hAnsi="Calibri" w:cs="Calibri"/>
          <w:lang w:val="en-GB"/>
        </w:rPr>
        <w:t xml:space="preserve"> three or more days after the attacks</w:t>
      </w:r>
      <w:r w:rsidR="006E7217">
        <w:rPr>
          <w:rFonts w:ascii="Calibri" w:eastAsia="Calibri" w:hAnsi="Calibri" w:cs="Calibri"/>
          <w:lang w:val="en-GB"/>
        </w:rPr>
        <w:t xml:space="preserve"> to show their solidarity with those people rather</w:t>
      </w:r>
      <w:r w:rsidR="00823D59">
        <w:rPr>
          <w:rFonts w:ascii="Calibri" w:eastAsia="Calibri" w:hAnsi="Calibri" w:cs="Calibri"/>
          <w:lang w:val="en-GB"/>
        </w:rPr>
        <w:t xml:space="preserve"> than only the people of Paris (e.g. Anketell, 2015; Draven, 2015; Nelson, 2015). </w:t>
      </w:r>
      <w:r w:rsidR="006E7217">
        <w:rPr>
          <w:rFonts w:ascii="Calibri" w:eastAsia="Calibri" w:hAnsi="Calibri" w:cs="Calibri"/>
          <w:lang w:val="en-GB"/>
        </w:rPr>
        <w:t xml:space="preserve">This interpretation could also explain the small number of articles actually published on the Beirut articles: by </w:t>
      </w:r>
      <w:r w:rsidR="006E7217" w:rsidRPr="007A4CD0">
        <w:rPr>
          <w:rFonts w:ascii="Calibri" w:eastAsia="Calibri" w:hAnsi="Calibri" w:cs="Calibri"/>
          <w:lang w:val="en-GB"/>
        </w:rPr>
        <w:t>the time that the outcry was at its highest point</w:t>
      </w:r>
      <w:r w:rsidR="00720FFE">
        <w:rPr>
          <w:rFonts w:ascii="Calibri" w:eastAsia="Calibri" w:hAnsi="Calibri" w:cs="Calibri"/>
          <w:lang w:val="en-GB"/>
        </w:rPr>
        <w:t xml:space="preserve"> three days after the Beirut attacks</w:t>
      </w:r>
      <w:r w:rsidR="006E7217" w:rsidRPr="007A4CD0">
        <w:rPr>
          <w:rFonts w:ascii="Calibri" w:eastAsia="Calibri" w:hAnsi="Calibri" w:cs="Calibri"/>
          <w:lang w:val="en-GB"/>
        </w:rPr>
        <w:t>, a considerable amount of news pieces were already published on Pari</w:t>
      </w:r>
      <w:r w:rsidR="007A4CD0" w:rsidRPr="007A4CD0">
        <w:rPr>
          <w:rFonts w:ascii="Calibri" w:eastAsia="Calibri" w:hAnsi="Calibri" w:cs="Calibri"/>
          <w:lang w:val="en-GB"/>
        </w:rPr>
        <w:t>s, while production of news on Beirut had stopped</w:t>
      </w:r>
      <w:r w:rsidR="006E7217" w:rsidRPr="007A4CD0">
        <w:rPr>
          <w:rFonts w:ascii="Calibri" w:eastAsia="Calibri" w:hAnsi="Calibri" w:cs="Calibri"/>
          <w:lang w:val="en-GB"/>
        </w:rPr>
        <w:t>. Those who wanted to share news on</w:t>
      </w:r>
      <w:r w:rsidR="006E7217">
        <w:rPr>
          <w:rFonts w:ascii="Calibri" w:eastAsia="Calibri" w:hAnsi="Calibri" w:cs="Calibri"/>
          <w:lang w:val="en-GB"/>
        </w:rPr>
        <w:t xml:space="preserve"> the Beirut attacks thus had less to choose from, saturating the shares in those articles, whereas for Paris they were spread out.</w:t>
      </w:r>
      <w:r w:rsidR="00823D3D">
        <w:rPr>
          <w:rFonts w:ascii="Calibri" w:eastAsia="Calibri" w:hAnsi="Calibri" w:cs="Calibri"/>
          <w:lang w:val="en-GB"/>
        </w:rPr>
        <w:t xml:space="preserve"> </w:t>
      </w:r>
      <w:r w:rsidR="007451B8">
        <w:rPr>
          <w:rFonts w:ascii="Calibri" w:eastAsia="Calibri" w:hAnsi="Calibri" w:cs="Calibri"/>
          <w:lang w:val="en-GB"/>
        </w:rPr>
        <w:t xml:space="preserve">Moreover, it would explain </w:t>
      </w:r>
      <w:r w:rsidR="007A4CD0">
        <w:rPr>
          <w:rFonts w:ascii="Calibri" w:eastAsia="Calibri" w:hAnsi="Calibri" w:cs="Calibri"/>
          <w:lang w:val="en-GB"/>
        </w:rPr>
        <w:t>why</w:t>
      </w:r>
      <w:r w:rsidR="007451B8">
        <w:rPr>
          <w:rFonts w:ascii="Calibri" w:eastAsia="Calibri" w:hAnsi="Calibri" w:cs="Calibri"/>
          <w:lang w:val="en-GB"/>
        </w:rPr>
        <w:t xml:space="preserve"> three of the six most shared articles </w:t>
      </w:r>
      <w:r w:rsidR="007A4CD0">
        <w:rPr>
          <w:rFonts w:ascii="Calibri" w:eastAsia="Calibri" w:hAnsi="Calibri" w:cs="Calibri"/>
          <w:lang w:val="en-GB"/>
        </w:rPr>
        <w:t xml:space="preserve">on Paris </w:t>
      </w:r>
      <w:r w:rsidR="007451B8">
        <w:rPr>
          <w:rFonts w:ascii="Calibri" w:eastAsia="Calibri" w:hAnsi="Calibri" w:cs="Calibri"/>
          <w:lang w:val="en-GB"/>
        </w:rPr>
        <w:t>concerned Muslim victims and the ex</w:t>
      </w:r>
      <w:r w:rsidR="00286EBA">
        <w:rPr>
          <w:rFonts w:ascii="Calibri" w:eastAsia="Calibri" w:hAnsi="Calibri" w:cs="Calibri"/>
          <w:lang w:val="en-GB"/>
        </w:rPr>
        <w:t xml:space="preserve">tent of global solidarity: certainly the latter was the focus of much of the critique of the coverage, and the former could be an indirect way to show resistance. By focusing on Muslims being amongst the victims, social media sharers resist the categorisation of Muslims as </w:t>
      </w:r>
      <w:r w:rsidR="00286EBA" w:rsidRPr="007A4CD0">
        <w:rPr>
          <w:rFonts w:ascii="Calibri" w:eastAsia="Calibri" w:hAnsi="Calibri" w:cs="Calibri"/>
          <w:lang w:val="en-GB"/>
        </w:rPr>
        <w:t>terrorists.</w:t>
      </w:r>
      <w:r w:rsidR="00823D59" w:rsidRPr="007A4CD0">
        <w:rPr>
          <w:rFonts w:ascii="Calibri" w:eastAsia="Calibri" w:hAnsi="Calibri" w:cs="Calibri"/>
          <w:lang w:val="en-GB"/>
        </w:rPr>
        <w:t xml:space="preserve"> </w:t>
      </w:r>
      <w:r w:rsidR="00823D3D" w:rsidRPr="007A4CD0">
        <w:rPr>
          <w:rFonts w:ascii="Calibri" w:eastAsia="Calibri" w:hAnsi="Calibri" w:cs="Calibri"/>
          <w:lang w:val="en-GB"/>
        </w:rPr>
        <w:t>Dependi</w:t>
      </w:r>
      <w:r w:rsidR="00823D59" w:rsidRPr="007A4CD0">
        <w:rPr>
          <w:rFonts w:ascii="Calibri" w:eastAsia="Calibri" w:hAnsi="Calibri" w:cs="Calibri"/>
          <w:lang w:val="en-GB"/>
        </w:rPr>
        <w:t>ng on how many days after t</w:t>
      </w:r>
      <w:r w:rsidR="00823D3D" w:rsidRPr="007A4CD0">
        <w:rPr>
          <w:rFonts w:ascii="Calibri" w:eastAsia="Calibri" w:hAnsi="Calibri" w:cs="Calibri"/>
          <w:lang w:val="en-GB"/>
        </w:rPr>
        <w:t>he Beirut attacks</w:t>
      </w:r>
      <w:r w:rsidR="00823D59" w:rsidRPr="007A4CD0">
        <w:rPr>
          <w:rFonts w:ascii="Calibri" w:eastAsia="Calibri" w:hAnsi="Calibri" w:cs="Calibri"/>
          <w:lang w:val="en-GB"/>
        </w:rPr>
        <w:t xml:space="preserve"> the Guardian noticed the outcry</w:t>
      </w:r>
      <w:r w:rsidR="00823D3D" w:rsidRPr="007A4CD0">
        <w:rPr>
          <w:rFonts w:ascii="Calibri" w:eastAsia="Calibri" w:hAnsi="Calibri" w:cs="Calibri"/>
          <w:lang w:val="en-GB"/>
        </w:rPr>
        <w:t xml:space="preserve">, </w:t>
      </w:r>
      <w:r w:rsidR="00823D59" w:rsidRPr="007A4CD0">
        <w:rPr>
          <w:rFonts w:ascii="Calibri" w:eastAsia="Calibri" w:hAnsi="Calibri" w:cs="Calibri"/>
          <w:lang w:val="en-GB"/>
        </w:rPr>
        <w:t>it</w:t>
      </w:r>
      <w:r w:rsidR="00823D3D" w:rsidRPr="007A4CD0">
        <w:rPr>
          <w:rFonts w:ascii="Calibri" w:eastAsia="Calibri" w:hAnsi="Calibri" w:cs="Calibri"/>
          <w:lang w:val="en-GB"/>
        </w:rPr>
        <w:t xml:space="preserve"> may have decided to not publish new articles on them</w:t>
      </w:r>
      <w:r w:rsidR="007327CC" w:rsidRPr="007A4CD0">
        <w:rPr>
          <w:rFonts w:ascii="Calibri" w:eastAsia="Calibri" w:hAnsi="Calibri" w:cs="Calibri"/>
          <w:lang w:val="en-GB"/>
        </w:rPr>
        <w:t>, and instead focus on publication taking into account both events or the effect the coverage of the Paris attacks had</w:t>
      </w:r>
      <w:r w:rsidR="00823D3D" w:rsidRPr="007A4CD0">
        <w:rPr>
          <w:rFonts w:ascii="Calibri" w:eastAsia="Calibri" w:hAnsi="Calibri" w:cs="Calibri"/>
          <w:lang w:val="en-GB"/>
        </w:rPr>
        <w:t>.</w:t>
      </w:r>
      <w:r w:rsidR="007327CC" w:rsidRPr="007A4CD0">
        <w:rPr>
          <w:rFonts w:ascii="Calibri" w:eastAsia="Calibri" w:hAnsi="Calibri" w:cs="Calibri"/>
          <w:lang w:val="en-GB"/>
        </w:rPr>
        <w:t xml:space="preserve"> This interpretation is supported by the publication date of the articles on global solidarity, Muslim victims, and how the media failed British Muslims: respectively they were published on the 16</w:t>
      </w:r>
      <w:r w:rsidR="007327CC" w:rsidRPr="007A4CD0">
        <w:rPr>
          <w:rFonts w:ascii="Calibri" w:eastAsia="Calibri" w:hAnsi="Calibri" w:cs="Calibri"/>
          <w:vertAlign w:val="superscript"/>
          <w:lang w:val="en-GB"/>
        </w:rPr>
        <w:t>th</w:t>
      </w:r>
      <w:r w:rsidR="007327CC" w:rsidRPr="007A4CD0">
        <w:rPr>
          <w:rFonts w:ascii="Calibri" w:eastAsia="Calibri" w:hAnsi="Calibri" w:cs="Calibri"/>
          <w:lang w:val="en-GB"/>
        </w:rPr>
        <w:t>, 18</w:t>
      </w:r>
      <w:r w:rsidR="007327CC" w:rsidRPr="007A4CD0">
        <w:rPr>
          <w:rFonts w:ascii="Calibri" w:eastAsia="Calibri" w:hAnsi="Calibri" w:cs="Calibri"/>
          <w:vertAlign w:val="superscript"/>
          <w:lang w:val="en-GB"/>
        </w:rPr>
        <w:t>th</w:t>
      </w:r>
      <w:r w:rsidR="007327CC" w:rsidRPr="007A4CD0">
        <w:rPr>
          <w:rFonts w:ascii="Calibri" w:eastAsia="Calibri" w:hAnsi="Calibri" w:cs="Calibri"/>
          <w:lang w:val="en-GB"/>
        </w:rPr>
        <w:t>, and 20</w:t>
      </w:r>
      <w:r w:rsidR="007327CC" w:rsidRPr="007A4CD0">
        <w:rPr>
          <w:rFonts w:ascii="Calibri" w:eastAsia="Calibri" w:hAnsi="Calibri" w:cs="Calibri"/>
          <w:vertAlign w:val="superscript"/>
          <w:lang w:val="en-GB"/>
        </w:rPr>
        <w:t>th</w:t>
      </w:r>
      <w:r w:rsidR="007327CC" w:rsidRPr="007A4CD0">
        <w:rPr>
          <w:rFonts w:ascii="Calibri" w:eastAsia="Calibri" w:hAnsi="Calibri" w:cs="Calibri"/>
          <w:lang w:val="en-GB"/>
        </w:rPr>
        <w:t xml:space="preserve"> of November. </w:t>
      </w:r>
    </w:p>
    <w:p w14:paraId="4E29955C" w14:textId="26E78447" w:rsidR="00B549D5" w:rsidRDefault="004A68D2" w:rsidP="00E52F0F">
      <w:pPr>
        <w:spacing w:after="0" w:line="360" w:lineRule="auto"/>
        <w:ind w:firstLine="709"/>
        <w:jc w:val="both"/>
        <w:rPr>
          <w:lang w:val="en-GB"/>
        </w:rPr>
      </w:pPr>
      <w:r>
        <w:rPr>
          <w:rFonts w:ascii="Calibri" w:eastAsia="Calibri" w:hAnsi="Calibri" w:cs="Calibri"/>
          <w:lang w:val="en-GB"/>
        </w:rPr>
        <w:t xml:space="preserve">The number of articles published </w:t>
      </w:r>
      <w:r w:rsidR="007A4CD0">
        <w:rPr>
          <w:rFonts w:ascii="Calibri" w:eastAsia="Calibri" w:hAnsi="Calibri" w:cs="Calibri"/>
          <w:lang w:val="en-GB"/>
        </w:rPr>
        <w:t>already point to</w:t>
      </w:r>
      <w:r>
        <w:rPr>
          <w:rFonts w:ascii="Calibri" w:eastAsia="Calibri" w:hAnsi="Calibri" w:cs="Calibri"/>
          <w:lang w:val="en-GB"/>
        </w:rPr>
        <w:t xml:space="preserve"> the</w:t>
      </w:r>
      <w:r w:rsidR="000621AC">
        <w:rPr>
          <w:rFonts w:ascii="Calibri" w:eastAsia="Calibri" w:hAnsi="Calibri" w:cs="Calibri"/>
          <w:lang w:val="en-GB"/>
        </w:rPr>
        <w:t xml:space="preserve"> (re)production of power relations. Firstly, it seems that both the Guardian and social media paid more attention to Paris than to Beirut</w:t>
      </w:r>
      <w:r>
        <w:rPr>
          <w:rFonts w:ascii="Calibri" w:eastAsia="Calibri" w:hAnsi="Calibri" w:cs="Calibri"/>
          <w:lang w:val="en-GB"/>
        </w:rPr>
        <w:t xml:space="preserve"> in</w:t>
      </w:r>
      <w:r w:rsidR="007A4CD0">
        <w:rPr>
          <w:rFonts w:ascii="Calibri" w:eastAsia="Calibri" w:hAnsi="Calibri" w:cs="Calibri"/>
          <w:lang w:val="en-GB"/>
        </w:rPr>
        <w:t xml:space="preserve"> first thirty</w:t>
      </w:r>
      <w:r>
        <w:rPr>
          <w:rFonts w:ascii="Calibri" w:eastAsia="Calibri" w:hAnsi="Calibri" w:cs="Calibri"/>
          <w:lang w:val="en-GB"/>
        </w:rPr>
        <w:t xml:space="preserve"> hours after each event</w:t>
      </w:r>
      <w:r w:rsidR="000621AC">
        <w:rPr>
          <w:rFonts w:ascii="Calibri" w:eastAsia="Calibri" w:hAnsi="Calibri" w:cs="Calibri"/>
          <w:lang w:val="en-GB"/>
        </w:rPr>
        <w:t xml:space="preserve">. In light of Foucault’s theory, these two entities thus reinforced each other in reproducing the power relations that the Paris attacks </w:t>
      </w:r>
      <w:r w:rsidR="007A4CD0" w:rsidRPr="007A4CD0">
        <w:rPr>
          <w:rFonts w:ascii="Calibri" w:eastAsia="Calibri" w:hAnsi="Calibri" w:cs="Calibri"/>
          <w:lang w:val="en-GB"/>
        </w:rPr>
        <w:t>warranted</w:t>
      </w:r>
      <w:r w:rsidR="000621AC">
        <w:rPr>
          <w:rFonts w:ascii="Calibri" w:eastAsia="Calibri" w:hAnsi="Calibri" w:cs="Calibri"/>
          <w:lang w:val="en-GB"/>
        </w:rPr>
        <w:t xml:space="preserve"> more attention than the Beirut bombings. The attention on social media for the Paris attacks probably incited the Guardian to publish more on it, but without more news social media also had less to share. </w:t>
      </w:r>
      <w:r w:rsidR="00FB47AD">
        <w:rPr>
          <w:rFonts w:ascii="Calibri" w:eastAsia="Calibri" w:hAnsi="Calibri" w:cs="Calibri"/>
          <w:lang w:val="en-GB"/>
        </w:rPr>
        <w:t xml:space="preserve">In my interpretation, it is most logical that the amount of shares on the Beirut articles became so high due to the outcry </w:t>
      </w:r>
      <w:r w:rsidR="00FB47AD" w:rsidRPr="007A4CD0">
        <w:rPr>
          <w:rFonts w:ascii="Calibri" w:eastAsia="Calibri" w:hAnsi="Calibri" w:cs="Calibri"/>
          <w:lang w:val="en-GB"/>
        </w:rPr>
        <w:t xml:space="preserve">about the difference in attention. Nevertheless, perhaps because attention for Paris was not waning, the Guardian apparently decided to </w:t>
      </w:r>
      <w:r w:rsidRPr="007A4CD0">
        <w:rPr>
          <w:rFonts w:ascii="Calibri" w:eastAsia="Calibri" w:hAnsi="Calibri" w:cs="Calibri"/>
          <w:lang w:val="en-GB"/>
        </w:rPr>
        <w:t xml:space="preserve">not </w:t>
      </w:r>
      <w:r w:rsidR="00FB47AD" w:rsidRPr="007A4CD0">
        <w:rPr>
          <w:rFonts w:ascii="Calibri" w:eastAsia="Calibri" w:hAnsi="Calibri" w:cs="Calibri"/>
          <w:lang w:val="en-GB"/>
        </w:rPr>
        <w:t xml:space="preserve">publish more articles </w:t>
      </w:r>
      <w:r w:rsidR="007451B8" w:rsidRPr="007A4CD0">
        <w:rPr>
          <w:rFonts w:ascii="Calibri" w:eastAsia="Calibri" w:hAnsi="Calibri" w:cs="Calibri"/>
          <w:lang w:val="en-GB"/>
        </w:rPr>
        <w:t xml:space="preserve">on Beirut, which shows that it does not follow social media without reservations. </w:t>
      </w:r>
      <w:r w:rsidR="00CD0A39" w:rsidRPr="007A4CD0">
        <w:rPr>
          <w:rFonts w:ascii="Calibri" w:eastAsia="Calibri" w:hAnsi="Calibri" w:cs="Calibri"/>
          <w:lang w:val="en-GB"/>
        </w:rPr>
        <w:t>As s</w:t>
      </w:r>
      <w:r w:rsidR="00F84B9A" w:rsidRPr="007A4CD0">
        <w:rPr>
          <w:rFonts w:ascii="Calibri" w:eastAsia="Calibri" w:hAnsi="Calibri" w:cs="Calibri"/>
          <w:lang w:val="en-GB"/>
        </w:rPr>
        <w:t>uch, it does not only reflect and reproduce, but it also produces the events in Paris to be more worthy of attention</w:t>
      </w:r>
      <w:r w:rsidR="007A4CD0" w:rsidRPr="007A4CD0">
        <w:rPr>
          <w:rFonts w:ascii="Calibri" w:eastAsia="Calibri" w:hAnsi="Calibri" w:cs="Calibri"/>
          <w:lang w:val="en-GB"/>
        </w:rPr>
        <w:t>, because it did continue publishing on those attacks</w:t>
      </w:r>
      <w:r w:rsidR="00F84B9A" w:rsidRPr="007A4CD0">
        <w:rPr>
          <w:rFonts w:ascii="Calibri" w:eastAsia="Calibri" w:hAnsi="Calibri" w:cs="Calibri"/>
          <w:lang w:val="en-GB"/>
        </w:rPr>
        <w:t>.</w:t>
      </w:r>
      <w:r w:rsidR="007A4CD0" w:rsidRPr="007A4CD0">
        <w:rPr>
          <w:rFonts w:ascii="Calibri" w:eastAsia="Calibri" w:hAnsi="Calibri" w:cs="Calibri"/>
          <w:lang w:val="en-GB"/>
        </w:rPr>
        <w:t xml:space="preserve"> To see whether the Guardian</w:t>
      </w:r>
      <w:r w:rsidR="00F84B9A" w:rsidRPr="007A4CD0">
        <w:rPr>
          <w:rFonts w:ascii="Calibri" w:eastAsia="Calibri" w:hAnsi="Calibri" w:cs="Calibri"/>
          <w:lang w:val="en-GB"/>
        </w:rPr>
        <w:t xml:space="preserve"> also (re)produces these power relations in its language, the next section a</w:t>
      </w:r>
      <w:r w:rsidR="00DA26BA" w:rsidRPr="007A4CD0">
        <w:rPr>
          <w:rFonts w:ascii="Calibri" w:eastAsia="Calibri" w:hAnsi="Calibri" w:cs="Calibri"/>
          <w:lang w:val="en-GB"/>
        </w:rPr>
        <w:t>nalyses the discourse fragments.</w:t>
      </w:r>
      <w:r w:rsidR="00FD69AF">
        <w:rPr>
          <w:rFonts w:ascii="Calibri" w:eastAsia="Calibri" w:hAnsi="Calibri" w:cs="Calibri"/>
          <w:lang w:val="en-GB"/>
        </w:rPr>
        <w:t xml:space="preserve"> </w:t>
      </w:r>
    </w:p>
    <w:p w14:paraId="0E83A34E" w14:textId="77777777" w:rsidR="00DA26BA" w:rsidRPr="00381C71" w:rsidRDefault="00DA26BA" w:rsidP="00E52F0F">
      <w:pPr>
        <w:spacing w:line="360" w:lineRule="auto"/>
        <w:jc w:val="both"/>
        <w:rPr>
          <w:lang w:val="en-GB"/>
        </w:rPr>
      </w:pPr>
    </w:p>
    <w:p w14:paraId="47E4689C" w14:textId="4139870B" w:rsidR="00DA26BA" w:rsidRDefault="00B549D5" w:rsidP="00E52F0F">
      <w:pPr>
        <w:pStyle w:val="Heading2"/>
        <w:spacing w:line="360" w:lineRule="auto"/>
        <w:jc w:val="both"/>
        <w:rPr>
          <w:rFonts w:eastAsia="Calibri" w:cs="Calibri"/>
          <w:lang w:val="en-GB"/>
        </w:rPr>
      </w:pPr>
      <w:bookmarkStart w:id="67" w:name="h.qrxmf7qpmrd4" w:colFirst="0" w:colLast="0"/>
      <w:bookmarkStart w:id="68" w:name="_Toc458983420"/>
      <w:bookmarkEnd w:id="67"/>
      <w:r>
        <w:rPr>
          <w:rFonts w:eastAsia="Calibri" w:cs="Calibri"/>
          <w:lang w:val="en-GB"/>
        </w:rPr>
        <w:t>5</w:t>
      </w:r>
      <w:r w:rsidRPr="00CD7466">
        <w:rPr>
          <w:rFonts w:eastAsia="Calibri" w:cs="Calibri"/>
          <w:lang w:val="en-GB"/>
        </w:rPr>
        <w:t>.</w:t>
      </w:r>
      <w:r w:rsidR="000309DA">
        <w:rPr>
          <w:rFonts w:eastAsia="Calibri" w:cs="Calibri"/>
          <w:lang w:val="en-GB"/>
        </w:rPr>
        <w:t>6</w:t>
      </w:r>
      <w:r w:rsidRPr="00CD7466">
        <w:rPr>
          <w:rFonts w:eastAsia="Calibri" w:cs="Calibri"/>
          <w:lang w:val="en-GB"/>
        </w:rPr>
        <w:t>. Fine analysis</w:t>
      </w:r>
      <w:bookmarkEnd w:id="68"/>
    </w:p>
    <w:p w14:paraId="3F4E5559" w14:textId="511FF5CF" w:rsidR="00FD69AF" w:rsidRDefault="00DA26BA" w:rsidP="00E52F0F">
      <w:pPr>
        <w:spacing w:after="0" w:line="360" w:lineRule="auto"/>
        <w:jc w:val="both"/>
        <w:rPr>
          <w:rFonts w:ascii="Calibri" w:eastAsia="Calibri" w:hAnsi="Calibri" w:cs="Calibri"/>
          <w:lang w:val="en-GB"/>
        </w:rPr>
      </w:pPr>
      <w:r>
        <w:rPr>
          <w:lang w:val="en-GB"/>
        </w:rPr>
        <w:t>As stated in</w:t>
      </w:r>
      <w:r w:rsidR="004851E5">
        <w:rPr>
          <w:lang w:val="en-GB"/>
        </w:rPr>
        <w:t xml:space="preserve"> section</w:t>
      </w:r>
      <w:r>
        <w:rPr>
          <w:lang w:val="en-GB"/>
        </w:rPr>
        <w:t xml:space="preserve"> 4.3.</w:t>
      </w:r>
      <w:r w:rsidR="004851E5">
        <w:rPr>
          <w:lang w:val="en-GB"/>
        </w:rPr>
        <w:t>3.</w:t>
      </w:r>
      <w:r>
        <w:rPr>
          <w:lang w:val="en-GB"/>
        </w:rPr>
        <w:t>, the fine analysis includes an examination of the institutional framework, text surface, rhetorical means, and ideological statements. Because the results of the first two are</w:t>
      </w:r>
      <w:r w:rsidR="00FD69AF">
        <w:rPr>
          <w:lang w:val="en-GB"/>
        </w:rPr>
        <w:t xml:space="preserve"> </w:t>
      </w:r>
      <w:r w:rsidR="00D17801">
        <w:rPr>
          <w:lang w:val="en-GB"/>
        </w:rPr>
        <w:t xml:space="preserve">highly </w:t>
      </w:r>
      <w:r>
        <w:rPr>
          <w:lang w:val="en-GB"/>
        </w:rPr>
        <w:t xml:space="preserve">interrelated in this </w:t>
      </w:r>
      <w:r w:rsidR="004851E5">
        <w:rPr>
          <w:lang w:val="en-GB"/>
        </w:rPr>
        <w:t>study</w:t>
      </w:r>
      <w:r>
        <w:rPr>
          <w:lang w:val="en-GB"/>
        </w:rPr>
        <w:t>, I have structured them under one heading</w:t>
      </w:r>
      <w:r w:rsidR="00FD69AF">
        <w:rPr>
          <w:lang w:val="en-GB"/>
        </w:rPr>
        <w:t xml:space="preserve"> in section</w:t>
      </w:r>
      <w:r w:rsidR="00D17801">
        <w:rPr>
          <w:lang w:val="en-GB"/>
        </w:rPr>
        <w:t xml:space="preserve"> 5.6</w:t>
      </w:r>
      <w:r>
        <w:rPr>
          <w:lang w:val="en-GB"/>
        </w:rPr>
        <w:t xml:space="preserve">.1. </w:t>
      </w:r>
      <w:r w:rsidR="00D17801">
        <w:rPr>
          <w:lang w:val="en-GB"/>
        </w:rPr>
        <w:t>Before continuing with the analysis of the</w:t>
      </w:r>
      <w:r>
        <w:rPr>
          <w:lang w:val="en-GB"/>
        </w:rPr>
        <w:t xml:space="preserve"> reflection and (re)production of power relations in the language used by the Guardian</w:t>
      </w:r>
      <w:r w:rsidR="00D17801">
        <w:rPr>
          <w:lang w:val="en-GB"/>
        </w:rPr>
        <w:t xml:space="preserve">, I briefly reflect upon the words that are most used for the coverage of each event. Section 5.6.3. onwards </w:t>
      </w:r>
      <w:r w:rsidR="00D17801">
        <w:rPr>
          <w:lang w:val="en-GB"/>
        </w:rPr>
        <w:lastRenderedPageBreak/>
        <w:t xml:space="preserve">deals with the specific words, sentences, and structures </w:t>
      </w:r>
      <w:r w:rsidR="004851E5">
        <w:rPr>
          <w:lang w:val="en-GB"/>
        </w:rPr>
        <w:t>used in the discourse fragments. The analysis</w:t>
      </w:r>
      <w:r w:rsidR="00D17801">
        <w:rPr>
          <w:lang w:val="en-GB"/>
        </w:rPr>
        <w:t xml:space="preserve"> is </w:t>
      </w:r>
      <w:r w:rsidR="00006D3D">
        <w:rPr>
          <w:lang w:val="en-GB"/>
        </w:rPr>
        <w:t>divided into sub</w:t>
      </w:r>
      <w:r>
        <w:rPr>
          <w:lang w:val="en-GB"/>
        </w:rPr>
        <w:t xml:space="preserve">themes that follow </w:t>
      </w:r>
      <w:r w:rsidR="004851E5">
        <w:rPr>
          <w:lang w:val="en-GB"/>
        </w:rPr>
        <w:t>the people affected by the attacks</w:t>
      </w:r>
      <w:r>
        <w:rPr>
          <w:lang w:val="en-GB"/>
        </w:rPr>
        <w:t xml:space="preserve">, </w:t>
      </w:r>
      <w:r w:rsidR="00D17801">
        <w:rPr>
          <w:lang w:val="en-GB"/>
        </w:rPr>
        <w:t>i.e. the</w:t>
      </w:r>
      <w:r>
        <w:rPr>
          <w:lang w:val="en-GB"/>
        </w:rPr>
        <w:t xml:space="preserve"> victims, </w:t>
      </w:r>
      <w:r w:rsidR="004851E5">
        <w:rPr>
          <w:lang w:val="en-GB"/>
        </w:rPr>
        <w:t>witnesses and relatives. Additionally, section 5.6.5. discusses the results of the analysis of</w:t>
      </w:r>
      <w:r w:rsidR="00D17801">
        <w:rPr>
          <w:lang w:val="en-GB"/>
        </w:rPr>
        <w:t xml:space="preserve"> </w:t>
      </w:r>
      <w:r>
        <w:rPr>
          <w:lang w:val="en-GB"/>
        </w:rPr>
        <w:t>the place and scene of the attack</w:t>
      </w:r>
      <w:r w:rsidR="004851E5">
        <w:rPr>
          <w:lang w:val="en-GB"/>
        </w:rPr>
        <w:t>s</w:t>
      </w:r>
      <w:r>
        <w:rPr>
          <w:lang w:val="en-GB"/>
        </w:rPr>
        <w:t xml:space="preserve">, </w:t>
      </w:r>
      <w:r w:rsidR="00D17801">
        <w:rPr>
          <w:lang w:val="en-GB"/>
        </w:rPr>
        <w:t>which indi</w:t>
      </w:r>
      <w:r>
        <w:rPr>
          <w:lang w:val="en-GB"/>
        </w:rPr>
        <w:t>rectly provides information about the people</w:t>
      </w:r>
      <w:r w:rsidR="004851E5">
        <w:rPr>
          <w:lang w:val="en-GB"/>
        </w:rPr>
        <w:t xml:space="preserve"> affected by them</w:t>
      </w:r>
      <w:r>
        <w:rPr>
          <w:lang w:val="en-GB"/>
        </w:rPr>
        <w:t xml:space="preserve">. </w:t>
      </w:r>
      <w:r w:rsidR="00FD69AF">
        <w:rPr>
          <w:lang w:val="en-GB"/>
        </w:rPr>
        <w:t xml:space="preserve">All results </w:t>
      </w:r>
      <w:r w:rsidR="00FD69AF">
        <w:rPr>
          <w:rFonts w:ascii="Calibri" w:eastAsia="Calibri" w:hAnsi="Calibri" w:cs="Calibri"/>
          <w:lang w:val="en-GB"/>
        </w:rPr>
        <w:t>are interpreted with the aid of</w:t>
      </w:r>
      <w:r w:rsidR="00FD69AF" w:rsidRPr="00381C71">
        <w:rPr>
          <w:rFonts w:ascii="Calibri" w:eastAsia="Calibri" w:hAnsi="Calibri" w:cs="Calibri"/>
          <w:lang w:val="en-GB"/>
        </w:rPr>
        <w:t xml:space="preserve"> </w:t>
      </w:r>
      <w:r w:rsidR="00FD69AF">
        <w:rPr>
          <w:rFonts w:ascii="Calibri" w:eastAsia="Calibri" w:hAnsi="Calibri" w:cs="Calibri"/>
          <w:lang w:val="en-GB"/>
        </w:rPr>
        <w:t>Foucault’s theory. T</w:t>
      </w:r>
      <w:r w:rsidR="00FD69AF" w:rsidRPr="00381C71">
        <w:rPr>
          <w:rFonts w:ascii="Calibri" w:eastAsia="Calibri" w:hAnsi="Calibri" w:cs="Calibri"/>
          <w:lang w:val="en-GB"/>
        </w:rPr>
        <w:t xml:space="preserve">he </w:t>
      </w:r>
      <w:r w:rsidR="004851E5">
        <w:rPr>
          <w:rFonts w:ascii="Calibri" w:eastAsia="Calibri" w:hAnsi="Calibri" w:cs="Calibri"/>
          <w:lang w:val="en-GB"/>
        </w:rPr>
        <w:t>global</w:t>
      </w:r>
      <w:r w:rsidR="00FD69AF" w:rsidRPr="00381C71">
        <w:rPr>
          <w:rFonts w:ascii="Calibri" w:eastAsia="Calibri" w:hAnsi="Calibri" w:cs="Calibri"/>
          <w:lang w:val="en-GB"/>
        </w:rPr>
        <w:t xml:space="preserve"> connection of the results with the theory, that is, what the discourses of the Guardian tell us about</w:t>
      </w:r>
      <w:r w:rsidR="00D17801">
        <w:rPr>
          <w:rFonts w:ascii="Calibri" w:eastAsia="Calibri" w:hAnsi="Calibri" w:cs="Calibri"/>
          <w:lang w:val="en-GB"/>
        </w:rPr>
        <w:t xml:space="preserve"> the power relations reflected and (re)produced</w:t>
      </w:r>
      <w:r w:rsidR="00FD69AF" w:rsidRPr="00381C71">
        <w:rPr>
          <w:rFonts w:ascii="Calibri" w:eastAsia="Calibri" w:hAnsi="Calibri" w:cs="Calibri"/>
          <w:lang w:val="en-GB"/>
        </w:rPr>
        <w:t xml:space="preserve">, is presented in the </w:t>
      </w:r>
      <w:r w:rsidR="00FD69AF">
        <w:rPr>
          <w:rFonts w:ascii="Calibri" w:eastAsia="Calibri" w:hAnsi="Calibri" w:cs="Calibri"/>
          <w:lang w:val="en-GB"/>
        </w:rPr>
        <w:t>last section of this chapter,</w:t>
      </w:r>
      <w:r w:rsidR="004851E5">
        <w:rPr>
          <w:rFonts w:ascii="Calibri" w:eastAsia="Calibri" w:hAnsi="Calibri" w:cs="Calibri"/>
          <w:lang w:val="en-GB"/>
        </w:rPr>
        <w:t xml:space="preserve"> 5.7.:</w:t>
      </w:r>
      <w:r w:rsidR="00FD69AF">
        <w:rPr>
          <w:rFonts w:ascii="Calibri" w:eastAsia="Calibri" w:hAnsi="Calibri" w:cs="Calibri"/>
          <w:lang w:val="en-GB"/>
        </w:rPr>
        <w:t xml:space="preserve"> the o</w:t>
      </w:r>
      <w:r w:rsidR="00D17801">
        <w:rPr>
          <w:rFonts w:ascii="Calibri" w:eastAsia="Calibri" w:hAnsi="Calibri" w:cs="Calibri"/>
          <w:lang w:val="en-GB"/>
        </w:rPr>
        <w:t>verall analysis. Throughout the rest of this chapter</w:t>
      </w:r>
      <w:r w:rsidR="00FD69AF">
        <w:rPr>
          <w:rFonts w:ascii="Calibri" w:eastAsia="Calibri" w:hAnsi="Calibri" w:cs="Calibri"/>
          <w:lang w:val="en-GB"/>
        </w:rPr>
        <w:t xml:space="preserve">, I refer back to my </w:t>
      </w:r>
      <w:r w:rsidR="00FB7E6F">
        <w:rPr>
          <w:rFonts w:ascii="Calibri" w:eastAsia="Calibri" w:hAnsi="Calibri" w:cs="Calibri"/>
          <w:lang w:val="en-GB"/>
        </w:rPr>
        <w:t xml:space="preserve">second </w:t>
      </w:r>
      <w:r w:rsidR="00FD69AF">
        <w:rPr>
          <w:rFonts w:ascii="Calibri" w:eastAsia="Calibri" w:hAnsi="Calibri" w:cs="Calibri"/>
          <w:lang w:val="en-GB"/>
        </w:rPr>
        <w:t xml:space="preserve">general </w:t>
      </w:r>
      <w:r w:rsidR="004851E5">
        <w:rPr>
          <w:rFonts w:ascii="Calibri" w:eastAsia="Calibri" w:hAnsi="Calibri" w:cs="Calibri"/>
          <w:lang w:val="en-GB"/>
        </w:rPr>
        <w:t>hypothesis,</w:t>
      </w:r>
      <w:r w:rsidR="00FD69AF">
        <w:rPr>
          <w:rFonts w:ascii="Calibri" w:eastAsia="Calibri" w:hAnsi="Calibri" w:cs="Calibri"/>
          <w:lang w:val="en-GB"/>
        </w:rPr>
        <w:t xml:space="preserve"> </w:t>
      </w:r>
      <w:r w:rsidR="004851E5">
        <w:rPr>
          <w:rFonts w:ascii="Calibri" w:eastAsia="Calibri" w:hAnsi="Calibri" w:cs="Calibri"/>
          <w:lang w:val="en-GB"/>
        </w:rPr>
        <w:t>where people signifies the victims, witnesses, and their relatives:</w:t>
      </w:r>
    </w:p>
    <w:p w14:paraId="5BE5D3C7" w14:textId="77777777" w:rsidR="0035606F" w:rsidRPr="00FD69AF" w:rsidRDefault="0035606F" w:rsidP="00E52F0F">
      <w:pPr>
        <w:spacing w:after="0" w:line="360" w:lineRule="auto"/>
        <w:jc w:val="both"/>
        <w:rPr>
          <w:lang w:val="en-GB"/>
        </w:rPr>
      </w:pPr>
    </w:p>
    <w:p w14:paraId="7A9E01EF" w14:textId="3E1EE5DA" w:rsidR="00FB7E6F" w:rsidRDefault="00FB7E6F" w:rsidP="00E52F0F">
      <w:pPr>
        <w:spacing w:after="0" w:line="360" w:lineRule="auto"/>
        <w:ind w:left="1134" w:right="708"/>
        <w:jc w:val="both"/>
        <w:rPr>
          <w:i/>
          <w:lang w:val="en-GB"/>
        </w:rPr>
      </w:pPr>
      <w:r w:rsidRPr="00FB7E6F">
        <w:rPr>
          <w:i/>
          <w:lang w:val="en-GB"/>
        </w:rPr>
        <w:t>The people of Beirut are objectified, whereas the people of Paris are humanised</w:t>
      </w:r>
      <w:r>
        <w:rPr>
          <w:i/>
          <w:lang w:val="en-GB"/>
        </w:rPr>
        <w:t>.</w:t>
      </w:r>
    </w:p>
    <w:p w14:paraId="1AFA5947" w14:textId="77777777" w:rsidR="0035606F" w:rsidRDefault="0035606F" w:rsidP="00E52F0F">
      <w:pPr>
        <w:spacing w:after="0" w:line="360" w:lineRule="auto"/>
        <w:jc w:val="both"/>
        <w:rPr>
          <w:lang w:val="en-GB"/>
        </w:rPr>
      </w:pPr>
    </w:p>
    <w:p w14:paraId="483B3636" w14:textId="36233AAE" w:rsidR="00FD69AF" w:rsidRDefault="004851E5" w:rsidP="00E52F0F">
      <w:pPr>
        <w:spacing w:after="0" w:line="360" w:lineRule="auto"/>
        <w:jc w:val="both"/>
        <w:rPr>
          <w:lang w:val="en-GB"/>
        </w:rPr>
      </w:pPr>
      <w:r>
        <w:rPr>
          <w:lang w:val="en-GB"/>
        </w:rPr>
        <w:t>I also refer</w:t>
      </w:r>
      <w:r w:rsidR="00FD69AF">
        <w:rPr>
          <w:lang w:val="en-GB"/>
        </w:rPr>
        <w:t xml:space="preserve"> </w:t>
      </w:r>
      <w:r w:rsidR="00FB7E6F">
        <w:rPr>
          <w:lang w:val="en-GB"/>
        </w:rPr>
        <w:t xml:space="preserve">to </w:t>
      </w:r>
      <w:r w:rsidR="00FD69AF">
        <w:rPr>
          <w:lang w:val="en-GB"/>
        </w:rPr>
        <w:t xml:space="preserve">the hypotheses </w:t>
      </w:r>
      <w:r w:rsidR="00FB7E6F">
        <w:rPr>
          <w:lang w:val="en-GB"/>
        </w:rPr>
        <w:t>specifying</w:t>
      </w:r>
      <w:r w:rsidR="00FD69AF">
        <w:rPr>
          <w:lang w:val="en-GB"/>
        </w:rPr>
        <w:t xml:space="preserve"> the concrete mechanisms through which these power relations are </w:t>
      </w:r>
      <w:r w:rsidR="00D17801">
        <w:rPr>
          <w:lang w:val="en-GB"/>
        </w:rPr>
        <w:t>reflected and (re)</w:t>
      </w:r>
      <w:r>
        <w:rPr>
          <w:lang w:val="en-GB"/>
        </w:rPr>
        <w:t>produced, with people meaning the same as above:</w:t>
      </w:r>
    </w:p>
    <w:p w14:paraId="113FC66C" w14:textId="77777777" w:rsidR="0035606F" w:rsidRDefault="0035606F" w:rsidP="00E52F0F">
      <w:pPr>
        <w:spacing w:after="0" w:line="360" w:lineRule="auto"/>
        <w:jc w:val="both"/>
        <w:rPr>
          <w:lang w:val="en-GB"/>
        </w:rPr>
      </w:pPr>
    </w:p>
    <w:p w14:paraId="52B88602" w14:textId="77777777" w:rsidR="0035606F" w:rsidRDefault="0035606F" w:rsidP="00E52F0F">
      <w:pPr>
        <w:numPr>
          <w:ilvl w:val="0"/>
          <w:numId w:val="22"/>
        </w:numPr>
        <w:spacing w:after="0" w:line="360" w:lineRule="auto"/>
        <w:ind w:left="1418" w:right="708" w:hanging="284"/>
        <w:jc w:val="both"/>
        <w:rPr>
          <w:i/>
          <w:lang w:val="en-GB"/>
        </w:rPr>
      </w:pPr>
      <w:r>
        <w:rPr>
          <w:i/>
          <w:lang w:val="en-GB"/>
        </w:rPr>
        <w:t>Th</w:t>
      </w:r>
      <w:r w:rsidRPr="00FB7E6F">
        <w:rPr>
          <w:i/>
          <w:lang w:val="en-GB"/>
        </w:rPr>
        <w:t>e people of Beirut are described with geographic, demographic – especially religious –</w:t>
      </w:r>
      <w:r>
        <w:rPr>
          <w:i/>
          <w:lang w:val="en-GB"/>
        </w:rPr>
        <w:t>, and political classifications.</w:t>
      </w:r>
    </w:p>
    <w:p w14:paraId="0BF9DDEF" w14:textId="77777777" w:rsidR="0035606F" w:rsidRDefault="0035606F" w:rsidP="00E52F0F">
      <w:pPr>
        <w:numPr>
          <w:ilvl w:val="0"/>
          <w:numId w:val="22"/>
        </w:numPr>
        <w:spacing w:after="0" w:line="360" w:lineRule="auto"/>
        <w:ind w:left="1418" w:right="708" w:hanging="284"/>
        <w:jc w:val="both"/>
        <w:rPr>
          <w:i/>
          <w:lang w:val="en-GB"/>
        </w:rPr>
      </w:pPr>
      <w:r>
        <w:rPr>
          <w:i/>
          <w:lang w:val="en-GB"/>
        </w:rPr>
        <w:t>T</w:t>
      </w:r>
      <w:r w:rsidRPr="0055239A">
        <w:rPr>
          <w:i/>
          <w:lang w:val="en-GB"/>
        </w:rPr>
        <w:t>he people of Beirut are indirectly connected to Isis by a focus on the Hezbollah group</w:t>
      </w:r>
      <w:r>
        <w:rPr>
          <w:i/>
          <w:lang w:val="en-GB"/>
        </w:rPr>
        <w:t>.</w:t>
      </w:r>
    </w:p>
    <w:p w14:paraId="0BC3E02F" w14:textId="77777777" w:rsidR="0035606F" w:rsidRDefault="0035606F" w:rsidP="00E52F0F">
      <w:pPr>
        <w:numPr>
          <w:ilvl w:val="0"/>
          <w:numId w:val="22"/>
        </w:numPr>
        <w:spacing w:after="0" w:line="360" w:lineRule="auto"/>
        <w:ind w:left="1418" w:right="708" w:hanging="284"/>
        <w:jc w:val="both"/>
        <w:rPr>
          <w:i/>
          <w:lang w:val="en-GB"/>
        </w:rPr>
      </w:pPr>
      <w:r>
        <w:rPr>
          <w:i/>
          <w:lang w:val="en-GB"/>
        </w:rPr>
        <w:t xml:space="preserve">The people of Paris </w:t>
      </w:r>
      <w:r w:rsidRPr="00FB7E6F">
        <w:rPr>
          <w:i/>
          <w:lang w:val="en-GB"/>
        </w:rPr>
        <w:t>are not classified according to reli</w:t>
      </w:r>
      <w:r>
        <w:rPr>
          <w:i/>
          <w:lang w:val="en-GB"/>
        </w:rPr>
        <w:t>gious or political affiliation.</w:t>
      </w:r>
    </w:p>
    <w:p w14:paraId="747C340D" w14:textId="77777777" w:rsidR="0035606F" w:rsidRPr="0055239A" w:rsidRDefault="0035606F" w:rsidP="00E52F0F">
      <w:pPr>
        <w:numPr>
          <w:ilvl w:val="0"/>
          <w:numId w:val="22"/>
        </w:numPr>
        <w:spacing w:after="0" w:line="360" w:lineRule="auto"/>
        <w:ind w:left="1418" w:right="708" w:hanging="284"/>
        <w:jc w:val="both"/>
        <w:rPr>
          <w:i/>
          <w:lang w:val="en-GB"/>
        </w:rPr>
      </w:pPr>
      <w:r>
        <w:rPr>
          <w:i/>
          <w:lang w:val="en-GB"/>
        </w:rPr>
        <w:t xml:space="preserve">The people of Paris </w:t>
      </w:r>
      <w:r w:rsidRPr="00FB7E6F">
        <w:rPr>
          <w:i/>
          <w:lang w:val="en-GB"/>
        </w:rPr>
        <w:t>are described focusing on their emotions.</w:t>
      </w:r>
    </w:p>
    <w:p w14:paraId="20E2CA14" w14:textId="77777777" w:rsidR="00D2131A" w:rsidRPr="00D2131A" w:rsidRDefault="00D2131A" w:rsidP="00E52F0F">
      <w:pPr>
        <w:spacing w:after="0" w:line="360" w:lineRule="auto"/>
        <w:ind w:right="708"/>
        <w:jc w:val="both"/>
        <w:rPr>
          <w:i/>
          <w:lang w:val="en-GB"/>
        </w:rPr>
      </w:pPr>
    </w:p>
    <w:p w14:paraId="2ADD10AD" w14:textId="34295A96" w:rsidR="00DA26BA" w:rsidRPr="00CD7466" w:rsidRDefault="00DA26BA" w:rsidP="00E52F0F">
      <w:pPr>
        <w:pStyle w:val="Heading3"/>
        <w:spacing w:line="360" w:lineRule="auto"/>
        <w:jc w:val="both"/>
        <w:rPr>
          <w:lang w:val="en-GB"/>
        </w:rPr>
      </w:pPr>
      <w:bookmarkStart w:id="69" w:name="_Toc458983421"/>
      <w:r>
        <w:rPr>
          <w:rFonts w:eastAsia="Calibri" w:cs="Calibri"/>
          <w:lang w:val="en-GB"/>
        </w:rPr>
        <w:t>5</w:t>
      </w:r>
      <w:r w:rsidRPr="00CD7466">
        <w:rPr>
          <w:rFonts w:eastAsia="Calibri" w:cs="Calibri"/>
          <w:lang w:val="en-GB"/>
        </w:rPr>
        <w:t>.</w:t>
      </w:r>
      <w:r w:rsidR="000309DA">
        <w:rPr>
          <w:rFonts w:eastAsia="Calibri" w:cs="Calibri"/>
          <w:lang w:val="en-GB"/>
        </w:rPr>
        <w:t>6</w:t>
      </w:r>
      <w:r w:rsidRPr="00CD7466">
        <w:rPr>
          <w:rFonts w:eastAsia="Calibri" w:cs="Calibri"/>
          <w:lang w:val="en-GB"/>
        </w:rPr>
        <w:t>.</w:t>
      </w:r>
      <w:r w:rsidR="00A24E70">
        <w:rPr>
          <w:rFonts w:eastAsia="Calibri" w:cs="Calibri"/>
          <w:lang w:val="en-GB"/>
        </w:rPr>
        <w:t>1</w:t>
      </w:r>
      <w:r w:rsidRPr="00CD7466">
        <w:rPr>
          <w:rFonts w:eastAsia="Calibri" w:cs="Calibri"/>
          <w:lang w:val="en-GB"/>
        </w:rPr>
        <w:t xml:space="preserve">. </w:t>
      </w:r>
      <w:r>
        <w:rPr>
          <w:rFonts w:eastAsia="Calibri" w:cs="Calibri"/>
          <w:lang w:val="en-GB"/>
        </w:rPr>
        <w:t>Institutional framework and text surface</w:t>
      </w:r>
      <w:bookmarkEnd w:id="69"/>
    </w:p>
    <w:p w14:paraId="457A9ABD" w14:textId="5042B2EC" w:rsidR="007B61A8" w:rsidRDefault="007B61A8" w:rsidP="00E52F0F">
      <w:pPr>
        <w:spacing w:after="0" w:line="360" w:lineRule="auto"/>
        <w:jc w:val="both"/>
        <w:rPr>
          <w:rFonts w:ascii="Calibri" w:eastAsia="Calibri" w:hAnsi="Calibri" w:cs="Calibri"/>
          <w:lang w:val="en-GB"/>
        </w:rPr>
      </w:pPr>
      <w:r>
        <w:rPr>
          <w:rFonts w:ascii="Calibri" w:eastAsia="Calibri" w:hAnsi="Calibri" w:cs="Calibri"/>
          <w:lang w:val="en-GB"/>
        </w:rPr>
        <w:t xml:space="preserve">The analysis of the institutional framework and the text surface includes an examination of the authors of the articles, the events themselves, the topic under </w:t>
      </w:r>
      <w:r w:rsidRPr="00293753">
        <w:rPr>
          <w:rFonts w:ascii="Calibri" w:eastAsia="Calibri" w:hAnsi="Calibri" w:cs="Calibri"/>
          <w:lang w:val="en-GB"/>
        </w:rPr>
        <w:t>which the articles are listed (all part of the institutional framework), the graphic layout, titles,</w:t>
      </w:r>
      <w:r w:rsidR="00293753" w:rsidRPr="00293753">
        <w:rPr>
          <w:rFonts w:ascii="Calibri" w:eastAsia="Calibri" w:hAnsi="Calibri" w:cs="Calibri"/>
          <w:lang w:val="en-GB"/>
        </w:rPr>
        <w:t xml:space="preserve"> the</w:t>
      </w:r>
      <w:r w:rsidRPr="00293753">
        <w:rPr>
          <w:rFonts w:ascii="Calibri" w:eastAsia="Calibri" w:hAnsi="Calibri" w:cs="Calibri"/>
          <w:lang w:val="en-GB"/>
        </w:rPr>
        <w:t xml:space="preserve"> units of meaning, and the themes (part of the text surface). In this part I highlight the </w:t>
      </w:r>
      <w:r w:rsidR="00D17801" w:rsidRPr="00293753">
        <w:rPr>
          <w:rFonts w:ascii="Calibri" w:eastAsia="Calibri" w:hAnsi="Calibri" w:cs="Calibri"/>
          <w:lang w:val="en-GB"/>
        </w:rPr>
        <w:t xml:space="preserve">most </w:t>
      </w:r>
      <w:r w:rsidRPr="00293753">
        <w:rPr>
          <w:rFonts w:ascii="Calibri" w:eastAsia="Calibri" w:hAnsi="Calibri" w:cs="Calibri"/>
          <w:lang w:val="en-GB"/>
        </w:rPr>
        <w:t>interesting results, which range from</w:t>
      </w:r>
      <w:r>
        <w:rPr>
          <w:rFonts w:ascii="Calibri" w:eastAsia="Calibri" w:hAnsi="Calibri" w:cs="Calibri"/>
          <w:lang w:val="en-GB"/>
        </w:rPr>
        <w:t xml:space="preserve"> information about the journalists, </w:t>
      </w:r>
      <w:r w:rsidR="004851E5">
        <w:rPr>
          <w:rFonts w:ascii="Calibri" w:eastAsia="Calibri" w:hAnsi="Calibri" w:cs="Calibri"/>
          <w:lang w:val="en-GB"/>
        </w:rPr>
        <w:t xml:space="preserve">to </w:t>
      </w:r>
      <w:r>
        <w:rPr>
          <w:rFonts w:ascii="Calibri" w:eastAsia="Calibri" w:hAnsi="Calibri" w:cs="Calibri"/>
          <w:lang w:val="en-GB"/>
        </w:rPr>
        <w:t>the section in which the article appeared,</w:t>
      </w:r>
      <w:r w:rsidR="000309DA">
        <w:rPr>
          <w:rFonts w:ascii="Calibri" w:eastAsia="Calibri" w:hAnsi="Calibri" w:cs="Calibri"/>
          <w:lang w:val="en-GB"/>
        </w:rPr>
        <w:t xml:space="preserve"> and</w:t>
      </w:r>
      <w:r>
        <w:rPr>
          <w:rFonts w:ascii="Calibri" w:eastAsia="Calibri" w:hAnsi="Calibri" w:cs="Calibri"/>
          <w:lang w:val="en-GB"/>
        </w:rPr>
        <w:t xml:space="preserve"> the headlines, to the pictures used in the articles. As the events themselves have been described in the introduction, and the </w:t>
      </w:r>
      <w:r w:rsidR="00293753">
        <w:rPr>
          <w:rFonts w:ascii="Calibri" w:eastAsia="Calibri" w:hAnsi="Calibri" w:cs="Calibri"/>
          <w:lang w:val="en-GB"/>
        </w:rPr>
        <w:t>units of meaning</w:t>
      </w:r>
      <w:r>
        <w:rPr>
          <w:rFonts w:ascii="Calibri" w:eastAsia="Calibri" w:hAnsi="Calibri" w:cs="Calibri"/>
          <w:lang w:val="en-GB"/>
        </w:rPr>
        <w:t xml:space="preserve"> and themes are addressed in section 5.6.</w:t>
      </w:r>
      <w:r w:rsidR="004851E5">
        <w:rPr>
          <w:rFonts w:ascii="Calibri" w:eastAsia="Calibri" w:hAnsi="Calibri" w:cs="Calibri"/>
          <w:lang w:val="en-GB"/>
        </w:rPr>
        <w:t>3. to 5.6.5</w:t>
      </w:r>
      <w:r w:rsidR="00D17801">
        <w:rPr>
          <w:rFonts w:ascii="Calibri" w:eastAsia="Calibri" w:hAnsi="Calibri" w:cs="Calibri"/>
          <w:lang w:val="en-GB"/>
        </w:rPr>
        <w:t>.</w:t>
      </w:r>
      <w:r>
        <w:rPr>
          <w:rFonts w:ascii="Calibri" w:eastAsia="Calibri" w:hAnsi="Calibri" w:cs="Calibri"/>
          <w:lang w:val="en-GB"/>
        </w:rPr>
        <w:t xml:space="preserve"> I do not discuss them here.</w:t>
      </w:r>
    </w:p>
    <w:p w14:paraId="0C330A71" w14:textId="796AA0CF" w:rsidR="007B61A8" w:rsidRPr="007B61A8" w:rsidRDefault="00DA26BA" w:rsidP="00E52F0F">
      <w:pPr>
        <w:spacing w:after="0" w:line="360" w:lineRule="auto"/>
        <w:ind w:firstLine="709"/>
        <w:jc w:val="both"/>
        <w:rPr>
          <w:rFonts w:ascii="Calibri" w:eastAsia="Calibri" w:hAnsi="Calibri" w:cs="Calibri"/>
          <w:b/>
          <w:lang w:val="en-GB"/>
        </w:rPr>
      </w:pPr>
      <w:r>
        <w:rPr>
          <w:rFonts w:ascii="Calibri" w:eastAsia="Calibri" w:hAnsi="Calibri" w:cs="Calibri"/>
          <w:lang w:val="en-GB"/>
        </w:rPr>
        <w:t xml:space="preserve">Firstly, </w:t>
      </w:r>
      <w:r w:rsidR="007B61A8">
        <w:rPr>
          <w:rFonts w:ascii="Calibri" w:eastAsia="Calibri" w:hAnsi="Calibri" w:cs="Calibri"/>
          <w:lang w:val="en-GB"/>
        </w:rPr>
        <w:t>there were more journalists writing about the Paris attacks than about the Beirut bombings.</w:t>
      </w:r>
      <w:r w:rsidR="00165D19">
        <w:rPr>
          <w:rFonts w:ascii="Calibri" w:eastAsia="Calibri" w:hAnsi="Calibri" w:cs="Calibri"/>
          <w:lang w:val="en-GB"/>
        </w:rPr>
        <w:t xml:space="preserve"> For the latter, one journalist and one association </w:t>
      </w:r>
      <w:r w:rsidR="00D17801">
        <w:rPr>
          <w:rFonts w:ascii="Calibri" w:eastAsia="Calibri" w:hAnsi="Calibri" w:cs="Calibri"/>
          <w:lang w:val="en-GB"/>
        </w:rPr>
        <w:t>wrote</w:t>
      </w:r>
      <w:r w:rsidR="00165D19">
        <w:rPr>
          <w:rFonts w:ascii="Calibri" w:eastAsia="Calibri" w:hAnsi="Calibri" w:cs="Calibri"/>
          <w:lang w:val="en-GB"/>
        </w:rPr>
        <w:t xml:space="preserve"> articles: Kareem Shaheen and </w:t>
      </w:r>
      <w:r w:rsidR="00D17801">
        <w:rPr>
          <w:rFonts w:ascii="Calibri" w:eastAsia="Calibri" w:hAnsi="Calibri" w:cs="Calibri"/>
          <w:lang w:val="en-GB"/>
        </w:rPr>
        <w:t xml:space="preserve">the Associated Press in Beirut, both </w:t>
      </w:r>
      <w:r w:rsidR="00165D19">
        <w:rPr>
          <w:rFonts w:ascii="Calibri" w:eastAsia="Calibri" w:hAnsi="Calibri" w:cs="Calibri"/>
          <w:lang w:val="en-GB"/>
        </w:rPr>
        <w:t>based in Beirut. Shaheen is a Middle East reporter, who covers the Levant, Iraq, Yemen, and the Gulf states. Before working for the Guardian</w:t>
      </w:r>
      <w:r w:rsidR="00D17801">
        <w:rPr>
          <w:rFonts w:ascii="Calibri" w:eastAsia="Calibri" w:hAnsi="Calibri" w:cs="Calibri"/>
          <w:lang w:val="en-GB"/>
        </w:rPr>
        <w:t>, Shaheen worked</w:t>
      </w:r>
      <w:r w:rsidR="00165D19">
        <w:rPr>
          <w:rFonts w:ascii="Calibri" w:eastAsia="Calibri" w:hAnsi="Calibri" w:cs="Calibri"/>
          <w:lang w:val="en-GB"/>
        </w:rPr>
        <w:t xml:space="preserve"> for the Lebanese newspaper The Daily Star, writing about politics and security, and for the The National newspaper based in Ab</w:t>
      </w:r>
      <w:r w:rsidR="00D17801">
        <w:rPr>
          <w:rFonts w:ascii="Calibri" w:eastAsia="Calibri" w:hAnsi="Calibri" w:cs="Calibri"/>
          <w:lang w:val="en-GB"/>
        </w:rPr>
        <w:t>u Dhabi, also covering politics</w:t>
      </w:r>
      <w:r w:rsidR="00165D19">
        <w:rPr>
          <w:rFonts w:ascii="Calibri" w:eastAsia="Calibri" w:hAnsi="Calibri" w:cs="Calibri"/>
          <w:lang w:val="en-GB"/>
        </w:rPr>
        <w:t xml:space="preserve"> and defence (Polis, 2016). The Associated Press</w:t>
      </w:r>
      <w:r w:rsidR="00D17801">
        <w:rPr>
          <w:rFonts w:ascii="Calibri" w:eastAsia="Calibri" w:hAnsi="Calibri" w:cs="Calibri"/>
          <w:lang w:val="en-GB"/>
        </w:rPr>
        <w:t xml:space="preserve"> (AP)</w:t>
      </w:r>
      <w:r w:rsidR="00165D19">
        <w:rPr>
          <w:rFonts w:ascii="Calibri" w:eastAsia="Calibri" w:hAnsi="Calibri" w:cs="Calibri"/>
          <w:lang w:val="en-GB"/>
        </w:rPr>
        <w:t xml:space="preserve"> is </w:t>
      </w:r>
      <w:r w:rsidR="002940A7">
        <w:rPr>
          <w:rFonts w:ascii="Calibri" w:eastAsia="Calibri" w:hAnsi="Calibri" w:cs="Calibri"/>
          <w:lang w:val="en-GB"/>
        </w:rPr>
        <w:t xml:space="preserve">one of the largest newsgathering agencies, having both private and commercial customers. It is a non-profit news cooperative owned by </w:t>
      </w:r>
      <w:r w:rsidR="002940A7">
        <w:rPr>
          <w:rFonts w:ascii="Calibri" w:eastAsia="Calibri" w:hAnsi="Calibri" w:cs="Calibri"/>
          <w:lang w:val="en-GB"/>
        </w:rPr>
        <w:lastRenderedPageBreak/>
        <w:t>1,400 American newspapers that are AP members. It has more than 280 offices worldwide –</w:t>
      </w:r>
      <w:r w:rsidR="00144AA8">
        <w:rPr>
          <w:rFonts w:ascii="Calibri" w:eastAsia="Calibri" w:hAnsi="Calibri" w:cs="Calibri"/>
          <w:lang w:val="en-GB"/>
        </w:rPr>
        <w:t xml:space="preserve"> with most in North America and Eurasia –</w:t>
      </w:r>
      <w:r w:rsidR="002940A7">
        <w:rPr>
          <w:rFonts w:ascii="Calibri" w:eastAsia="Calibri" w:hAnsi="Calibri" w:cs="Calibri"/>
          <w:lang w:val="en-GB"/>
        </w:rPr>
        <w:t xml:space="preserve"> </w:t>
      </w:r>
      <w:r w:rsidR="00144AA8">
        <w:rPr>
          <w:rFonts w:ascii="Calibri" w:eastAsia="Calibri" w:hAnsi="Calibri" w:cs="Calibri"/>
          <w:lang w:val="en-GB"/>
        </w:rPr>
        <w:t>and is headquartered</w:t>
      </w:r>
      <w:r w:rsidR="002940A7">
        <w:rPr>
          <w:rFonts w:ascii="Calibri" w:eastAsia="Calibri" w:hAnsi="Calibri" w:cs="Calibri"/>
          <w:lang w:val="en-GB"/>
        </w:rPr>
        <w:t xml:space="preserve"> in New York (Associated Press, 2016). </w:t>
      </w:r>
      <w:r w:rsidR="009652AD">
        <w:rPr>
          <w:rFonts w:ascii="Calibri" w:eastAsia="Calibri" w:hAnsi="Calibri" w:cs="Calibri"/>
          <w:lang w:val="en-GB"/>
        </w:rPr>
        <w:t>In contrast, t</w:t>
      </w:r>
      <w:r w:rsidR="00144AA8">
        <w:rPr>
          <w:rFonts w:ascii="Calibri" w:eastAsia="Calibri" w:hAnsi="Calibri" w:cs="Calibri"/>
          <w:lang w:val="en-GB"/>
        </w:rPr>
        <w:t xml:space="preserve">here were </w:t>
      </w:r>
      <w:r w:rsidR="00FB01D9">
        <w:rPr>
          <w:rFonts w:ascii="Calibri" w:eastAsia="Calibri" w:hAnsi="Calibri" w:cs="Calibri"/>
          <w:lang w:val="en-GB"/>
        </w:rPr>
        <w:t>at least thirty</w:t>
      </w:r>
      <w:r w:rsidR="00144AA8">
        <w:rPr>
          <w:rFonts w:ascii="Calibri" w:eastAsia="Calibri" w:hAnsi="Calibri" w:cs="Calibri"/>
          <w:lang w:val="en-GB"/>
        </w:rPr>
        <w:t xml:space="preserve"> journalists working on the Paris attacks, with the </w:t>
      </w:r>
      <w:r w:rsidR="009652AD">
        <w:rPr>
          <w:rFonts w:ascii="Calibri" w:eastAsia="Calibri" w:hAnsi="Calibri" w:cs="Calibri"/>
          <w:lang w:val="en-GB"/>
        </w:rPr>
        <w:t>six most shared articles</w:t>
      </w:r>
      <w:r w:rsidR="00144AA8">
        <w:rPr>
          <w:rFonts w:ascii="Calibri" w:eastAsia="Calibri" w:hAnsi="Calibri" w:cs="Calibri"/>
          <w:lang w:val="en-GB"/>
        </w:rPr>
        <w:t xml:space="preserve"> and the first live blog being written by Claire Phipps, Kevin Rawlinson, Angelique Chrisafis, John Henley, Maeve Shearlaw, Kim Willsher, Luke Harding, Emma Graham</w:t>
      </w:r>
      <w:r w:rsidR="00757F53">
        <w:rPr>
          <w:rFonts w:ascii="Calibri" w:eastAsia="Calibri" w:hAnsi="Calibri" w:cs="Calibri"/>
          <w:lang w:val="en-GB"/>
        </w:rPr>
        <w:t>-Harrison, Anne Penketh, and Carmen</w:t>
      </w:r>
      <w:r w:rsidR="00144AA8">
        <w:rPr>
          <w:rFonts w:ascii="Calibri" w:eastAsia="Calibri" w:hAnsi="Calibri" w:cs="Calibri"/>
          <w:lang w:val="en-GB"/>
        </w:rPr>
        <w:t xml:space="preserve"> Fishwick. Phipps is a senior live blogger, and worked on the live blog and one article together with Rawlinson, who is a freelance reporter. </w:t>
      </w:r>
      <w:r w:rsidR="00D17801">
        <w:rPr>
          <w:rFonts w:ascii="Calibri" w:eastAsia="Calibri" w:hAnsi="Calibri" w:cs="Calibri"/>
          <w:lang w:val="en-GB"/>
        </w:rPr>
        <w:t>Chrisafis</w:t>
      </w:r>
      <w:r w:rsidR="00144AA8">
        <w:rPr>
          <w:rFonts w:ascii="Calibri" w:eastAsia="Calibri" w:hAnsi="Calibri" w:cs="Calibri"/>
          <w:lang w:val="en-GB"/>
        </w:rPr>
        <w:t xml:space="preserve"> is the Guardian’s Paris correspondent, and worked on an article together with Henley, the Guardian’s European affairs correspondent</w:t>
      </w:r>
      <w:r w:rsidR="00757F53">
        <w:rPr>
          <w:rFonts w:ascii="Calibri" w:eastAsia="Calibri" w:hAnsi="Calibri" w:cs="Calibri"/>
          <w:lang w:val="en-GB"/>
        </w:rPr>
        <w:t>, who was previously a foreign correspondent in Paris. Shearlaw is the commissioning and community editor for Guardian world networks. She focu</w:t>
      </w:r>
      <w:r w:rsidR="0036323B">
        <w:rPr>
          <w:rFonts w:ascii="Calibri" w:eastAsia="Calibri" w:hAnsi="Calibri" w:cs="Calibri"/>
          <w:lang w:val="en-GB"/>
        </w:rPr>
        <w:t>ses on under</w:t>
      </w:r>
      <w:r w:rsidR="00757F53">
        <w:rPr>
          <w:rFonts w:ascii="Calibri" w:eastAsia="Calibri" w:hAnsi="Calibri" w:cs="Calibri"/>
          <w:lang w:val="en-GB"/>
        </w:rPr>
        <w:t xml:space="preserve">reported regions. Willsher is a foreign correspondent and, like Chrisafis, based in Paris. She worked on an article with Harding, also a foreign correspondent but based in London, and Graham-Harrison, the Afghanistan and Pakistan editor. Penketh, </w:t>
      </w:r>
      <w:r w:rsidR="009652AD">
        <w:rPr>
          <w:rFonts w:ascii="Calibri" w:eastAsia="Calibri" w:hAnsi="Calibri" w:cs="Calibri"/>
          <w:lang w:val="en-GB"/>
        </w:rPr>
        <w:t>based in Paris, is a journalist</w:t>
      </w:r>
      <w:r w:rsidR="00757F53">
        <w:rPr>
          <w:rFonts w:ascii="Calibri" w:eastAsia="Calibri" w:hAnsi="Calibri" w:cs="Calibri"/>
          <w:lang w:val="en-GB"/>
        </w:rPr>
        <w:t xml:space="preserve"> who was forme</w:t>
      </w:r>
      <w:r w:rsidR="007B2009">
        <w:rPr>
          <w:rFonts w:ascii="Calibri" w:eastAsia="Calibri" w:hAnsi="Calibri" w:cs="Calibri"/>
          <w:lang w:val="en-GB"/>
        </w:rPr>
        <w:t>r</w:t>
      </w:r>
      <w:r w:rsidR="00757F53">
        <w:rPr>
          <w:rFonts w:ascii="Calibri" w:eastAsia="Calibri" w:hAnsi="Calibri" w:cs="Calibri"/>
          <w:lang w:val="en-GB"/>
        </w:rPr>
        <w:t>ly a diplomatic editor of the Independent. Lastly, Fishwick</w:t>
      </w:r>
      <w:r w:rsidR="007B2009">
        <w:rPr>
          <w:rFonts w:ascii="Calibri" w:eastAsia="Calibri" w:hAnsi="Calibri" w:cs="Calibri"/>
          <w:lang w:val="en-GB"/>
        </w:rPr>
        <w:t>, based in London,</w:t>
      </w:r>
      <w:r w:rsidR="00757F53">
        <w:rPr>
          <w:rFonts w:ascii="Calibri" w:eastAsia="Calibri" w:hAnsi="Calibri" w:cs="Calibri"/>
          <w:lang w:val="en-GB"/>
        </w:rPr>
        <w:t xml:space="preserve"> is employed on the news desk, aiming to build communities and managing social media for the Guardian.</w:t>
      </w:r>
      <w:r w:rsidR="00FB01D9">
        <w:rPr>
          <w:rFonts w:ascii="Calibri" w:eastAsia="Calibri" w:hAnsi="Calibri" w:cs="Calibri"/>
          <w:lang w:val="en-GB"/>
        </w:rPr>
        <w:t xml:space="preserve"> All these reporters published more than one article on the Paris attacks, often in cooperation with another reporter. In general, the difference between the number of reporters and diversity of expertise of the reporters </w:t>
      </w:r>
      <w:r w:rsidR="0036323B">
        <w:rPr>
          <w:rFonts w:ascii="Calibri" w:eastAsia="Calibri" w:hAnsi="Calibri" w:cs="Calibri"/>
          <w:lang w:val="en-GB"/>
        </w:rPr>
        <w:t xml:space="preserve">who worked on the events in Paris versus those in Beirut </w:t>
      </w:r>
      <w:r w:rsidR="00FB01D9">
        <w:rPr>
          <w:rFonts w:ascii="Calibri" w:eastAsia="Calibri" w:hAnsi="Calibri" w:cs="Calibri"/>
          <w:lang w:val="en-GB"/>
        </w:rPr>
        <w:t xml:space="preserve">is </w:t>
      </w:r>
      <w:r w:rsidR="0036323B">
        <w:rPr>
          <w:rFonts w:ascii="Calibri" w:eastAsia="Calibri" w:hAnsi="Calibri" w:cs="Calibri"/>
          <w:lang w:val="en-GB"/>
        </w:rPr>
        <w:t>considerable</w:t>
      </w:r>
      <w:r w:rsidR="00FB01D9">
        <w:rPr>
          <w:rFonts w:ascii="Calibri" w:eastAsia="Calibri" w:hAnsi="Calibri" w:cs="Calibri"/>
          <w:lang w:val="en-GB"/>
        </w:rPr>
        <w:t xml:space="preserve">. </w:t>
      </w:r>
      <w:r w:rsidR="007B2009">
        <w:rPr>
          <w:rFonts w:ascii="Calibri" w:eastAsia="Calibri" w:hAnsi="Calibri" w:cs="Calibri"/>
          <w:lang w:val="en-GB"/>
        </w:rPr>
        <w:t>Of the articles</w:t>
      </w:r>
      <w:r w:rsidR="0036323B">
        <w:rPr>
          <w:rFonts w:ascii="Calibri" w:eastAsia="Calibri" w:hAnsi="Calibri" w:cs="Calibri"/>
          <w:lang w:val="en-GB"/>
        </w:rPr>
        <w:t xml:space="preserve"> on Paris</w:t>
      </w:r>
      <w:r w:rsidR="007B2009">
        <w:rPr>
          <w:rFonts w:ascii="Calibri" w:eastAsia="Calibri" w:hAnsi="Calibri" w:cs="Calibri"/>
          <w:lang w:val="en-GB"/>
        </w:rPr>
        <w:t xml:space="preserve"> used for the fine analysis, already four reporters are based in Paris, while the Guardian has only two reporters based in Beirut for the entire newspaper. In line with the first general hypothesis, the Guardian thus prepares for more news from Paris and France than from Beirut and Lebanon, </w:t>
      </w:r>
      <w:r w:rsidR="00D17801">
        <w:rPr>
          <w:rFonts w:ascii="Calibri" w:eastAsia="Calibri" w:hAnsi="Calibri" w:cs="Calibri"/>
          <w:lang w:val="en-GB"/>
        </w:rPr>
        <w:t xml:space="preserve">even </w:t>
      </w:r>
      <w:r w:rsidR="007B2009">
        <w:rPr>
          <w:rFonts w:ascii="Calibri" w:eastAsia="Calibri" w:hAnsi="Calibri" w:cs="Calibri"/>
          <w:lang w:val="en-GB"/>
        </w:rPr>
        <w:t>regardless of social media attention for either. It also ensures more perspectives on the former can be given, by having reporters with different types of expertise based in Paris.</w:t>
      </w:r>
    </w:p>
    <w:p w14:paraId="08D4A699" w14:textId="21BE086A" w:rsidR="00602E32" w:rsidRDefault="007B61A8" w:rsidP="00E52F0F">
      <w:pPr>
        <w:spacing w:after="0" w:line="360" w:lineRule="auto"/>
        <w:ind w:firstLine="709"/>
        <w:jc w:val="both"/>
        <w:rPr>
          <w:rFonts w:ascii="Calibri" w:eastAsia="Calibri" w:hAnsi="Calibri" w:cs="Calibri"/>
          <w:lang w:val="en-GB"/>
        </w:rPr>
      </w:pPr>
      <w:r>
        <w:rPr>
          <w:rFonts w:ascii="Calibri" w:eastAsia="Calibri" w:hAnsi="Calibri" w:cs="Calibri"/>
          <w:lang w:val="en-GB"/>
        </w:rPr>
        <w:t xml:space="preserve">Secondly, </w:t>
      </w:r>
      <w:r w:rsidR="00DA26BA">
        <w:rPr>
          <w:rFonts w:ascii="Calibri" w:eastAsia="Calibri" w:hAnsi="Calibri" w:cs="Calibri"/>
          <w:lang w:val="en-GB"/>
        </w:rPr>
        <w:t>the articles about the attacks were placed in different types of topics</w:t>
      </w:r>
      <w:r w:rsidR="00DA26BA" w:rsidRPr="00381C71">
        <w:rPr>
          <w:rFonts w:ascii="Calibri" w:eastAsia="Calibri" w:hAnsi="Calibri" w:cs="Calibri"/>
          <w:lang w:val="en-GB"/>
        </w:rPr>
        <w:t>. Highlighting the different importance the events were accorded in the Guardian, the articles on the Beirut attacks were listed under th</w:t>
      </w:r>
      <w:r w:rsidR="00D17801">
        <w:rPr>
          <w:rFonts w:ascii="Calibri" w:eastAsia="Calibri" w:hAnsi="Calibri" w:cs="Calibri"/>
          <w:lang w:val="en-GB"/>
        </w:rPr>
        <w:t>e topic ‘Lebanon’</w:t>
      </w:r>
      <w:r w:rsidR="00DA26BA" w:rsidRPr="00381C71">
        <w:rPr>
          <w:rFonts w:ascii="Calibri" w:eastAsia="Calibri" w:hAnsi="Calibri" w:cs="Calibri"/>
          <w:lang w:val="en-GB"/>
        </w:rPr>
        <w:t xml:space="preserve">, </w:t>
      </w:r>
      <w:r w:rsidR="00D17801">
        <w:rPr>
          <w:rFonts w:ascii="Calibri" w:eastAsia="Calibri" w:hAnsi="Calibri" w:cs="Calibri"/>
          <w:lang w:val="en-GB"/>
        </w:rPr>
        <w:t>alongside</w:t>
      </w:r>
      <w:r w:rsidR="00DA26BA" w:rsidRPr="00381C71">
        <w:rPr>
          <w:rFonts w:ascii="Calibri" w:eastAsia="Calibri" w:hAnsi="Calibri" w:cs="Calibri"/>
          <w:lang w:val="en-GB"/>
        </w:rPr>
        <w:t xml:space="preserve"> other topics </w:t>
      </w:r>
      <w:r w:rsidR="00D17801">
        <w:rPr>
          <w:rFonts w:ascii="Calibri" w:eastAsia="Calibri" w:hAnsi="Calibri" w:cs="Calibri"/>
          <w:lang w:val="en-GB"/>
        </w:rPr>
        <w:t>such as</w:t>
      </w:r>
      <w:r w:rsidR="00DA26BA" w:rsidRPr="00381C71">
        <w:rPr>
          <w:rFonts w:ascii="Calibri" w:eastAsia="Calibri" w:hAnsi="Calibri" w:cs="Calibri"/>
          <w:lang w:val="en-GB"/>
        </w:rPr>
        <w:t xml:space="preserve"> Hezbollah, Islamic State, Islam, Middle East and North Africa, Religion, and Syria. In contrast, the articles on the Pari</w:t>
      </w:r>
      <w:r w:rsidR="00D17801">
        <w:rPr>
          <w:rFonts w:ascii="Calibri" w:eastAsia="Calibri" w:hAnsi="Calibri" w:cs="Calibri"/>
          <w:lang w:val="en-GB"/>
        </w:rPr>
        <w:t>s attacks had their own topic, ‘Paris attacks’</w:t>
      </w:r>
      <w:r w:rsidR="00DA26BA" w:rsidRPr="00381C71">
        <w:rPr>
          <w:rFonts w:ascii="Calibri" w:eastAsia="Calibri" w:hAnsi="Calibri" w:cs="Calibri"/>
          <w:lang w:val="en-GB"/>
        </w:rPr>
        <w:t>. They were also listed under several other topics, mostly being P</w:t>
      </w:r>
      <w:r w:rsidR="0036323B">
        <w:rPr>
          <w:rFonts w:ascii="Calibri" w:eastAsia="Calibri" w:hAnsi="Calibri" w:cs="Calibri"/>
          <w:lang w:val="en-GB"/>
        </w:rPr>
        <w:t xml:space="preserve">aris, France, and Europe, but not under </w:t>
      </w:r>
      <w:r w:rsidR="00DA26BA">
        <w:rPr>
          <w:rFonts w:ascii="Calibri" w:eastAsia="Calibri" w:hAnsi="Calibri" w:cs="Calibri"/>
          <w:lang w:val="en-GB"/>
        </w:rPr>
        <w:t xml:space="preserve">Islam, </w:t>
      </w:r>
      <w:r w:rsidR="00DA26BA" w:rsidRPr="00381C71">
        <w:rPr>
          <w:rFonts w:ascii="Calibri" w:eastAsia="Calibri" w:hAnsi="Calibri" w:cs="Calibri"/>
          <w:lang w:val="en-GB"/>
        </w:rPr>
        <w:t>Isis</w:t>
      </w:r>
      <w:r w:rsidR="00DA26BA">
        <w:rPr>
          <w:rFonts w:ascii="Calibri" w:eastAsia="Calibri" w:hAnsi="Calibri" w:cs="Calibri"/>
          <w:lang w:val="en-GB"/>
        </w:rPr>
        <w:t xml:space="preserve">, </w:t>
      </w:r>
      <w:r w:rsidR="0036323B">
        <w:rPr>
          <w:rFonts w:ascii="Calibri" w:eastAsia="Calibri" w:hAnsi="Calibri" w:cs="Calibri"/>
          <w:lang w:val="en-GB"/>
        </w:rPr>
        <w:t>or</w:t>
      </w:r>
      <w:r w:rsidR="00DA26BA">
        <w:rPr>
          <w:rFonts w:ascii="Calibri" w:eastAsia="Calibri" w:hAnsi="Calibri" w:cs="Calibri"/>
          <w:lang w:val="en-GB"/>
        </w:rPr>
        <w:t xml:space="preserve"> Religion</w:t>
      </w:r>
      <w:r w:rsidR="0036323B">
        <w:rPr>
          <w:rFonts w:ascii="Calibri" w:eastAsia="Calibri" w:hAnsi="Calibri" w:cs="Calibri"/>
          <w:lang w:val="en-GB"/>
        </w:rPr>
        <w:t>.</w:t>
      </w:r>
      <w:r w:rsidR="00DA26BA">
        <w:rPr>
          <w:rFonts w:ascii="Calibri" w:eastAsia="Calibri" w:hAnsi="Calibri" w:cs="Calibri"/>
          <w:lang w:val="en-GB"/>
        </w:rPr>
        <w:t xml:space="preserve"> </w:t>
      </w:r>
      <w:r w:rsidR="00E95ED6">
        <w:rPr>
          <w:rFonts w:ascii="Calibri" w:eastAsia="Calibri" w:hAnsi="Calibri" w:cs="Calibri"/>
          <w:lang w:val="en-GB"/>
        </w:rPr>
        <w:t xml:space="preserve">By having its own topic, the news on Paris was more easy to find than news on Beirut: one only has to click on the topic and all news concerned with the attacks – including videos, commentaries, </w:t>
      </w:r>
      <w:r w:rsidR="007345BD">
        <w:rPr>
          <w:rFonts w:ascii="Calibri" w:eastAsia="Calibri" w:hAnsi="Calibri" w:cs="Calibri"/>
          <w:lang w:val="en-GB"/>
        </w:rPr>
        <w:t xml:space="preserve">cartoons, </w:t>
      </w:r>
      <w:r w:rsidR="00E95ED6">
        <w:rPr>
          <w:rFonts w:ascii="Calibri" w:eastAsia="Calibri" w:hAnsi="Calibri" w:cs="Calibri"/>
          <w:lang w:val="en-GB"/>
        </w:rPr>
        <w:t xml:space="preserve">and live blogs – are listed according to date published. </w:t>
      </w:r>
      <w:r w:rsidR="007345BD">
        <w:rPr>
          <w:rFonts w:ascii="Calibri" w:eastAsia="Calibri" w:hAnsi="Calibri" w:cs="Calibri"/>
          <w:lang w:val="en-GB"/>
        </w:rPr>
        <w:t>For the Beirut attacks, in contrast, one has to search through all articles published that include the words ‘Beirut’ and ‘attacks’, meaning that articles with headlines such as “Beirut under siege as I</w:t>
      </w:r>
      <w:r w:rsidR="00293753">
        <w:rPr>
          <w:rFonts w:ascii="Calibri" w:eastAsia="Calibri" w:hAnsi="Calibri" w:cs="Calibri"/>
          <w:lang w:val="en-GB"/>
        </w:rPr>
        <w:t xml:space="preserve">srael attacks from air and sea”, published in 2006 </w:t>
      </w:r>
      <w:r w:rsidR="007345BD">
        <w:rPr>
          <w:rFonts w:ascii="Calibri" w:eastAsia="Calibri" w:hAnsi="Calibri" w:cs="Calibri"/>
          <w:lang w:val="en-GB"/>
        </w:rPr>
        <w:t>also turn up (McGreal, 2006).</w:t>
      </w:r>
      <w:r w:rsidR="00902A05">
        <w:rPr>
          <w:rFonts w:ascii="Calibri" w:eastAsia="Calibri" w:hAnsi="Calibri" w:cs="Calibri"/>
          <w:lang w:val="en-GB"/>
        </w:rPr>
        <w:t xml:space="preserve"> </w:t>
      </w:r>
    </w:p>
    <w:p w14:paraId="2DDA5FD7" w14:textId="07C493F1" w:rsidR="002664E3" w:rsidRDefault="007345BD" w:rsidP="001D720D">
      <w:pPr>
        <w:spacing w:after="0" w:line="360" w:lineRule="auto"/>
        <w:ind w:firstLine="709"/>
        <w:jc w:val="both"/>
        <w:rPr>
          <w:rFonts w:ascii="Calibri" w:eastAsia="Calibri" w:hAnsi="Calibri" w:cs="Calibri"/>
          <w:lang w:val="en-GB"/>
        </w:rPr>
      </w:pPr>
      <w:r>
        <w:rPr>
          <w:rFonts w:ascii="Calibri" w:eastAsia="Calibri" w:hAnsi="Calibri" w:cs="Calibri"/>
          <w:lang w:val="en-GB"/>
        </w:rPr>
        <w:t>With regard to the headlines, t</w:t>
      </w:r>
      <w:r w:rsidR="00602E32">
        <w:rPr>
          <w:rFonts w:ascii="Calibri" w:eastAsia="Calibri" w:hAnsi="Calibri" w:cs="Calibri"/>
          <w:lang w:val="en-GB"/>
        </w:rPr>
        <w:t>he</w:t>
      </w:r>
      <w:r w:rsidR="00602E32" w:rsidRPr="00381C71">
        <w:rPr>
          <w:rFonts w:ascii="Calibri" w:eastAsia="Calibri" w:hAnsi="Calibri" w:cs="Calibri"/>
          <w:lang w:val="en-GB"/>
        </w:rPr>
        <w:t xml:space="preserve"> difference in whether or not Isis was list</w:t>
      </w:r>
      <w:r>
        <w:rPr>
          <w:rFonts w:ascii="Calibri" w:eastAsia="Calibri" w:hAnsi="Calibri" w:cs="Calibri"/>
          <w:lang w:val="en-GB"/>
        </w:rPr>
        <w:t>ed as a topic was mirrored in those titles</w:t>
      </w:r>
      <w:r w:rsidR="00602E32" w:rsidRPr="00381C71">
        <w:rPr>
          <w:rFonts w:ascii="Calibri" w:eastAsia="Calibri" w:hAnsi="Calibri" w:cs="Calibri"/>
          <w:lang w:val="en-GB"/>
        </w:rPr>
        <w:t xml:space="preserve">. </w:t>
      </w:r>
      <w:r w:rsidR="00602E32">
        <w:rPr>
          <w:rFonts w:ascii="Calibri" w:eastAsia="Calibri" w:hAnsi="Calibri" w:cs="Calibri"/>
          <w:lang w:val="en-GB"/>
        </w:rPr>
        <w:t>Although</w:t>
      </w:r>
      <w:r w:rsidR="00E23EBC">
        <w:rPr>
          <w:rFonts w:ascii="Calibri" w:eastAsia="Calibri" w:hAnsi="Calibri" w:cs="Calibri"/>
          <w:lang w:val="en-GB"/>
        </w:rPr>
        <w:t xml:space="preserve"> among the articles used for the structure analysis there were respectively one and three articles published on</w:t>
      </w:r>
      <w:r w:rsidR="006512EB">
        <w:rPr>
          <w:rFonts w:ascii="Calibri" w:eastAsia="Calibri" w:hAnsi="Calibri" w:cs="Calibri"/>
          <w:lang w:val="en-GB"/>
        </w:rPr>
        <w:t xml:space="preserve"> </w:t>
      </w:r>
      <w:r w:rsidR="00602E32">
        <w:rPr>
          <w:rFonts w:ascii="Calibri" w:eastAsia="Calibri" w:hAnsi="Calibri" w:cs="Calibri"/>
          <w:lang w:val="en-GB"/>
        </w:rPr>
        <w:t>the Beirut and Paris attacks</w:t>
      </w:r>
      <w:r w:rsidR="006512EB">
        <w:rPr>
          <w:rFonts w:ascii="Calibri" w:eastAsia="Calibri" w:hAnsi="Calibri" w:cs="Calibri"/>
          <w:lang w:val="en-GB"/>
        </w:rPr>
        <w:t xml:space="preserve"> </w:t>
      </w:r>
      <w:r w:rsidR="00E23EBC">
        <w:rPr>
          <w:rFonts w:ascii="Calibri" w:eastAsia="Calibri" w:hAnsi="Calibri" w:cs="Calibri"/>
          <w:lang w:val="en-GB"/>
        </w:rPr>
        <w:t xml:space="preserve">that included the word </w:t>
      </w:r>
      <w:r w:rsidR="006512EB">
        <w:rPr>
          <w:rFonts w:ascii="Calibri" w:eastAsia="Calibri" w:hAnsi="Calibri" w:cs="Calibri"/>
          <w:lang w:val="en-GB"/>
        </w:rPr>
        <w:t>‘Isis’ in the title</w:t>
      </w:r>
      <w:r w:rsidR="00E23EBC">
        <w:rPr>
          <w:rFonts w:ascii="Calibri" w:eastAsia="Calibri" w:hAnsi="Calibri" w:cs="Calibri"/>
          <w:lang w:val="en-GB"/>
        </w:rPr>
        <w:t>, percentage-</w:t>
      </w:r>
      <w:r w:rsidR="00E23EBC">
        <w:rPr>
          <w:rFonts w:ascii="Calibri" w:eastAsia="Calibri" w:hAnsi="Calibri" w:cs="Calibri"/>
          <w:lang w:val="en-GB"/>
        </w:rPr>
        <w:lastRenderedPageBreak/>
        <w:t>wise this means that Isis returned in 33 per cent of the Beirut articles, and in 7 per cent of the Paris articles (Shaheen, 2015a; Henley and Chrisafis, 2015)</w:t>
      </w:r>
      <w:r w:rsidR="006512EB">
        <w:rPr>
          <w:rFonts w:ascii="Calibri" w:eastAsia="Calibri" w:hAnsi="Calibri" w:cs="Calibri"/>
          <w:lang w:val="en-GB"/>
        </w:rPr>
        <w:t xml:space="preserve">. </w:t>
      </w:r>
      <w:r w:rsidR="00902A05">
        <w:rPr>
          <w:rFonts w:ascii="Calibri" w:eastAsia="Calibri" w:hAnsi="Calibri" w:cs="Calibri"/>
          <w:lang w:val="en-GB"/>
        </w:rPr>
        <w:t>One additional feature should be taken into account. Whereas the Guardian ensured to clearly state Isis’s claim of responsibility was not yet confirmed every time it mentioned this claim</w:t>
      </w:r>
      <w:r w:rsidR="00B21299">
        <w:rPr>
          <w:rFonts w:ascii="Calibri" w:eastAsia="Calibri" w:hAnsi="Calibri" w:cs="Calibri"/>
          <w:lang w:val="en-GB"/>
        </w:rPr>
        <w:t xml:space="preserve"> in relation to the Paris attacks</w:t>
      </w:r>
      <w:r w:rsidR="00902A05">
        <w:rPr>
          <w:rFonts w:ascii="Calibri" w:eastAsia="Calibri" w:hAnsi="Calibri" w:cs="Calibri"/>
          <w:lang w:val="en-GB"/>
        </w:rPr>
        <w:t xml:space="preserve">, it did not take this precaution when </w:t>
      </w:r>
      <w:r w:rsidR="00B21299">
        <w:rPr>
          <w:rFonts w:ascii="Calibri" w:eastAsia="Calibri" w:hAnsi="Calibri" w:cs="Calibri"/>
          <w:lang w:val="en-GB"/>
        </w:rPr>
        <w:t>titling</w:t>
      </w:r>
      <w:r w:rsidR="00902A05">
        <w:rPr>
          <w:rFonts w:ascii="Calibri" w:eastAsia="Calibri" w:hAnsi="Calibri" w:cs="Calibri"/>
          <w:lang w:val="en-GB"/>
        </w:rPr>
        <w:t xml:space="preserve"> the Beirut article: “Isis claims responsibility as suicide bombers kill dozens in Beirut”</w:t>
      </w:r>
      <w:r w:rsidR="00B21299">
        <w:rPr>
          <w:rFonts w:ascii="Calibri" w:eastAsia="Calibri" w:hAnsi="Calibri" w:cs="Calibri"/>
          <w:lang w:val="en-GB"/>
        </w:rPr>
        <w:t>, even though this claim was also unconfirmed at the time of publication (Shaheen, 2015a). Both the topics under which the articles are listen and</w:t>
      </w:r>
      <w:r w:rsidR="001D720D">
        <w:rPr>
          <w:rFonts w:ascii="Calibri" w:eastAsia="Calibri" w:hAnsi="Calibri" w:cs="Calibri"/>
          <w:lang w:val="en-GB"/>
        </w:rPr>
        <w:t xml:space="preserve"> their headlines thus connect the Beirut attacks more to Isis, while focusing on the attacks themselves in Paris. So far, they thus seem to confirm hypotheses B and C</w:t>
      </w:r>
      <w:r w:rsidR="002664E3">
        <w:rPr>
          <w:rFonts w:ascii="Calibri" w:eastAsia="Calibri" w:hAnsi="Calibri" w:cs="Calibri"/>
          <w:lang w:val="en-GB"/>
        </w:rPr>
        <w:t xml:space="preserve">: Isis plays a bigger role in the Beirut articles, whereas religious and/or political groups are not </w:t>
      </w:r>
      <w:r w:rsidR="00365D33">
        <w:rPr>
          <w:rFonts w:ascii="Calibri" w:eastAsia="Calibri" w:hAnsi="Calibri" w:cs="Calibri"/>
          <w:lang w:val="en-GB"/>
        </w:rPr>
        <w:t>emphasised</w:t>
      </w:r>
      <w:r w:rsidR="002664E3">
        <w:rPr>
          <w:rFonts w:ascii="Calibri" w:eastAsia="Calibri" w:hAnsi="Calibri" w:cs="Calibri"/>
          <w:lang w:val="en-GB"/>
        </w:rPr>
        <w:t xml:space="preserve"> in the Paris articles. </w:t>
      </w:r>
    </w:p>
    <w:p w14:paraId="6743AEE1" w14:textId="240706B0" w:rsidR="00DA26BA" w:rsidRDefault="001D720D" w:rsidP="00E52F0F">
      <w:pPr>
        <w:spacing w:after="0" w:line="360" w:lineRule="auto"/>
        <w:ind w:firstLine="720"/>
        <w:jc w:val="both"/>
        <w:rPr>
          <w:rFonts w:ascii="Calibri" w:eastAsia="Calibri" w:hAnsi="Calibri" w:cs="Calibri"/>
          <w:lang w:val="en-GB"/>
        </w:rPr>
      </w:pPr>
      <w:r>
        <w:rPr>
          <w:rFonts w:ascii="Calibri" w:eastAsia="Calibri" w:hAnsi="Calibri" w:cs="Calibri"/>
          <w:lang w:val="en-GB"/>
        </w:rPr>
        <w:t>Last in this section are</w:t>
      </w:r>
      <w:r w:rsidR="00365D33">
        <w:rPr>
          <w:rFonts w:ascii="Calibri" w:eastAsia="Calibri" w:hAnsi="Calibri" w:cs="Calibri"/>
          <w:lang w:val="en-GB"/>
        </w:rPr>
        <w:t xml:space="preserve"> the </w:t>
      </w:r>
      <w:r w:rsidR="002D4B30" w:rsidRPr="002D4B30">
        <w:rPr>
          <w:rFonts w:ascii="Calibri" w:eastAsia="Calibri" w:hAnsi="Calibri" w:cs="Calibri"/>
          <w:lang w:val="en-GB"/>
        </w:rPr>
        <w:t>images used in the articles</w:t>
      </w:r>
      <w:r w:rsidR="00DA26BA" w:rsidRPr="002D4B30">
        <w:rPr>
          <w:rFonts w:ascii="Calibri" w:eastAsia="Calibri" w:hAnsi="Calibri" w:cs="Calibri"/>
          <w:lang w:val="en-GB"/>
        </w:rPr>
        <w:t xml:space="preserve">. </w:t>
      </w:r>
      <w:r w:rsidR="00365D33">
        <w:rPr>
          <w:rFonts w:ascii="Calibri" w:eastAsia="Calibri" w:hAnsi="Calibri" w:cs="Calibri"/>
          <w:lang w:val="en-GB"/>
        </w:rPr>
        <w:t>Alt</w:t>
      </w:r>
      <w:r w:rsidR="00DA26BA" w:rsidRPr="002D4B30">
        <w:rPr>
          <w:rFonts w:ascii="Calibri" w:eastAsia="Calibri" w:hAnsi="Calibri" w:cs="Calibri"/>
          <w:lang w:val="en-GB"/>
        </w:rPr>
        <w:t>hough</w:t>
      </w:r>
      <w:r w:rsidR="00DA26BA">
        <w:rPr>
          <w:rFonts w:ascii="Calibri" w:eastAsia="Calibri" w:hAnsi="Calibri" w:cs="Calibri"/>
          <w:lang w:val="en-GB"/>
        </w:rPr>
        <w:t xml:space="preserve"> the rest of the layout of the articles about Paris and Beirut were the </w:t>
      </w:r>
      <w:r w:rsidR="00365D33">
        <w:rPr>
          <w:rFonts w:ascii="Calibri" w:eastAsia="Calibri" w:hAnsi="Calibri" w:cs="Calibri"/>
          <w:lang w:val="en-GB"/>
        </w:rPr>
        <w:t>similar</w:t>
      </w:r>
      <w:r w:rsidR="00DA26BA">
        <w:rPr>
          <w:rFonts w:ascii="Calibri" w:eastAsia="Calibri" w:hAnsi="Calibri" w:cs="Calibri"/>
          <w:lang w:val="en-GB"/>
        </w:rPr>
        <w:t>, the colours and content of the pictures differed. The main colours used in the Beirut articles were dark, such as black, grey, and brown, while the images of the Paris articles conveyed a certain brightness and lighter colours, for example in the shining plastic around the yellow, purple, green, red, and pink flowers that were placed at one of the scenes of the attack. As for content, t</w:t>
      </w:r>
      <w:r w:rsidR="00DA26BA" w:rsidRPr="00381C71">
        <w:rPr>
          <w:rFonts w:ascii="Calibri" w:eastAsia="Calibri" w:hAnsi="Calibri" w:cs="Calibri"/>
          <w:lang w:val="en-GB"/>
        </w:rPr>
        <w:t>he images used for the Beirut articles show damaged areas, mourning relatives of Adel Termos</w:t>
      </w:r>
      <w:r w:rsidR="00F4328D">
        <w:rPr>
          <w:rFonts w:ascii="Calibri" w:eastAsia="Calibri" w:hAnsi="Calibri" w:cs="Calibri"/>
          <w:lang w:val="en-GB"/>
        </w:rPr>
        <w:t xml:space="preserve"> – the man who saved others by tackling the second suicide bomber –</w:t>
      </w:r>
      <w:r w:rsidR="00DA26BA" w:rsidRPr="00381C71">
        <w:rPr>
          <w:rFonts w:ascii="Calibri" w:eastAsia="Calibri" w:hAnsi="Calibri" w:cs="Calibri"/>
          <w:lang w:val="en-GB"/>
        </w:rPr>
        <w:t xml:space="preserve">, mourning men carrying his coffin, and military men standing behind a fence. </w:t>
      </w:r>
      <w:r w:rsidR="00DA26BA">
        <w:rPr>
          <w:rFonts w:ascii="Calibri" w:eastAsia="Calibri" w:hAnsi="Calibri" w:cs="Calibri"/>
          <w:lang w:val="en-GB"/>
        </w:rPr>
        <w:t>Articles about the Paris attacks use pictures of</w:t>
      </w:r>
      <w:r w:rsidR="00DA26BA" w:rsidRPr="00381C71">
        <w:rPr>
          <w:rFonts w:ascii="Calibri" w:eastAsia="Calibri" w:hAnsi="Calibri" w:cs="Calibri"/>
          <w:lang w:val="en-GB"/>
        </w:rPr>
        <w:t xml:space="preserve"> maps of Paris showing where the attacks took place, portrait pictures of the victims, and people observing a minute's silence at one</w:t>
      </w:r>
      <w:r w:rsidR="00DA26BA">
        <w:rPr>
          <w:rFonts w:ascii="Calibri" w:eastAsia="Calibri" w:hAnsi="Calibri" w:cs="Calibri"/>
          <w:lang w:val="en-GB"/>
        </w:rPr>
        <w:t xml:space="preserve"> of the scenes of the attacks</w:t>
      </w:r>
      <w:r w:rsidR="00DA26BA" w:rsidRPr="00381C71">
        <w:rPr>
          <w:rFonts w:ascii="Calibri" w:eastAsia="Calibri" w:hAnsi="Calibri" w:cs="Calibri"/>
          <w:lang w:val="en-GB"/>
        </w:rPr>
        <w:t xml:space="preserve">. Only the picture of a door damaged by a bullet hole </w:t>
      </w:r>
      <w:r w:rsidR="00365D33" w:rsidRPr="00381C71">
        <w:rPr>
          <w:rFonts w:ascii="Calibri" w:eastAsia="Calibri" w:hAnsi="Calibri" w:cs="Calibri"/>
          <w:lang w:val="en-GB"/>
        </w:rPr>
        <w:t xml:space="preserve">in Paris </w:t>
      </w:r>
      <w:r w:rsidR="00DA26BA" w:rsidRPr="00381C71">
        <w:rPr>
          <w:rFonts w:ascii="Calibri" w:eastAsia="Calibri" w:hAnsi="Calibri" w:cs="Calibri"/>
          <w:lang w:val="en-GB"/>
        </w:rPr>
        <w:t xml:space="preserve">is similar in </w:t>
      </w:r>
      <w:r w:rsidR="00365D33">
        <w:rPr>
          <w:rFonts w:ascii="Calibri" w:eastAsia="Calibri" w:hAnsi="Calibri" w:cs="Calibri"/>
          <w:lang w:val="en-GB"/>
        </w:rPr>
        <w:t>content</w:t>
      </w:r>
      <w:r w:rsidR="00DA26BA" w:rsidRPr="00381C71">
        <w:rPr>
          <w:rFonts w:ascii="Calibri" w:eastAsia="Calibri" w:hAnsi="Calibri" w:cs="Calibri"/>
          <w:lang w:val="en-GB"/>
        </w:rPr>
        <w:t xml:space="preserve"> to the pictures of Beirut</w:t>
      </w:r>
      <w:r w:rsidR="00DA26BA">
        <w:rPr>
          <w:rFonts w:ascii="Calibri" w:eastAsia="Calibri" w:hAnsi="Calibri" w:cs="Calibri"/>
          <w:lang w:val="en-GB"/>
        </w:rPr>
        <w:t>. Within these results, especially surprising is that for the Paris articles profile pictures of quite some victims were used, while there was not a single picture of the victims of the Beirut attacks, except for a picture within a picture because the photo journalist photographed the son of Adel Termos holding a portrait of him. In ge</w:t>
      </w:r>
      <w:r w:rsidR="00F4328D">
        <w:rPr>
          <w:rFonts w:ascii="Calibri" w:eastAsia="Calibri" w:hAnsi="Calibri" w:cs="Calibri"/>
          <w:lang w:val="en-GB"/>
        </w:rPr>
        <w:t>neral, the images thus support</w:t>
      </w:r>
      <w:r w:rsidR="002D4B30">
        <w:rPr>
          <w:rFonts w:ascii="Calibri" w:eastAsia="Calibri" w:hAnsi="Calibri" w:cs="Calibri"/>
          <w:lang w:val="en-GB"/>
        </w:rPr>
        <w:t xml:space="preserve"> hypothesis </w:t>
      </w:r>
      <w:r w:rsidR="00D2131A">
        <w:rPr>
          <w:rFonts w:ascii="Calibri" w:eastAsia="Calibri" w:hAnsi="Calibri" w:cs="Calibri"/>
          <w:lang w:val="en-GB"/>
        </w:rPr>
        <w:t>D</w:t>
      </w:r>
      <w:r w:rsidR="002D4B30">
        <w:rPr>
          <w:rFonts w:ascii="Calibri" w:eastAsia="Calibri" w:hAnsi="Calibri" w:cs="Calibri"/>
          <w:lang w:val="en-GB"/>
        </w:rPr>
        <w:t>, supplementing</w:t>
      </w:r>
      <w:r w:rsidR="00DA26BA">
        <w:rPr>
          <w:rFonts w:ascii="Calibri" w:eastAsia="Calibri" w:hAnsi="Calibri" w:cs="Calibri"/>
          <w:lang w:val="en-GB"/>
        </w:rPr>
        <w:t xml:space="preserve"> the focus on the victims’ personalities in Paris versus the effects of the attacks in Beirut, with the colours adding an extra dimension of darkness and sadness to Beirut, and brightness to Paris. </w:t>
      </w:r>
      <w:r w:rsidR="002D4B30">
        <w:rPr>
          <w:rFonts w:ascii="Calibri" w:eastAsia="Calibri" w:hAnsi="Calibri" w:cs="Calibri"/>
          <w:lang w:val="en-GB"/>
        </w:rPr>
        <w:t>The next section provides a bridge between the analysis of the institutional framework and text surfa</w:t>
      </w:r>
      <w:r w:rsidR="00006D3D">
        <w:rPr>
          <w:rFonts w:ascii="Calibri" w:eastAsia="Calibri" w:hAnsi="Calibri" w:cs="Calibri"/>
          <w:lang w:val="en-GB"/>
        </w:rPr>
        <w:t>ce and the analysis of each sub</w:t>
      </w:r>
      <w:r w:rsidR="002D4B30">
        <w:rPr>
          <w:rFonts w:ascii="Calibri" w:eastAsia="Calibri" w:hAnsi="Calibri" w:cs="Calibri"/>
          <w:lang w:val="en-GB"/>
        </w:rPr>
        <w:t>theme, by briefly expanding on the words that are used most for each attack.</w:t>
      </w:r>
    </w:p>
    <w:p w14:paraId="2A7B81C7" w14:textId="77777777" w:rsidR="002D4B30" w:rsidRDefault="002D4B30" w:rsidP="00E52F0F">
      <w:pPr>
        <w:spacing w:line="360" w:lineRule="auto"/>
        <w:ind w:firstLine="709"/>
        <w:jc w:val="both"/>
        <w:rPr>
          <w:rFonts w:ascii="Calibri" w:eastAsia="Calibri" w:hAnsi="Calibri" w:cs="Calibri"/>
          <w:lang w:val="en-GB"/>
        </w:rPr>
      </w:pPr>
    </w:p>
    <w:p w14:paraId="5F2E6DB5" w14:textId="2247087A" w:rsidR="002D4B30" w:rsidRDefault="002D4B30" w:rsidP="00E52F0F">
      <w:pPr>
        <w:pStyle w:val="Heading3"/>
        <w:spacing w:line="360" w:lineRule="auto"/>
        <w:rPr>
          <w:rFonts w:eastAsia="Calibri"/>
          <w:lang w:val="en-GB"/>
        </w:rPr>
      </w:pPr>
      <w:bookmarkStart w:id="70" w:name="_Toc458983422"/>
      <w:r>
        <w:rPr>
          <w:rFonts w:eastAsia="Calibri"/>
          <w:lang w:val="en-GB"/>
        </w:rPr>
        <w:t>5.</w:t>
      </w:r>
      <w:r w:rsidR="00F4328D">
        <w:rPr>
          <w:rFonts w:eastAsia="Calibri"/>
          <w:lang w:val="en-GB"/>
        </w:rPr>
        <w:t>6</w:t>
      </w:r>
      <w:r>
        <w:rPr>
          <w:rFonts w:eastAsia="Calibri"/>
          <w:lang w:val="en-GB"/>
        </w:rPr>
        <w:t>.2. Word clouds</w:t>
      </w:r>
      <w:bookmarkEnd w:id="70"/>
    </w:p>
    <w:p w14:paraId="26EA5580" w14:textId="78B46E67" w:rsidR="00B549D5" w:rsidRPr="00381C71" w:rsidRDefault="002D4B30" w:rsidP="00E52F0F">
      <w:pPr>
        <w:spacing w:after="0" w:line="360" w:lineRule="auto"/>
        <w:jc w:val="both"/>
        <w:rPr>
          <w:lang w:val="en-GB"/>
        </w:rPr>
      </w:pPr>
      <w:r>
        <w:rPr>
          <w:rFonts w:ascii="Calibri" w:eastAsia="Calibri" w:hAnsi="Calibri" w:cs="Calibri"/>
          <w:lang w:val="en-GB"/>
        </w:rPr>
        <w:t xml:space="preserve">Before reflecting upon the specific words, sentences, and </w:t>
      </w:r>
      <w:r w:rsidR="00293753">
        <w:rPr>
          <w:rFonts w:ascii="Calibri" w:eastAsia="Calibri" w:hAnsi="Calibri" w:cs="Calibri"/>
          <w:lang w:val="en-GB"/>
        </w:rPr>
        <w:t>units of meaning in</w:t>
      </w:r>
      <w:r>
        <w:rPr>
          <w:rFonts w:ascii="Calibri" w:eastAsia="Calibri" w:hAnsi="Calibri" w:cs="Calibri"/>
          <w:lang w:val="en-GB"/>
        </w:rPr>
        <w:t xml:space="preserve"> the articles and live blog</w:t>
      </w:r>
      <w:r w:rsidR="00B549D5">
        <w:rPr>
          <w:rFonts w:ascii="Calibri" w:eastAsia="Calibri" w:hAnsi="Calibri" w:cs="Calibri"/>
          <w:lang w:val="en-GB"/>
        </w:rPr>
        <w:t xml:space="preserve">, I used a quantitative </w:t>
      </w:r>
      <w:r w:rsidR="00A53F50">
        <w:rPr>
          <w:rFonts w:ascii="Calibri" w:eastAsia="Calibri" w:hAnsi="Calibri" w:cs="Calibri"/>
          <w:lang w:val="en-GB"/>
        </w:rPr>
        <w:t>approach</w:t>
      </w:r>
      <w:r w:rsidR="00B549D5">
        <w:rPr>
          <w:rFonts w:ascii="Calibri" w:eastAsia="Calibri" w:hAnsi="Calibri" w:cs="Calibri"/>
          <w:lang w:val="en-GB"/>
        </w:rPr>
        <w:t xml:space="preserve"> </w:t>
      </w:r>
      <w:r w:rsidR="008C15EA">
        <w:rPr>
          <w:rFonts w:ascii="Calibri" w:eastAsia="Calibri" w:hAnsi="Calibri" w:cs="Calibri"/>
          <w:lang w:val="en-GB"/>
        </w:rPr>
        <w:t xml:space="preserve">called word clouds </w:t>
      </w:r>
      <w:r w:rsidR="00B549D5">
        <w:rPr>
          <w:rFonts w:ascii="Calibri" w:eastAsia="Calibri" w:hAnsi="Calibri" w:cs="Calibri"/>
          <w:lang w:val="en-GB"/>
        </w:rPr>
        <w:t xml:space="preserve">to receive an overview of the words that are used most in the coverage of each attack. </w:t>
      </w:r>
      <w:r w:rsidR="00A53F50">
        <w:rPr>
          <w:rFonts w:ascii="Calibri" w:eastAsia="Calibri" w:hAnsi="Calibri" w:cs="Calibri"/>
          <w:lang w:val="en-GB"/>
        </w:rPr>
        <w:t xml:space="preserve">Word clouds </w:t>
      </w:r>
      <w:r w:rsidR="00B549D5">
        <w:rPr>
          <w:rFonts w:ascii="Calibri" w:eastAsia="Calibri" w:hAnsi="Calibri" w:cs="Calibri"/>
          <w:lang w:val="en-GB"/>
        </w:rPr>
        <w:t>provide a visualisation of the relative use of words in the articles</w:t>
      </w:r>
      <w:r w:rsidR="00A53F50">
        <w:rPr>
          <w:rFonts w:ascii="Calibri" w:eastAsia="Calibri" w:hAnsi="Calibri" w:cs="Calibri"/>
          <w:lang w:val="en-GB"/>
        </w:rPr>
        <w:t xml:space="preserve"> by making the size of words relative to the times they are used (i.e., the more a word is used, the bigger it </w:t>
      </w:r>
      <w:r w:rsidR="00A53F50">
        <w:rPr>
          <w:rFonts w:ascii="Calibri" w:eastAsia="Calibri" w:hAnsi="Calibri" w:cs="Calibri"/>
          <w:lang w:val="en-GB"/>
        </w:rPr>
        <w:lastRenderedPageBreak/>
        <w:t>becomes)</w:t>
      </w:r>
      <w:r w:rsidR="00B549D5">
        <w:rPr>
          <w:rFonts w:ascii="Calibri" w:eastAsia="Calibri" w:hAnsi="Calibri" w:cs="Calibri"/>
          <w:lang w:val="en-GB"/>
        </w:rPr>
        <w:t>.</w:t>
      </w:r>
      <w:r w:rsidR="0007221B">
        <w:rPr>
          <w:rStyle w:val="FootnoteReference"/>
          <w:rFonts w:ascii="Calibri" w:eastAsia="Calibri" w:hAnsi="Calibri" w:cs="Calibri"/>
          <w:lang w:val="en-GB"/>
        </w:rPr>
        <w:footnoteReference w:id="15"/>
      </w:r>
      <w:r w:rsidR="00B549D5">
        <w:rPr>
          <w:rFonts w:ascii="Calibri" w:eastAsia="Calibri" w:hAnsi="Calibri" w:cs="Calibri"/>
          <w:lang w:val="en-GB"/>
        </w:rPr>
        <w:t xml:space="preserve"> As can be seen below in figure</w:t>
      </w:r>
      <w:r w:rsidR="00F4328D">
        <w:rPr>
          <w:rFonts w:ascii="Calibri" w:eastAsia="Calibri" w:hAnsi="Calibri" w:cs="Calibri"/>
          <w:lang w:val="en-GB"/>
        </w:rPr>
        <w:t>s</w:t>
      </w:r>
      <w:r w:rsidR="00B549D5">
        <w:rPr>
          <w:rFonts w:ascii="Calibri" w:eastAsia="Calibri" w:hAnsi="Calibri" w:cs="Calibri"/>
          <w:lang w:val="en-GB"/>
        </w:rPr>
        <w:t xml:space="preserve"> </w:t>
      </w:r>
      <w:r w:rsidR="000941BF">
        <w:rPr>
          <w:rFonts w:ascii="Calibri" w:eastAsia="Calibri" w:hAnsi="Calibri" w:cs="Calibri"/>
          <w:lang w:val="en-GB"/>
        </w:rPr>
        <w:t>5</w:t>
      </w:r>
      <w:r w:rsidR="00B549D5">
        <w:rPr>
          <w:rFonts w:ascii="Calibri" w:eastAsia="Calibri" w:hAnsi="Calibri" w:cs="Calibri"/>
          <w:lang w:val="en-GB"/>
        </w:rPr>
        <w:t>.</w:t>
      </w:r>
      <w:r w:rsidR="00F4328D">
        <w:rPr>
          <w:rFonts w:ascii="Calibri" w:eastAsia="Calibri" w:hAnsi="Calibri" w:cs="Calibri"/>
          <w:lang w:val="en-GB"/>
        </w:rPr>
        <w:t>5</w:t>
      </w:r>
      <w:r w:rsidR="00B549D5">
        <w:rPr>
          <w:rFonts w:ascii="Calibri" w:eastAsia="Calibri" w:hAnsi="Calibri" w:cs="Calibri"/>
          <w:lang w:val="en-GB"/>
        </w:rPr>
        <w:t xml:space="preserve"> </w:t>
      </w:r>
      <w:r w:rsidR="00B549D5" w:rsidRPr="00381C71">
        <w:rPr>
          <w:rFonts w:ascii="Calibri" w:eastAsia="Calibri" w:hAnsi="Calibri" w:cs="Calibri"/>
          <w:lang w:val="en-GB"/>
        </w:rPr>
        <w:t xml:space="preserve">and </w:t>
      </w:r>
      <w:r w:rsidR="000941BF">
        <w:rPr>
          <w:rFonts w:ascii="Calibri" w:eastAsia="Calibri" w:hAnsi="Calibri" w:cs="Calibri"/>
          <w:lang w:val="en-GB"/>
        </w:rPr>
        <w:t>5.</w:t>
      </w:r>
      <w:r w:rsidR="00F4328D">
        <w:rPr>
          <w:rFonts w:ascii="Calibri" w:eastAsia="Calibri" w:hAnsi="Calibri" w:cs="Calibri"/>
          <w:lang w:val="en-GB"/>
        </w:rPr>
        <w:t>6</w:t>
      </w:r>
      <w:r w:rsidR="00B549D5">
        <w:rPr>
          <w:rFonts w:ascii="Calibri" w:eastAsia="Calibri" w:hAnsi="Calibri" w:cs="Calibri"/>
          <w:lang w:val="en-GB"/>
        </w:rPr>
        <w:t xml:space="preserve">, different words were used </w:t>
      </w:r>
      <w:r w:rsidR="009F64CD">
        <w:rPr>
          <w:rFonts w:ascii="Calibri" w:eastAsia="Calibri" w:hAnsi="Calibri" w:cs="Calibri"/>
          <w:lang w:val="en-GB"/>
        </w:rPr>
        <w:t xml:space="preserve">most often </w:t>
      </w:r>
      <w:r w:rsidR="00B549D5">
        <w:rPr>
          <w:rFonts w:ascii="Calibri" w:eastAsia="Calibri" w:hAnsi="Calibri" w:cs="Calibri"/>
          <w:lang w:val="en-GB"/>
        </w:rPr>
        <w:t>in</w:t>
      </w:r>
      <w:r w:rsidR="008C15EA">
        <w:rPr>
          <w:rFonts w:ascii="Calibri" w:eastAsia="Calibri" w:hAnsi="Calibri" w:cs="Calibri"/>
          <w:lang w:val="en-GB"/>
        </w:rPr>
        <w:t xml:space="preserve"> </w:t>
      </w:r>
      <w:r w:rsidR="00B549D5">
        <w:rPr>
          <w:rFonts w:ascii="Calibri" w:eastAsia="Calibri" w:hAnsi="Calibri" w:cs="Calibri"/>
          <w:lang w:val="en-GB"/>
        </w:rPr>
        <w:t>the articles about Beirut versus those about Paris</w:t>
      </w:r>
      <w:r w:rsidR="00B549D5" w:rsidRPr="00381C71">
        <w:rPr>
          <w:rFonts w:ascii="Calibri" w:eastAsia="Calibri" w:hAnsi="Calibri" w:cs="Calibri"/>
          <w:lang w:val="en-GB"/>
        </w:rPr>
        <w:t>.</w:t>
      </w:r>
      <w:r w:rsidR="003107A7">
        <w:rPr>
          <w:rFonts w:ascii="Calibri" w:eastAsia="Calibri" w:hAnsi="Calibri" w:cs="Calibri"/>
          <w:lang w:val="en-GB"/>
        </w:rPr>
        <w:t xml:space="preserve"> </w:t>
      </w:r>
    </w:p>
    <w:p w14:paraId="06DEE812" w14:textId="77777777" w:rsidR="00B549D5" w:rsidRDefault="00B549D5" w:rsidP="00E52F0F">
      <w:pPr>
        <w:spacing w:after="0" w:line="360" w:lineRule="auto"/>
        <w:jc w:val="both"/>
      </w:pPr>
      <w:r>
        <w:rPr>
          <w:noProof/>
          <w:lang w:val="en-US"/>
        </w:rPr>
        <w:drawing>
          <wp:inline distT="114300" distB="114300" distL="114300" distR="114300" wp14:anchorId="12B25C6A" wp14:editId="5F8FF77E">
            <wp:extent cx="2728270" cy="2365375"/>
            <wp:effectExtent l="0" t="0" r="0" b="0"/>
            <wp:docPr id="2" name="image03.png" descr="Cloud 1.png"/>
            <wp:cNvGraphicFramePr/>
            <a:graphic xmlns:a="http://schemas.openxmlformats.org/drawingml/2006/main">
              <a:graphicData uri="http://schemas.openxmlformats.org/drawingml/2006/picture">
                <pic:pic xmlns:pic="http://schemas.openxmlformats.org/drawingml/2006/picture">
                  <pic:nvPicPr>
                    <pic:cNvPr id="0" name="image03.png" descr="Cloud 1.png"/>
                    <pic:cNvPicPr preferRelativeResize="0"/>
                  </pic:nvPicPr>
                  <pic:blipFill>
                    <a:blip r:embed="rId12"/>
                    <a:srcRect/>
                    <a:stretch>
                      <a:fillRect/>
                    </a:stretch>
                  </pic:blipFill>
                  <pic:spPr>
                    <a:xfrm>
                      <a:off x="0" y="0"/>
                      <a:ext cx="2728270" cy="2365375"/>
                    </a:xfrm>
                    <a:prstGeom prst="rect">
                      <a:avLst/>
                    </a:prstGeom>
                    <a:ln/>
                  </pic:spPr>
                </pic:pic>
              </a:graphicData>
            </a:graphic>
          </wp:inline>
        </w:drawing>
      </w:r>
      <w:r>
        <w:rPr>
          <w:noProof/>
          <w:lang w:val="en-US"/>
        </w:rPr>
        <w:drawing>
          <wp:inline distT="114300" distB="114300" distL="114300" distR="114300" wp14:anchorId="31168453" wp14:editId="5D139267">
            <wp:extent cx="2731510" cy="2225675"/>
            <wp:effectExtent l="0" t="0" r="0" b="3175"/>
            <wp:docPr id="1" name="image01.png"/>
            <wp:cNvGraphicFramePr/>
            <a:graphic xmlns:a="http://schemas.openxmlformats.org/drawingml/2006/main">
              <a:graphicData uri="http://schemas.openxmlformats.org/drawingml/2006/picture">
                <pic:pic xmlns:pic="http://schemas.openxmlformats.org/drawingml/2006/picture">
                  <pic:nvPicPr>
                    <pic:cNvPr id="0" name="image01.png" descr="Copy of Cloud 2 (correct map paris).png"/>
                    <pic:cNvPicPr preferRelativeResize="0"/>
                  </pic:nvPicPr>
                  <pic:blipFill>
                    <a:blip r:embed="rId13" cstate="print">
                      <a:extLst>
                        <a:ext uri="{28A0092B-C50C-407E-A947-70E740481C1C}">
                          <a14:useLocalDpi xmlns:a14="http://schemas.microsoft.com/office/drawing/2010/main" val="0"/>
                        </a:ext>
                      </a:extLst>
                    </a:blip>
                    <a:stretch>
                      <a:fillRect/>
                    </a:stretch>
                  </pic:blipFill>
                  <pic:spPr>
                    <a:xfrm>
                      <a:off x="0" y="0"/>
                      <a:ext cx="2731510" cy="2225675"/>
                    </a:xfrm>
                    <a:prstGeom prst="rect">
                      <a:avLst/>
                    </a:prstGeom>
                    <a:ln/>
                  </pic:spPr>
                </pic:pic>
              </a:graphicData>
            </a:graphic>
          </wp:inline>
        </w:drawing>
      </w:r>
    </w:p>
    <w:p w14:paraId="3079A27A" w14:textId="3512BA93" w:rsidR="00B549D5" w:rsidRPr="00381C71" w:rsidRDefault="00B549D5" w:rsidP="00F4328D">
      <w:pPr>
        <w:spacing w:after="0" w:line="240" w:lineRule="auto"/>
        <w:jc w:val="both"/>
        <w:rPr>
          <w:lang w:val="en-GB"/>
        </w:rPr>
      </w:pPr>
      <w:r w:rsidRPr="001A06CD">
        <w:rPr>
          <w:rFonts w:ascii="Calibri" w:eastAsia="Calibri" w:hAnsi="Calibri" w:cs="Calibri"/>
        </w:rPr>
        <w:tab/>
      </w:r>
      <w:r w:rsidRPr="00381C71">
        <w:rPr>
          <w:rFonts w:ascii="Calibri" w:eastAsia="Calibri" w:hAnsi="Calibri" w:cs="Calibri"/>
          <w:lang w:val="en-GB"/>
        </w:rPr>
        <w:t xml:space="preserve">Figure </w:t>
      </w:r>
      <w:r w:rsidR="000941BF">
        <w:rPr>
          <w:rFonts w:ascii="Calibri" w:eastAsia="Calibri" w:hAnsi="Calibri" w:cs="Calibri"/>
          <w:lang w:val="en-GB"/>
        </w:rPr>
        <w:t>5</w:t>
      </w:r>
      <w:r>
        <w:rPr>
          <w:rFonts w:ascii="Calibri" w:eastAsia="Calibri" w:hAnsi="Calibri" w:cs="Calibri"/>
          <w:lang w:val="en-GB"/>
        </w:rPr>
        <w:t>.</w:t>
      </w:r>
      <w:r w:rsidR="00E92A0B">
        <w:rPr>
          <w:rFonts w:ascii="Calibri" w:eastAsia="Calibri" w:hAnsi="Calibri" w:cs="Calibri"/>
          <w:lang w:val="en-GB"/>
        </w:rPr>
        <w:t>5</w:t>
      </w:r>
      <w:r w:rsidRPr="00381C71">
        <w:rPr>
          <w:rFonts w:ascii="Calibri" w:eastAsia="Calibri" w:hAnsi="Calibri" w:cs="Calibri"/>
          <w:lang w:val="en-GB"/>
        </w:rPr>
        <w:t xml:space="preserve">: Word cloud of words used </w:t>
      </w:r>
      <w:r w:rsidRPr="00381C71">
        <w:rPr>
          <w:rFonts w:ascii="Calibri" w:eastAsia="Calibri" w:hAnsi="Calibri" w:cs="Calibri"/>
          <w:lang w:val="en-GB"/>
        </w:rPr>
        <w:tab/>
      </w:r>
      <w:r w:rsidRPr="00381C71">
        <w:rPr>
          <w:rFonts w:ascii="Calibri" w:eastAsia="Calibri" w:hAnsi="Calibri" w:cs="Calibri"/>
          <w:lang w:val="en-GB"/>
        </w:rPr>
        <w:tab/>
        <w:t xml:space="preserve">Figure </w:t>
      </w:r>
      <w:r w:rsidR="000941BF">
        <w:rPr>
          <w:rFonts w:ascii="Calibri" w:eastAsia="Calibri" w:hAnsi="Calibri" w:cs="Calibri"/>
          <w:lang w:val="en-GB"/>
        </w:rPr>
        <w:t>5</w:t>
      </w:r>
      <w:r>
        <w:rPr>
          <w:rFonts w:ascii="Calibri" w:eastAsia="Calibri" w:hAnsi="Calibri" w:cs="Calibri"/>
          <w:lang w:val="en-GB"/>
        </w:rPr>
        <w:t>.</w:t>
      </w:r>
      <w:r w:rsidR="00E92A0B">
        <w:rPr>
          <w:rFonts w:ascii="Calibri" w:eastAsia="Calibri" w:hAnsi="Calibri" w:cs="Calibri"/>
          <w:lang w:val="en-GB"/>
        </w:rPr>
        <w:t>6</w:t>
      </w:r>
      <w:r w:rsidRPr="00381C71">
        <w:rPr>
          <w:rFonts w:ascii="Calibri" w:eastAsia="Calibri" w:hAnsi="Calibri" w:cs="Calibri"/>
          <w:lang w:val="en-GB"/>
        </w:rPr>
        <w:t>: Word cloud of words used</w:t>
      </w:r>
    </w:p>
    <w:p w14:paraId="455AF50B" w14:textId="77777777" w:rsidR="00B549D5" w:rsidRPr="00381C71" w:rsidRDefault="00B549D5" w:rsidP="00F4328D">
      <w:pPr>
        <w:spacing w:after="0" w:line="240" w:lineRule="auto"/>
        <w:ind w:firstLine="720"/>
        <w:jc w:val="both"/>
        <w:rPr>
          <w:lang w:val="en-GB"/>
        </w:rPr>
      </w:pPr>
      <w:r w:rsidRPr="00381C71">
        <w:rPr>
          <w:rFonts w:ascii="Calibri" w:eastAsia="Calibri" w:hAnsi="Calibri" w:cs="Calibri"/>
          <w:lang w:val="en-GB"/>
        </w:rPr>
        <w:t>in the Beirut articles</w:t>
      </w:r>
      <w:r w:rsidRPr="00381C71">
        <w:rPr>
          <w:rFonts w:ascii="Calibri" w:eastAsia="Calibri" w:hAnsi="Calibri" w:cs="Calibri"/>
          <w:lang w:val="en-GB"/>
        </w:rPr>
        <w:tab/>
      </w:r>
      <w:r w:rsidRPr="00381C71">
        <w:rPr>
          <w:rFonts w:ascii="Calibri" w:eastAsia="Calibri" w:hAnsi="Calibri" w:cs="Calibri"/>
          <w:lang w:val="en-GB"/>
        </w:rPr>
        <w:tab/>
      </w:r>
      <w:r w:rsidRPr="00381C71">
        <w:rPr>
          <w:rFonts w:ascii="Calibri" w:eastAsia="Calibri" w:hAnsi="Calibri" w:cs="Calibri"/>
          <w:lang w:val="en-GB"/>
        </w:rPr>
        <w:tab/>
      </w:r>
      <w:r w:rsidRPr="00381C71">
        <w:rPr>
          <w:rFonts w:ascii="Calibri" w:eastAsia="Calibri" w:hAnsi="Calibri" w:cs="Calibri"/>
          <w:lang w:val="en-GB"/>
        </w:rPr>
        <w:tab/>
        <w:t xml:space="preserve">in the Paris articles </w:t>
      </w:r>
    </w:p>
    <w:p w14:paraId="4D776EDA" w14:textId="77777777" w:rsidR="00B549D5" w:rsidRPr="00381C71" w:rsidRDefault="00B549D5" w:rsidP="00E52F0F">
      <w:pPr>
        <w:spacing w:after="0" w:line="360" w:lineRule="auto"/>
        <w:ind w:firstLine="720"/>
        <w:jc w:val="both"/>
        <w:rPr>
          <w:lang w:val="en-GB"/>
        </w:rPr>
      </w:pPr>
    </w:p>
    <w:p w14:paraId="5C05EBFA" w14:textId="622266F7" w:rsidR="0056741F" w:rsidRPr="00907922" w:rsidRDefault="00B549D5" w:rsidP="00E52F0F">
      <w:pPr>
        <w:spacing w:after="0" w:line="360" w:lineRule="auto"/>
        <w:jc w:val="both"/>
        <w:rPr>
          <w:i/>
          <w:lang w:val="en-GB"/>
        </w:rPr>
      </w:pPr>
      <w:r w:rsidRPr="0072539F">
        <w:rPr>
          <w:rFonts w:ascii="Calibri" w:eastAsia="Calibri" w:hAnsi="Calibri" w:cs="Calibri"/>
          <w:lang w:val="en-GB"/>
        </w:rPr>
        <w:t xml:space="preserve">In the former, the </w:t>
      </w:r>
      <w:r w:rsidR="0072539F" w:rsidRPr="0072539F">
        <w:rPr>
          <w:rFonts w:ascii="Calibri" w:eastAsia="Calibri" w:hAnsi="Calibri" w:cs="Calibri"/>
          <w:lang w:val="en-GB"/>
        </w:rPr>
        <w:t>words ’suicide’ and ‘bomb’</w:t>
      </w:r>
      <w:r w:rsidRPr="0072539F">
        <w:rPr>
          <w:rFonts w:ascii="Calibri" w:eastAsia="Calibri" w:hAnsi="Calibri" w:cs="Calibri"/>
          <w:lang w:val="en-GB"/>
        </w:rPr>
        <w:t xml:space="preserve"> were most often used, whereas in the latter </w:t>
      </w:r>
      <w:r w:rsidR="0072539F" w:rsidRPr="0072539F">
        <w:rPr>
          <w:rFonts w:ascii="Calibri" w:eastAsia="Calibri" w:hAnsi="Calibri" w:cs="Calibri"/>
          <w:lang w:val="en-GB"/>
        </w:rPr>
        <w:t>it were the words ‘</w:t>
      </w:r>
      <w:r w:rsidR="00342342" w:rsidRPr="0072539F">
        <w:rPr>
          <w:rFonts w:ascii="Calibri" w:eastAsia="Calibri" w:hAnsi="Calibri" w:cs="Calibri"/>
          <w:lang w:val="en-GB"/>
        </w:rPr>
        <w:t>Paris</w:t>
      </w:r>
      <w:r w:rsidR="0072539F" w:rsidRPr="0072539F">
        <w:rPr>
          <w:rFonts w:ascii="Calibri" w:eastAsia="Calibri" w:hAnsi="Calibri" w:cs="Calibri"/>
          <w:lang w:val="en-GB"/>
        </w:rPr>
        <w:t>’, ‘</w:t>
      </w:r>
      <w:r w:rsidR="00342342" w:rsidRPr="0072539F">
        <w:rPr>
          <w:rFonts w:ascii="Calibri" w:eastAsia="Calibri" w:hAnsi="Calibri" w:cs="Calibri"/>
          <w:lang w:val="en-GB"/>
        </w:rPr>
        <w:t>people</w:t>
      </w:r>
      <w:r w:rsidR="0072539F" w:rsidRPr="0072539F">
        <w:rPr>
          <w:rFonts w:ascii="Calibri" w:eastAsia="Calibri" w:hAnsi="Calibri" w:cs="Calibri"/>
          <w:lang w:val="en-GB"/>
        </w:rPr>
        <w:t>’, and ‘attack’</w:t>
      </w:r>
      <w:r w:rsidRPr="0072539F">
        <w:rPr>
          <w:rFonts w:ascii="Calibri" w:eastAsia="Calibri" w:hAnsi="Calibri" w:cs="Calibri"/>
          <w:lang w:val="en-GB"/>
        </w:rPr>
        <w:t xml:space="preserve">. </w:t>
      </w:r>
      <w:r w:rsidR="00342342" w:rsidRPr="0072539F">
        <w:rPr>
          <w:rFonts w:ascii="Calibri" w:eastAsia="Calibri" w:hAnsi="Calibri" w:cs="Calibri"/>
          <w:lang w:val="en-GB"/>
        </w:rPr>
        <w:t xml:space="preserve">The second biggest words continue in this line in the case of the Beirut articles, with words like ‘bomber’, ‘blast’, ‘kill’, and ‘attack’. For Paris, words approximately equal in size are ‘France’ and ‘kill’. </w:t>
      </w:r>
      <w:r w:rsidR="0072539F" w:rsidRPr="0072539F">
        <w:rPr>
          <w:rFonts w:ascii="Calibri" w:eastAsia="Calibri" w:hAnsi="Calibri" w:cs="Calibri"/>
          <w:lang w:val="en-GB"/>
        </w:rPr>
        <w:t>There is thus certainly a difference, although it may not be very clear</w:t>
      </w:r>
      <w:r w:rsidRPr="0072539F">
        <w:rPr>
          <w:rFonts w:ascii="Calibri" w:eastAsia="Calibri" w:hAnsi="Calibri" w:cs="Calibri"/>
          <w:lang w:val="en-GB"/>
        </w:rPr>
        <w:t>. In the Beirut articl</w:t>
      </w:r>
      <w:r w:rsidR="0072539F" w:rsidRPr="0072539F">
        <w:rPr>
          <w:rFonts w:ascii="Calibri" w:eastAsia="Calibri" w:hAnsi="Calibri" w:cs="Calibri"/>
          <w:lang w:val="en-GB"/>
        </w:rPr>
        <w:t>es, the focus is on the attack and attackers</w:t>
      </w:r>
      <w:r w:rsidRPr="0072539F">
        <w:rPr>
          <w:rFonts w:ascii="Calibri" w:eastAsia="Calibri" w:hAnsi="Calibri" w:cs="Calibri"/>
          <w:lang w:val="en-GB"/>
        </w:rPr>
        <w:t>. In the Paris articles, the focus is on the place where the att</w:t>
      </w:r>
      <w:r w:rsidR="0072539F" w:rsidRPr="0072539F">
        <w:rPr>
          <w:rFonts w:ascii="Calibri" w:eastAsia="Calibri" w:hAnsi="Calibri" w:cs="Calibri"/>
          <w:lang w:val="en-GB"/>
        </w:rPr>
        <w:t>ack took place, and the victims and relatives (‘people’ is never used with regard to the attackers in the articles or live blog)</w:t>
      </w:r>
      <w:r w:rsidRPr="0072539F">
        <w:rPr>
          <w:rFonts w:ascii="Calibri" w:eastAsia="Calibri" w:hAnsi="Calibri" w:cs="Calibri"/>
          <w:lang w:val="en-GB"/>
        </w:rPr>
        <w:t xml:space="preserve">. Although there are tenets of negativity and positivity in both – ‘people’ is part of the Beirut articles, and ‘attack’ </w:t>
      </w:r>
      <w:r w:rsidR="0072539F" w:rsidRPr="0072539F">
        <w:rPr>
          <w:rFonts w:ascii="Calibri" w:eastAsia="Calibri" w:hAnsi="Calibri" w:cs="Calibri"/>
          <w:lang w:val="en-GB"/>
        </w:rPr>
        <w:t xml:space="preserve">is a </w:t>
      </w:r>
      <w:r w:rsidRPr="0072539F">
        <w:rPr>
          <w:rFonts w:ascii="Calibri" w:eastAsia="Calibri" w:hAnsi="Calibri" w:cs="Calibri"/>
          <w:lang w:val="en-GB"/>
        </w:rPr>
        <w:t xml:space="preserve">big aspect of the Paris articles – one of the features </w:t>
      </w:r>
      <w:r w:rsidR="0072539F" w:rsidRPr="0072539F">
        <w:rPr>
          <w:rFonts w:ascii="Calibri" w:eastAsia="Calibri" w:hAnsi="Calibri" w:cs="Calibri"/>
          <w:lang w:val="en-GB"/>
        </w:rPr>
        <w:t>subtly</w:t>
      </w:r>
      <w:r w:rsidR="00F4328D">
        <w:rPr>
          <w:rFonts w:ascii="Calibri" w:eastAsia="Calibri" w:hAnsi="Calibri" w:cs="Calibri"/>
          <w:lang w:val="en-GB"/>
        </w:rPr>
        <w:t xml:space="preserve"> dominates in each article</w:t>
      </w:r>
      <w:r w:rsidR="0072539F" w:rsidRPr="0072539F">
        <w:rPr>
          <w:rFonts w:ascii="Calibri" w:eastAsia="Calibri" w:hAnsi="Calibri" w:cs="Calibri"/>
          <w:lang w:val="en-GB"/>
        </w:rPr>
        <w:t>.</w:t>
      </w:r>
      <w:r w:rsidR="0072539F">
        <w:rPr>
          <w:rFonts w:ascii="Calibri" w:eastAsia="Calibri" w:hAnsi="Calibri" w:cs="Calibri"/>
          <w:lang w:val="en-GB"/>
        </w:rPr>
        <w:t xml:space="preserve"> </w:t>
      </w:r>
      <w:r w:rsidR="00F4328D">
        <w:rPr>
          <w:rFonts w:ascii="Calibri" w:eastAsia="Calibri" w:hAnsi="Calibri" w:cs="Calibri"/>
          <w:lang w:val="en-GB"/>
        </w:rPr>
        <w:t>This</w:t>
      </w:r>
      <w:r w:rsidR="008A1543" w:rsidRPr="00907922">
        <w:rPr>
          <w:rFonts w:ascii="Calibri" w:eastAsia="Calibri" w:hAnsi="Calibri" w:cs="Calibri"/>
          <w:lang w:val="en-GB"/>
        </w:rPr>
        <w:t xml:space="preserve"> </w:t>
      </w:r>
      <w:r w:rsidR="00F4328D">
        <w:rPr>
          <w:rFonts w:ascii="Calibri" w:eastAsia="Calibri" w:hAnsi="Calibri" w:cs="Calibri"/>
          <w:lang w:val="en-GB"/>
        </w:rPr>
        <w:t xml:space="preserve">difference in focus is likely to get readers more </w:t>
      </w:r>
      <w:r w:rsidR="008A1543" w:rsidRPr="00907922">
        <w:rPr>
          <w:rFonts w:ascii="Calibri" w:eastAsia="Calibri" w:hAnsi="Calibri" w:cs="Calibri"/>
          <w:lang w:val="en-GB"/>
        </w:rPr>
        <w:t xml:space="preserve">engaged </w:t>
      </w:r>
      <w:r w:rsidR="00F4328D">
        <w:rPr>
          <w:rFonts w:ascii="Calibri" w:eastAsia="Calibri" w:hAnsi="Calibri" w:cs="Calibri"/>
          <w:lang w:val="en-GB"/>
        </w:rPr>
        <w:t xml:space="preserve">with the articles on Paris attacks: </w:t>
      </w:r>
      <w:r w:rsidR="00502197">
        <w:rPr>
          <w:rFonts w:ascii="Calibri" w:eastAsia="Calibri" w:hAnsi="Calibri" w:cs="Calibri"/>
          <w:lang w:val="en-GB"/>
        </w:rPr>
        <w:t xml:space="preserve">usually readers are more interested in </w:t>
      </w:r>
      <w:r w:rsidR="00150880">
        <w:rPr>
          <w:rFonts w:ascii="Calibri" w:eastAsia="Calibri" w:hAnsi="Calibri" w:cs="Calibri"/>
          <w:lang w:val="en-GB"/>
        </w:rPr>
        <w:t xml:space="preserve">the stories of </w:t>
      </w:r>
      <w:r w:rsidR="00502197">
        <w:rPr>
          <w:rFonts w:ascii="Calibri" w:eastAsia="Calibri" w:hAnsi="Calibri" w:cs="Calibri"/>
          <w:lang w:val="en-GB"/>
        </w:rPr>
        <w:t xml:space="preserve">the people affected by the attack than in </w:t>
      </w:r>
      <w:r w:rsidR="00150880">
        <w:rPr>
          <w:rFonts w:ascii="Calibri" w:eastAsia="Calibri" w:hAnsi="Calibri" w:cs="Calibri"/>
          <w:lang w:val="en-GB"/>
        </w:rPr>
        <w:t xml:space="preserve">facts and numbers about an </w:t>
      </w:r>
      <w:r w:rsidR="00502197">
        <w:rPr>
          <w:rFonts w:ascii="Calibri" w:eastAsia="Calibri" w:hAnsi="Calibri" w:cs="Calibri"/>
          <w:lang w:val="en-GB"/>
        </w:rPr>
        <w:t>attack</w:t>
      </w:r>
      <w:r w:rsidR="00150880">
        <w:rPr>
          <w:rFonts w:ascii="Calibri" w:eastAsia="Calibri" w:hAnsi="Calibri" w:cs="Calibri"/>
          <w:lang w:val="en-GB"/>
        </w:rPr>
        <w:t xml:space="preserve"> (Pounsford, 2007)</w:t>
      </w:r>
      <w:r w:rsidR="00502197">
        <w:rPr>
          <w:rFonts w:ascii="Calibri" w:eastAsia="Calibri" w:hAnsi="Calibri" w:cs="Calibri"/>
          <w:lang w:val="en-GB"/>
        </w:rPr>
        <w:t>.</w:t>
      </w:r>
      <w:r w:rsidR="008A1543" w:rsidRPr="00907922">
        <w:rPr>
          <w:rFonts w:ascii="Calibri" w:eastAsia="Calibri" w:hAnsi="Calibri" w:cs="Calibri"/>
          <w:lang w:val="en-GB"/>
        </w:rPr>
        <w:t xml:space="preserve"> </w:t>
      </w:r>
      <w:r w:rsidR="00907922" w:rsidRPr="00907922">
        <w:rPr>
          <w:rFonts w:ascii="Calibri" w:eastAsia="Calibri" w:hAnsi="Calibri" w:cs="Calibri"/>
          <w:lang w:val="en-GB"/>
        </w:rPr>
        <w:t>Nevertheless</w:t>
      </w:r>
      <w:r w:rsidRPr="00907922">
        <w:rPr>
          <w:rFonts w:ascii="Calibri" w:eastAsia="Calibri" w:hAnsi="Calibri" w:cs="Calibri"/>
          <w:lang w:val="en-GB"/>
        </w:rPr>
        <w:t>, to research whether this is truly the case – after all, the number of times a word is used does not tell us much about its context or interpretation – it is necessary to move beyond the word clouds, and conduct a fine analysis of t</w:t>
      </w:r>
      <w:r w:rsidR="00907922" w:rsidRPr="00907922">
        <w:rPr>
          <w:rFonts w:ascii="Calibri" w:eastAsia="Calibri" w:hAnsi="Calibri" w:cs="Calibri"/>
          <w:lang w:val="en-GB"/>
        </w:rPr>
        <w:t>he differ</w:t>
      </w:r>
      <w:r w:rsidR="00006D3D">
        <w:rPr>
          <w:rFonts w:ascii="Calibri" w:eastAsia="Calibri" w:hAnsi="Calibri" w:cs="Calibri"/>
          <w:lang w:val="en-GB"/>
        </w:rPr>
        <w:t>ent discourse fragments per sub</w:t>
      </w:r>
      <w:r w:rsidR="00907922" w:rsidRPr="00907922">
        <w:rPr>
          <w:rFonts w:ascii="Calibri" w:eastAsia="Calibri" w:hAnsi="Calibri" w:cs="Calibri"/>
          <w:lang w:val="en-GB"/>
        </w:rPr>
        <w:t>theme.</w:t>
      </w:r>
    </w:p>
    <w:p w14:paraId="5700BF31" w14:textId="77777777" w:rsidR="00B549D5" w:rsidRPr="00907922" w:rsidRDefault="00B549D5" w:rsidP="00E52F0F">
      <w:pPr>
        <w:spacing w:line="360" w:lineRule="auto"/>
        <w:jc w:val="both"/>
        <w:rPr>
          <w:lang w:val="en-GB"/>
        </w:rPr>
      </w:pPr>
    </w:p>
    <w:p w14:paraId="52B38EB8" w14:textId="02CE0BF6" w:rsidR="00B549D5" w:rsidRPr="00CD7466" w:rsidRDefault="00B549D5" w:rsidP="00E52F0F">
      <w:pPr>
        <w:pStyle w:val="Heading3"/>
        <w:spacing w:line="360" w:lineRule="auto"/>
        <w:jc w:val="both"/>
        <w:rPr>
          <w:lang w:val="en-GB"/>
        </w:rPr>
      </w:pPr>
      <w:bookmarkStart w:id="71" w:name="h.hueb8nulan0e" w:colFirst="0" w:colLast="0"/>
      <w:bookmarkStart w:id="72" w:name="_Toc458983423"/>
      <w:bookmarkEnd w:id="71"/>
      <w:r w:rsidRPr="00907922">
        <w:rPr>
          <w:rFonts w:eastAsia="Calibri" w:cs="Calibri"/>
          <w:lang w:val="en-GB"/>
        </w:rPr>
        <w:t>5.</w:t>
      </w:r>
      <w:r w:rsidR="000309DA" w:rsidRPr="00907922">
        <w:rPr>
          <w:rFonts w:eastAsia="Calibri" w:cs="Calibri"/>
          <w:lang w:val="en-GB"/>
        </w:rPr>
        <w:t>6</w:t>
      </w:r>
      <w:r w:rsidR="00A24E70" w:rsidRPr="00907922">
        <w:rPr>
          <w:rFonts w:eastAsia="Calibri" w:cs="Calibri"/>
          <w:lang w:val="en-GB"/>
        </w:rPr>
        <w:t>.</w:t>
      </w:r>
      <w:r w:rsidR="00907922">
        <w:rPr>
          <w:rFonts w:eastAsia="Calibri" w:cs="Calibri"/>
          <w:lang w:val="en-GB"/>
        </w:rPr>
        <w:t>3</w:t>
      </w:r>
      <w:r w:rsidRPr="00907922">
        <w:rPr>
          <w:rFonts w:eastAsia="Calibri" w:cs="Calibri"/>
          <w:lang w:val="en-GB"/>
        </w:rPr>
        <w:t>. Victims</w:t>
      </w:r>
      <w:bookmarkEnd w:id="72"/>
    </w:p>
    <w:p w14:paraId="4D771377" w14:textId="3F7B9E56" w:rsidR="00B549D5" w:rsidRPr="00381C71" w:rsidRDefault="00B549D5" w:rsidP="00E52F0F">
      <w:pPr>
        <w:spacing w:after="0" w:line="360" w:lineRule="auto"/>
        <w:jc w:val="both"/>
        <w:rPr>
          <w:lang w:val="en-GB"/>
        </w:rPr>
      </w:pPr>
      <w:r w:rsidRPr="00381C71">
        <w:rPr>
          <w:rFonts w:ascii="Calibri" w:eastAsia="Calibri" w:hAnsi="Calibri" w:cs="Calibri"/>
          <w:lang w:val="en-GB"/>
        </w:rPr>
        <w:t>At first sight, the language used in the articles about the victims in Beirut and those in Paris is quite similar. When speaking of the people who died and the peop</w:t>
      </w:r>
      <w:r w:rsidR="00502197">
        <w:rPr>
          <w:rFonts w:ascii="Calibri" w:eastAsia="Calibri" w:hAnsi="Calibri" w:cs="Calibri"/>
          <w:lang w:val="en-GB"/>
        </w:rPr>
        <w:t>le who were injured, the words ‘people’, ‘bodies’, ‘loved ones’, ‘dead’, ‘wounded’, ‘injured’, ‘victims’</w:t>
      </w:r>
      <w:r w:rsidRPr="00381C71">
        <w:rPr>
          <w:rFonts w:ascii="Calibri" w:eastAsia="Calibri" w:hAnsi="Calibri" w:cs="Calibri"/>
          <w:lang w:val="en-GB"/>
        </w:rPr>
        <w:t xml:space="preserve"> and specific names are mentioned in both the Beirut as well as the Paris articles. However, at a second look, the texts on the victims in Beirut are more graphic regarding the ph</w:t>
      </w:r>
      <w:r w:rsidR="00502197">
        <w:rPr>
          <w:rFonts w:ascii="Calibri" w:eastAsia="Calibri" w:hAnsi="Calibri" w:cs="Calibri"/>
          <w:lang w:val="en-GB"/>
        </w:rPr>
        <w:t>ysical effects, using words as ‘flesh fragments’, and ‘heads’</w:t>
      </w:r>
      <w:r>
        <w:rPr>
          <w:rFonts w:ascii="Calibri" w:eastAsia="Calibri" w:hAnsi="Calibri" w:cs="Calibri"/>
          <w:lang w:val="en-GB"/>
        </w:rPr>
        <w:t xml:space="preserve"> (Shaheen, 2015a)</w:t>
      </w:r>
      <w:r w:rsidRPr="00381C71">
        <w:rPr>
          <w:rFonts w:ascii="Calibri" w:eastAsia="Calibri" w:hAnsi="Calibri" w:cs="Calibri"/>
          <w:lang w:val="en-GB"/>
        </w:rPr>
        <w:t xml:space="preserve">. In contrast, </w:t>
      </w:r>
      <w:r w:rsidRPr="00381C71">
        <w:rPr>
          <w:rFonts w:ascii="Calibri" w:eastAsia="Calibri" w:hAnsi="Calibri" w:cs="Calibri"/>
          <w:lang w:val="en-GB"/>
        </w:rPr>
        <w:lastRenderedPageBreak/>
        <w:t>the victims of Pari</w:t>
      </w:r>
      <w:r w:rsidR="00502197">
        <w:rPr>
          <w:rFonts w:ascii="Calibri" w:eastAsia="Calibri" w:hAnsi="Calibri" w:cs="Calibri"/>
          <w:lang w:val="en-GB"/>
        </w:rPr>
        <w:t>s are described as ‘innocent’, ‘friends’, ‘relatives’</w:t>
      </w:r>
      <w:r w:rsidRPr="00381C71">
        <w:rPr>
          <w:rFonts w:ascii="Calibri" w:eastAsia="Calibri" w:hAnsi="Calibri" w:cs="Calibri"/>
          <w:lang w:val="en-GB"/>
        </w:rPr>
        <w:t>, and given specific characteristics of their identity</w:t>
      </w:r>
      <w:r w:rsidR="008A4F75">
        <w:rPr>
          <w:rFonts w:ascii="Calibri" w:eastAsia="Calibri" w:hAnsi="Calibri" w:cs="Calibri"/>
          <w:lang w:val="en-GB"/>
        </w:rPr>
        <w:t xml:space="preserve"> (Willsher, Harding, and Graham-Harrison, 2015)</w:t>
      </w:r>
      <w:r w:rsidRPr="00381C71">
        <w:rPr>
          <w:rFonts w:ascii="Calibri" w:eastAsia="Calibri" w:hAnsi="Calibri" w:cs="Calibri"/>
          <w:lang w:val="en-GB"/>
        </w:rPr>
        <w:t xml:space="preserve">. </w:t>
      </w:r>
      <w:r w:rsidR="00502197">
        <w:rPr>
          <w:rFonts w:ascii="Calibri" w:eastAsia="Calibri" w:hAnsi="Calibri" w:cs="Calibri"/>
          <w:lang w:val="en-GB"/>
        </w:rPr>
        <w:t>For</w:t>
      </w:r>
      <w:r w:rsidRPr="00381C71">
        <w:rPr>
          <w:rFonts w:ascii="Calibri" w:eastAsia="Calibri" w:hAnsi="Calibri" w:cs="Calibri"/>
          <w:lang w:val="en-GB"/>
        </w:rPr>
        <w:t xml:space="preserve"> example</w:t>
      </w:r>
      <w:r w:rsidR="00502197">
        <w:rPr>
          <w:rFonts w:ascii="Calibri" w:eastAsia="Calibri" w:hAnsi="Calibri" w:cs="Calibri"/>
          <w:lang w:val="en-GB"/>
        </w:rPr>
        <w:t>, one victims i</w:t>
      </w:r>
      <w:r w:rsidRPr="00381C71">
        <w:rPr>
          <w:rFonts w:ascii="Calibri" w:eastAsia="Calibri" w:hAnsi="Calibri" w:cs="Calibri"/>
          <w:lang w:val="en-GB"/>
        </w:rPr>
        <w:t>s described as a florist</w:t>
      </w:r>
      <w:r>
        <w:rPr>
          <w:rFonts w:ascii="Calibri" w:eastAsia="Calibri" w:hAnsi="Calibri" w:cs="Calibri"/>
          <w:lang w:val="en-GB"/>
        </w:rPr>
        <w:t xml:space="preserve"> from a suburb who loved rock’n’</w:t>
      </w:r>
      <w:r w:rsidRPr="00381C71">
        <w:rPr>
          <w:rFonts w:ascii="Calibri" w:eastAsia="Calibri" w:hAnsi="Calibri" w:cs="Calibri"/>
          <w:lang w:val="en-GB"/>
        </w:rPr>
        <w:t>roll, always had the best grades in school, and was a "smart" and "serious" man</w:t>
      </w:r>
      <w:r>
        <w:rPr>
          <w:rFonts w:ascii="Calibri" w:eastAsia="Calibri" w:hAnsi="Calibri" w:cs="Calibri"/>
          <w:lang w:val="en-GB"/>
        </w:rPr>
        <w:t xml:space="preserve"> (Willsher, Harding and Graham-Harrison, 2015</w:t>
      </w:r>
      <w:r w:rsidR="00502197">
        <w:rPr>
          <w:rFonts w:ascii="Calibri" w:eastAsia="Calibri" w:hAnsi="Calibri" w:cs="Calibri"/>
          <w:lang w:val="en-GB"/>
        </w:rPr>
        <w:t>, para. 14</w:t>
      </w:r>
      <w:r>
        <w:rPr>
          <w:rFonts w:ascii="Calibri" w:eastAsia="Calibri" w:hAnsi="Calibri" w:cs="Calibri"/>
          <w:lang w:val="en-GB"/>
        </w:rPr>
        <w:t>)</w:t>
      </w:r>
      <w:r w:rsidRPr="00381C71">
        <w:rPr>
          <w:rFonts w:ascii="Calibri" w:eastAsia="Calibri" w:hAnsi="Calibri" w:cs="Calibri"/>
          <w:lang w:val="en-GB"/>
        </w:rPr>
        <w:t xml:space="preserve">. There was more than one article devoted solely to the victims of the </w:t>
      </w:r>
      <w:r>
        <w:rPr>
          <w:rFonts w:ascii="Calibri" w:eastAsia="Calibri" w:hAnsi="Calibri" w:cs="Calibri"/>
          <w:lang w:val="en-GB"/>
        </w:rPr>
        <w:t xml:space="preserve">Paris </w:t>
      </w:r>
      <w:r w:rsidRPr="00381C71">
        <w:rPr>
          <w:rFonts w:ascii="Calibri" w:eastAsia="Calibri" w:hAnsi="Calibri" w:cs="Calibri"/>
          <w:lang w:val="en-GB"/>
        </w:rPr>
        <w:t>attacks and their identities. One article even listed the name, age, and nationality of each victim who died in the Paris attacks, accompanied by a picture and two or three sentences about their personality (“Paris attack victims”, 2015). The difference in the description</w:t>
      </w:r>
      <w:r w:rsidR="00502197">
        <w:rPr>
          <w:rFonts w:ascii="Calibri" w:eastAsia="Calibri" w:hAnsi="Calibri" w:cs="Calibri"/>
          <w:lang w:val="en-GB"/>
        </w:rPr>
        <w:t>s</w:t>
      </w:r>
      <w:r w:rsidRPr="00381C71">
        <w:rPr>
          <w:rFonts w:ascii="Calibri" w:eastAsia="Calibri" w:hAnsi="Calibri" w:cs="Calibri"/>
          <w:lang w:val="en-GB"/>
        </w:rPr>
        <w:t xml:space="preserve"> of the victims may best be understood by co</w:t>
      </w:r>
      <w:r>
        <w:rPr>
          <w:rFonts w:ascii="Calibri" w:eastAsia="Calibri" w:hAnsi="Calibri" w:cs="Calibri"/>
          <w:lang w:val="en-GB"/>
        </w:rPr>
        <w:t>mparing the following fragments</w:t>
      </w:r>
      <w:r w:rsidRPr="00381C71">
        <w:rPr>
          <w:rFonts w:ascii="Calibri" w:eastAsia="Calibri" w:hAnsi="Calibri" w:cs="Calibri"/>
          <w:lang w:val="en-GB"/>
        </w:rPr>
        <w:t xml:space="preserve"> that are respectively from one of the articles on Beirut and one on Paris:</w:t>
      </w:r>
    </w:p>
    <w:p w14:paraId="6C32A846" w14:textId="77777777" w:rsidR="00B549D5" w:rsidRPr="00381C71" w:rsidRDefault="00B549D5" w:rsidP="00E52F0F">
      <w:pPr>
        <w:spacing w:after="0" w:line="360" w:lineRule="auto"/>
        <w:jc w:val="both"/>
        <w:rPr>
          <w:lang w:val="en-GB"/>
        </w:rPr>
      </w:pPr>
    </w:p>
    <w:p w14:paraId="6E6E82C8" w14:textId="2C108055" w:rsidR="00B549D5" w:rsidRPr="00381C71" w:rsidRDefault="00B549D5" w:rsidP="00E52F0F">
      <w:pPr>
        <w:spacing w:after="0" w:line="360" w:lineRule="auto"/>
        <w:ind w:left="1134" w:right="720"/>
        <w:jc w:val="both"/>
        <w:rPr>
          <w:lang w:val="en-GB"/>
        </w:rPr>
      </w:pPr>
      <w:r w:rsidRPr="00381C71">
        <w:rPr>
          <w:rFonts w:ascii="Calibri" w:eastAsia="Calibri" w:hAnsi="Calibri" w:cs="Calibri"/>
          <w:lang w:val="en-GB"/>
        </w:rPr>
        <w:t>A witness from the area said the first bomb</w:t>
      </w:r>
      <w:r w:rsidRPr="00502197">
        <w:rPr>
          <w:rFonts w:ascii="Calibri" w:eastAsia="Calibri" w:hAnsi="Calibri" w:cs="Calibri"/>
          <w:lang w:val="en-GB"/>
        </w:rPr>
        <w:t xml:space="preserve">ing occurred near a bakery on the crowded street (...) "There were bodies on the ground, on cars, on motorcycles," he told the Guardian. "On the floor there were bodies, flesh fragments, heads and feet.” </w:t>
      </w:r>
      <w:r w:rsidR="00502197">
        <w:rPr>
          <w:rFonts w:ascii="Calibri" w:eastAsia="Calibri" w:hAnsi="Calibri" w:cs="Calibri"/>
          <w:lang w:val="en-GB"/>
        </w:rPr>
        <w:t>(Shaheen, 2015a</w:t>
      </w:r>
      <w:r w:rsidRPr="00502197">
        <w:rPr>
          <w:rFonts w:ascii="Calibri" w:eastAsia="Calibri" w:hAnsi="Calibri" w:cs="Calibri"/>
          <w:lang w:val="en-GB"/>
        </w:rPr>
        <w:t>)</w:t>
      </w:r>
    </w:p>
    <w:p w14:paraId="209C2E84" w14:textId="77777777" w:rsidR="00B549D5" w:rsidRPr="00381C71" w:rsidRDefault="00B549D5" w:rsidP="00E52F0F">
      <w:pPr>
        <w:spacing w:after="0" w:line="360" w:lineRule="auto"/>
        <w:ind w:left="1134" w:right="720"/>
        <w:jc w:val="both"/>
        <w:rPr>
          <w:lang w:val="en-GB"/>
        </w:rPr>
      </w:pPr>
    </w:p>
    <w:p w14:paraId="22B13B2C" w14:textId="3DD3550C" w:rsidR="00B549D5" w:rsidRPr="00381C71" w:rsidRDefault="00B549D5" w:rsidP="00E52F0F">
      <w:pPr>
        <w:spacing w:after="0" w:line="360" w:lineRule="auto"/>
        <w:ind w:left="1134" w:right="720"/>
        <w:jc w:val="both"/>
        <w:rPr>
          <w:lang w:val="en-GB"/>
        </w:rPr>
      </w:pPr>
      <w:r w:rsidRPr="00381C71">
        <w:rPr>
          <w:rFonts w:ascii="Calibri" w:eastAsia="Calibri" w:hAnsi="Calibri" w:cs="Calibri"/>
          <w:lang w:val="en-GB"/>
        </w:rPr>
        <w:t xml:space="preserve">Similar crowds [that observed a </w:t>
      </w:r>
      <w:r w:rsidRPr="00502197">
        <w:rPr>
          <w:rFonts w:ascii="Calibri" w:eastAsia="Calibri" w:hAnsi="Calibri" w:cs="Calibri"/>
          <w:lang w:val="en-GB"/>
        </w:rPr>
        <w:t>minute's silence to remember the victims] gathered at the cafes and bars where Friday-night revellers out enjoying themselves were gunned down. (Willsher, Harding, and</w:t>
      </w:r>
      <w:r w:rsidR="00502197">
        <w:rPr>
          <w:rFonts w:ascii="Calibri" w:eastAsia="Calibri" w:hAnsi="Calibri" w:cs="Calibri"/>
          <w:lang w:val="en-GB"/>
        </w:rPr>
        <w:t xml:space="preserve"> Graham-Harrison, 2015</w:t>
      </w:r>
      <w:r w:rsidRPr="00381C71">
        <w:rPr>
          <w:rFonts w:ascii="Calibri" w:eastAsia="Calibri" w:hAnsi="Calibri" w:cs="Calibri"/>
          <w:lang w:val="en-GB"/>
        </w:rPr>
        <w:t>)</w:t>
      </w:r>
    </w:p>
    <w:p w14:paraId="0437C9D3" w14:textId="77777777" w:rsidR="00B549D5" w:rsidRPr="00381C71" w:rsidRDefault="00B549D5" w:rsidP="00E52F0F">
      <w:pPr>
        <w:spacing w:after="0" w:line="360" w:lineRule="auto"/>
        <w:jc w:val="both"/>
        <w:rPr>
          <w:lang w:val="en-GB"/>
        </w:rPr>
      </w:pPr>
    </w:p>
    <w:p w14:paraId="3D4AFD15" w14:textId="00CB5B7D" w:rsidR="006E6BDB" w:rsidRDefault="00B549D5" w:rsidP="00E52F0F">
      <w:pPr>
        <w:spacing w:after="0" w:line="360" w:lineRule="auto"/>
        <w:jc w:val="both"/>
        <w:rPr>
          <w:rFonts w:ascii="Calibri" w:eastAsia="Calibri" w:hAnsi="Calibri" w:cs="Calibri"/>
          <w:color w:val="333333"/>
          <w:highlight w:val="white"/>
          <w:lang w:val="en-GB"/>
        </w:rPr>
      </w:pPr>
      <w:r w:rsidRPr="00381C71">
        <w:rPr>
          <w:rFonts w:ascii="Calibri" w:eastAsia="Calibri" w:hAnsi="Calibri" w:cs="Calibri"/>
          <w:color w:val="333333"/>
          <w:highlight w:val="white"/>
          <w:lang w:val="en-GB"/>
        </w:rPr>
        <w:t xml:space="preserve">In the first fragment the details are graphic and focused on the physical aspects of the attack, i.e. on the effects the attack had on the bodies of the victims. </w:t>
      </w:r>
      <w:r>
        <w:rPr>
          <w:rFonts w:ascii="Calibri" w:eastAsia="Calibri" w:hAnsi="Calibri" w:cs="Calibri"/>
          <w:color w:val="333333"/>
          <w:highlight w:val="white"/>
          <w:lang w:val="en-GB"/>
        </w:rPr>
        <w:t xml:space="preserve">Seen in light of Foucault’s theory, especially his thoughts on objectification, this is an interesting feature. </w:t>
      </w:r>
      <w:r w:rsidR="00A31507">
        <w:rPr>
          <w:rFonts w:ascii="Calibri" w:eastAsia="Calibri" w:hAnsi="Calibri" w:cs="Calibri"/>
          <w:color w:val="333333"/>
          <w:highlight w:val="white"/>
          <w:lang w:val="en-GB"/>
        </w:rPr>
        <w:t>Objectifying people means making them</w:t>
      </w:r>
      <w:r>
        <w:rPr>
          <w:rFonts w:ascii="Calibri" w:eastAsia="Calibri" w:hAnsi="Calibri" w:cs="Calibri"/>
          <w:color w:val="333333"/>
          <w:highlight w:val="white"/>
          <w:lang w:val="en-GB"/>
        </w:rPr>
        <w:t xml:space="preserve"> into </w:t>
      </w:r>
      <w:r w:rsidR="007B09EA">
        <w:rPr>
          <w:rFonts w:ascii="Calibri" w:eastAsia="Calibri" w:hAnsi="Calibri" w:cs="Calibri"/>
          <w:color w:val="333333"/>
          <w:highlight w:val="white"/>
          <w:lang w:val="en-GB"/>
        </w:rPr>
        <w:t>subjects</w:t>
      </w:r>
      <w:r>
        <w:rPr>
          <w:rFonts w:ascii="Calibri" w:eastAsia="Calibri" w:hAnsi="Calibri" w:cs="Calibri"/>
          <w:color w:val="333333"/>
          <w:highlight w:val="white"/>
          <w:lang w:val="en-GB"/>
        </w:rPr>
        <w:t xml:space="preserve"> to be known. One example is how in economics a person is made into a labouring subject.</w:t>
      </w:r>
      <w:r w:rsidR="00CB604D">
        <w:rPr>
          <w:rFonts w:ascii="Calibri" w:eastAsia="Calibri" w:hAnsi="Calibri" w:cs="Calibri"/>
          <w:color w:val="333333"/>
          <w:highlight w:val="white"/>
          <w:lang w:val="en-GB"/>
        </w:rPr>
        <w:t xml:space="preserve"> The person is reduced to </w:t>
      </w:r>
      <w:r w:rsidR="00F8264D">
        <w:rPr>
          <w:rFonts w:ascii="Calibri" w:eastAsia="Calibri" w:hAnsi="Calibri" w:cs="Calibri"/>
          <w:color w:val="333333"/>
          <w:highlight w:val="white"/>
          <w:lang w:val="en-GB"/>
        </w:rPr>
        <w:t>a subject</w:t>
      </w:r>
      <w:r w:rsidR="00DF001E">
        <w:rPr>
          <w:rFonts w:ascii="Calibri" w:eastAsia="Calibri" w:hAnsi="Calibri" w:cs="Calibri"/>
          <w:color w:val="333333"/>
          <w:highlight w:val="white"/>
          <w:lang w:val="en-GB"/>
        </w:rPr>
        <w:t xml:space="preserve"> </w:t>
      </w:r>
      <w:r w:rsidR="007B09EA" w:rsidRPr="007B09EA">
        <w:rPr>
          <w:rFonts w:ascii="Calibri" w:eastAsia="Calibri" w:hAnsi="Calibri" w:cs="Calibri"/>
          <w:color w:val="333333"/>
          <w:lang w:val="en-GB"/>
        </w:rPr>
        <w:t>who</w:t>
      </w:r>
      <w:r w:rsidR="00DF001E" w:rsidRPr="007B09EA">
        <w:rPr>
          <w:rFonts w:ascii="Calibri" w:eastAsia="Calibri" w:hAnsi="Calibri" w:cs="Calibri"/>
          <w:color w:val="333333"/>
          <w:lang w:val="en-GB"/>
        </w:rPr>
        <w:t xml:space="preserve"> </w:t>
      </w:r>
      <w:r w:rsidR="00DF001E">
        <w:rPr>
          <w:rFonts w:ascii="Calibri" w:eastAsia="Calibri" w:hAnsi="Calibri" w:cs="Calibri"/>
          <w:color w:val="333333"/>
          <w:highlight w:val="white"/>
          <w:lang w:val="en-GB"/>
        </w:rPr>
        <w:t xml:space="preserve">works, buys, sells, rationalises decisions, and fits (or does not fit) certain </w:t>
      </w:r>
      <w:r w:rsidR="00064970">
        <w:rPr>
          <w:rFonts w:ascii="Calibri" w:eastAsia="Calibri" w:hAnsi="Calibri" w:cs="Calibri"/>
          <w:color w:val="333333"/>
          <w:highlight w:val="white"/>
          <w:lang w:val="en-GB"/>
        </w:rPr>
        <w:t xml:space="preserve">economic </w:t>
      </w:r>
      <w:r w:rsidR="00DF001E">
        <w:rPr>
          <w:rFonts w:ascii="Calibri" w:eastAsia="Calibri" w:hAnsi="Calibri" w:cs="Calibri"/>
          <w:color w:val="333333"/>
          <w:highlight w:val="white"/>
          <w:lang w:val="en-GB"/>
        </w:rPr>
        <w:t>models.</w:t>
      </w:r>
      <w:r w:rsidR="00F8264D">
        <w:rPr>
          <w:rFonts w:ascii="Calibri" w:eastAsia="Calibri" w:hAnsi="Calibri" w:cs="Calibri"/>
          <w:color w:val="333333"/>
          <w:highlight w:val="white"/>
          <w:lang w:val="en-GB"/>
        </w:rPr>
        <w:t xml:space="preserve"> </w:t>
      </w:r>
      <w:r>
        <w:rPr>
          <w:rFonts w:ascii="Calibri" w:eastAsia="Calibri" w:hAnsi="Calibri" w:cs="Calibri"/>
          <w:color w:val="333333"/>
          <w:highlight w:val="white"/>
          <w:lang w:val="en-GB"/>
        </w:rPr>
        <w:t xml:space="preserve">In this case, it seems as if the people of Beirut are made into bodies to be known. The focus is on the different parts of the body, how the body can fall apart after an attack. The subject, or person, is thus disentangled from his/her body. While our actions, emotions, our entire being is </w:t>
      </w:r>
      <w:r w:rsidR="007B09EA">
        <w:rPr>
          <w:rFonts w:ascii="Calibri" w:eastAsia="Calibri" w:hAnsi="Calibri" w:cs="Calibri"/>
          <w:color w:val="333333"/>
          <w:highlight w:val="white"/>
          <w:lang w:val="en-GB"/>
        </w:rPr>
        <w:t xml:space="preserve">normally </w:t>
      </w:r>
      <w:r>
        <w:rPr>
          <w:rFonts w:ascii="Calibri" w:eastAsia="Calibri" w:hAnsi="Calibri" w:cs="Calibri"/>
          <w:color w:val="333333"/>
          <w:highlight w:val="white"/>
          <w:lang w:val="en-GB"/>
        </w:rPr>
        <w:t xml:space="preserve">entangled with our bodies, the meanings that would </w:t>
      </w:r>
      <w:r w:rsidR="00F8264D">
        <w:rPr>
          <w:rFonts w:ascii="Calibri" w:eastAsia="Calibri" w:hAnsi="Calibri" w:cs="Calibri"/>
          <w:color w:val="333333"/>
          <w:highlight w:val="white"/>
          <w:lang w:val="en-GB"/>
        </w:rPr>
        <w:t>usually</w:t>
      </w:r>
      <w:r>
        <w:rPr>
          <w:rFonts w:ascii="Calibri" w:eastAsia="Calibri" w:hAnsi="Calibri" w:cs="Calibri"/>
          <w:color w:val="333333"/>
          <w:highlight w:val="white"/>
          <w:lang w:val="en-GB"/>
        </w:rPr>
        <w:t xml:space="preserve"> be attached to the bodies of the victims have </w:t>
      </w:r>
      <w:r w:rsidR="00F8264D">
        <w:rPr>
          <w:rFonts w:ascii="Calibri" w:eastAsia="Calibri" w:hAnsi="Calibri" w:cs="Calibri"/>
          <w:color w:val="333333"/>
          <w:highlight w:val="white"/>
          <w:lang w:val="en-GB"/>
        </w:rPr>
        <w:t xml:space="preserve">partially </w:t>
      </w:r>
      <w:r>
        <w:rPr>
          <w:rFonts w:ascii="Calibri" w:eastAsia="Calibri" w:hAnsi="Calibri" w:cs="Calibri"/>
          <w:color w:val="333333"/>
          <w:highlight w:val="white"/>
          <w:lang w:val="en-GB"/>
        </w:rPr>
        <w:t>been removed in the text fragments. As such, the Guardian objectifies the victims of Beirut by presenting them as bodies without a personality; instead of the embodiment of a subject, the body has become its organic parts.</w:t>
      </w:r>
      <w:r w:rsidR="00F8264D">
        <w:rPr>
          <w:rFonts w:ascii="Calibri" w:eastAsia="Calibri" w:hAnsi="Calibri" w:cs="Calibri"/>
          <w:color w:val="333333"/>
          <w:highlight w:val="white"/>
          <w:lang w:val="en-GB"/>
        </w:rPr>
        <w:t xml:space="preserve"> </w:t>
      </w:r>
      <w:r w:rsidRPr="00381C71">
        <w:rPr>
          <w:rFonts w:ascii="Calibri" w:eastAsia="Calibri" w:hAnsi="Calibri" w:cs="Calibri"/>
          <w:color w:val="333333"/>
          <w:highlight w:val="white"/>
          <w:lang w:val="en-GB"/>
        </w:rPr>
        <w:t>In the second fragment, on the contrary, the focus is on the</w:t>
      </w:r>
      <w:r w:rsidR="00F8264D">
        <w:rPr>
          <w:rFonts w:ascii="Calibri" w:eastAsia="Calibri" w:hAnsi="Calibri" w:cs="Calibri"/>
          <w:color w:val="333333"/>
          <w:highlight w:val="white"/>
          <w:lang w:val="en-GB"/>
        </w:rPr>
        <w:t xml:space="preserve"> emotions and</w:t>
      </w:r>
      <w:r w:rsidRPr="00381C71">
        <w:rPr>
          <w:rFonts w:ascii="Calibri" w:eastAsia="Calibri" w:hAnsi="Calibri" w:cs="Calibri"/>
          <w:color w:val="333333"/>
          <w:highlight w:val="white"/>
          <w:lang w:val="en-GB"/>
        </w:rPr>
        <w:t xml:space="preserve"> activity of the victims at the time of the attack, underlying the victims' </w:t>
      </w:r>
      <w:r w:rsidRPr="006E6BDB">
        <w:rPr>
          <w:rFonts w:ascii="Calibri" w:eastAsia="Calibri" w:hAnsi="Calibri" w:cs="Calibri"/>
          <w:highlight w:val="white"/>
          <w:lang w:val="en-GB"/>
        </w:rPr>
        <w:t>innocence</w:t>
      </w:r>
      <w:r w:rsidR="006E6BDB" w:rsidRPr="006E6BDB">
        <w:rPr>
          <w:rFonts w:ascii="Calibri" w:eastAsia="Calibri" w:hAnsi="Calibri" w:cs="Calibri"/>
          <w:highlight w:val="white"/>
          <w:lang w:val="en-GB"/>
        </w:rPr>
        <w:t xml:space="preserve"> that is contrasted with their horrible deaths</w:t>
      </w:r>
      <w:r w:rsidRPr="006E6BDB">
        <w:rPr>
          <w:rFonts w:ascii="Calibri" w:eastAsia="Calibri" w:hAnsi="Calibri" w:cs="Calibri"/>
          <w:highlight w:val="white"/>
          <w:lang w:val="en-GB"/>
        </w:rPr>
        <w:t>.</w:t>
      </w:r>
      <w:r w:rsidR="00F8264D" w:rsidRPr="006E6BDB">
        <w:rPr>
          <w:rFonts w:ascii="Calibri" w:eastAsia="Calibri" w:hAnsi="Calibri" w:cs="Calibri"/>
          <w:highlight w:val="white"/>
          <w:lang w:val="en-GB"/>
        </w:rPr>
        <w:t xml:space="preserve"> </w:t>
      </w:r>
      <w:r w:rsidR="006E6BDB" w:rsidRPr="00381C71">
        <w:rPr>
          <w:rFonts w:ascii="Calibri" w:eastAsia="Calibri" w:hAnsi="Calibri" w:cs="Calibri"/>
          <w:color w:val="333333"/>
          <w:highlight w:val="white"/>
          <w:lang w:val="en-GB"/>
        </w:rPr>
        <w:t>They were “Friday-night revellers”, who were “out enjoying themselves”, doing things a lot of people (at least those living in Western European countries) can relate to</w:t>
      </w:r>
      <w:r w:rsidR="006E6BDB">
        <w:rPr>
          <w:rFonts w:ascii="Calibri" w:eastAsia="Calibri" w:hAnsi="Calibri" w:cs="Calibri"/>
          <w:color w:val="333333"/>
          <w:highlight w:val="white"/>
          <w:lang w:val="en-GB"/>
        </w:rPr>
        <w:t xml:space="preserve"> (Willsher, Harding, and Graham-Harrison, 2015)</w:t>
      </w:r>
      <w:r w:rsidR="006E6BDB" w:rsidRPr="00381C71">
        <w:rPr>
          <w:rFonts w:ascii="Calibri" w:eastAsia="Calibri" w:hAnsi="Calibri" w:cs="Calibri"/>
          <w:color w:val="333333"/>
          <w:highlight w:val="white"/>
          <w:lang w:val="en-GB"/>
        </w:rPr>
        <w:t>. While enjoying themselves, they were “gunned down”</w:t>
      </w:r>
      <w:r w:rsidR="006E6BDB">
        <w:rPr>
          <w:rFonts w:ascii="Calibri" w:eastAsia="Calibri" w:hAnsi="Calibri" w:cs="Calibri"/>
          <w:color w:val="333333"/>
          <w:highlight w:val="white"/>
          <w:lang w:val="en-GB"/>
        </w:rPr>
        <w:t xml:space="preserve"> (2015</w:t>
      </w:r>
      <w:r w:rsidR="007B09EA">
        <w:rPr>
          <w:rFonts w:ascii="Calibri" w:eastAsia="Calibri" w:hAnsi="Calibri" w:cs="Calibri"/>
          <w:color w:val="333333"/>
          <w:highlight w:val="white"/>
          <w:lang w:val="en-GB"/>
        </w:rPr>
        <w:t>, para. 19</w:t>
      </w:r>
      <w:r w:rsidR="006E6BDB">
        <w:rPr>
          <w:rFonts w:ascii="Calibri" w:eastAsia="Calibri" w:hAnsi="Calibri" w:cs="Calibri"/>
          <w:color w:val="333333"/>
          <w:highlight w:val="white"/>
          <w:lang w:val="en-GB"/>
        </w:rPr>
        <w:t>)</w:t>
      </w:r>
      <w:r w:rsidR="006E6BDB" w:rsidRPr="00381C71">
        <w:rPr>
          <w:rFonts w:ascii="Calibri" w:eastAsia="Calibri" w:hAnsi="Calibri" w:cs="Calibri"/>
          <w:color w:val="333333"/>
          <w:highlight w:val="white"/>
          <w:lang w:val="en-GB"/>
        </w:rPr>
        <w:t xml:space="preserve">. </w:t>
      </w:r>
      <w:r w:rsidR="006E6BDB">
        <w:rPr>
          <w:rFonts w:ascii="Calibri" w:eastAsia="Calibri" w:hAnsi="Calibri" w:cs="Calibri"/>
          <w:color w:val="333333"/>
          <w:highlight w:val="white"/>
          <w:lang w:val="en-GB"/>
        </w:rPr>
        <w:t>They</w:t>
      </w:r>
      <w:r w:rsidR="00F8264D">
        <w:rPr>
          <w:rFonts w:ascii="Calibri" w:eastAsia="Calibri" w:hAnsi="Calibri" w:cs="Calibri"/>
          <w:color w:val="333333"/>
          <w:highlight w:val="white"/>
          <w:lang w:val="en-GB"/>
        </w:rPr>
        <w:t xml:space="preserve"> were s</w:t>
      </w:r>
      <w:r w:rsidR="006E6BDB">
        <w:rPr>
          <w:rFonts w:ascii="Calibri" w:eastAsia="Calibri" w:hAnsi="Calibri" w:cs="Calibri"/>
          <w:color w:val="333333"/>
          <w:highlight w:val="white"/>
          <w:lang w:val="en-GB"/>
        </w:rPr>
        <w:t xml:space="preserve">upposed to be safe, living in a country that has not known war on its own territory since the Second World War; they did not </w:t>
      </w:r>
      <w:r w:rsidR="006E6BDB">
        <w:rPr>
          <w:rFonts w:ascii="Calibri" w:eastAsia="Calibri" w:hAnsi="Calibri" w:cs="Calibri"/>
          <w:color w:val="333333"/>
          <w:highlight w:val="white"/>
          <w:lang w:val="en-GB"/>
        </w:rPr>
        <w:lastRenderedPageBreak/>
        <w:t>engage in any military action themselves, and were simply passing their time with their friends and relatives</w:t>
      </w:r>
      <w:r w:rsidR="007B09EA">
        <w:rPr>
          <w:rFonts w:ascii="Calibri" w:eastAsia="Calibri" w:hAnsi="Calibri" w:cs="Calibri"/>
          <w:color w:val="333333"/>
          <w:highlight w:val="white"/>
          <w:lang w:val="en-GB"/>
        </w:rPr>
        <w:t>, all contributing to their innocence</w:t>
      </w:r>
      <w:r w:rsidR="006E6BDB">
        <w:rPr>
          <w:rFonts w:ascii="Calibri" w:eastAsia="Calibri" w:hAnsi="Calibri" w:cs="Calibri"/>
          <w:color w:val="333333"/>
          <w:highlight w:val="white"/>
          <w:lang w:val="en-GB"/>
        </w:rPr>
        <w:t xml:space="preserve">, when they were attacked. </w:t>
      </w:r>
      <w:r w:rsidR="000E0469">
        <w:rPr>
          <w:rFonts w:ascii="Calibri" w:eastAsia="Calibri" w:hAnsi="Calibri" w:cs="Calibri"/>
          <w:color w:val="333333"/>
          <w:highlight w:val="white"/>
          <w:lang w:val="en-GB"/>
        </w:rPr>
        <w:t xml:space="preserve">Another quote, from a victim’s brother, also illustrates this </w:t>
      </w:r>
      <w:r w:rsidR="000E0469" w:rsidRPr="007B09EA">
        <w:rPr>
          <w:rFonts w:ascii="Calibri" w:eastAsia="Calibri" w:hAnsi="Calibri" w:cs="Calibri"/>
          <w:color w:val="333333"/>
          <w:lang w:val="en-GB"/>
        </w:rPr>
        <w:t>frame</w:t>
      </w:r>
      <w:r w:rsidR="000E0469">
        <w:rPr>
          <w:rFonts w:ascii="Calibri" w:eastAsia="Calibri" w:hAnsi="Calibri" w:cs="Calibri"/>
          <w:color w:val="333333"/>
          <w:highlight w:val="white"/>
          <w:lang w:val="en-GB"/>
        </w:rPr>
        <w:t xml:space="preserve">: “Can you imagine? One day you’re just a happy teenager, playing video games. The next you’re </w:t>
      </w:r>
      <w:r w:rsidR="007B09EA">
        <w:rPr>
          <w:rFonts w:ascii="Calibri" w:eastAsia="Calibri" w:hAnsi="Calibri" w:cs="Calibri"/>
          <w:color w:val="333333"/>
          <w:highlight w:val="white"/>
          <w:lang w:val="en-GB"/>
        </w:rPr>
        <w:t>lying</w:t>
      </w:r>
      <w:r w:rsidR="000E0469">
        <w:rPr>
          <w:rFonts w:ascii="Calibri" w:eastAsia="Calibri" w:hAnsi="Calibri" w:cs="Calibri"/>
          <w:color w:val="333333"/>
          <w:highlight w:val="white"/>
          <w:lang w:val="en-GB"/>
        </w:rPr>
        <w:t xml:space="preserve"> in a pool of blood with corpses all around you.” (Davidson and agencies, 2015, para. 6). </w:t>
      </w:r>
      <w:r w:rsidR="006E6BDB">
        <w:rPr>
          <w:rFonts w:ascii="Calibri" w:eastAsia="Calibri" w:hAnsi="Calibri" w:cs="Calibri"/>
          <w:color w:val="333333"/>
          <w:highlight w:val="white"/>
          <w:lang w:val="en-GB"/>
        </w:rPr>
        <w:t>Th</w:t>
      </w:r>
      <w:r w:rsidR="000E0469">
        <w:rPr>
          <w:rFonts w:ascii="Calibri" w:eastAsia="Calibri" w:hAnsi="Calibri" w:cs="Calibri"/>
          <w:color w:val="333333"/>
          <w:highlight w:val="white"/>
          <w:lang w:val="en-GB"/>
        </w:rPr>
        <w:t>roughout the articles, the</w:t>
      </w:r>
      <w:r w:rsidR="006E6BDB">
        <w:rPr>
          <w:rFonts w:ascii="Calibri" w:eastAsia="Calibri" w:hAnsi="Calibri" w:cs="Calibri"/>
          <w:color w:val="333333"/>
          <w:highlight w:val="white"/>
          <w:lang w:val="en-GB"/>
        </w:rPr>
        <w:t xml:space="preserve"> feeling of unjustness and blamelessness </w:t>
      </w:r>
      <w:r w:rsidR="000E0469">
        <w:rPr>
          <w:rFonts w:ascii="Calibri" w:eastAsia="Calibri" w:hAnsi="Calibri" w:cs="Calibri"/>
          <w:color w:val="333333"/>
          <w:highlight w:val="white"/>
          <w:lang w:val="en-GB"/>
        </w:rPr>
        <w:t xml:space="preserve">of the victims </w:t>
      </w:r>
      <w:r w:rsidR="006E6BDB">
        <w:rPr>
          <w:rFonts w:ascii="Calibri" w:eastAsia="Calibri" w:hAnsi="Calibri" w:cs="Calibri"/>
          <w:color w:val="333333"/>
          <w:highlight w:val="white"/>
          <w:lang w:val="en-GB"/>
        </w:rPr>
        <w:t>returns: by focusing on the</w:t>
      </w:r>
      <w:r w:rsidR="000E0469">
        <w:rPr>
          <w:rFonts w:ascii="Calibri" w:eastAsia="Calibri" w:hAnsi="Calibri" w:cs="Calibri"/>
          <w:color w:val="333333"/>
          <w:highlight w:val="white"/>
          <w:lang w:val="en-GB"/>
        </w:rPr>
        <w:t>ir</w:t>
      </w:r>
      <w:r w:rsidR="006E6BDB">
        <w:rPr>
          <w:rFonts w:ascii="Calibri" w:eastAsia="Calibri" w:hAnsi="Calibri" w:cs="Calibri"/>
          <w:color w:val="333333"/>
          <w:highlight w:val="white"/>
          <w:lang w:val="en-GB"/>
        </w:rPr>
        <w:t xml:space="preserve"> emotions and personal lives, their innocence as civilians living a normal life is underlined.</w:t>
      </w:r>
      <w:r w:rsidR="000E0469">
        <w:rPr>
          <w:rFonts w:ascii="Calibri" w:eastAsia="Calibri" w:hAnsi="Calibri" w:cs="Calibri"/>
          <w:color w:val="333333"/>
          <w:highlight w:val="white"/>
          <w:lang w:val="en-GB"/>
        </w:rPr>
        <w:t xml:space="preserve"> </w:t>
      </w:r>
    </w:p>
    <w:p w14:paraId="7F57E439" w14:textId="77777777" w:rsidR="009B144A" w:rsidRDefault="006E6BDB" w:rsidP="00E52F0F">
      <w:pPr>
        <w:spacing w:after="0" w:line="360" w:lineRule="auto"/>
        <w:ind w:firstLine="709"/>
        <w:jc w:val="both"/>
        <w:rPr>
          <w:rFonts w:ascii="Calibri" w:eastAsia="Calibri" w:hAnsi="Calibri" w:cs="Calibri"/>
          <w:color w:val="333333"/>
          <w:lang w:val="en-GB"/>
        </w:rPr>
      </w:pPr>
      <w:r>
        <w:rPr>
          <w:rFonts w:ascii="Calibri" w:eastAsia="Calibri" w:hAnsi="Calibri" w:cs="Calibri"/>
          <w:color w:val="333333"/>
          <w:highlight w:val="white"/>
          <w:lang w:val="en-GB"/>
        </w:rPr>
        <w:t xml:space="preserve">Nevertheless, </w:t>
      </w:r>
      <w:r w:rsidR="00B549D5">
        <w:rPr>
          <w:rFonts w:ascii="Calibri" w:eastAsia="Calibri" w:hAnsi="Calibri" w:cs="Calibri"/>
          <w:color w:val="333333"/>
          <w:highlight w:val="white"/>
          <w:lang w:val="en-GB"/>
        </w:rPr>
        <w:t xml:space="preserve">other descriptions also arise in both </w:t>
      </w:r>
      <w:r>
        <w:rPr>
          <w:rFonts w:ascii="Calibri" w:eastAsia="Calibri" w:hAnsi="Calibri" w:cs="Calibri"/>
          <w:color w:val="333333"/>
          <w:highlight w:val="white"/>
          <w:lang w:val="en-GB"/>
        </w:rPr>
        <w:t>cases</w:t>
      </w:r>
      <w:r w:rsidR="00B549D5">
        <w:rPr>
          <w:rFonts w:ascii="Calibri" w:eastAsia="Calibri" w:hAnsi="Calibri" w:cs="Calibri"/>
          <w:color w:val="333333"/>
          <w:highlight w:val="white"/>
          <w:lang w:val="en-GB"/>
        </w:rPr>
        <w:t>. One article describes the action of Adel Termos, who saved dozens by rushing to the second suicide bomber in Beirut, thereby forcing him to detonate his suicide vest early (Shaheen, 2015b). The article hails Termos as a saviour, martyr, and he</w:t>
      </w:r>
      <w:r w:rsidR="007D535A">
        <w:rPr>
          <w:rFonts w:ascii="Calibri" w:eastAsia="Calibri" w:hAnsi="Calibri" w:cs="Calibri"/>
          <w:color w:val="333333"/>
          <w:highlight w:val="white"/>
          <w:lang w:val="en-GB"/>
        </w:rPr>
        <w:t xml:space="preserve">ro. With regard to </w:t>
      </w:r>
      <w:r w:rsidR="00B549D5">
        <w:rPr>
          <w:rFonts w:ascii="Calibri" w:eastAsia="Calibri" w:hAnsi="Calibri" w:cs="Calibri"/>
          <w:color w:val="333333"/>
          <w:highlight w:val="white"/>
          <w:lang w:val="en-GB"/>
        </w:rPr>
        <w:t>the articles about the Paris atta</w:t>
      </w:r>
      <w:r>
        <w:rPr>
          <w:rFonts w:ascii="Calibri" w:eastAsia="Calibri" w:hAnsi="Calibri" w:cs="Calibri"/>
          <w:color w:val="333333"/>
          <w:highlight w:val="white"/>
          <w:lang w:val="en-GB"/>
        </w:rPr>
        <w:t>cks</w:t>
      </w:r>
      <w:r w:rsidR="007D535A">
        <w:rPr>
          <w:rFonts w:ascii="Calibri" w:eastAsia="Calibri" w:hAnsi="Calibri" w:cs="Calibri"/>
          <w:color w:val="333333"/>
          <w:highlight w:val="white"/>
          <w:lang w:val="en-GB"/>
        </w:rPr>
        <w:t>, they</w:t>
      </w:r>
      <w:r>
        <w:rPr>
          <w:rFonts w:ascii="Calibri" w:eastAsia="Calibri" w:hAnsi="Calibri" w:cs="Calibri"/>
          <w:color w:val="333333"/>
          <w:highlight w:val="white"/>
          <w:lang w:val="en-GB"/>
        </w:rPr>
        <w:t xml:space="preserve"> also use the word ‘bodies’, </w:t>
      </w:r>
      <w:r w:rsidR="004E322E">
        <w:rPr>
          <w:rFonts w:ascii="Calibri" w:eastAsia="Calibri" w:hAnsi="Calibri" w:cs="Calibri"/>
          <w:color w:val="333333"/>
          <w:highlight w:val="white"/>
          <w:lang w:val="en-GB"/>
        </w:rPr>
        <w:t xml:space="preserve">for example </w:t>
      </w:r>
      <w:r>
        <w:rPr>
          <w:rFonts w:ascii="Calibri" w:eastAsia="Calibri" w:hAnsi="Calibri" w:cs="Calibri"/>
          <w:color w:val="333333"/>
          <w:highlight w:val="white"/>
          <w:lang w:val="en-GB"/>
        </w:rPr>
        <w:t xml:space="preserve">citing a witness who stated that he and his son </w:t>
      </w:r>
      <w:r w:rsidR="007D535A">
        <w:rPr>
          <w:rFonts w:ascii="Calibri" w:eastAsia="Calibri" w:hAnsi="Calibri" w:cs="Calibri"/>
          <w:color w:val="333333"/>
          <w:highlight w:val="white"/>
          <w:lang w:val="en-GB"/>
        </w:rPr>
        <w:t xml:space="preserve">encountered several bodies while trying to get help </w:t>
      </w:r>
      <w:r w:rsidR="004E322E" w:rsidRPr="007D535A">
        <w:rPr>
          <w:rFonts w:ascii="Calibri" w:eastAsia="Calibri" w:hAnsi="Calibri" w:cs="Calibri"/>
          <w:color w:val="333333"/>
          <w:lang w:val="en-GB"/>
        </w:rPr>
        <w:t>(Reed as cite</w:t>
      </w:r>
      <w:r w:rsidR="007D535A">
        <w:rPr>
          <w:rFonts w:ascii="Calibri" w:eastAsia="Calibri" w:hAnsi="Calibri" w:cs="Calibri"/>
          <w:color w:val="333333"/>
          <w:lang w:val="en-GB"/>
        </w:rPr>
        <w:t>d in Phipps and Rawlinson, 2015</w:t>
      </w:r>
      <w:r w:rsidR="004E322E" w:rsidRPr="007D535A">
        <w:rPr>
          <w:rFonts w:ascii="Calibri" w:eastAsia="Calibri" w:hAnsi="Calibri" w:cs="Calibri"/>
          <w:color w:val="333333"/>
          <w:lang w:val="en-GB"/>
        </w:rPr>
        <w:t xml:space="preserve">). </w:t>
      </w:r>
      <w:r w:rsidR="007D535A">
        <w:rPr>
          <w:rFonts w:ascii="Calibri" w:eastAsia="Calibri" w:hAnsi="Calibri" w:cs="Calibri"/>
          <w:color w:val="333333"/>
          <w:lang w:val="en-GB"/>
        </w:rPr>
        <w:t>Nevertheless, in</w:t>
      </w:r>
      <w:r w:rsidR="004E322E" w:rsidRPr="004E322E">
        <w:rPr>
          <w:rFonts w:ascii="Calibri" w:eastAsia="Calibri" w:hAnsi="Calibri" w:cs="Calibri"/>
          <w:color w:val="333333"/>
          <w:lang w:val="en-GB"/>
        </w:rPr>
        <w:t xml:space="preserve"> t</w:t>
      </w:r>
      <w:r w:rsidR="007D535A">
        <w:rPr>
          <w:rFonts w:ascii="Calibri" w:eastAsia="Calibri" w:hAnsi="Calibri" w:cs="Calibri"/>
          <w:color w:val="333333"/>
          <w:lang w:val="en-GB"/>
        </w:rPr>
        <w:t>his example</w:t>
      </w:r>
      <w:r w:rsidR="004E322E" w:rsidRPr="004E322E">
        <w:rPr>
          <w:rFonts w:ascii="Calibri" w:eastAsia="Calibri" w:hAnsi="Calibri" w:cs="Calibri"/>
          <w:color w:val="333333"/>
          <w:lang w:val="en-GB"/>
        </w:rPr>
        <w:t xml:space="preserve"> it was </w:t>
      </w:r>
      <w:r w:rsidR="007D535A">
        <w:rPr>
          <w:rFonts w:ascii="Calibri" w:eastAsia="Calibri" w:hAnsi="Calibri" w:cs="Calibri"/>
          <w:color w:val="333333"/>
          <w:lang w:val="en-GB"/>
        </w:rPr>
        <w:t xml:space="preserve">also </w:t>
      </w:r>
      <w:r w:rsidR="004E322E" w:rsidRPr="004E322E">
        <w:rPr>
          <w:rFonts w:ascii="Calibri" w:eastAsia="Calibri" w:hAnsi="Calibri" w:cs="Calibri"/>
          <w:color w:val="333333"/>
          <w:lang w:val="en-GB"/>
        </w:rPr>
        <w:t xml:space="preserve">made clear the man was in tears while speaking. </w:t>
      </w:r>
      <w:r w:rsidR="007D535A">
        <w:rPr>
          <w:rFonts w:ascii="Calibri" w:eastAsia="Calibri" w:hAnsi="Calibri" w:cs="Calibri"/>
          <w:color w:val="333333"/>
          <w:highlight w:val="white"/>
          <w:lang w:val="en-GB"/>
        </w:rPr>
        <w:t>The</w:t>
      </w:r>
      <w:r w:rsidR="00175178">
        <w:rPr>
          <w:rFonts w:ascii="Calibri" w:eastAsia="Calibri" w:hAnsi="Calibri" w:cs="Calibri"/>
          <w:color w:val="333333"/>
          <w:highlight w:val="white"/>
          <w:lang w:val="en-GB"/>
        </w:rPr>
        <w:t xml:space="preserve"> similarities </w:t>
      </w:r>
      <w:r w:rsidR="007D535A">
        <w:rPr>
          <w:rFonts w:ascii="Calibri" w:eastAsia="Calibri" w:hAnsi="Calibri" w:cs="Calibri"/>
          <w:color w:val="333333"/>
          <w:highlight w:val="white"/>
          <w:lang w:val="en-GB"/>
        </w:rPr>
        <w:t xml:space="preserve">between the descriptions of the victims of the Beirut and Paris attacks </w:t>
      </w:r>
      <w:r w:rsidR="00175178">
        <w:rPr>
          <w:rFonts w:ascii="Calibri" w:eastAsia="Calibri" w:hAnsi="Calibri" w:cs="Calibri"/>
          <w:color w:val="333333"/>
          <w:highlight w:val="white"/>
          <w:lang w:val="en-GB"/>
        </w:rPr>
        <w:t xml:space="preserve">make the differences harder to see. Nonetheless, </w:t>
      </w:r>
      <w:r w:rsidR="009B144A">
        <w:rPr>
          <w:rFonts w:ascii="Calibri" w:eastAsia="Calibri" w:hAnsi="Calibri" w:cs="Calibri"/>
          <w:color w:val="333333"/>
          <w:highlight w:val="white"/>
          <w:lang w:val="en-GB"/>
        </w:rPr>
        <w:t>it does</w:t>
      </w:r>
      <w:r w:rsidR="00175178">
        <w:rPr>
          <w:rFonts w:ascii="Calibri" w:eastAsia="Calibri" w:hAnsi="Calibri" w:cs="Calibri"/>
          <w:color w:val="333333"/>
          <w:highlight w:val="white"/>
          <w:lang w:val="en-GB"/>
        </w:rPr>
        <w:t xml:space="preserve"> remain: f</w:t>
      </w:r>
      <w:r w:rsidR="00175178" w:rsidRPr="00381C71">
        <w:rPr>
          <w:rFonts w:ascii="Calibri" w:eastAsia="Calibri" w:hAnsi="Calibri" w:cs="Calibri"/>
          <w:color w:val="333333"/>
          <w:highlight w:val="white"/>
          <w:lang w:val="en-GB"/>
        </w:rPr>
        <w:t>or the victims in France the human aspect is more underlined, in combination with the horror that overtook them, whereas in Lebanon the bodily aspect is emphasised</w:t>
      </w:r>
      <w:r w:rsidR="009B144A">
        <w:rPr>
          <w:rFonts w:ascii="Calibri" w:eastAsia="Calibri" w:hAnsi="Calibri" w:cs="Calibri"/>
          <w:color w:val="333333"/>
          <w:highlight w:val="white"/>
          <w:lang w:val="en-GB"/>
        </w:rPr>
        <w:t>, confirming my second overarching hypothesis</w:t>
      </w:r>
      <w:r w:rsidR="00175178" w:rsidRPr="00381C71">
        <w:rPr>
          <w:rFonts w:ascii="Calibri" w:eastAsia="Calibri" w:hAnsi="Calibri" w:cs="Calibri"/>
          <w:color w:val="333333"/>
          <w:highlight w:val="white"/>
          <w:lang w:val="en-GB"/>
        </w:rPr>
        <w:t>.</w:t>
      </w:r>
      <w:r w:rsidR="00175178">
        <w:rPr>
          <w:rFonts w:ascii="Calibri" w:eastAsia="Calibri" w:hAnsi="Calibri" w:cs="Calibri"/>
          <w:color w:val="333333"/>
          <w:lang w:val="en-GB"/>
        </w:rPr>
        <w:t xml:space="preserve"> </w:t>
      </w:r>
    </w:p>
    <w:p w14:paraId="5E4E2101" w14:textId="3BB4EE45" w:rsidR="0013760C" w:rsidRPr="004E322E" w:rsidRDefault="009B144A" w:rsidP="00E52F0F">
      <w:pPr>
        <w:spacing w:after="0" w:line="360" w:lineRule="auto"/>
        <w:ind w:firstLine="709"/>
        <w:jc w:val="both"/>
        <w:rPr>
          <w:rFonts w:ascii="Calibri" w:eastAsia="Calibri" w:hAnsi="Calibri" w:cs="Calibri"/>
          <w:color w:val="333333"/>
          <w:lang w:val="en-GB"/>
        </w:rPr>
      </w:pPr>
      <w:r>
        <w:rPr>
          <w:rFonts w:ascii="Calibri" w:eastAsia="Calibri" w:hAnsi="Calibri" w:cs="Calibri"/>
          <w:color w:val="333333"/>
          <w:lang w:val="en-GB"/>
        </w:rPr>
        <w:t>A further interesting result was that</w:t>
      </w:r>
      <w:r w:rsidR="004E322E" w:rsidRPr="004E322E">
        <w:rPr>
          <w:rFonts w:ascii="Calibri" w:eastAsia="Calibri" w:hAnsi="Calibri" w:cs="Calibri"/>
          <w:color w:val="333333"/>
          <w:lang w:val="en-GB"/>
        </w:rPr>
        <w:t xml:space="preserve"> the Guardian produced a separate article on the Muslim victims of the Paris attacks (Penketh, 2015). </w:t>
      </w:r>
      <w:r w:rsidR="004E322E">
        <w:rPr>
          <w:rFonts w:ascii="Calibri" w:eastAsia="Calibri" w:hAnsi="Calibri" w:cs="Calibri"/>
          <w:color w:val="333333"/>
          <w:lang w:val="en-GB"/>
        </w:rPr>
        <w:t>In structure and content it was similar to the article concerned with the identities of the victim</w:t>
      </w:r>
      <w:r>
        <w:rPr>
          <w:rFonts w:ascii="Calibri" w:eastAsia="Calibri" w:hAnsi="Calibri" w:cs="Calibri"/>
          <w:color w:val="333333"/>
          <w:lang w:val="en-GB"/>
        </w:rPr>
        <w:t>s (Davidson and agencies, 2015):</w:t>
      </w:r>
      <w:r w:rsidR="004E322E">
        <w:rPr>
          <w:rFonts w:ascii="Calibri" w:eastAsia="Calibri" w:hAnsi="Calibri" w:cs="Calibri"/>
          <w:color w:val="333333"/>
          <w:lang w:val="en-GB"/>
        </w:rPr>
        <w:t xml:space="preserve"> the relatives told reporters about the personalities of the victims, where they worked, what their hobbies were, and how they were hurt during the attack (Penketh, 2015). </w:t>
      </w:r>
      <w:r w:rsidR="0013760C">
        <w:rPr>
          <w:rFonts w:ascii="Calibri" w:eastAsia="Calibri" w:hAnsi="Calibri" w:cs="Calibri"/>
          <w:color w:val="333333"/>
          <w:lang w:val="en-GB"/>
        </w:rPr>
        <w:t>The</w:t>
      </w:r>
      <w:r w:rsidR="00397761">
        <w:rPr>
          <w:rFonts w:ascii="Calibri" w:eastAsia="Calibri" w:hAnsi="Calibri" w:cs="Calibri"/>
          <w:color w:val="333333"/>
          <w:lang w:val="en-GB"/>
        </w:rPr>
        <w:t xml:space="preserve"> only stark</w:t>
      </w:r>
      <w:r w:rsidR="0013760C">
        <w:rPr>
          <w:rFonts w:ascii="Calibri" w:eastAsia="Calibri" w:hAnsi="Calibri" w:cs="Calibri"/>
          <w:color w:val="333333"/>
          <w:lang w:val="en-GB"/>
        </w:rPr>
        <w:t xml:space="preserve"> difference l</w:t>
      </w:r>
      <w:r w:rsidR="00064970">
        <w:rPr>
          <w:rFonts w:ascii="Calibri" w:eastAsia="Calibri" w:hAnsi="Calibri" w:cs="Calibri"/>
          <w:color w:val="333333"/>
          <w:lang w:val="en-GB"/>
        </w:rPr>
        <w:t>ies in the mentioning of their</w:t>
      </w:r>
      <w:r w:rsidR="0013760C">
        <w:rPr>
          <w:rFonts w:ascii="Calibri" w:eastAsia="Calibri" w:hAnsi="Calibri" w:cs="Calibri"/>
          <w:color w:val="333333"/>
          <w:lang w:val="en-GB"/>
        </w:rPr>
        <w:t xml:space="preserve"> descent</w:t>
      </w:r>
      <w:r w:rsidR="00064970">
        <w:rPr>
          <w:rFonts w:ascii="Calibri" w:eastAsia="Calibri" w:hAnsi="Calibri" w:cs="Calibri"/>
          <w:color w:val="333333"/>
          <w:lang w:val="en-GB"/>
        </w:rPr>
        <w:t>. The first sentence starts with</w:t>
      </w:r>
      <w:r w:rsidR="00397761">
        <w:rPr>
          <w:rFonts w:ascii="Calibri" w:eastAsia="Calibri" w:hAnsi="Calibri" w:cs="Calibri"/>
          <w:color w:val="333333"/>
          <w:lang w:val="en-GB"/>
        </w:rPr>
        <w:t xml:space="preserve"> “Houda, Saadi, a 35-year-o</w:t>
      </w:r>
      <w:r w:rsidR="00064970">
        <w:rPr>
          <w:rFonts w:ascii="Calibri" w:eastAsia="Calibri" w:hAnsi="Calibri" w:cs="Calibri"/>
          <w:color w:val="333333"/>
          <w:lang w:val="en-GB"/>
        </w:rPr>
        <w:t>ld waitress of Tunisian descent</w:t>
      </w:r>
      <w:r w:rsidR="00397761">
        <w:rPr>
          <w:rFonts w:ascii="Calibri" w:eastAsia="Calibri" w:hAnsi="Calibri" w:cs="Calibri"/>
          <w:color w:val="333333"/>
          <w:lang w:val="en-GB"/>
        </w:rPr>
        <w:t>”</w:t>
      </w:r>
      <w:r w:rsidR="0013760C">
        <w:rPr>
          <w:rFonts w:ascii="Calibri" w:eastAsia="Calibri" w:hAnsi="Calibri" w:cs="Calibri"/>
          <w:color w:val="333333"/>
          <w:lang w:val="en-GB"/>
        </w:rPr>
        <w:t xml:space="preserve"> (Penketh, 2015</w:t>
      </w:r>
      <w:r w:rsidR="00397761">
        <w:rPr>
          <w:rFonts w:ascii="Calibri" w:eastAsia="Calibri" w:hAnsi="Calibri" w:cs="Calibri"/>
          <w:color w:val="333333"/>
          <w:lang w:val="en-GB"/>
        </w:rPr>
        <w:t>, para. 1</w:t>
      </w:r>
      <w:r w:rsidR="0013760C">
        <w:rPr>
          <w:rFonts w:ascii="Calibri" w:eastAsia="Calibri" w:hAnsi="Calibri" w:cs="Calibri"/>
          <w:color w:val="333333"/>
          <w:lang w:val="en-GB"/>
        </w:rPr>
        <w:t xml:space="preserve">). </w:t>
      </w:r>
      <w:r w:rsidR="00E00F56">
        <w:rPr>
          <w:rFonts w:ascii="Calibri" w:eastAsia="Calibri" w:hAnsi="Calibri" w:cs="Calibri"/>
          <w:color w:val="333333"/>
          <w:lang w:val="en-GB"/>
        </w:rPr>
        <w:t>The</w:t>
      </w:r>
      <w:r w:rsidR="0013760C">
        <w:rPr>
          <w:rFonts w:ascii="Calibri" w:eastAsia="Calibri" w:hAnsi="Calibri" w:cs="Calibri"/>
          <w:color w:val="333333"/>
          <w:lang w:val="en-GB"/>
        </w:rPr>
        <w:t xml:space="preserve"> difference </w:t>
      </w:r>
      <w:r>
        <w:rPr>
          <w:rFonts w:ascii="Calibri" w:eastAsia="Calibri" w:hAnsi="Calibri" w:cs="Calibri"/>
          <w:color w:val="333333"/>
          <w:lang w:val="en-GB"/>
        </w:rPr>
        <w:t>is exemplified</w:t>
      </w:r>
      <w:r w:rsidR="0013760C">
        <w:rPr>
          <w:rFonts w:ascii="Calibri" w:eastAsia="Calibri" w:hAnsi="Calibri" w:cs="Calibri"/>
          <w:color w:val="333333"/>
          <w:lang w:val="en-GB"/>
        </w:rPr>
        <w:t xml:space="preserve"> in the following sentence: “As the children of France’s colonial legacy, or citizens of those countries, their deaths have cast a shroud of mourning beyond French shores to north Africa.” (Penketh, 2015, para. 3) </w:t>
      </w:r>
      <w:r w:rsidR="009D5047">
        <w:rPr>
          <w:rFonts w:ascii="Calibri" w:eastAsia="Calibri" w:hAnsi="Calibri" w:cs="Calibri"/>
          <w:color w:val="333333"/>
          <w:lang w:val="en-GB"/>
        </w:rPr>
        <w:t>For all six victims named, their descent is mentioned</w:t>
      </w:r>
      <w:r w:rsidR="00E00F56">
        <w:rPr>
          <w:rFonts w:ascii="Calibri" w:eastAsia="Calibri" w:hAnsi="Calibri" w:cs="Calibri"/>
          <w:color w:val="333333"/>
          <w:lang w:val="en-GB"/>
        </w:rPr>
        <w:t xml:space="preserve">, even though their nationalities sometimes were French. Interestingly, for one of the relatives of the victims, the footballer Lassana Diarra, only his </w:t>
      </w:r>
      <w:r w:rsidR="006C6FF5">
        <w:rPr>
          <w:rFonts w:ascii="Calibri" w:eastAsia="Calibri" w:hAnsi="Calibri" w:cs="Calibri"/>
          <w:color w:val="333333"/>
          <w:lang w:val="en-GB"/>
        </w:rPr>
        <w:t>French nationality</w:t>
      </w:r>
      <w:r w:rsidR="00E00F56">
        <w:rPr>
          <w:rFonts w:ascii="Calibri" w:eastAsia="Calibri" w:hAnsi="Calibri" w:cs="Calibri"/>
          <w:color w:val="333333"/>
          <w:lang w:val="en-GB"/>
        </w:rPr>
        <w:t xml:space="preserve"> was mentioned, despite being of African descent like the other mentioned Muslim victims. </w:t>
      </w:r>
      <w:r w:rsidR="00064970">
        <w:rPr>
          <w:rFonts w:ascii="Calibri" w:eastAsia="Calibri" w:hAnsi="Calibri" w:cs="Calibri"/>
          <w:color w:val="333333"/>
          <w:lang w:val="en-GB"/>
        </w:rPr>
        <w:t>Several</w:t>
      </w:r>
      <w:r w:rsidR="00E00F56">
        <w:rPr>
          <w:rFonts w:ascii="Calibri" w:eastAsia="Calibri" w:hAnsi="Calibri" w:cs="Calibri"/>
          <w:color w:val="333333"/>
          <w:lang w:val="en-GB"/>
        </w:rPr>
        <w:t xml:space="preserve"> questions arise: firstly, why would the Guardian produce a separate article on the Muslim victims, and secondly, why did it mention their descent?</w:t>
      </w:r>
      <w:r w:rsidR="0017013D">
        <w:rPr>
          <w:rFonts w:ascii="Calibri" w:eastAsia="Calibri" w:hAnsi="Calibri" w:cs="Calibri"/>
          <w:color w:val="333333"/>
          <w:lang w:val="en-GB"/>
        </w:rPr>
        <w:t xml:space="preserve"> </w:t>
      </w:r>
      <w:r w:rsidR="006C6FF5">
        <w:rPr>
          <w:rFonts w:ascii="Calibri" w:eastAsia="Calibri" w:hAnsi="Calibri" w:cs="Calibri"/>
          <w:color w:val="333333"/>
          <w:lang w:val="en-GB"/>
        </w:rPr>
        <w:t>Moreover</w:t>
      </w:r>
      <w:r w:rsidR="0017013D">
        <w:rPr>
          <w:rFonts w:ascii="Calibri" w:eastAsia="Calibri" w:hAnsi="Calibri" w:cs="Calibri"/>
          <w:color w:val="333333"/>
          <w:lang w:val="en-GB"/>
        </w:rPr>
        <w:t>, which power relations do these two issues reflect</w:t>
      </w:r>
      <w:r w:rsidR="006C6FF5">
        <w:rPr>
          <w:rFonts w:ascii="Calibri" w:eastAsia="Calibri" w:hAnsi="Calibri" w:cs="Calibri"/>
          <w:color w:val="333333"/>
          <w:lang w:val="en-GB"/>
        </w:rPr>
        <w:t xml:space="preserve"> and (re)produce</w:t>
      </w:r>
      <w:r w:rsidR="0017013D">
        <w:rPr>
          <w:rFonts w:ascii="Calibri" w:eastAsia="Calibri" w:hAnsi="Calibri" w:cs="Calibri"/>
          <w:color w:val="333333"/>
          <w:lang w:val="en-GB"/>
        </w:rPr>
        <w:t>? In light of the editorial articles,</w:t>
      </w:r>
      <w:r w:rsidR="006C6FF5">
        <w:rPr>
          <w:rFonts w:ascii="Calibri" w:eastAsia="Calibri" w:hAnsi="Calibri" w:cs="Calibri"/>
          <w:color w:val="333333"/>
          <w:lang w:val="en-GB"/>
        </w:rPr>
        <w:t xml:space="preserve"> </w:t>
      </w:r>
      <w:r w:rsidR="00AD22FB">
        <w:rPr>
          <w:rFonts w:ascii="Calibri" w:eastAsia="Calibri" w:hAnsi="Calibri" w:cs="Calibri"/>
          <w:color w:val="333333"/>
          <w:lang w:val="en-GB"/>
        </w:rPr>
        <w:t>which emphasise</w:t>
      </w:r>
      <w:r w:rsidR="006C6FF5">
        <w:rPr>
          <w:rFonts w:ascii="Calibri" w:eastAsia="Calibri" w:hAnsi="Calibri" w:cs="Calibri"/>
          <w:color w:val="333333"/>
          <w:lang w:val="en-GB"/>
        </w:rPr>
        <w:t xml:space="preserve"> the importance of not blaming all M</w:t>
      </w:r>
      <w:r w:rsidR="00AD22FB">
        <w:rPr>
          <w:rFonts w:ascii="Calibri" w:eastAsia="Calibri" w:hAnsi="Calibri" w:cs="Calibri"/>
          <w:color w:val="333333"/>
          <w:lang w:val="en-GB"/>
        </w:rPr>
        <w:t>uslims for the terror attacks</w:t>
      </w:r>
      <w:r w:rsidR="006C6FF5">
        <w:rPr>
          <w:rFonts w:ascii="Calibri" w:eastAsia="Calibri" w:hAnsi="Calibri" w:cs="Calibri"/>
          <w:color w:val="333333"/>
          <w:lang w:val="en-GB"/>
        </w:rPr>
        <w:t xml:space="preserve">, </w:t>
      </w:r>
      <w:r w:rsidR="0017013D">
        <w:rPr>
          <w:rFonts w:ascii="Calibri" w:eastAsia="Calibri" w:hAnsi="Calibri" w:cs="Calibri"/>
          <w:color w:val="333333"/>
          <w:lang w:val="en-GB"/>
        </w:rPr>
        <w:t xml:space="preserve">it seems the Guardian is eager to prevent </w:t>
      </w:r>
      <w:r w:rsidR="00AD22FB">
        <w:rPr>
          <w:rFonts w:ascii="Calibri" w:eastAsia="Calibri" w:hAnsi="Calibri" w:cs="Calibri"/>
          <w:color w:val="333333"/>
          <w:lang w:val="en-GB"/>
        </w:rPr>
        <w:t>stimulating any equation of</w:t>
      </w:r>
      <w:r w:rsidR="0017013D">
        <w:rPr>
          <w:rFonts w:ascii="Calibri" w:eastAsia="Calibri" w:hAnsi="Calibri" w:cs="Calibri"/>
          <w:color w:val="333333"/>
          <w:lang w:val="en-GB"/>
        </w:rPr>
        <w:t xml:space="preserve"> Muslims with terrorists (</w:t>
      </w:r>
      <w:r w:rsidR="00064970">
        <w:rPr>
          <w:rFonts w:ascii="Calibri" w:eastAsia="Calibri" w:hAnsi="Calibri" w:cs="Calibri"/>
          <w:color w:val="333333"/>
          <w:lang w:val="en-GB"/>
        </w:rPr>
        <w:t xml:space="preserve">Editorial, </w:t>
      </w:r>
      <w:r w:rsidR="00BC5371">
        <w:rPr>
          <w:rFonts w:ascii="Calibri" w:eastAsia="Calibri" w:hAnsi="Calibri" w:cs="Calibri"/>
          <w:color w:val="333333"/>
          <w:lang w:val="en-GB"/>
        </w:rPr>
        <w:t>2015b; 2015c</w:t>
      </w:r>
      <w:r w:rsidR="0017013D">
        <w:rPr>
          <w:rFonts w:ascii="Calibri" w:eastAsia="Calibri" w:hAnsi="Calibri" w:cs="Calibri"/>
          <w:color w:val="333333"/>
          <w:lang w:val="en-GB"/>
        </w:rPr>
        <w:t>). Hence, highlighting the fact that Muslims were victim of the attack may seem to counter this equation, thereby resisting the power relation</w:t>
      </w:r>
      <w:r w:rsidR="009101E9">
        <w:rPr>
          <w:rFonts w:ascii="Calibri" w:eastAsia="Calibri" w:hAnsi="Calibri" w:cs="Calibri"/>
          <w:color w:val="333333"/>
          <w:lang w:val="en-GB"/>
        </w:rPr>
        <w:t>s</w:t>
      </w:r>
      <w:r w:rsidR="0017013D">
        <w:rPr>
          <w:rFonts w:ascii="Calibri" w:eastAsia="Calibri" w:hAnsi="Calibri" w:cs="Calibri"/>
          <w:color w:val="333333"/>
          <w:lang w:val="en-GB"/>
        </w:rPr>
        <w:t xml:space="preserve"> dictating that Muslims are the wrongdoers. </w:t>
      </w:r>
      <w:r w:rsidR="00744EAA">
        <w:rPr>
          <w:rFonts w:ascii="Calibri" w:eastAsia="Calibri" w:hAnsi="Calibri" w:cs="Calibri"/>
          <w:color w:val="333333"/>
          <w:lang w:val="en-GB"/>
        </w:rPr>
        <w:t>Moreover, the article – which was published on the 18</w:t>
      </w:r>
      <w:r w:rsidR="00744EAA" w:rsidRPr="00744EAA">
        <w:rPr>
          <w:rFonts w:ascii="Calibri" w:eastAsia="Calibri" w:hAnsi="Calibri" w:cs="Calibri"/>
          <w:color w:val="333333"/>
          <w:vertAlign w:val="superscript"/>
          <w:lang w:val="en-GB"/>
        </w:rPr>
        <w:t>th</w:t>
      </w:r>
      <w:r w:rsidR="00744EAA">
        <w:rPr>
          <w:rFonts w:ascii="Calibri" w:eastAsia="Calibri" w:hAnsi="Calibri" w:cs="Calibri"/>
          <w:color w:val="333333"/>
          <w:lang w:val="en-GB"/>
        </w:rPr>
        <w:t xml:space="preserve"> of November – may</w:t>
      </w:r>
      <w:r w:rsidR="00AD22FB">
        <w:rPr>
          <w:rFonts w:ascii="Calibri" w:eastAsia="Calibri" w:hAnsi="Calibri" w:cs="Calibri"/>
          <w:color w:val="333333"/>
          <w:lang w:val="en-GB"/>
        </w:rPr>
        <w:t xml:space="preserve"> also</w:t>
      </w:r>
      <w:r w:rsidR="00744EAA">
        <w:rPr>
          <w:rFonts w:ascii="Calibri" w:eastAsia="Calibri" w:hAnsi="Calibri" w:cs="Calibri"/>
          <w:color w:val="333333"/>
          <w:lang w:val="en-GB"/>
        </w:rPr>
        <w:t xml:space="preserve"> have been a reaction to the social media outcry on the discrepancy in coverage</w:t>
      </w:r>
      <w:r w:rsidR="00AD22FB">
        <w:rPr>
          <w:rFonts w:ascii="Calibri" w:eastAsia="Calibri" w:hAnsi="Calibri" w:cs="Calibri"/>
          <w:color w:val="333333"/>
          <w:lang w:val="en-GB"/>
        </w:rPr>
        <w:t xml:space="preserve"> of Beirut versus Paris</w:t>
      </w:r>
      <w:r w:rsidR="00744EAA">
        <w:rPr>
          <w:rFonts w:ascii="Calibri" w:eastAsia="Calibri" w:hAnsi="Calibri" w:cs="Calibri"/>
          <w:color w:val="333333"/>
          <w:lang w:val="en-GB"/>
        </w:rPr>
        <w:t xml:space="preserve">. </w:t>
      </w:r>
      <w:r w:rsidR="00064970">
        <w:rPr>
          <w:rFonts w:ascii="Calibri" w:eastAsia="Calibri" w:hAnsi="Calibri" w:cs="Calibri"/>
          <w:color w:val="333333"/>
          <w:lang w:val="en-GB"/>
        </w:rPr>
        <w:t>Nonetheless</w:t>
      </w:r>
      <w:r w:rsidR="0017013D">
        <w:rPr>
          <w:rFonts w:ascii="Calibri" w:eastAsia="Calibri" w:hAnsi="Calibri" w:cs="Calibri"/>
          <w:color w:val="333333"/>
          <w:lang w:val="en-GB"/>
        </w:rPr>
        <w:t xml:space="preserve">, </w:t>
      </w:r>
      <w:r w:rsidR="009101E9">
        <w:rPr>
          <w:rFonts w:ascii="Calibri" w:eastAsia="Calibri" w:hAnsi="Calibri" w:cs="Calibri"/>
          <w:color w:val="333333"/>
          <w:lang w:val="en-GB"/>
        </w:rPr>
        <w:t xml:space="preserve">singling out Muslims </w:t>
      </w:r>
      <w:r w:rsidR="00AD22FB">
        <w:rPr>
          <w:rFonts w:ascii="Calibri" w:eastAsia="Calibri" w:hAnsi="Calibri" w:cs="Calibri"/>
          <w:color w:val="333333"/>
          <w:lang w:val="en-GB"/>
        </w:rPr>
        <w:t>can</w:t>
      </w:r>
      <w:r w:rsidR="009101E9">
        <w:rPr>
          <w:rFonts w:ascii="Calibri" w:eastAsia="Calibri" w:hAnsi="Calibri" w:cs="Calibri"/>
          <w:color w:val="333333"/>
          <w:lang w:val="en-GB"/>
        </w:rPr>
        <w:t xml:space="preserve"> have an unintended consequence, namely </w:t>
      </w:r>
      <w:r w:rsidR="009101E9">
        <w:rPr>
          <w:rFonts w:ascii="Calibri" w:eastAsia="Calibri" w:hAnsi="Calibri" w:cs="Calibri"/>
          <w:color w:val="333333"/>
          <w:lang w:val="en-GB"/>
        </w:rPr>
        <w:lastRenderedPageBreak/>
        <w:t xml:space="preserve">reproducing them as a separate category, different from the other – in this case </w:t>
      </w:r>
      <w:r w:rsidR="00064970">
        <w:rPr>
          <w:rFonts w:ascii="Calibri" w:eastAsia="Calibri" w:hAnsi="Calibri" w:cs="Calibri"/>
          <w:color w:val="333333"/>
          <w:lang w:val="en-GB"/>
        </w:rPr>
        <w:t>non-Muslim</w:t>
      </w:r>
      <w:r w:rsidR="006A33C6">
        <w:rPr>
          <w:rFonts w:ascii="Calibri" w:eastAsia="Calibri" w:hAnsi="Calibri" w:cs="Calibri"/>
          <w:color w:val="333333"/>
          <w:lang w:val="en-GB"/>
        </w:rPr>
        <w:t xml:space="preserve"> </w:t>
      </w:r>
      <w:r w:rsidR="009101E9">
        <w:rPr>
          <w:rFonts w:ascii="Calibri" w:eastAsia="Calibri" w:hAnsi="Calibri" w:cs="Calibri"/>
          <w:color w:val="333333"/>
          <w:lang w:val="en-GB"/>
        </w:rPr>
        <w:t xml:space="preserve">– citizens. </w:t>
      </w:r>
      <w:r w:rsidR="00AD22FB">
        <w:rPr>
          <w:rFonts w:ascii="Calibri" w:eastAsia="Calibri" w:hAnsi="Calibri" w:cs="Calibri"/>
          <w:color w:val="333333"/>
          <w:lang w:val="en-GB"/>
        </w:rPr>
        <w:t xml:space="preserve">Mentioning </w:t>
      </w:r>
      <w:r w:rsidR="009101E9">
        <w:rPr>
          <w:rFonts w:ascii="Calibri" w:eastAsia="Calibri" w:hAnsi="Calibri" w:cs="Calibri"/>
          <w:color w:val="333333"/>
          <w:lang w:val="en-GB"/>
        </w:rPr>
        <w:t>their descent</w:t>
      </w:r>
      <w:r w:rsidR="00AD22FB">
        <w:rPr>
          <w:rFonts w:ascii="Calibri" w:eastAsia="Calibri" w:hAnsi="Calibri" w:cs="Calibri"/>
          <w:color w:val="333333"/>
          <w:lang w:val="en-GB"/>
        </w:rPr>
        <w:t xml:space="preserve"> reinforces this categorisation</w:t>
      </w:r>
      <w:r w:rsidR="009101E9">
        <w:rPr>
          <w:rFonts w:ascii="Calibri" w:eastAsia="Calibri" w:hAnsi="Calibri" w:cs="Calibri"/>
          <w:color w:val="333333"/>
          <w:lang w:val="en-GB"/>
        </w:rPr>
        <w:t xml:space="preserve">: by calling Muslim victims “children of France’s colonial legacy”, the difference between them and other French people is emphasised (Penketh, 2015, para. 3). </w:t>
      </w:r>
      <w:r w:rsidR="00175178">
        <w:rPr>
          <w:rFonts w:ascii="Calibri" w:eastAsia="Calibri" w:hAnsi="Calibri" w:cs="Calibri"/>
          <w:color w:val="333333"/>
          <w:lang w:val="en-GB"/>
        </w:rPr>
        <w:t xml:space="preserve">The articles on Muslim victims thus reproduce the categorisation of Muslims as different, while at the same time aiming to produce them as the same as the other victims, or at least as different from the attackers. </w:t>
      </w:r>
    </w:p>
    <w:p w14:paraId="666B396B" w14:textId="315D3973" w:rsidR="00B549D5" w:rsidRPr="00386988" w:rsidRDefault="00175178" w:rsidP="00E52F0F">
      <w:pPr>
        <w:spacing w:after="0" w:line="360" w:lineRule="auto"/>
        <w:ind w:firstLine="720"/>
        <w:jc w:val="both"/>
        <w:rPr>
          <w:rFonts w:ascii="Calibri" w:eastAsia="Calibri" w:hAnsi="Calibri" w:cs="Calibri"/>
          <w:b/>
          <w:color w:val="333333"/>
          <w:lang w:val="en-GB"/>
        </w:rPr>
      </w:pPr>
      <w:r>
        <w:rPr>
          <w:rFonts w:ascii="Calibri" w:eastAsia="Calibri" w:hAnsi="Calibri" w:cs="Calibri"/>
          <w:color w:val="333333"/>
          <w:lang w:val="en-GB"/>
        </w:rPr>
        <w:t xml:space="preserve">In general, taking into account all discourse fragments on the victims of Beirut and Paris, it seems the </w:t>
      </w:r>
      <w:r w:rsidR="006A33C6">
        <w:rPr>
          <w:rFonts w:ascii="Calibri" w:eastAsia="Calibri" w:hAnsi="Calibri" w:cs="Calibri"/>
          <w:color w:val="333333"/>
          <w:lang w:val="en-GB"/>
        </w:rPr>
        <w:t>first and last</w:t>
      </w:r>
      <w:r>
        <w:rPr>
          <w:rFonts w:ascii="Calibri" w:eastAsia="Calibri" w:hAnsi="Calibri" w:cs="Calibri"/>
          <w:color w:val="333333"/>
          <w:lang w:val="en-GB"/>
        </w:rPr>
        <w:t xml:space="preserve"> part of hypothese</w:t>
      </w:r>
      <w:r w:rsidR="0056741F">
        <w:rPr>
          <w:rFonts w:ascii="Calibri" w:eastAsia="Calibri" w:hAnsi="Calibri" w:cs="Calibri"/>
          <w:color w:val="333333"/>
          <w:lang w:val="en-GB"/>
        </w:rPr>
        <w:t xml:space="preserve">s </w:t>
      </w:r>
      <w:r w:rsidR="00D2131A">
        <w:rPr>
          <w:rFonts w:ascii="Calibri" w:eastAsia="Calibri" w:hAnsi="Calibri" w:cs="Calibri"/>
          <w:color w:val="333333"/>
          <w:lang w:val="en-GB"/>
        </w:rPr>
        <w:t>D</w:t>
      </w:r>
      <w:r>
        <w:rPr>
          <w:rFonts w:ascii="Calibri" w:eastAsia="Calibri" w:hAnsi="Calibri" w:cs="Calibri"/>
          <w:color w:val="333333"/>
          <w:lang w:val="en-GB"/>
        </w:rPr>
        <w:t xml:space="preserve"> – the focus of the articles on Paris lies with the victims and their emotions – can be confirmed. </w:t>
      </w:r>
      <w:r w:rsidR="00AD22FB">
        <w:rPr>
          <w:rFonts w:ascii="Calibri" w:eastAsia="Calibri" w:hAnsi="Calibri" w:cs="Calibri"/>
          <w:color w:val="333333"/>
          <w:lang w:val="en-GB"/>
        </w:rPr>
        <w:t>Hypothesis C – that the people of Paris</w:t>
      </w:r>
      <w:r w:rsidR="006A33C6">
        <w:rPr>
          <w:rFonts w:ascii="Calibri" w:eastAsia="Calibri" w:hAnsi="Calibri" w:cs="Calibri"/>
          <w:color w:val="333333"/>
          <w:lang w:val="en-GB"/>
        </w:rPr>
        <w:t xml:space="preserve"> are not classified according to religious or political affiliation – should partially be rejected, as the Muslim victims were singled out. </w:t>
      </w:r>
      <w:r>
        <w:rPr>
          <w:rFonts w:ascii="Calibri" w:eastAsia="Calibri" w:hAnsi="Calibri" w:cs="Calibri"/>
          <w:color w:val="333333"/>
          <w:lang w:val="en-GB"/>
        </w:rPr>
        <w:t xml:space="preserve">Whether </w:t>
      </w:r>
      <w:r w:rsidR="00D2131A">
        <w:rPr>
          <w:rFonts w:ascii="Calibri" w:eastAsia="Calibri" w:hAnsi="Calibri" w:cs="Calibri"/>
          <w:color w:val="333333"/>
          <w:lang w:val="en-GB"/>
        </w:rPr>
        <w:t>hypothese</w:t>
      </w:r>
      <w:r w:rsidR="006A33C6">
        <w:rPr>
          <w:rFonts w:ascii="Calibri" w:eastAsia="Calibri" w:hAnsi="Calibri" w:cs="Calibri"/>
          <w:color w:val="333333"/>
          <w:lang w:val="en-GB"/>
        </w:rPr>
        <w:t>s A</w:t>
      </w:r>
      <w:r w:rsidR="00D2131A">
        <w:rPr>
          <w:rFonts w:ascii="Calibri" w:eastAsia="Calibri" w:hAnsi="Calibri" w:cs="Calibri"/>
          <w:color w:val="333333"/>
          <w:lang w:val="en-GB"/>
        </w:rPr>
        <w:t xml:space="preserve"> and B</w:t>
      </w:r>
      <w:r>
        <w:rPr>
          <w:rFonts w:ascii="Calibri" w:eastAsia="Calibri" w:hAnsi="Calibri" w:cs="Calibri"/>
          <w:color w:val="333333"/>
          <w:lang w:val="en-GB"/>
        </w:rPr>
        <w:t xml:space="preserve"> – </w:t>
      </w:r>
      <w:r w:rsidR="00AD22FB">
        <w:rPr>
          <w:rFonts w:ascii="Calibri" w:eastAsia="Calibri" w:hAnsi="Calibri" w:cs="Calibri"/>
          <w:color w:val="333333"/>
          <w:lang w:val="en-GB"/>
        </w:rPr>
        <w:t>the expected classification of</w:t>
      </w:r>
      <w:r w:rsidR="006A33C6">
        <w:rPr>
          <w:rFonts w:ascii="Calibri" w:eastAsia="Calibri" w:hAnsi="Calibri" w:cs="Calibri"/>
          <w:color w:val="333333"/>
          <w:lang w:val="en-GB"/>
        </w:rPr>
        <w:t xml:space="preserve"> Beirutians according to geography, demo</w:t>
      </w:r>
      <w:r w:rsidR="00AD22FB">
        <w:rPr>
          <w:rFonts w:ascii="Calibri" w:eastAsia="Calibri" w:hAnsi="Calibri" w:cs="Calibri"/>
          <w:color w:val="333333"/>
          <w:lang w:val="en-GB"/>
        </w:rPr>
        <w:t>graphics, and politics, and their indirect connection</w:t>
      </w:r>
      <w:r w:rsidR="006A33C6">
        <w:rPr>
          <w:rFonts w:ascii="Calibri" w:eastAsia="Calibri" w:hAnsi="Calibri" w:cs="Calibri"/>
          <w:color w:val="333333"/>
          <w:lang w:val="en-GB"/>
        </w:rPr>
        <w:t xml:space="preserve"> to Isis through Hezbollah</w:t>
      </w:r>
      <w:r>
        <w:rPr>
          <w:rFonts w:ascii="Calibri" w:eastAsia="Calibri" w:hAnsi="Calibri" w:cs="Calibri"/>
          <w:color w:val="333333"/>
          <w:lang w:val="en-GB"/>
        </w:rPr>
        <w:t xml:space="preserve"> – can </w:t>
      </w:r>
      <w:r w:rsidR="006A33C6">
        <w:rPr>
          <w:rFonts w:ascii="Calibri" w:eastAsia="Calibri" w:hAnsi="Calibri" w:cs="Calibri"/>
          <w:color w:val="333333"/>
          <w:lang w:val="en-GB"/>
        </w:rPr>
        <w:t>be confirmed</w:t>
      </w:r>
      <w:r>
        <w:rPr>
          <w:rFonts w:ascii="Calibri" w:eastAsia="Calibri" w:hAnsi="Calibri" w:cs="Calibri"/>
          <w:color w:val="333333"/>
          <w:lang w:val="en-GB"/>
        </w:rPr>
        <w:t xml:space="preserve"> </w:t>
      </w:r>
      <w:r w:rsidR="00AD22FB">
        <w:rPr>
          <w:rFonts w:ascii="Calibri" w:eastAsia="Calibri" w:hAnsi="Calibri" w:cs="Calibri"/>
          <w:color w:val="333333"/>
          <w:lang w:val="en-GB"/>
        </w:rPr>
        <w:t xml:space="preserve">is clarified </w:t>
      </w:r>
      <w:r w:rsidR="006A33C6">
        <w:rPr>
          <w:rFonts w:ascii="Calibri" w:eastAsia="Calibri" w:hAnsi="Calibri" w:cs="Calibri"/>
          <w:color w:val="333333"/>
          <w:lang w:val="en-GB"/>
        </w:rPr>
        <w:t>in section 5.</w:t>
      </w:r>
      <w:r w:rsidR="00AD22FB">
        <w:rPr>
          <w:rFonts w:ascii="Calibri" w:eastAsia="Calibri" w:hAnsi="Calibri" w:cs="Calibri"/>
          <w:color w:val="333333"/>
          <w:lang w:val="en-GB"/>
        </w:rPr>
        <w:t>6</w:t>
      </w:r>
      <w:r w:rsidR="006A33C6">
        <w:rPr>
          <w:rFonts w:ascii="Calibri" w:eastAsia="Calibri" w:hAnsi="Calibri" w:cs="Calibri"/>
          <w:color w:val="333333"/>
          <w:lang w:val="en-GB"/>
        </w:rPr>
        <w:t>.4 and 5.</w:t>
      </w:r>
      <w:r w:rsidR="00AD22FB">
        <w:rPr>
          <w:rFonts w:ascii="Calibri" w:eastAsia="Calibri" w:hAnsi="Calibri" w:cs="Calibri"/>
          <w:color w:val="333333"/>
          <w:lang w:val="en-GB"/>
        </w:rPr>
        <w:t>6</w:t>
      </w:r>
      <w:r w:rsidR="006A33C6">
        <w:rPr>
          <w:rFonts w:ascii="Calibri" w:eastAsia="Calibri" w:hAnsi="Calibri" w:cs="Calibri"/>
          <w:color w:val="333333"/>
          <w:lang w:val="en-GB"/>
        </w:rPr>
        <w:t>.</w:t>
      </w:r>
      <w:r w:rsidR="00AD22FB">
        <w:rPr>
          <w:rFonts w:ascii="Calibri" w:eastAsia="Calibri" w:hAnsi="Calibri" w:cs="Calibri"/>
          <w:color w:val="333333"/>
          <w:lang w:val="en-GB"/>
        </w:rPr>
        <w:t>5</w:t>
      </w:r>
      <w:r w:rsidR="00744EAA">
        <w:rPr>
          <w:rFonts w:ascii="Calibri" w:eastAsia="Calibri" w:hAnsi="Calibri" w:cs="Calibri"/>
          <w:color w:val="333333"/>
          <w:lang w:val="en-GB"/>
        </w:rPr>
        <w:t>. Interestingly, the difference between the descriptions of the victims of Beirut and Paris is</w:t>
      </w:r>
      <w:r w:rsidR="00AD22FB">
        <w:rPr>
          <w:rFonts w:ascii="Calibri" w:eastAsia="Calibri" w:hAnsi="Calibri" w:cs="Calibri"/>
          <w:color w:val="333333"/>
          <w:lang w:val="en-GB"/>
        </w:rPr>
        <w:t xml:space="preserve"> rather</w:t>
      </w:r>
      <w:r w:rsidR="00B549D5">
        <w:rPr>
          <w:rFonts w:ascii="Calibri" w:eastAsia="Calibri" w:hAnsi="Calibri" w:cs="Calibri"/>
          <w:color w:val="333333"/>
          <w:lang w:val="en-GB"/>
        </w:rPr>
        <w:t xml:space="preserve"> subtle. The people of Beirut are not dehumanised, nor are the people of Paris described as</w:t>
      </w:r>
      <w:r w:rsidR="00744EAA">
        <w:rPr>
          <w:rFonts w:ascii="Calibri" w:eastAsia="Calibri" w:hAnsi="Calibri" w:cs="Calibri"/>
          <w:color w:val="333333"/>
          <w:lang w:val="en-GB"/>
        </w:rPr>
        <w:t xml:space="preserve"> superior to other peoples. All</w:t>
      </w:r>
      <w:r w:rsidR="00B549D5">
        <w:rPr>
          <w:rFonts w:ascii="Calibri" w:eastAsia="Calibri" w:hAnsi="Calibri" w:cs="Calibri"/>
          <w:color w:val="333333"/>
          <w:lang w:val="en-GB"/>
        </w:rPr>
        <w:t xml:space="preserve"> are humans, all who were injured or died are victims. Moreover, all articles </w:t>
      </w:r>
      <w:r w:rsidR="00FF15CD">
        <w:rPr>
          <w:rFonts w:ascii="Calibri" w:eastAsia="Calibri" w:hAnsi="Calibri" w:cs="Calibri"/>
          <w:color w:val="333333"/>
          <w:lang w:val="en-GB"/>
        </w:rPr>
        <w:t>reserve</w:t>
      </w:r>
      <w:r w:rsidR="00AD22FB">
        <w:rPr>
          <w:rFonts w:ascii="Calibri" w:eastAsia="Calibri" w:hAnsi="Calibri" w:cs="Calibri"/>
          <w:color w:val="333333"/>
          <w:lang w:val="en-GB"/>
        </w:rPr>
        <w:t xml:space="preserve"> space</w:t>
      </w:r>
      <w:r w:rsidR="00B549D5">
        <w:rPr>
          <w:rFonts w:ascii="Calibri" w:eastAsia="Calibri" w:hAnsi="Calibri" w:cs="Calibri"/>
          <w:color w:val="333333"/>
          <w:lang w:val="en-GB"/>
        </w:rPr>
        <w:t xml:space="preserve"> </w:t>
      </w:r>
      <w:r w:rsidR="00FF15CD">
        <w:rPr>
          <w:rFonts w:ascii="Calibri" w:eastAsia="Calibri" w:hAnsi="Calibri" w:cs="Calibri"/>
          <w:color w:val="333333"/>
          <w:lang w:val="en-GB"/>
        </w:rPr>
        <w:t>for quotes of</w:t>
      </w:r>
      <w:r w:rsidR="00744EAA">
        <w:rPr>
          <w:rFonts w:ascii="Calibri" w:eastAsia="Calibri" w:hAnsi="Calibri" w:cs="Calibri"/>
          <w:color w:val="333333"/>
          <w:lang w:val="en-GB"/>
        </w:rPr>
        <w:t xml:space="preserve"> the</w:t>
      </w:r>
      <w:r w:rsidR="00B549D5">
        <w:rPr>
          <w:rFonts w:ascii="Calibri" w:eastAsia="Calibri" w:hAnsi="Calibri" w:cs="Calibri"/>
          <w:color w:val="333333"/>
          <w:lang w:val="en-GB"/>
        </w:rPr>
        <w:t xml:space="preserve"> </w:t>
      </w:r>
      <w:r w:rsidR="00FF15CD">
        <w:rPr>
          <w:rFonts w:ascii="Calibri" w:eastAsia="Calibri" w:hAnsi="Calibri" w:cs="Calibri"/>
          <w:color w:val="333333"/>
          <w:lang w:val="en-GB"/>
        </w:rPr>
        <w:t xml:space="preserve">victims’ </w:t>
      </w:r>
      <w:r w:rsidR="00B549D5" w:rsidRPr="00FF15CD">
        <w:rPr>
          <w:rFonts w:ascii="Calibri" w:eastAsia="Calibri" w:hAnsi="Calibri" w:cs="Calibri"/>
          <w:color w:val="333333"/>
          <w:lang w:val="en-GB"/>
        </w:rPr>
        <w:t xml:space="preserve">relatives. What is </w:t>
      </w:r>
      <w:r w:rsidR="00FF15CD" w:rsidRPr="00FF15CD">
        <w:rPr>
          <w:rFonts w:ascii="Calibri" w:eastAsia="Calibri" w:hAnsi="Calibri" w:cs="Calibri"/>
          <w:color w:val="333333"/>
          <w:lang w:val="en-GB"/>
        </w:rPr>
        <w:t xml:space="preserve">exactly </w:t>
      </w:r>
      <w:r w:rsidR="00B549D5" w:rsidRPr="00FF15CD">
        <w:rPr>
          <w:rFonts w:ascii="Calibri" w:eastAsia="Calibri" w:hAnsi="Calibri" w:cs="Calibri"/>
          <w:color w:val="333333"/>
          <w:lang w:val="en-GB"/>
        </w:rPr>
        <w:t xml:space="preserve">reported, however, differs. </w:t>
      </w:r>
      <w:r w:rsidR="00FF15CD" w:rsidRPr="00FF15CD">
        <w:rPr>
          <w:rFonts w:ascii="Calibri" w:eastAsia="Calibri" w:hAnsi="Calibri" w:cs="Calibri"/>
          <w:color w:val="333333"/>
          <w:lang w:val="en-GB"/>
        </w:rPr>
        <w:t>In light of Foucault’s theory that states that every power relation is intentional</w:t>
      </w:r>
      <w:r w:rsidR="00FF15CD">
        <w:rPr>
          <w:rFonts w:ascii="Calibri" w:eastAsia="Calibri" w:hAnsi="Calibri" w:cs="Calibri"/>
          <w:color w:val="333333"/>
          <w:lang w:val="en-GB"/>
        </w:rPr>
        <w:t xml:space="preserve"> and non</w:t>
      </w:r>
      <w:r w:rsidR="00006D3D">
        <w:rPr>
          <w:rFonts w:ascii="Calibri" w:eastAsia="Calibri" w:hAnsi="Calibri" w:cs="Calibri"/>
          <w:color w:val="333333"/>
          <w:lang w:val="en-GB"/>
        </w:rPr>
        <w:t>-</w:t>
      </w:r>
      <w:r w:rsidR="00FF15CD">
        <w:rPr>
          <w:rFonts w:ascii="Calibri" w:eastAsia="Calibri" w:hAnsi="Calibri" w:cs="Calibri"/>
          <w:color w:val="333333"/>
          <w:lang w:val="en-GB"/>
        </w:rPr>
        <w:t>subjective, t</w:t>
      </w:r>
      <w:r w:rsidR="00B549D5">
        <w:rPr>
          <w:rFonts w:ascii="Calibri" w:eastAsia="Calibri" w:hAnsi="Calibri" w:cs="Calibri"/>
          <w:color w:val="333333"/>
          <w:lang w:val="en-GB"/>
        </w:rPr>
        <w:t>his subtlety is</w:t>
      </w:r>
      <w:r w:rsidR="00FF15CD">
        <w:rPr>
          <w:rFonts w:ascii="Calibri" w:eastAsia="Calibri" w:hAnsi="Calibri" w:cs="Calibri"/>
          <w:color w:val="333333"/>
          <w:lang w:val="en-GB"/>
        </w:rPr>
        <w:t xml:space="preserve"> also</w:t>
      </w:r>
      <w:r w:rsidR="00B549D5">
        <w:rPr>
          <w:rFonts w:ascii="Calibri" w:eastAsia="Calibri" w:hAnsi="Calibri" w:cs="Calibri"/>
          <w:color w:val="333333"/>
          <w:lang w:val="en-GB"/>
        </w:rPr>
        <w:t xml:space="preserve"> </w:t>
      </w:r>
      <w:r w:rsidR="00FF15CD">
        <w:rPr>
          <w:rFonts w:ascii="Calibri" w:eastAsia="Calibri" w:hAnsi="Calibri" w:cs="Calibri"/>
          <w:color w:val="333333"/>
          <w:lang w:val="en-GB"/>
        </w:rPr>
        <w:t>intentional</w:t>
      </w:r>
      <w:r w:rsidR="00B549D5">
        <w:rPr>
          <w:rFonts w:ascii="Calibri" w:eastAsia="Calibri" w:hAnsi="Calibri" w:cs="Calibri"/>
          <w:color w:val="333333"/>
          <w:lang w:val="en-GB"/>
        </w:rPr>
        <w:t xml:space="preserve">: although it may not have been the specific </w:t>
      </w:r>
      <w:r w:rsidR="00FF15CD">
        <w:rPr>
          <w:rFonts w:ascii="Calibri" w:eastAsia="Calibri" w:hAnsi="Calibri" w:cs="Calibri"/>
          <w:color w:val="333333"/>
          <w:lang w:val="en-GB"/>
        </w:rPr>
        <w:t>goal</w:t>
      </w:r>
      <w:r w:rsidR="00B549D5">
        <w:rPr>
          <w:rFonts w:ascii="Calibri" w:eastAsia="Calibri" w:hAnsi="Calibri" w:cs="Calibri"/>
          <w:color w:val="333333"/>
          <w:lang w:val="en-GB"/>
        </w:rPr>
        <w:t xml:space="preserve"> of the authors, it does have as </w:t>
      </w:r>
      <w:r w:rsidR="00FF15CD">
        <w:rPr>
          <w:rFonts w:ascii="Calibri" w:eastAsia="Calibri" w:hAnsi="Calibri" w:cs="Calibri"/>
          <w:color w:val="333333"/>
          <w:lang w:val="en-GB"/>
        </w:rPr>
        <w:t>objective</w:t>
      </w:r>
      <w:r w:rsidR="00B549D5">
        <w:rPr>
          <w:rFonts w:ascii="Calibri" w:eastAsia="Calibri" w:hAnsi="Calibri" w:cs="Calibri"/>
          <w:color w:val="333333"/>
          <w:lang w:val="en-GB"/>
        </w:rPr>
        <w:t xml:space="preserve"> to </w:t>
      </w:r>
      <w:r w:rsidR="006A33C6">
        <w:rPr>
          <w:rFonts w:ascii="Calibri" w:eastAsia="Calibri" w:hAnsi="Calibri" w:cs="Calibri"/>
          <w:color w:val="333333"/>
          <w:lang w:val="en-GB"/>
        </w:rPr>
        <w:t>maintain</w:t>
      </w:r>
      <w:r w:rsidR="00B549D5">
        <w:rPr>
          <w:rFonts w:ascii="Calibri" w:eastAsia="Calibri" w:hAnsi="Calibri" w:cs="Calibri"/>
          <w:color w:val="333333"/>
          <w:lang w:val="en-GB"/>
        </w:rPr>
        <w:t xml:space="preserve"> power relations without </w:t>
      </w:r>
      <w:r w:rsidR="00FF15CD">
        <w:rPr>
          <w:rFonts w:ascii="Calibri" w:eastAsia="Calibri" w:hAnsi="Calibri" w:cs="Calibri"/>
          <w:color w:val="333333"/>
          <w:lang w:val="en-GB"/>
        </w:rPr>
        <w:t>initiating</w:t>
      </w:r>
      <w:r w:rsidR="00B549D5">
        <w:rPr>
          <w:rFonts w:ascii="Calibri" w:eastAsia="Calibri" w:hAnsi="Calibri" w:cs="Calibri"/>
          <w:color w:val="333333"/>
          <w:lang w:val="en-GB"/>
        </w:rPr>
        <w:t xml:space="preserve"> too much resistance. The people of Beirut are subtly portrayed as </w:t>
      </w:r>
      <w:r w:rsidR="00FF15CD">
        <w:rPr>
          <w:rFonts w:ascii="Calibri" w:eastAsia="Calibri" w:hAnsi="Calibri" w:cs="Calibri"/>
          <w:color w:val="333333"/>
          <w:lang w:val="en-GB"/>
        </w:rPr>
        <w:t>another category</w:t>
      </w:r>
      <w:r w:rsidR="00B549D5">
        <w:rPr>
          <w:rFonts w:ascii="Calibri" w:eastAsia="Calibri" w:hAnsi="Calibri" w:cs="Calibri"/>
          <w:color w:val="333333"/>
          <w:lang w:val="en-GB"/>
        </w:rPr>
        <w:t>: they are</w:t>
      </w:r>
      <w:r w:rsidR="00FF15CD">
        <w:rPr>
          <w:rFonts w:ascii="Calibri" w:eastAsia="Calibri" w:hAnsi="Calibri" w:cs="Calibri"/>
          <w:color w:val="333333"/>
          <w:lang w:val="en-GB"/>
        </w:rPr>
        <w:t xml:space="preserve"> objectified in an indirect way,</w:t>
      </w:r>
      <w:r w:rsidR="00B549D5">
        <w:rPr>
          <w:rFonts w:ascii="Calibri" w:eastAsia="Calibri" w:hAnsi="Calibri" w:cs="Calibri"/>
          <w:color w:val="333333"/>
          <w:lang w:val="en-GB"/>
        </w:rPr>
        <w:t xml:space="preserve"> through the focus on the negative aspects, the physical effects of the attack on bodies and buildings. The people of Paris, in contrast, are personified, living lives just ‘like ours’. The stories about their lives are abundant, details of their personalities, hobbies, and jobs can be found </w:t>
      </w:r>
      <w:r w:rsidR="006A33C6">
        <w:rPr>
          <w:rFonts w:ascii="Calibri" w:eastAsia="Calibri" w:hAnsi="Calibri" w:cs="Calibri"/>
          <w:color w:val="333333"/>
          <w:lang w:val="en-GB"/>
        </w:rPr>
        <w:t>with</w:t>
      </w:r>
      <w:r w:rsidR="00B549D5">
        <w:rPr>
          <w:rFonts w:ascii="Calibri" w:eastAsia="Calibri" w:hAnsi="Calibri" w:cs="Calibri"/>
          <w:color w:val="333333"/>
          <w:lang w:val="en-GB"/>
        </w:rPr>
        <w:t xml:space="preserve">in a minute. </w:t>
      </w:r>
      <w:r w:rsidR="00744EAA">
        <w:rPr>
          <w:rFonts w:ascii="Calibri" w:eastAsia="Calibri" w:hAnsi="Calibri" w:cs="Calibri"/>
          <w:color w:val="333333"/>
          <w:lang w:val="en-GB"/>
        </w:rPr>
        <w:t xml:space="preserve">This is also the case for the Muslim victims, although they are objectified as a separate category by naming them as such. </w:t>
      </w:r>
      <w:r w:rsidR="00B549D5">
        <w:rPr>
          <w:rFonts w:ascii="Calibri" w:eastAsia="Calibri" w:hAnsi="Calibri" w:cs="Calibri"/>
          <w:color w:val="333333"/>
          <w:lang w:val="en-GB"/>
        </w:rPr>
        <w:t>The Guardian makes it easy to ide</w:t>
      </w:r>
      <w:r w:rsidR="00744EAA">
        <w:rPr>
          <w:rFonts w:ascii="Calibri" w:eastAsia="Calibri" w:hAnsi="Calibri" w:cs="Calibri"/>
          <w:color w:val="333333"/>
          <w:lang w:val="en-GB"/>
        </w:rPr>
        <w:t xml:space="preserve">ntify with the people of Paris – especially with those whose descent is not mentioned –, and </w:t>
      </w:r>
      <w:r w:rsidR="00B549D5">
        <w:rPr>
          <w:rFonts w:ascii="Calibri" w:eastAsia="Calibri" w:hAnsi="Calibri" w:cs="Calibri"/>
          <w:color w:val="333333"/>
          <w:lang w:val="en-GB"/>
        </w:rPr>
        <w:t>less so to identify with the people of Beirut. Bei</w:t>
      </w:r>
      <w:r w:rsidR="00FF15CD">
        <w:rPr>
          <w:rFonts w:ascii="Calibri" w:eastAsia="Calibri" w:hAnsi="Calibri" w:cs="Calibri"/>
          <w:color w:val="333333"/>
          <w:lang w:val="en-GB"/>
        </w:rPr>
        <w:t xml:space="preserve">ng part of the larger discourse, which states that </w:t>
      </w:r>
      <w:r w:rsidR="00B549D5">
        <w:rPr>
          <w:rFonts w:ascii="Calibri" w:eastAsia="Calibri" w:hAnsi="Calibri" w:cs="Calibri"/>
          <w:color w:val="333333"/>
          <w:lang w:val="en-GB"/>
        </w:rPr>
        <w:t>it is easier to identify with Parisians (Greens</w:t>
      </w:r>
      <w:r w:rsidR="00FF15CD">
        <w:rPr>
          <w:rFonts w:ascii="Calibri" w:eastAsia="Calibri" w:hAnsi="Calibri" w:cs="Calibri"/>
          <w:color w:val="333333"/>
          <w:lang w:val="en-GB"/>
        </w:rPr>
        <w:t>lade, 2015; Glaser, 2015), t</w:t>
      </w:r>
      <w:r w:rsidR="00B549D5">
        <w:rPr>
          <w:rFonts w:ascii="Calibri" w:eastAsia="Calibri" w:hAnsi="Calibri" w:cs="Calibri"/>
          <w:color w:val="333333"/>
          <w:lang w:val="en-GB"/>
        </w:rPr>
        <w:t>he interconne</w:t>
      </w:r>
      <w:r w:rsidR="00744EAA">
        <w:rPr>
          <w:rFonts w:ascii="Calibri" w:eastAsia="Calibri" w:hAnsi="Calibri" w:cs="Calibri"/>
          <w:color w:val="333333"/>
          <w:lang w:val="en-GB"/>
        </w:rPr>
        <w:t>ctedness of power and knowledge</w:t>
      </w:r>
      <w:r w:rsidR="00FF15CD">
        <w:rPr>
          <w:rFonts w:ascii="Calibri" w:eastAsia="Calibri" w:hAnsi="Calibri" w:cs="Calibri"/>
          <w:color w:val="333333"/>
          <w:lang w:val="en-GB"/>
        </w:rPr>
        <w:t xml:space="preserve"> is demonstrated</w:t>
      </w:r>
      <w:r w:rsidR="00744EAA">
        <w:rPr>
          <w:rFonts w:ascii="Calibri" w:eastAsia="Calibri" w:hAnsi="Calibri" w:cs="Calibri"/>
          <w:color w:val="333333"/>
          <w:lang w:val="en-GB"/>
        </w:rPr>
        <w:t>: the Guardian reproduces the Parisians as those ‘like us’, and the people of Beirut as distant</w:t>
      </w:r>
      <w:r w:rsidR="00EB3AA3">
        <w:rPr>
          <w:rFonts w:ascii="Calibri" w:eastAsia="Calibri" w:hAnsi="Calibri" w:cs="Calibri"/>
          <w:color w:val="333333"/>
          <w:lang w:val="en-GB"/>
        </w:rPr>
        <w:t>, objectifying them as bodies</w:t>
      </w:r>
      <w:r w:rsidR="00744EAA">
        <w:rPr>
          <w:rFonts w:ascii="Calibri" w:eastAsia="Calibri" w:hAnsi="Calibri" w:cs="Calibri"/>
          <w:color w:val="333333"/>
          <w:lang w:val="en-GB"/>
        </w:rPr>
        <w:t xml:space="preserve">. The Muslim victims of the Paris attack fall in between the two: although their personalities and emotions are easy to identify with, their categorisation as Muslim and from non-Western descent problematizes </w:t>
      </w:r>
      <w:r w:rsidR="00FF15CD">
        <w:rPr>
          <w:rFonts w:ascii="Calibri" w:eastAsia="Calibri" w:hAnsi="Calibri" w:cs="Calibri"/>
          <w:color w:val="333333"/>
          <w:lang w:val="en-GB"/>
        </w:rPr>
        <w:t>it. All in all, the</w:t>
      </w:r>
      <w:r w:rsidR="00EB3AA3">
        <w:rPr>
          <w:rFonts w:ascii="Calibri" w:eastAsia="Calibri" w:hAnsi="Calibri" w:cs="Calibri"/>
          <w:color w:val="333333"/>
          <w:lang w:val="en-GB"/>
        </w:rPr>
        <w:t xml:space="preserve"> results so far a</w:t>
      </w:r>
      <w:r w:rsidR="006A33C6">
        <w:rPr>
          <w:rFonts w:ascii="Calibri" w:eastAsia="Calibri" w:hAnsi="Calibri" w:cs="Calibri"/>
          <w:color w:val="333333"/>
          <w:lang w:val="en-GB"/>
        </w:rPr>
        <w:t xml:space="preserve">ffirm my </w:t>
      </w:r>
      <w:r w:rsidR="004417ED">
        <w:rPr>
          <w:rFonts w:ascii="Calibri" w:eastAsia="Calibri" w:hAnsi="Calibri" w:cs="Calibri"/>
          <w:color w:val="333333"/>
          <w:lang w:val="en-GB"/>
        </w:rPr>
        <w:t>second general</w:t>
      </w:r>
      <w:r w:rsidR="006A33C6">
        <w:rPr>
          <w:rFonts w:ascii="Calibri" w:eastAsia="Calibri" w:hAnsi="Calibri" w:cs="Calibri"/>
          <w:color w:val="333333"/>
          <w:lang w:val="en-GB"/>
        </w:rPr>
        <w:t xml:space="preserve"> hypothesis, and seem to produce the need for an addition to hypothesis A: namely that the people of Beirut are also described with more bodily</w:t>
      </w:r>
      <w:r w:rsidR="00B864B5">
        <w:rPr>
          <w:rFonts w:ascii="Calibri" w:eastAsia="Calibri" w:hAnsi="Calibri" w:cs="Calibri"/>
          <w:color w:val="333333"/>
          <w:lang w:val="en-GB"/>
        </w:rPr>
        <w:t xml:space="preserve"> details than the Parisians.</w:t>
      </w:r>
    </w:p>
    <w:p w14:paraId="282B701B" w14:textId="77777777" w:rsidR="00B549D5" w:rsidRPr="00381C71" w:rsidRDefault="00B549D5" w:rsidP="00E52F0F">
      <w:pPr>
        <w:spacing w:line="360" w:lineRule="auto"/>
        <w:ind w:firstLine="720"/>
        <w:jc w:val="both"/>
        <w:rPr>
          <w:lang w:val="en-GB"/>
        </w:rPr>
      </w:pPr>
      <w:bookmarkStart w:id="73" w:name="h.ch6cierm9lb" w:colFirst="0" w:colLast="0"/>
      <w:bookmarkEnd w:id="73"/>
    </w:p>
    <w:p w14:paraId="25787AC0" w14:textId="5B1362FD" w:rsidR="00B549D5" w:rsidRPr="00CD7466" w:rsidRDefault="00B549D5" w:rsidP="00E52F0F">
      <w:pPr>
        <w:pStyle w:val="Heading3"/>
        <w:spacing w:line="360" w:lineRule="auto"/>
        <w:jc w:val="both"/>
        <w:rPr>
          <w:lang w:val="en-GB"/>
        </w:rPr>
      </w:pPr>
      <w:bookmarkStart w:id="74" w:name="h.gozu8yc0isw8" w:colFirst="0" w:colLast="0"/>
      <w:bookmarkStart w:id="75" w:name="_Toc458983424"/>
      <w:bookmarkEnd w:id="74"/>
      <w:r>
        <w:rPr>
          <w:rFonts w:eastAsia="Calibri" w:cs="Calibri"/>
          <w:lang w:val="en-GB"/>
        </w:rPr>
        <w:lastRenderedPageBreak/>
        <w:t>5</w:t>
      </w:r>
      <w:r w:rsidR="000309DA">
        <w:rPr>
          <w:rFonts w:eastAsia="Calibri" w:cs="Calibri"/>
          <w:lang w:val="en-GB"/>
        </w:rPr>
        <w:t>.6.</w:t>
      </w:r>
      <w:r w:rsidR="00907922">
        <w:rPr>
          <w:rFonts w:eastAsia="Calibri" w:cs="Calibri"/>
          <w:lang w:val="en-GB"/>
        </w:rPr>
        <w:t>4</w:t>
      </w:r>
      <w:r w:rsidRPr="00CD7466">
        <w:rPr>
          <w:rFonts w:eastAsia="Calibri" w:cs="Calibri"/>
          <w:lang w:val="en-GB"/>
        </w:rPr>
        <w:t xml:space="preserve">. </w:t>
      </w:r>
      <w:r w:rsidR="00907922">
        <w:rPr>
          <w:rFonts w:eastAsia="Calibri" w:cs="Calibri"/>
          <w:lang w:val="en-GB"/>
        </w:rPr>
        <w:t>Witnesses and relatives</w:t>
      </w:r>
      <w:bookmarkEnd w:id="75"/>
    </w:p>
    <w:p w14:paraId="08191B77" w14:textId="18BCC9F8" w:rsidR="00B549D5" w:rsidRDefault="00B549D5" w:rsidP="00E52F0F">
      <w:pPr>
        <w:spacing w:after="0" w:line="360" w:lineRule="auto"/>
        <w:jc w:val="both"/>
        <w:rPr>
          <w:rFonts w:ascii="Calibri" w:eastAsia="Calibri" w:hAnsi="Calibri" w:cs="Calibri"/>
          <w:lang w:val="en-GB"/>
        </w:rPr>
      </w:pPr>
      <w:r w:rsidRPr="00381C71">
        <w:rPr>
          <w:rFonts w:ascii="Calibri" w:eastAsia="Calibri" w:hAnsi="Calibri" w:cs="Calibri"/>
          <w:lang w:val="en-GB"/>
        </w:rPr>
        <w:t>There are more resemblances to be found in the description</w:t>
      </w:r>
      <w:r>
        <w:rPr>
          <w:rFonts w:ascii="Calibri" w:eastAsia="Calibri" w:hAnsi="Calibri" w:cs="Calibri"/>
          <w:lang w:val="en-GB"/>
        </w:rPr>
        <w:t>s</w:t>
      </w:r>
      <w:r w:rsidRPr="00381C71">
        <w:rPr>
          <w:rFonts w:ascii="Calibri" w:eastAsia="Calibri" w:hAnsi="Calibri" w:cs="Calibri"/>
          <w:lang w:val="en-GB"/>
        </w:rPr>
        <w:t xml:space="preserve"> of the </w:t>
      </w:r>
      <w:r w:rsidR="00907922">
        <w:rPr>
          <w:rFonts w:ascii="Calibri" w:eastAsia="Calibri" w:hAnsi="Calibri" w:cs="Calibri"/>
          <w:lang w:val="en-GB"/>
        </w:rPr>
        <w:t>witnesses and relatives</w:t>
      </w:r>
      <w:r w:rsidR="004937BF">
        <w:rPr>
          <w:rFonts w:ascii="Calibri" w:eastAsia="Calibri" w:hAnsi="Calibri" w:cs="Calibri"/>
          <w:lang w:val="en-GB"/>
        </w:rPr>
        <w:t xml:space="preserve"> of the victims and witnesses</w:t>
      </w:r>
      <w:r w:rsidRPr="00381C71">
        <w:rPr>
          <w:rFonts w:ascii="Calibri" w:eastAsia="Calibri" w:hAnsi="Calibri" w:cs="Calibri"/>
          <w:lang w:val="en-GB"/>
        </w:rPr>
        <w:t xml:space="preserve"> than in the description</w:t>
      </w:r>
      <w:r>
        <w:rPr>
          <w:rFonts w:ascii="Calibri" w:eastAsia="Calibri" w:hAnsi="Calibri" w:cs="Calibri"/>
          <w:lang w:val="en-GB"/>
        </w:rPr>
        <w:t>s</w:t>
      </w:r>
      <w:r w:rsidRPr="00381C71">
        <w:rPr>
          <w:rFonts w:ascii="Calibri" w:eastAsia="Calibri" w:hAnsi="Calibri" w:cs="Calibri"/>
          <w:lang w:val="en-GB"/>
        </w:rPr>
        <w:t xml:space="preserve"> of t</w:t>
      </w:r>
      <w:r w:rsidR="00B864B5">
        <w:rPr>
          <w:rFonts w:ascii="Calibri" w:eastAsia="Calibri" w:hAnsi="Calibri" w:cs="Calibri"/>
          <w:lang w:val="en-GB"/>
        </w:rPr>
        <w:t>he victims</w:t>
      </w:r>
      <w:r w:rsidRPr="00381C71">
        <w:rPr>
          <w:rFonts w:ascii="Calibri" w:eastAsia="Calibri" w:hAnsi="Calibri" w:cs="Calibri"/>
          <w:lang w:val="en-GB"/>
        </w:rPr>
        <w:t>. Firstly, famil</w:t>
      </w:r>
      <w:r w:rsidR="007864E4">
        <w:rPr>
          <w:rFonts w:ascii="Calibri" w:eastAsia="Calibri" w:hAnsi="Calibri" w:cs="Calibri"/>
          <w:lang w:val="en-GB"/>
        </w:rPr>
        <w:t xml:space="preserve">ies and friends </w:t>
      </w:r>
      <w:r w:rsidR="004937BF">
        <w:rPr>
          <w:rFonts w:ascii="Calibri" w:eastAsia="Calibri" w:hAnsi="Calibri" w:cs="Calibri"/>
          <w:lang w:val="en-GB"/>
        </w:rPr>
        <w:t>are</w:t>
      </w:r>
      <w:r w:rsidR="007864E4">
        <w:rPr>
          <w:rFonts w:ascii="Calibri" w:eastAsia="Calibri" w:hAnsi="Calibri" w:cs="Calibri"/>
          <w:lang w:val="en-GB"/>
        </w:rPr>
        <w:t xml:space="preserve"> mentioned</w:t>
      </w:r>
      <w:r w:rsidR="004937BF">
        <w:rPr>
          <w:rFonts w:ascii="Calibri" w:eastAsia="Calibri" w:hAnsi="Calibri" w:cs="Calibri"/>
          <w:lang w:val="en-GB"/>
        </w:rPr>
        <w:t xml:space="preserve"> and interviewed </w:t>
      </w:r>
      <w:r w:rsidR="00B864B5">
        <w:rPr>
          <w:rFonts w:ascii="Calibri" w:eastAsia="Calibri" w:hAnsi="Calibri" w:cs="Calibri"/>
          <w:lang w:val="en-GB"/>
        </w:rPr>
        <w:t xml:space="preserve">for both </w:t>
      </w:r>
      <w:r w:rsidR="004937BF">
        <w:rPr>
          <w:rFonts w:ascii="Calibri" w:eastAsia="Calibri" w:hAnsi="Calibri" w:cs="Calibri"/>
          <w:lang w:val="en-GB"/>
        </w:rPr>
        <w:t>events</w:t>
      </w:r>
      <w:r w:rsidRPr="00381C71">
        <w:rPr>
          <w:rFonts w:ascii="Calibri" w:eastAsia="Calibri" w:hAnsi="Calibri" w:cs="Calibri"/>
          <w:lang w:val="en-GB"/>
        </w:rPr>
        <w:t xml:space="preserve">. </w:t>
      </w:r>
      <w:r w:rsidR="00764155">
        <w:rPr>
          <w:rFonts w:ascii="Calibri" w:eastAsia="Calibri" w:hAnsi="Calibri" w:cs="Calibri"/>
          <w:lang w:val="en-GB"/>
        </w:rPr>
        <w:t>Through these interviews, the readers gain a look through the eyes of the witnesses and relatives, which makes a story more personal. With its interviews and quo</w:t>
      </w:r>
      <w:r w:rsidR="004937BF">
        <w:rPr>
          <w:rFonts w:ascii="Calibri" w:eastAsia="Calibri" w:hAnsi="Calibri" w:cs="Calibri"/>
          <w:lang w:val="en-GB"/>
        </w:rPr>
        <w:t>tes, the Guardian thus increases</w:t>
      </w:r>
      <w:r w:rsidR="00764155">
        <w:rPr>
          <w:rFonts w:ascii="Calibri" w:eastAsia="Calibri" w:hAnsi="Calibri" w:cs="Calibri"/>
          <w:lang w:val="en-GB"/>
        </w:rPr>
        <w:t xml:space="preserve"> the likeliness that readers identify with the people of Beirut and Paris. </w:t>
      </w:r>
      <w:r w:rsidRPr="00381C71">
        <w:rPr>
          <w:rFonts w:ascii="Calibri" w:eastAsia="Calibri" w:hAnsi="Calibri" w:cs="Calibri"/>
          <w:lang w:val="en-GB"/>
        </w:rPr>
        <w:t>In an article on the Paris attack victims, it reported the Twitter search of the girlfriend of Nick Alexander, Polina Buckley, as well as her message after she had found out that her boyfriend had died (Davidson and agencies, 2015). One artic</w:t>
      </w:r>
      <w:r>
        <w:rPr>
          <w:rFonts w:ascii="Calibri" w:eastAsia="Calibri" w:hAnsi="Calibri" w:cs="Calibri"/>
          <w:lang w:val="en-GB"/>
        </w:rPr>
        <w:t>le on the Beirut attack victims</w:t>
      </w:r>
      <w:r w:rsidRPr="00381C71">
        <w:rPr>
          <w:rFonts w:ascii="Calibri" w:eastAsia="Calibri" w:hAnsi="Calibri" w:cs="Calibri"/>
          <w:lang w:val="en-GB"/>
        </w:rPr>
        <w:t xml:space="preserve"> rep</w:t>
      </w:r>
      <w:r w:rsidR="004937BF">
        <w:rPr>
          <w:rFonts w:ascii="Calibri" w:eastAsia="Calibri" w:hAnsi="Calibri" w:cs="Calibri"/>
          <w:lang w:val="en-GB"/>
        </w:rPr>
        <w:t>orts</w:t>
      </w:r>
      <w:r w:rsidRPr="00381C71">
        <w:rPr>
          <w:rFonts w:ascii="Calibri" w:eastAsia="Calibri" w:hAnsi="Calibri" w:cs="Calibri"/>
          <w:lang w:val="en-GB"/>
        </w:rPr>
        <w:t xml:space="preserve"> the </w:t>
      </w:r>
      <w:r>
        <w:rPr>
          <w:rFonts w:ascii="Calibri" w:eastAsia="Calibri" w:hAnsi="Calibri" w:cs="Calibri"/>
          <w:lang w:val="en-GB"/>
        </w:rPr>
        <w:t>actions</w:t>
      </w:r>
      <w:r w:rsidR="004937BF">
        <w:rPr>
          <w:rFonts w:ascii="Calibri" w:eastAsia="Calibri" w:hAnsi="Calibri" w:cs="Calibri"/>
          <w:lang w:val="en-GB"/>
        </w:rPr>
        <w:t xml:space="preserve"> of Adel Termos, the man who saved many others</w:t>
      </w:r>
      <w:r w:rsidRPr="00381C71">
        <w:rPr>
          <w:rFonts w:ascii="Calibri" w:eastAsia="Calibri" w:hAnsi="Calibri" w:cs="Calibri"/>
          <w:lang w:val="en-GB"/>
        </w:rPr>
        <w:t xml:space="preserve"> by throwing himself on the suicide bomber (Shaheen, 2015b). The Guardian spoke to</w:t>
      </w:r>
      <w:r w:rsidR="004937BF">
        <w:rPr>
          <w:rFonts w:ascii="Calibri" w:eastAsia="Calibri" w:hAnsi="Calibri" w:cs="Calibri"/>
          <w:lang w:val="en-GB"/>
        </w:rPr>
        <w:t xml:space="preserve"> his</w:t>
      </w:r>
      <w:r w:rsidRPr="00381C71">
        <w:rPr>
          <w:rFonts w:ascii="Calibri" w:eastAsia="Calibri" w:hAnsi="Calibri" w:cs="Calibri"/>
          <w:lang w:val="en-GB"/>
        </w:rPr>
        <w:t xml:space="preserve"> relatives, such as his wife Basima Atat, his brother-in-law Bilal Jelwane, and his cousin Nazmiyeh Tarif (Shaheen, 2015b; Associated Press in Beirut, 2015). Secondly, in both </w:t>
      </w:r>
      <w:r>
        <w:rPr>
          <w:rFonts w:ascii="Calibri" w:eastAsia="Calibri" w:hAnsi="Calibri" w:cs="Calibri"/>
          <w:lang w:val="en-GB"/>
        </w:rPr>
        <w:t>the coverage of the Paris attacks and the Beirut attacks</w:t>
      </w:r>
      <w:r w:rsidRPr="00381C71">
        <w:rPr>
          <w:rFonts w:ascii="Calibri" w:eastAsia="Calibri" w:hAnsi="Calibri" w:cs="Calibri"/>
          <w:lang w:val="en-GB"/>
        </w:rPr>
        <w:t xml:space="preserve"> the mourning of the people </w:t>
      </w:r>
      <w:r w:rsidR="004937BF">
        <w:rPr>
          <w:rFonts w:ascii="Calibri" w:eastAsia="Calibri" w:hAnsi="Calibri" w:cs="Calibri"/>
          <w:lang w:val="en-GB"/>
        </w:rPr>
        <w:t>is</w:t>
      </w:r>
      <w:r w:rsidRPr="00381C71">
        <w:rPr>
          <w:rFonts w:ascii="Calibri" w:eastAsia="Calibri" w:hAnsi="Calibri" w:cs="Calibri"/>
          <w:lang w:val="en-GB"/>
        </w:rPr>
        <w:t xml:space="preserve"> mentioned. </w:t>
      </w:r>
      <w:r>
        <w:rPr>
          <w:rFonts w:ascii="Calibri" w:eastAsia="Calibri" w:hAnsi="Calibri" w:cs="Calibri"/>
          <w:lang w:val="en-GB"/>
        </w:rPr>
        <w:t>Reporters spoke to w</w:t>
      </w:r>
      <w:r w:rsidRPr="00381C71">
        <w:rPr>
          <w:rFonts w:ascii="Calibri" w:eastAsia="Calibri" w:hAnsi="Calibri" w:cs="Calibri"/>
          <w:lang w:val="en-GB"/>
        </w:rPr>
        <w:t xml:space="preserve">itnesses, and </w:t>
      </w:r>
      <w:r w:rsidR="00591BCD">
        <w:rPr>
          <w:rFonts w:ascii="Calibri" w:eastAsia="Calibri" w:hAnsi="Calibri" w:cs="Calibri"/>
          <w:lang w:val="en-GB"/>
        </w:rPr>
        <w:t>describe</w:t>
      </w:r>
      <w:r>
        <w:rPr>
          <w:rFonts w:ascii="Calibri" w:eastAsia="Calibri" w:hAnsi="Calibri" w:cs="Calibri"/>
          <w:lang w:val="en-GB"/>
        </w:rPr>
        <w:t xml:space="preserve"> </w:t>
      </w:r>
      <w:r w:rsidRPr="00381C71">
        <w:rPr>
          <w:rFonts w:ascii="Calibri" w:eastAsia="Calibri" w:hAnsi="Calibri" w:cs="Calibri"/>
          <w:lang w:val="en-GB"/>
        </w:rPr>
        <w:t xml:space="preserve">onlookers </w:t>
      </w:r>
      <w:r>
        <w:rPr>
          <w:rFonts w:ascii="Calibri" w:eastAsia="Calibri" w:hAnsi="Calibri" w:cs="Calibri"/>
          <w:lang w:val="en-GB"/>
        </w:rPr>
        <w:t>as people in both cases, featuring the emotions felt. Below are two fragments, respectively from the Beirut and Paris articles</w:t>
      </w:r>
      <w:r w:rsidR="00591BCD">
        <w:rPr>
          <w:rFonts w:ascii="Calibri" w:eastAsia="Calibri" w:hAnsi="Calibri" w:cs="Calibri"/>
          <w:lang w:val="en-GB"/>
        </w:rPr>
        <w:t>, to illustrate the reports</w:t>
      </w:r>
      <w:r>
        <w:rPr>
          <w:rFonts w:ascii="Calibri" w:eastAsia="Calibri" w:hAnsi="Calibri" w:cs="Calibri"/>
          <w:lang w:val="en-GB"/>
        </w:rPr>
        <w:t>:</w:t>
      </w:r>
    </w:p>
    <w:p w14:paraId="463F5F0D" w14:textId="77777777" w:rsidR="00B549D5" w:rsidRDefault="00B549D5" w:rsidP="00E52F0F">
      <w:pPr>
        <w:spacing w:after="0" w:line="360" w:lineRule="auto"/>
        <w:ind w:firstLine="720"/>
        <w:jc w:val="both"/>
        <w:rPr>
          <w:rFonts w:ascii="Calibri" w:eastAsia="Calibri" w:hAnsi="Calibri" w:cs="Calibri"/>
          <w:lang w:val="en-GB"/>
        </w:rPr>
      </w:pPr>
    </w:p>
    <w:p w14:paraId="082E3FC1" w14:textId="77777777" w:rsidR="00B549D5" w:rsidRDefault="00B549D5" w:rsidP="00FD50FE">
      <w:pPr>
        <w:spacing w:after="0" w:line="360" w:lineRule="auto"/>
        <w:ind w:left="1134" w:right="708"/>
        <w:jc w:val="both"/>
        <w:rPr>
          <w:rFonts w:ascii="Calibri" w:eastAsia="Calibri" w:hAnsi="Calibri" w:cs="Calibri"/>
          <w:lang w:val="en-GB"/>
        </w:rPr>
      </w:pPr>
      <w:r>
        <w:rPr>
          <w:rFonts w:ascii="Calibri" w:eastAsia="Calibri" w:hAnsi="Calibri" w:cs="Calibri"/>
          <w:lang w:val="en-GB"/>
        </w:rPr>
        <w:t>Shock at the atrocities has not worn off in Burj al-Barajneh. A loud boom echoes in the distance and conversation stops; people shake momentarily in fear of another blast. Panic recedes when the noise proves to be thunder, but it is always near the surface. (Shaheen, 2015b, para. 7)</w:t>
      </w:r>
    </w:p>
    <w:p w14:paraId="71509445" w14:textId="77777777" w:rsidR="00B549D5" w:rsidRDefault="00B549D5" w:rsidP="00FD50FE">
      <w:pPr>
        <w:spacing w:after="0" w:line="360" w:lineRule="auto"/>
        <w:ind w:left="1134" w:right="708"/>
        <w:jc w:val="both"/>
        <w:rPr>
          <w:rFonts w:ascii="Calibri" w:eastAsia="Calibri" w:hAnsi="Calibri" w:cs="Calibri"/>
          <w:lang w:val="en-GB"/>
        </w:rPr>
      </w:pPr>
    </w:p>
    <w:p w14:paraId="3B550E02" w14:textId="77777777" w:rsidR="00B549D5" w:rsidRDefault="00B549D5" w:rsidP="00FD50FE">
      <w:pPr>
        <w:spacing w:after="0" w:line="360" w:lineRule="auto"/>
        <w:ind w:left="1134" w:right="708"/>
        <w:jc w:val="both"/>
        <w:rPr>
          <w:rFonts w:ascii="Calibri" w:eastAsia="Calibri" w:hAnsi="Calibri" w:cs="Calibri"/>
          <w:lang w:val="en-GB"/>
        </w:rPr>
      </w:pPr>
      <w:r>
        <w:rPr>
          <w:rFonts w:ascii="Calibri" w:eastAsia="Calibri" w:hAnsi="Calibri" w:cs="Calibri"/>
          <w:lang w:val="en-GB"/>
        </w:rPr>
        <w:t>Near Place de la République, one teacher, Marie-Claire Segonds, said many of her children – aged four and five – had come into school talking about the attacks. Segonds said several had suffered nightmares after watching the events and the aftermath on television and had asked her whether the school and their homes were safe. (Willsher, Harding and Graham-Harrison, 2015, para. 7)</w:t>
      </w:r>
    </w:p>
    <w:p w14:paraId="49072EC7" w14:textId="77777777" w:rsidR="00B549D5" w:rsidRDefault="00B549D5" w:rsidP="00E52F0F">
      <w:pPr>
        <w:spacing w:after="0" w:line="360" w:lineRule="auto"/>
        <w:ind w:firstLine="720"/>
        <w:jc w:val="both"/>
        <w:rPr>
          <w:rFonts w:ascii="Calibri" w:eastAsia="Calibri" w:hAnsi="Calibri" w:cs="Calibri"/>
          <w:lang w:val="en-GB"/>
        </w:rPr>
      </w:pPr>
    </w:p>
    <w:p w14:paraId="339A7025" w14:textId="6524E7D3" w:rsidR="00B549D5" w:rsidRDefault="00B549D5" w:rsidP="00E52F0F">
      <w:pPr>
        <w:spacing w:after="0" w:line="360" w:lineRule="auto"/>
        <w:jc w:val="both"/>
        <w:rPr>
          <w:rFonts w:ascii="Calibri" w:eastAsia="Calibri" w:hAnsi="Calibri" w:cs="Calibri"/>
          <w:lang w:val="en-GB"/>
        </w:rPr>
      </w:pPr>
      <w:r>
        <w:rPr>
          <w:rFonts w:ascii="Calibri" w:eastAsia="Calibri" w:hAnsi="Calibri" w:cs="Calibri"/>
          <w:lang w:val="en-GB"/>
        </w:rPr>
        <w:t>As is clear, both fragments portray the fear residing in the two cities for another attack. They also show that people do go out and talk to each, thereby demonstrating that in neither case the fear causes people to stay indoors. The similarities in the description thus challenge the power relations that were presented with regard to the victims. The relatives and friends of the victims are described by portraying their emotions in both cases. Another interesting feature is that, regarding the named relatives, the Guardian did not name their</w:t>
      </w:r>
      <w:r w:rsidR="00EC252B">
        <w:rPr>
          <w:rFonts w:ascii="Calibri" w:eastAsia="Calibri" w:hAnsi="Calibri" w:cs="Calibri"/>
          <w:lang w:val="en-GB"/>
        </w:rPr>
        <w:t xml:space="preserve"> specific</w:t>
      </w:r>
      <w:r>
        <w:rPr>
          <w:rFonts w:ascii="Calibri" w:eastAsia="Calibri" w:hAnsi="Calibri" w:cs="Calibri"/>
          <w:lang w:val="en-GB"/>
        </w:rPr>
        <w:t xml:space="preserve"> religious or political affiliations, not for the Parisians nor for the Beirutians, strengthening the case for their likeness. The connection </w:t>
      </w:r>
      <w:r w:rsidR="00B864B5">
        <w:rPr>
          <w:rFonts w:ascii="Calibri" w:eastAsia="Calibri" w:hAnsi="Calibri" w:cs="Calibri"/>
          <w:lang w:val="en-GB"/>
        </w:rPr>
        <w:t xml:space="preserve">between the two cities </w:t>
      </w:r>
      <w:r>
        <w:rPr>
          <w:rFonts w:ascii="Calibri" w:eastAsia="Calibri" w:hAnsi="Calibri" w:cs="Calibri"/>
          <w:lang w:val="en-GB"/>
        </w:rPr>
        <w:t xml:space="preserve">was also voiced by one of the interviewees cited in the Beirut articles, </w:t>
      </w:r>
      <w:r w:rsidR="00BF0E9E">
        <w:rPr>
          <w:rFonts w:ascii="Calibri" w:eastAsia="Calibri" w:hAnsi="Calibri" w:cs="Calibri"/>
          <w:lang w:val="en-GB"/>
        </w:rPr>
        <w:t>al</w:t>
      </w:r>
      <w:r>
        <w:rPr>
          <w:rFonts w:ascii="Calibri" w:eastAsia="Calibri" w:hAnsi="Calibri" w:cs="Calibri"/>
          <w:lang w:val="en-GB"/>
        </w:rPr>
        <w:t>though not without distinguishing between the government and citizens of Western European states:</w:t>
      </w:r>
    </w:p>
    <w:p w14:paraId="46CD0BD7" w14:textId="77777777" w:rsidR="00B549D5" w:rsidRDefault="00B549D5" w:rsidP="00E52F0F">
      <w:pPr>
        <w:spacing w:after="0" w:line="360" w:lineRule="auto"/>
        <w:ind w:firstLine="720"/>
        <w:jc w:val="both"/>
        <w:rPr>
          <w:rFonts w:ascii="Calibri" w:eastAsia="Calibri" w:hAnsi="Calibri" w:cs="Calibri"/>
          <w:lang w:val="en-GB"/>
        </w:rPr>
      </w:pPr>
      <w:r>
        <w:rPr>
          <w:rFonts w:ascii="Calibri" w:eastAsia="Calibri" w:hAnsi="Calibri" w:cs="Calibri"/>
          <w:lang w:val="en-GB"/>
        </w:rPr>
        <w:lastRenderedPageBreak/>
        <w:t xml:space="preserve"> </w:t>
      </w:r>
    </w:p>
    <w:p w14:paraId="434C0D20" w14:textId="77777777" w:rsidR="00B549D5" w:rsidRDefault="00B549D5" w:rsidP="00FD50FE">
      <w:pPr>
        <w:spacing w:after="0" w:line="360" w:lineRule="auto"/>
        <w:ind w:left="1134" w:right="708"/>
        <w:jc w:val="both"/>
        <w:rPr>
          <w:rFonts w:ascii="Calibri" w:eastAsia="Calibri" w:hAnsi="Calibri" w:cs="Calibri"/>
          <w:lang w:val="en-GB"/>
        </w:rPr>
      </w:pPr>
      <w:r>
        <w:rPr>
          <w:rFonts w:ascii="Calibri" w:eastAsia="Calibri" w:hAnsi="Calibri" w:cs="Calibri"/>
          <w:lang w:val="en-GB"/>
        </w:rPr>
        <w:t>Many here blame western governments for the rise of Isis. But they say they feel a kinship with the civilians in France who died in attacks by the terror group just a day after the Beirut bombings. (Shaheen, 2015b, para. 10)</w:t>
      </w:r>
    </w:p>
    <w:p w14:paraId="57A04C2E" w14:textId="77777777" w:rsidR="00B549D5" w:rsidRDefault="00B549D5" w:rsidP="00E52F0F">
      <w:pPr>
        <w:spacing w:after="0" w:line="360" w:lineRule="auto"/>
        <w:ind w:firstLine="720"/>
        <w:jc w:val="both"/>
        <w:rPr>
          <w:rFonts w:ascii="Calibri" w:eastAsia="Calibri" w:hAnsi="Calibri" w:cs="Calibri"/>
          <w:lang w:val="en-GB"/>
        </w:rPr>
      </w:pPr>
    </w:p>
    <w:p w14:paraId="45EA220C" w14:textId="1B59A02C" w:rsidR="00591BCD" w:rsidRDefault="00B549D5" w:rsidP="00E52F0F">
      <w:pPr>
        <w:spacing w:after="0" w:line="360" w:lineRule="auto"/>
        <w:jc w:val="both"/>
        <w:rPr>
          <w:rFonts w:ascii="Calibri" w:eastAsia="Calibri" w:hAnsi="Calibri" w:cs="Calibri"/>
          <w:lang w:val="en-GB"/>
        </w:rPr>
      </w:pPr>
      <w:r>
        <w:rPr>
          <w:rFonts w:ascii="Calibri" w:eastAsia="Calibri" w:hAnsi="Calibri" w:cs="Calibri"/>
          <w:lang w:val="en-GB"/>
        </w:rPr>
        <w:t>The solidarity shown by the people of Beirut towards the people of Paris reinforc</w:t>
      </w:r>
      <w:r w:rsidR="00591BCD">
        <w:rPr>
          <w:rFonts w:ascii="Calibri" w:eastAsia="Calibri" w:hAnsi="Calibri" w:cs="Calibri"/>
          <w:lang w:val="en-GB"/>
        </w:rPr>
        <w:t>es the challenge to viewing the Beirutians</w:t>
      </w:r>
      <w:r>
        <w:rPr>
          <w:rFonts w:ascii="Calibri" w:eastAsia="Calibri" w:hAnsi="Calibri" w:cs="Calibri"/>
          <w:lang w:val="en-GB"/>
        </w:rPr>
        <w:t xml:space="preserve"> as different people. However, because no such feeling was expressed in the Paris articles, it seems as if the ones who should make an effort to stimulate this similari</w:t>
      </w:r>
      <w:r w:rsidR="00591BCD">
        <w:rPr>
          <w:rFonts w:ascii="Calibri" w:eastAsia="Calibri" w:hAnsi="Calibri" w:cs="Calibri"/>
          <w:lang w:val="en-GB"/>
        </w:rPr>
        <w:t>ty are the people from Beirut. Alt</w:t>
      </w:r>
      <w:r>
        <w:rPr>
          <w:rFonts w:ascii="Calibri" w:eastAsia="Calibri" w:hAnsi="Calibri" w:cs="Calibri"/>
          <w:lang w:val="en-GB"/>
        </w:rPr>
        <w:t>hough my research does not focus on it, one could say that the people of Be</w:t>
      </w:r>
      <w:r w:rsidR="007864E4">
        <w:rPr>
          <w:rFonts w:ascii="Calibri" w:eastAsia="Calibri" w:hAnsi="Calibri" w:cs="Calibri"/>
          <w:lang w:val="en-GB"/>
        </w:rPr>
        <w:t>irut may have been subjectified:</w:t>
      </w:r>
      <w:r>
        <w:rPr>
          <w:rFonts w:ascii="Calibri" w:eastAsia="Calibri" w:hAnsi="Calibri" w:cs="Calibri"/>
          <w:lang w:val="en-GB"/>
        </w:rPr>
        <w:t xml:space="preserve"> they</w:t>
      </w:r>
      <w:r w:rsidR="00591BCD">
        <w:rPr>
          <w:rFonts w:ascii="Calibri" w:eastAsia="Calibri" w:hAnsi="Calibri" w:cs="Calibri"/>
          <w:lang w:val="en-GB"/>
        </w:rPr>
        <w:t xml:space="preserve"> may</w:t>
      </w:r>
      <w:r>
        <w:rPr>
          <w:rFonts w:ascii="Calibri" w:eastAsia="Calibri" w:hAnsi="Calibri" w:cs="Calibri"/>
          <w:lang w:val="en-GB"/>
        </w:rPr>
        <w:t xml:space="preserve"> have internalised the view that the citizens of France are important, and as such think of the Parisians even though not even a day has passed since they experienced a terror attack themselves. </w:t>
      </w:r>
      <w:r w:rsidR="00591BCD">
        <w:rPr>
          <w:rFonts w:ascii="Calibri" w:eastAsia="Calibri" w:hAnsi="Calibri" w:cs="Calibri"/>
          <w:lang w:val="en-GB"/>
        </w:rPr>
        <w:t>In general, t</w:t>
      </w:r>
      <w:r>
        <w:rPr>
          <w:rFonts w:ascii="Calibri" w:eastAsia="Calibri" w:hAnsi="Calibri" w:cs="Calibri"/>
          <w:lang w:val="en-GB"/>
        </w:rPr>
        <w:t xml:space="preserve">he power relations presented </w:t>
      </w:r>
      <w:r w:rsidR="00591BCD">
        <w:rPr>
          <w:rFonts w:ascii="Calibri" w:eastAsia="Calibri" w:hAnsi="Calibri" w:cs="Calibri"/>
          <w:lang w:val="en-GB"/>
        </w:rPr>
        <w:t xml:space="preserve">and (re)produced by the Guardian </w:t>
      </w:r>
      <w:r>
        <w:rPr>
          <w:rFonts w:ascii="Calibri" w:eastAsia="Calibri" w:hAnsi="Calibri" w:cs="Calibri"/>
          <w:lang w:val="en-GB"/>
        </w:rPr>
        <w:t xml:space="preserve">are thus double: on the one hand, the similarity between the French and Lebanese people is subtly emphasised, on the other, it seems as if this is mainly because of the Beirut articles. Whereas the focus on emotions was already present for the </w:t>
      </w:r>
      <w:r w:rsidR="00591BCD">
        <w:rPr>
          <w:rFonts w:ascii="Calibri" w:eastAsia="Calibri" w:hAnsi="Calibri" w:cs="Calibri"/>
          <w:lang w:val="en-GB"/>
        </w:rPr>
        <w:t>victims</w:t>
      </w:r>
      <w:r>
        <w:rPr>
          <w:rFonts w:ascii="Calibri" w:eastAsia="Calibri" w:hAnsi="Calibri" w:cs="Calibri"/>
          <w:lang w:val="en-GB"/>
        </w:rPr>
        <w:t xml:space="preserve"> in the Paris articles, it was less so for the </w:t>
      </w:r>
      <w:r w:rsidR="00591BCD">
        <w:rPr>
          <w:rFonts w:ascii="Calibri" w:eastAsia="Calibri" w:hAnsi="Calibri" w:cs="Calibri"/>
          <w:lang w:val="en-GB"/>
        </w:rPr>
        <w:t>victims of</w:t>
      </w:r>
      <w:r>
        <w:rPr>
          <w:rFonts w:ascii="Calibri" w:eastAsia="Calibri" w:hAnsi="Calibri" w:cs="Calibri"/>
          <w:lang w:val="en-GB"/>
        </w:rPr>
        <w:t xml:space="preserve"> Beirut. The most likely reason for why these emotions did turn up here and not in the </w:t>
      </w:r>
      <w:r w:rsidR="00591BCD">
        <w:rPr>
          <w:rFonts w:ascii="Calibri" w:eastAsia="Calibri" w:hAnsi="Calibri" w:cs="Calibri"/>
          <w:lang w:val="en-GB"/>
        </w:rPr>
        <w:t>previous section</w:t>
      </w:r>
      <w:r>
        <w:rPr>
          <w:rFonts w:ascii="Calibri" w:eastAsia="Calibri" w:hAnsi="Calibri" w:cs="Calibri"/>
          <w:lang w:val="en-GB"/>
        </w:rPr>
        <w:t xml:space="preserve"> i</w:t>
      </w:r>
      <w:r w:rsidR="00E05F52">
        <w:rPr>
          <w:rFonts w:ascii="Calibri" w:eastAsia="Calibri" w:hAnsi="Calibri" w:cs="Calibri"/>
          <w:lang w:val="en-GB"/>
        </w:rPr>
        <w:t>s</w:t>
      </w:r>
      <w:r>
        <w:rPr>
          <w:rFonts w:ascii="Calibri" w:eastAsia="Calibri" w:hAnsi="Calibri" w:cs="Calibri"/>
          <w:lang w:val="en-GB"/>
        </w:rPr>
        <w:t xml:space="preserve"> that these pe</w:t>
      </w:r>
      <w:r w:rsidR="00E05F52">
        <w:rPr>
          <w:rFonts w:ascii="Calibri" w:eastAsia="Calibri" w:hAnsi="Calibri" w:cs="Calibri"/>
          <w:lang w:val="en-GB"/>
        </w:rPr>
        <w:t>ople could speak for themselves:</w:t>
      </w:r>
      <w:r>
        <w:rPr>
          <w:rFonts w:ascii="Calibri" w:eastAsia="Calibri" w:hAnsi="Calibri" w:cs="Calibri"/>
          <w:lang w:val="en-GB"/>
        </w:rPr>
        <w:t xml:space="preserve"> they could show their emotions, and voice them while being intervi</w:t>
      </w:r>
      <w:r w:rsidR="00591BCD">
        <w:rPr>
          <w:rFonts w:ascii="Calibri" w:eastAsia="Calibri" w:hAnsi="Calibri" w:cs="Calibri"/>
          <w:lang w:val="en-GB"/>
        </w:rPr>
        <w:t>ewed. In contrast, the victims could not voice who</w:t>
      </w:r>
      <w:r>
        <w:rPr>
          <w:rFonts w:ascii="Calibri" w:eastAsia="Calibri" w:hAnsi="Calibri" w:cs="Calibri"/>
          <w:lang w:val="en-GB"/>
        </w:rPr>
        <w:t xml:space="preserve"> they were and what they felt. These were filled in by the reporters; in the Paris articles with emotions, in the Beirut articles with </w:t>
      </w:r>
      <w:r w:rsidR="00B864B5">
        <w:rPr>
          <w:rFonts w:ascii="Calibri" w:eastAsia="Calibri" w:hAnsi="Calibri" w:cs="Calibri"/>
          <w:lang w:val="en-GB"/>
        </w:rPr>
        <w:t>graphic details</w:t>
      </w:r>
      <w:r>
        <w:rPr>
          <w:rFonts w:ascii="Calibri" w:eastAsia="Calibri" w:hAnsi="Calibri" w:cs="Calibri"/>
          <w:lang w:val="en-GB"/>
        </w:rPr>
        <w:t xml:space="preserve">. Hence, </w:t>
      </w:r>
      <w:r w:rsidR="00B864B5">
        <w:rPr>
          <w:rFonts w:ascii="Calibri" w:eastAsia="Calibri" w:hAnsi="Calibri" w:cs="Calibri"/>
          <w:lang w:val="en-GB"/>
        </w:rPr>
        <w:t>al</w:t>
      </w:r>
      <w:r>
        <w:rPr>
          <w:rFonts w:ascii="Calibri" w:eastAsia="Calibri" w:hAnsi="Calibri" w:cs="Calibri"/>
          <w:lang w:val="en-GB"/>
        </w:rPr>
        <w:t>though the descriptions of the relatives and friends does challenge the view of the people of Beirut as different from the people of Paris, it is complicated by the fact that this is mostly the case when the Beirutians can speak for themselves.</w:t>
      </w:r>
      <w:r w:rsidR="007864E4">
        <w:rPr>
          <w:rFonts w:ascii="Calibri" w:eastAsia="Calibri" w:hAnsi="Calibri" w:cs="Calibri"/>
          <w:lang w:val="en-GB"/>
        </w:rPr>
        <w:t xml:space="preserve"> </w:t>
      </w:r>
      <w:r w:rsidR="00591BCD">
        <w:rPr>
          <w:rFonts w:ascii="Calibri" w:eastAsia="Calibri" w:hAnsi="Calibri" w:cs="Calibri"/>
          <w:lang w:val="en-GB"/>
        </w:rPr>
        <w:t>Nonetheless,</w:t>
      </w:r>
      <w:r w:rsidR="00E05F52">
        <w:rPr>
          <w:rFonts w:ascii="Calibri" w:eastAsia="Calibri" w:hAnsi="Calibri" w:cs="Calibri"/>
          <w:lang w:val="en-GB"/>
        </w:rPr>
        <w:t xml:space="preserve"> this is not the only </w:t>
      </w:r>
      <w:r w:rsidR="00591BCD">
        <w:rPr>
          <w:rFonts w:ascii="Calibri" w:eastAsia="Calibri" w:hAnsi="Calibri" w:cs="Calibri"/>
          <w:lang w:val="en-GB"/>
        </w:rPr>
        <w:t>significant</w:t>
      </w:r>
      <w:r w:rsidR="00E05F52">
        <w:rPr>
          <w:rFonts w:ascii="Calibri" w:eastAsia="Calibri" w:hAnsi="Calibri" w:cs="Calibri"/>
          <w:lang w:val="en-GB"/>
        </w:rPr>
        <w:t xml:space="preserve"> difference. The amount of quotes, as the amount of articles, differs for the Beirut versus Paris articles, with many more relative</w:t>
      </w:r>
      <w:r w:rsidR="00591BCD">
        <w:rPr>
          <w:rFonts w:ascii="Calibri" w:eastAsia="Calibri" w:hAnsi="Calibri" w:cs="Calibri"/>
          <w:lang w:val="en-GB"/>
        </w:rPr>
        <w:t>s being interviewed in Paris. Moreover, content-wise</w:t>
      </w:r>
      <w:r w:rsidR="00B864B5">
        <w:rPr>
          <w:rFonts w:ascii="Calibri" w:eastAsia="Calibri" w:hAnsi="Calibri" w:cs="Calibri"/>
          <w:lang w:val="en-GB"/>
        </w:rPr>
        <w:t xml:space="preserve"> only half of the Beirutians</w:t>
      </w:r>
      <w:r w:rsidR="00E9347C">
        <w:rPr>
          <w:rFonts w:ascii="Calibri" w:eastAsia="Calibri" w:hAnsi="Calibri" w:cs="Calibri"/>
          <w:lang w:val="en-GB"/>
        </w:rPr>
        <w:t xml:space="preserve">’ statements concerned the victims or their relatives, with the other half mainly being about the attackers. </w:t>
      </w:r>
      <w:r w:rsidR="00591BCD">
        <w:rPr>
          <w:rFonts w:ascii="Calibri" w:eastAsia="Calibri" w:hAnsi="Calibri" w:cs="Calibri"/>
          <w:lang w:val="en-GB"/>
        </w:rPr>
        <w:t>For example, Termos’ brother-in-law, Bilal Jelwane, states that the assailants “are not humans”</w:t>
      </w:r>
      <w:r w:rsidR="00F17D74">
        <w:rPr>
          <w:rFonts w:ascii="Calibri" w:eastAsia="Calibri" w:hAnsi="Calibri" w:cs="Calibri"/>
          <w:lang w:val="en-GB"/>
        </w:rPr>
        <w:t>, and said that you do not kill someone if you disagree with them (as cited in Shaheen, 2015b, para. 10). He continued with distinguishing the attackers’ interpretation of Islam with his own:</w:t>
      </w:r>
    </w:p>
    <w:p w14:paraId="5ED75B2F" w14:textId="77777777" w:rsidR="00591BCD" w:rsidRDefault="00591BCD" w:rsidP="00E52F0F">
      <w:pPr>
        <w:spacing w:after="0" w:line="360" w:lineRule="auto"/>
        <w:jc w:val="both"/>
        <w:rPr>
          <w:rFonts w:ascii="Calibri" w:eastAsia="Calibri" w:hAnsi="Calibri" w:cs="Calibri"/>
          <w:lang w:val="en-GB"/>
        </w:rPr>
      </w:pPr>
    </w:p>
    <w:p w14:paraId="446F512A" w14:textId="7F2B746C" w:rsidR="00591BCD" w:rsidRDefault="00591BCD" w:rsidP="00591BCD">
      <w:pPr>
        <w:spacing w:after="0" w:line="360" w:lineRule="auto"/>
        <w:ind w:left="1134" w:right="708"/>
        <w:jc w:val="both"/>
        <w:rPr>
          <w:rFonts w:ascii="Calibri" w:eastAsia="Calibri" w:hAnsi="Calibri" w:cs="Calibri"/>
          <w:lang w:val="en-GB"/>
        </w:rPr>
      </w:pPr>
      <w:r>
        <w:rPr>
          <w:rFonts w:ascii="Calibri" w:eastAsia="Calibri" w:hAnsi="Calibri" w:cs="Calibri"/>
          <w:lang w:val="en-GB"/>
        </w:rPr>
        <w:t>The problem is these people think that by blowing themselves up they are going to join the prophet in heaven. Our prophet is a prophet of mercy, our Islam is a religion of forgiveness, kindness, compassion, not a religion of kil</w:t>
      </w:r>
      <w:r w:rsidR="00B97C1C">
        <w:rPr>
          <w:rFonts w:ascii="Calibri" w:eastAsia="Calibri" w:hAnsi="Calibri" w:cs="Calibri"/>
          <w:lang w:val="en-GB"/>
        </w:rPr>
        <w:t>lings and swords and slaughter.</w:t>
      </w:r>
      <w:r>
        <w:rPr>
          <w:rFonts w:ascii="Calibri" w:eastAsia="Calibri" w:hAnsi="Calibri" w:cs="Calibri"/>
          <w:lang w:val="en-GB"/>
        </w:rPr>
        <w:t xml:space="preserve"> (</w:t>
      </w:r>
      <w:r w:rsidR="00B97C1C">
        <w:rPr>
          <w:rFonts w:ascii="Calibri" w:eastAsia="Calibri" w:hAnsi="Calibri" w:cs="Calibri"/>
          <w:lang w:val="en-GB"/>
        </w:rPr>
        <w:t xml:space="preserve">as cited in </w:t>
      </w:r>
      <w:r>
        <w:rPr>
          <w:rFonts w:ascii="Calibri" w:eastAsia="Calibri" w:hAnsi="Calibri" w:cs="Calibri"/>
          <w:lang w:val="en-GB"/>
        </w:rPr>
        <w:t>Shaheen, 2015b, para. 10-11)</w:t>
      </w:r>
    </w:p>
    <w:p w14:paraId="2679B2A0" w14:textId="77777777" w:rsidR="00591BCD" w:rsidRDefault="00591BCD" w:rsidP="00E52F0F">
      <w:pPr>
        <w:spacing w:after="0" w:line="360" w:lineRule="auto"/>
        <w:jc w:val="both"/>
        <w:rPr>
          <w:rFonts w:ascii="Calibri" w:eastAsia="Calibri" w:hAnsi="Calibri" w:cs="Calibri"/>
          <w:lang w:val="en-GB"/>
        </w:rPr>
      </w:pPr>
    </w:p>
    <w:p w14:paraId="764DEC6E" w14:textId="77777777" w:rsidR="00C76BA7" w:rsidRDefault="00BF0E9E" w:rsidP="00C76BA7">
      <w:pPr>
        <w:spacing w:after="0" w:line="360" w:lineRule="auto"/>
        <w:jc w:val="both"/>
        <w:rPr>
          <w:rFonts w:ascii="Calibri" w:eastAsia="Calibri" w:hAnsi="Calibri" w:cs="Calibri"/>
          <w:lang w:val="en-GB"/>
        </w:rPr>
      </w:pPr>
      <w:r>
        <w:rPr>
          <w:rFonts w:ascii="Calibri" w:eastAsia="Calibri" w:hAnsi="Calibri" w:cs="Calibri"/>
          <w:lang w:val="en-GB"/>
        </w:rPr>
        <w:lastRenderedPageBreak/>
        <w:t>Other quotes of relatives of the victims and witnesses in the Beirut attacks portray a similar condemnation of the attackers. In contrast, for Paris the quotes predominantly included</w:t>
      </w:r>
      <w:r w:rsidR="00E9347C">
        <w:rPr>
          <w:rFonts w:ascii="Calibri" w:eastAsia="Calibri" w:hAnsi="Calibri" w:cs="Calibri"/>
          <w:lang w:val="en-GB"/>
        </w:rPr>
        <w:t xml:space="preserve"> </w:t>
      </w:r>
      <w:r>
        <w:rPr>
          <w:rFonts w:ascii="Calibri" w:eastAsia="Calibri" w:hAnsi="Calibri" w:cs="Calibri"/>
          <w:lang w:val="en-GB"/>
        </w:rPr>
        <w:t xml:space="preserve">statements about the </w:t>
      </w:r>
      <w:r w:rsidR="00E9347C">
        <w:rPr>
          <w:rFonts w:ascii="Calibri" w:eastAsia="Calibri" w:hAnsi="Calibri" w:cs="Calibri"/>
          <w:lang w:val="en-GB"/>
        </w:rPr>
        <w:t>victim</w:t>
      </w:r>
      <w:r>
        <w:rPr>
          <w:rFonts w:ascii="Calibri" w:eastAsia="Calibri" w:hAnsi="Calibri" w:cs="Calibri"/>
          <w:lang w:val="en-GB"/>
        </w:rPr>
        <w:t>s</w:t>
      </w:r>
      <w:r w:rsidR="00E9347C">
        <w:rPr>
          <w:rFonts w:ascii="Calibri" w:eastAsia="Calibri" w:hAnsi="Calibri" w:cs="Calibri"/>
          <w:lang w:val="en-GB"/>
        </w:rPr>
        <w:t xml:space="preserve"> or </w:t>
      </w:r>
      <w:r>
        <w:rPr>
          <w:rFonts w:ascii="Calibri" w:eastAsia="Calibri" w:hAnsi="Calibri" w:cs="Calibri"/>
          <w:lang w:val="en-GB"/>
        </w:rPr>
        <w:t xml:space="preserve">witnesses. </w:t>
      </w:r>
    </w:p>
    <w:p w14:paraId="6ED28EF7" w14:textId="26743910" w:rsidR="00BF0E9E" w:rsidRDefault="00E9347C" w:rsidP="00C76BA7">
      <w:pPr>
        <w:spacing w:after="0" w:line="360" w:lineRule="auto"/>
        <w:ind w:firstLine="709"/>
        <w:jc w:val="both"/>
        <w:rPr>
          <w:rFonts w:ascii="Calibri" w:eastAsia="Calibri" w:hAnsi="Calibri" w:cs="Calibri"/>
          <w:lang w:val="en-GB"/>
        </w:rPr>
      </w:pPr>
      <w:r>
        <w:rPr>
          <w:rFonts w:ascii="Calibri" w:eastAsia="Calibri" w:hAnsi="Calibri" w:cs="Calibri"/>
          <w:lang w:val="en-GB"/>
        </w:rPr>
        <w:t xml:space="preserve">Despite there being more similarities than </w:t>
      </w:r>
      <w:r w:rsidR="00591BCD">
        <w:rPr>
          <w:rFonts w:ascii="Calibri" w:eastAsia="Calibri" w:hAnsi="Calibri" w:cs="Calibri"/>
          <w:lang w:val="en-GB"/>
        </w:rPr>
        <w:t>in the descriptions of the victims</w:t>
      </w:r>
      <w:r>
        <w:rPr>
          <w:rFonts w:ascii="Calibri" w:eastAsia="Calibri" w:hAnsi="Calibri" w:cs="Calibri"/>
          <w:lang w:val="en-GB"/>
        </w:rPr>
        <w:t xml:space="preserve">, the same pattern </w:t>
      </w:r>
      <w:r w:rsidR="00C76BA7">
        <w:rPr>
          <w:rFonts w:ascii="Calibri" w:eastAsia="Calibri" w:hAnsi="Calibri" w:cs="Calibri"/>
          <w:lang w:val="en-GB"/>
        </w:rPr>
        <w:t xml:space="preserve">of a subtle difference </w:t>
      </w:r>
      <w:r>
        <w:rPr>
          <w:rFonts w:ascii="Calibri" w:eastAsia="Calibri" w:hAnsi="Calibri" w:cs="Calibri"/>
          <w:lang w:val="en-GB"/>
        </w:rPr>
        <w:t xml:space="preserve">thus </w:t>
      </w:r>
      <w:r w:rsidR="00591BCD">
        <w:rPr>
          <w:rFonts w:ascii="Calibri" w:eastAsia="Calibri" w:hAnsi="Calibri" w:cs="Calibri"/>
          <w:lang w:val="en-GB"/>
        </w:rPr>
        <w:t>reappears</w:t>
      </w:r>
      <w:r>
        <w:rPr>
          <w:rFonts w:ascii="Calibri" w:eastAsia="Calibri" w:hAnsi="Calibri" w:cs="Calibri"/>
          <w:lang w:val="en-GB"/>
        </w:rPr>
        <w:t>.</w:t>
      </w:r>
      <w:r w:rsidR="00C76BA7">
        <w:rPr>
          <w:rFonts w:ascii="Calibri" w:eastAsia="Calibri" w:hAnsi="Calibri" w:cs="Calibri"/>
          <w:lang w:val="en-GB"/>
        </w:rPr>
        <w:t xml:space="preserve"> I</w:t>
      </w:r>
      <w:r w:rsidR="00BF0E9E">
        <w:rPr>
          <w:rFonts w:ascii="Calibri" w:eastAsia="Calibri" w:hAnsi="Calibri" w:cs="Calibri"/>
          <w:lang w:val="en-GB"/>
        </w:rPr>
        <w:t>n both cases the Guardian reports interviews with witnesses and relatives of victims and witnesses.</w:t>
      </w:r>
      <w:r w:rsidR="00C76BA7">
        <w:rPr>
          <w:rFonts w:ascii="Calibri" w:eastAsia="Calibri" w:hAnsi="Calibri" w:cs="Calibri"/>
          <w:lang w:val="en-GB"/>
        </w:rPr>
        <w:t xml:space="preserve"> I</w:t>
      </w:r>
      <w:r w:rsidR="00BF0E9E">
        <w:rPr>
          <w:rFonts w:ascii="Calibri" w:eastAsia="Calibri" w:hAnsi="Calibri" w:cs="Calibri"/>
          <w:lang w:val="en-GB"/>
        </w:rPr>
        <w:t xml:space="preserve">n both cases the emotions residing in the cities are </w:t>
      </w:r>
      <w:r w:rsidR="00C76BA7">
        <w:rPr>
          <w:rFonts w:ascii="Calibri" w:eastAsia="Calibri" w:hAnsi="Calibri" w:cs="Calibri"/>
          <w:lang w:val="en-GB"/>
        </w:rPr>
        <w:t xml:space="preserve">also </w:t>
      </w:r>
      <w:r w:rsidR="00BF0E9E">
        <w:rPr>
          <w:rFonts w:ascii="Calibri" w:eastAsia="Calibri" w:hAnsi="Calibri" w:cs="Calibri"/>
          <w:lang w:val="en-GB"/>
        </w:rPr>
        <w:t>illustrated by the use of w</w:t>
      </w:r>
      <w:r w:rsidR="00C76BA7">
        <w:rPr>
          <w:rFonts w:ascii="Calibri" w:eastAsia="Calibri" w:hAnsi="Calibri" w:cs="Calibri"/>
          <w:lang w:val="en-GB"/>
        </w:rPr>
        <w:t xml:space="preserve">ords </w:t>
      </w:r>
      <w:r w:rsidR="00BF0E9E">
        <w:rPr>
          <w:rFonts w:ascii="Calibri" w:eastAsia="Calibri" w:hAnsi="Calibri" w:cs="Calibri"/>
          <w:lang w:val="en-GB"/>
        </w:rPr>
        <w:t xml:space="preserve">as ‘fear’ and ‘resilience’. </w:t>
      </w:r>
      <w:r w:rsidR="00C76BA7">
        <w:rPr>
          <w:rFonts w:ascii="Calibri" w:eastAsia="Calibri" w:hAnsi="Calibri" w:cs="Calibri"/>
          <w:lang w:val="en-GB"/>
        </w:rPr>
        <w:t xml:space="preserve">Moreover, by publishing quotes of the witnesses and relatives, the Guardian increases the possibility for identification with those people. However, since half of the quotes in the Beirut attacks concern the attackers, it is the condemnation rather than the victims or relatives that can be identified with. In contrast, since the Paris article elaborate on the lives and personalities of the victims, also in the interviews with the relatives and witnesses, they are who we identify with. Based on these results, hypotheses B, C, and D can be partially confirmed. Although it is not through a focus on the Hezbollah group, the witnesses and relatives are indirectly connected to Isis by their statements on the attackers, which is not the case for the Parisians (B). Nor are the witnesses and relatives in Paris classified according to any other religious or political affiliations (C). Instead, their emotions and personalities are illustrated (C). To investigate whether hypotheses A – the Beirutians are described with demographic and political categorisation – can be confirmed, the next section examines the descriptions of the place and scene of the attacks. </w:t>
      </w:r>
    </w:p>
    <w:p w14:paraId="3A050DBD" w14:textId="77777777" w:rsidR="00A24E70" w:rsidRDefault="00A24E70" w:rsidP="00E52F0F">
      <w:pPr>
        <w:spacing w:line="360" w:lineRule="auto"/>
        <w:jc w:val="both"/>
        <w:rPr>
          <w:rFonts w:ascii="Calibri" w:eastAsia="Calibri" w:hAnsi="Calibri" w:cs="Calibri"/>
          <w:lang w:val="en-GB"/>
        </w:rPr>
      </w:pPr>
    </w:p>
    <w:p w14:paraId="4E385F74" w14:textId="3823D31E" w:rsidR="00A24E70" w:rsidRPr="00CD7466" w:rsidRDefault="00A24E70" w:rsidP="00E52F0F">
      <w:pPr>
        <w:pStyle w:val="Heading3"/>
        <w:spacing w:line="360" w:lineRule="auto"/>
        <w:jc w:val="both"/>
        <w:rPr>
          <w:lang w:val="en-GB"/>
        </w:rPr>
      </w:pPr>
      <w:bookmarkStart w:id="76" w:name="h.pudf6pboc3jb" w:colFirst="0" w:colLast="0"/>
      <w:bookmarkStart w:id="77" w:name="_Toc458983425"/>
      <w:bookmarkEnd w:id="76"/>
      <w:r>
        <w:rPr>
          <w:rFonts w:eastAsia="Calibri" w:cs="Calibri"/>
          <w:lang w:val="en-GB"/>
        </w:rPr>
        <w:t>5</w:t>
      </w:r>
      <w:r w:rsidRPr="00CD7466">
        <w:rPr>
          <w:rFonts w:eastAsia="Calibri" w:cs="Calibri"/>
          <w:lang w:val="en-GB"/>
        </w:rPr>
        <w:t>.</w:t>
      </w:r>
      <w:r w:rsidR="000309DA">
        <w:rPr>
          <w:rFonts w:eastAsia="Calibri" w:cs="Calibri"/>
          <w:lang w:val="en-GB"/>
        </w:rPr>
        <w:t>6</w:t>
      </w:r>
      <w:r w:rsidRPr="00CD7466">
        <w:rPr>
          <w:rFonts w:eastAsia="Calibri" w:cs="Calibri"/>
          <w:lang w:val="en-GB"/>
        </w:rPr>
        <w:t>.</w:t>
      </w:r>
      <w:r w:rsidR="004417ED">
        <w:rPr>
          <w:rFonts w:eastAsia="Calibri" w:cs="Calibri"/>
          <w:lang w:val="en-GB"/>
        </w:rPr>
        <w:t>5</w:t>
      </w:r>
      <w:r w:rsidRPr="00CD7466">
        <w:rPr>
          <w:rFonts w:eastAsia="Calibri" w:cs="Calibri"/>
          <w:lang w:val="en-GB"/>
        </w:rPr>
        <w:t>. Place and scene of attack</w:t>
      </w:r>
      <w:bookmarkEnd w:id="77"/>
    </w:p>
    <w:p w14:paraId="63B2BA55" w14:textId="3DEAC57A" w:rsidR="00A24E70" w:rsidRPr="00381C71" w:rsidRDefault="00A24E70" w:rsidP="00E52F0F">
      <w:pPr>
        <w:spacing w:after="0" w:line="360" w:lineRule="auto"/>
        <w:jc w:val="both"/>
        <w:rPr>
          <w:lang w:val="en-GB"/>
        </w:rPr>
      </w:pPr>
      <w:r w:rsidRPr="00381C71">
        <w:rPr>
          <w:rFonts w:ascii="Calibri" w:eastAsia="Calibri" w:hAnsi="Calibri" w:cs="Calibri"/>
          <w:lang w:val="en-GB"/>
        </w:rPr>
        <w:t xml:space="preserve">For Beirut, the attacks took place in the “Lebanese capital's Shia-majority southern suburbs”, which is “heavily populated”, “poor”, “crowded”, and nearby a mosque (Shaheen, 2015a). The attack caused "chaos" and "destruction"; there were flames, terror, and pain in the "night-time inferno" which "took people by surprise" (Associated Press in Beirut, 2015). The buildings are right next to each other, and the area is </w:t>
      </w:r>
      <w:r w:rsidR="005A1827">
        <w:rPr>
          <w:rFonts w:ascii="Calibri" w:eastAsia="Calibri" w:hAnsi="Calibri" w:cs="Calibri"/>
          <w:lang w:val="en-GB"/>
        </w:rPr>
        <w:t xml:space="preserve">allegedly </w:t>
      </w:r>
      <w:r w:rsidRPr="00381C71">
        <w:rPr>
          <w:rFonts w:ascii="Calibri" w:eastAsia="Calibri" w:hAnsi="Calibri" w:cs="Calibri"/>
          <w:lang w:val="en-GB"/>
        </w:rPr>
        <w:t xml:space="preserve">known </w:t>
      </w:r>
      <w:r w:rsidR="005A1827">
        <w:rPr>
          <w:rFonts w:ascii="Calibri" w:eastAsia="Calibri" w:hAnsi="Calibri" w:cs="Calibri"/>
          <w:lang w:val="en-GB"/>
        </w:rPr>
        <w:t>to sympathise</w:t>
      </w:r>
      <w:r w:rsidRPr="00381C71">
        <w:rPr>
          <w:rFonts w:ascii="Calibri" w:eastAsia="Calibri" w:hAnsi="Calibri" w:cs="Calibri"/>
          <w:lang w:val="en-GB"/>
        </w:rPr>
        <w:t xml:space="preserve"> with the Hezbollah group. The name</w:t>
      </w:r>
      <w:r>
        <w:rPr>
          <w:rFonts w:ascii="Calibri" w:eastAsia="Calibri" w:hAnsi="Calibri" w:cs="Calibri"/>
          <w:lang w:val="en-GB"/>
        </w:rPr>
        <w:t>s</w:t>
      </w:r>
      <w:r w:rsidRPr="00381C71">
        <w:rPr>
          <w:rFonts w:ascii="Calibri" w:eastAsia="Calibri" w:hAnsi="Calibri" w:cs="Calibri"/>
          <w:lang w:val="en-GB"/>
        </w:rPr>
        <w:t xml:space="preserve"> of the areas are also mentioned, i.e.</w:t>
      </w:r>
      <w:r>
        <w:rPr>
          <w:rFonts w:ascii="Calibri" w:eastAsia="Calibri" w:hAnsi="Calibri" w:cs="Calibri"/>
          <w:lang w:val="en-GB"/>
        </w:rPr>
        <w:t xml:space="preserve"> the</w:t>
      </w:r>
      <w:r w:rsidRPr="00381C71">
        <w:rPr>
          <w:rFonts w:ascii="Calibri" w:eastAsia="Calibri" w:hAnsi="Calibri" w:cs="Calibri"/>
          <w:lang w:val="en-GB"/>
        </w:rPr>
        <w:t xml:space="preserve"> name of the district, Burj al-Barajneh, and </w:t>
      </w:r>
      <w:r>
        <w:rPr>
          <w:rFonts w:ascii="Calibri" w:eastAsia="Calibri" w:hAnsi="Calibri" w:cs="Calibri"/>
          <w:lang w:val="en-GB"/>
        </w:rPr>
        <w:t>the</w:t>
      </w:r>
      <w:r w:rsidRPr="00381C71">
        <w:rPr>
          <w:rFonts w:ascii="Calibri" w:eastAsia="Calibri" w:hAnsi="Calibri" w:cs="Calibri"/>
          <w:lang w:val="en-GB"/>
        </w:rPr>
        <w:t xml:space="preserve"> </w:t>
      </w:r>
      <w:r>
        <w:rPr>
          <w:rFonts w:ascii="Calibri" w:eastAsia="Calibri" w:hAnsi="Calibri" w:cs="Calibri"/>
          <w:lang w:val="en-GB"/>
        </w:rPr>
        <w:t xml:space="preserve">Arabic name of the southern suburbs, </w:t>
      </w:r>
      <w:r w:rsidRPr="00381C71">
        <w:rPr>
          <w:rFonts w:ascii="Calibri" w:eastAsia="Calibri" w:hAnsi="Calibri" w:cs="Calibri"/>
          <w:lang w:val="en-GB"/>
        </w:rPr>
        <w:t>Dah</w:t>
      </w:r>
      <w:r>
        <w:rPr>
          <w:rFonts w:ascii="Calibri" w:eastAsia="Calibri" w:hAnsi="Calibri" w:cs="Calibri"/>
          <w:lang w:val="en-GB"/>
        </w:rPr>
        <w:t>i</w:t>
      </w:r>
      <w:r w:rsidRPr="00381C71">
        <w:rPr>
          <w:rFonts w:ascii="Calibri" w:eastAsia="Calibri" w:hAnsi="Calibri" w:cs="Calibri"/>
          <w:lang w:val="en-GB"/>
        </w:rPr>
        <w:t xml:space="preserve">yeh. Hence, not only are some </w:t>
      </w:r>
      <w:r>
        <w:rPr>
          <w:rFonts w:ascii="Calibri" w:eastAsia="Calibri" w:hAnsi="Calibri" w:cs="Calibri"/>
          <w:lang w:val="en-GB"/>
        </w:rPr>
        <w:t>demographic</w:t>
      </w:r>
      <w:r w:rsidRPr="00381C71">
        <w:rPr>
          <w:rFonts w:ascii="Calibri" w:eastAsia="Calibri" w:hAnsi="Calibri" w:cs="Calibri"/>
          <w:lang w:val="en-GB"/>
        </w:rPr>
        <w:t xml:space="preserve"> characteristics of the district </w:t>
      </w:r>
      <w:r>
        <w:rPr>
          <w:rFonts w:ascii="Calibri" w:eastAsia="Calibri" w:hAnsi="Calibri" w:cs="Calibri"/>
          <w:lang w:val="en-GB"/>
        </w:rPr>
        <w:t>discussed</w:t>
      </w:r>
      <w:r w:rsidR="009C406C">
        <w:rPr>
          <w:rFonts w:ascii="Calibri" w:eastAsia="Calibri" w:hAnsi="Calibri" w:cs="Calibri"/>
          <w:lang w:val="en-GB"/>
        </w:rPr>
        <w:t>, such as its poverty and high number of residents</w:t>
      </w:r>
      <w:r w:rsidRPr="00381C71">
        <w:rPr>
          <w:rFonts w:ascii="Calibri" w:eastAsia="Calibri" w:hAnsi="Calibri" w:cs="Calibri"/>
          <w:lang w:val="en-GB"/>
        </w:rPr>
        <w:t>, but also the religious and political affiliation</w:t>
      </w:r>
      <w:r>
        <w:rPr>
          <w:rFonts w:ascii="Calibri" w:eastAsia="Calibri" w:hAnsi="Calibri" w:cs="Calibri"/>
          <w:lang w:val="en-GB"/>
        </w:rPr>
        <w:t>s</w:t>
      </w:r>
      <w:r w:rsidRPr="00381C71">
        <w:rPr>
          <w:rFonts w:ascii="Calibri" w:eastAsia="Calibri" w:hAnsi="Calibri" w:cs="Calibri"/>
          <w:lang w:val="en-GB"/>
        </w:rPr>
        <w:t xml:space="preserve"> of </w:t>
      </w:r>
      <w:r>
        <w:rPr>
          <w:rFonts w:ascii="Calibri" w:eastAsia="Calibri" w:hAnsi="Calibri" w:cs="Calibri"/>
          <w:lang w:val="en-GB"/>
        </w:rPr>
        <w:t>the majority of the inhabitants</w:t>
      </w:r>
      <w:r w:rsidR="009C406C">
        <w:rPr>
          <w:rFonts w:ascii="Calibri" w:eastAsia="Calibri" w:hAnsi="Calibri" w:cs="Calibri"/>
          <w:lang w:val="en-GB"/>
        </w:rPr>
        <w:t>: Shia Muslims who support Hezbollah</w:t>
      </w:r>
      <w:r>
        <w:rPr>
          <w:rFonts w:ascii="Calibri" w:eastAsia="Calibri" w:hAnsi="Calibri" w:cs="Calibri"/>
          <w:lang w:val="en-GB"/>
        </w:rPr>
        <w:t xml:space="preserve">. </w:t>
      </w:r>
      <w:r w:rsidRPr="00381C71">
        <w:rPr>
          <w:rFonts w:ascii="Calibri" w:eastAsia="Calibri" w:hAnsi="Calibri" w:cs="Calibri"/>
          <w:lang w:val="en-GB"/>
        </w:rPr>
        <w:t>Compared to the description of the places of attack in Paris, this is surprising. Nowhere in the articles analysed are the</w:t>
      </w:r>
      <w:r w:rsidR="005A1827">
        <w:rPr>
          <w:rFonts w:ascii="Calibri" w:eastAsia="Calibri" w:hAnsi="Calibri" w:cs="Calibri"/>
          <w:lang w:val="en-GB"/>
        </w:rPr>
        <w:t xml:space="preserve"> religious or</w:t>
      </w:r>
      <w:r w:rsidRPr="00381C71">
        <w:rPr>
          <w:rFonts w:ascii="Calibri" w:eastAsia="Calibri" w:hAnsi="Calibri" w:cs="Calibri"/>
          <w:lang w:val="en-GB"/>
        </w:rPr>
        <w:t xml:space="preserve"> political affiliations of the inhabitant</w:t>
      </w:r>
      <w:r w:rsidR="005A1827">
        <w:rPr>
          <w:rFonts w:ascii="Calibri" w:eastAsia="Calibri" w:hAnsi="Calibri" w:cs="Calibri"/>
          <w:lang w:val="en-GB"/>
        </w:rPr>
        <w:t>s</w:t>
      </w:r>
      <w:r w:rsidRPr="00381C71">
        <w:rPr>
          <w:rFonts w:ascii="Calibri" w:eastAsia="Calibri" w:hAnsi="Calibri" w:cs="Calibri"/>
          <w:lang w:val="en-GB"/>
        </w:rPr>
        <w:t xml:space="preserve"> mentioned</w:t>
      </w:r>
      <w:r w:rsidR="005A1827">
        <w:rPr>
          <w:rFonts w:ascii="Calibri" w:eastAsia="Calibri" w:hAnsi="Calibri" w:cs="Calibri"/>
          <w:lang w:val="en-GB"/>
        </w:rPr>
        <w:t>,</w:t>
      </w:r>
      <w:r w:rsidRPr="00381C71">
        <w:rPr>
          <w:rFonts w:ascii="Calibri" w:eastAsia="Calibri" w:hAnsi="Calibri" w:cs="Calibri"/>
          <w:lang w:val="en-GB"/>
        </w:rPr>
        <w:t xml:space="preserve"> </w:t>
      </w:r>
      <w:r w:rsidR="005A1827">
        <w:rPr>
          <w:rFonts w:ascii="Calibri" w:eastAsia="Calibri" w:hAnsi="Calibri" w:cs="Calibri"/>
          <w:lang w:val="en-GB"/>
        </w:rPr>
        <w:t>b</w:t>
      </w:r>
      <w:r>
        <w:rPr>
          <w:rFonts w:ascii="Calibri" w:eastAsia="Calibri" w:hAnsi="Calibri" w:cs="Calibri"/>
          <w:lang w:val="en-GB"/>
        </w:rPr>
        <w:t>esides one article about the Musli</w:t>
      </w:r>
      <w:r w:rsidRPr="00381C71">
        <w:rPr>
          <w:rFonts w:ascii="Calibri" w:eastAsia="Calibri" w:hAnsi="Calibri" w:cs="Calibri"/>
          <w:lang w:val="en-GB"/>
        </w:rPr>
        <w:t xml:space="preserve">m </w:t>
      </w:r>
      <w:r w:rsidR="005A1827">
        <w:rPr>
          <w:rFonts w:ascii="Calibri" w:eastAsia="Calibri" w:hAnsi="Calibri" w:cs="Calibri"/>
          <w:lang w:val="en-GB"/>
        </w:rPr>
        <w:t>victims</w:t>
      </w:r>
      <w:r w:rsidRPr="00381C71">
        <w:rPr>
          <w:rFonts w:ascii="Calibri" w:eastAsia="Calibri" w:hAnsi="Calibri" w:cs="Calibri"/>
          <w:lang w:val="en-GB"/>
        </w:rPr>
        <w:t>. Instead, the names of the streets or venues were written down; the Bataclan theatre, Boulevard de Charonne, Boulevard Voltaire, Rue de la Fontaine au Roi, Rue Alibert, Stade de France stadium,</w:t>
      </w:r>
      <w:r w:rsidR="009C406C">
        <w:rPr>
          <w:rFonts w:ascii="Calibri" w:eastAsia="Calibri" w:hAnsi="Calibri" w:cs="Calibri"/>
          <w:lang w:val="en-GB"/>
        </w:rPr>
        <w:t xml:space="preserve"> and the</w:t>
      </w:r>
      <w:r w:rsidRPr="00381C71">
        <w:rPr>
          <w:rFonts w:ascii="Calibri" w:eastAsia="Calibri" w:hAnsi="Calibri" w:cs="Calibri"/>
          <w:lang w:val="en-GB"/>
        </w:rPr>
        <w:t xml:space="preserve"> terrace of restaurant Le Petit Cambodge. All in the “French capital” </w:t>
      </w:r>
      <w:r w:rsidR="00081C68">
        <w:rPr>
          <w:rFonts w:ascii="Calibri" w:eastAsia="Calibri" w:hAnsi="Calibri" w:cs="Calibri"/>
          <w:lang w:val="en-GB"/>
        </w:rPr>
        <w:t>–</w:t>
      </w:r>
      <w:r w:rsidRPr="00381C71">
        <w:rPr>
          <w:rFonts w:ascii="Calibri" w:eastAsia="Calibri" w:hAnsi="Calibri" w:cs="Calibri"/>
          <w:lang w:val="en-GB"/>
        </w:rPr>
        <w:t xml:space="preserve"> a type of de</w:t>
      </w:r>
      <w:r w:rsidR="00081C68">
        <w:rPr>
          <w:rFonts w:ascii="Calibri" w:eastAsia="Calibri" w:hAnsi="Calibri" w:cs="Calibri"/>
          <w:lang w:val="en-GB"/>
        </w:rPr>
        <w:t>scription analogous to that</w:t>
      </w:r>
      <w:r w:rsidRPr="00381C71">
        <w:rPr>
          <w:rFonts w:ascii="Calibri" w:eastAsia="Calibri" w:hAnsi="Calibri" w:cs="Calibri"/>
          <w:lang w:val="en-GB"/>
        </w:rPr>
        <w:t xml:space="preserve"> of Beirut. </w:t>
      </w:r>
    </w:p>
    <w:p w14:paraId="5AA33CDF" w14:textId="04FF5A7D" w:rsidR="00A24E70" w:rsidRPr="00081C68" w:rsidRDefault="00081C68" w:rsidP="00081C68">
      <w:pPr>
        <w:spacing w:after="0" w:line="360" w:lineRule="auto"/>
        <w:ind w:firstLine="720"/>
        <w:jc w:val="both"/>
        <w:rPr>
          <w:rFonts w:ascii="Calibri" w:eastAsia="Calibri" w:hAnsi="Calibri" w:cs="Calibri"/>
          <w:lang w:val="en-GB"/>
        </w:rPr>
      </w:pPr>
      <w:r>
        <w:rPr>
          <w:rFonts w:ascii="Calibri" w:eastAsia="Calibri" w:hAnsi="Calibri" w:cs="Calibri"/>
          <w:lang w:val="en-GB"/>
        </w:rPr>
        <w:t>With regard to</w:t>
      </w:r>
      <w:r w:rsidR="00A24E70" w:rsidRPr="00381C71">
        <w:rPr>
          <w:rFonts w:ascii="Calibri" w:eastAsia="Calibri" w:hAnsi="Calibri" w:cs="Calibri"/>
          <w:lang w:val="en-GB"/>
        </w:rPr>
        <w:t xml:space="preserve"> the scenes in Paris and in Beirut after the attacks</w:t>
      </w:r>
      <w:r>
        <w:rPr>
          <w:rFonts w:ascii="Calibri" w:eastAsia="Calibri" w:hAnsi="Calibri" w:cs="Calibri"/>
          <w:lang w:val="en-GB"/>
        </w:rPr>
        <w:t>, the articles</w:t>
      </w:r>
      <w:r w:rsidR="00A24E70">
        <w:rPr>
          <w:rFonts w:ascii="Calibri" w:eastAsia="Calibri" w:hAnsi="Calibri" w:cs="Calibri"/>
          <w:lang w:val="en-GB"/>
        </w:rPr>
        <w:t xml:space="preserve"> </w:t>
      </w:r>
      <w:r>
        <w:rPr>
          <w:rFonts w:ascii="Calibri" w:eastAsia="Calibri" w:hAnsi="Calibri" w:cs="Calibri"/>
          <w:lang w:val="en-GB"/>
        </w:rPr>
        <w:t>focus on the following aspects. For Paris,</w:t>
      </w:r>
      <w:r w:rsidR="00A24E70" w:rsidRPr="00381C71">
        <w:rPr>
          <w:rFonts w:ascii="Calibri" w:eastAsia="Calibri" w:hAnsi="Calibri" w:cs="Calibri"/>
          <w:lang w:val="en-GB"/>
        </w:rPr>
        <w:t xml:space="preserve"> the texts highlight the emotions of the people walking around, the vigils, the signs of </w:t>
      </w:r>
      <w:r w:rsidR="00A24E70" w:rsidRPr="00381C71">
        <w:rPr>
          <w:rFonts w:ascii="Calibri" w:eastAsia="Calibri" w:hAnsi="Calibri" w:cs="Calibri"/>
          <w:lang w:val="en-GB"/>
        </w:rPr>
        <w:lastRenderedPageBreak/>
        <w:t>people mourning for the victims, and the atmosphere. One of the articles eloquently summarises the description of the impact, titled “Sorrow, despair and anger as Paris absorbs aftermath of terror attacks” (Willsher, Harding, and Graham-Harrison, 2015). The texts describe how the people “who wanted to honour the dead stopped, fell quiet, bowed their head” (</w:t>
      </w:r>
      <w:r w:rsidR="00A24E70">
        <w:rPr>
          <w:rFonts w:ascii="Calibri" w:eastAsia="Calibri" w:hAnsi="Calibri" w:cs="Calibri"/>
          <w:lang w:val="en-GB"/>
        </w:rPr>
        <w:t>2015, para. 3</w:t>
      </w:r>
      <w:r w:rsidR="00A24E70" w:rsidRPr="00381C71">
        <w:rPr>
          <w:rFonts w:ascii="Calibri" w:eastAsia="Calibri" w:hAnsi="Calibri" w:cs="Calibri"/>
          <w:lang w:val="en-GB"/>
        </w:rPr>
        <w:t>). Figurative words reported the atmosphere: there was “no respite from crushing despair”, “anguish for those</w:t>
      </w:r>
      <w:r w:rsidR="00A24E70">
        <w:rPr>
          <w:rFonts w:ascii="Calibri" w:eastAsia="Calibri" w:hAnsi="Calibri" w:cs="Calibri"/>
          <w:lang w:val="en-GB"/>
        </w:rPr>
        <w:t xml:space="preserve"> still</w:t>
      </w:r>
      <w:r w:rsidR="00A24E70" w:rsidRPr="00381C71">
        <w:rPr>
          <w:rFonts w:ascii="Calibri" w:eastAsia="Calibri" w:hAnsi="Calibri" w:cs="Calibri"/>
          <w:lang w:val="en-GB"/>
        </w:rPr>
        <w:t xml:space="preserve"> waiting for news”, a steady stream of people who came to lay flowers and light candles, and a “desolate mood” (</w:t>
      </w:r>
      <w:r w:rsidR="00A24E70">
        <w:rPr>
          <w:rFonts w:ascii="Calibri" w:eastAsia="Calibri" w:hAnsi="Calibri" w:cs="Calibri"/>
          <w:lang w:val="en-GB"/>
        </w:rPr>
        <w:t>2015</w:t>
      </w:r>
      <w:r>
        <w:rPr>
          <w:rFonts w:ascii="Calibri" w:eastAsia="Calibri" w:hAnsi="Calibri" w:cs="Calibri"/>
          <w:lang w:val="en-GB"/>
        </w:rPr>
        <w:t>,</w:t>
      </w:r>
      <w:r w:rsidR="00A24E70">
        <w:rPr>
          <w:rFonts w:ascii="Calibri" w:eastAsia="Calibri" w:hAnsi="Calibri" w:cs="Calibri"/>
          <w:lang w:val="en-GB"/>
        </w:rPr>
        <w:t xml:space="preserve"> para. 11, 12, 27)</w:t>
      </w:r>
      <w:r w:rsidR="00A24E70" w:rsidRPr="00381C71">
        <w:rPr>
          <w:rFonts w:ascii="Calibri" w:eastAsia="Calibri" w:hAnsi="Calibri" w:cs="Calibri"/>
          <w:lang w:val="en-GB"/>
        </w:rPr>
        <w:t>.</w:t>
      </w:r>
      <w:r w:rsidR="00A24E70">
        <w:rPr>
          <w:rFonts w:ascii="Calibri" w:eastAsia="Calibri" w:hAnsi="Calibri" w:cs="Calibri"/>
          <w:lang w:val="en-GB"/>
        </w:rPr>
        <w:t xml:space="preserve"> Nevertheless, the Monday after the attacks life also went on, showing, according to Paris’ mayor Anne Hidalgo, that Paris was “still on its feet” (Willsher, Harding, and Graham-Harrison, 2015, para. 28). </w:t>
      </w:r>
      <w:r w:rsidR="00A24E70" w:rsidRPr="00381C71">
        <w:rPr>
          <w:rFonts w:ascii="Calibri" w:eastAsia="Calibri" w:hAnsi="Calibri" w:cs="Calibri"/>
          <w:lang w:val="en-GB"/>
        </w:rPr>
        <w:t>In the articles on Beirut, comparable figurative speech was published. O</w:t>
      </w:r>
      <w:r w:rsidR="00A24E70">
        <w:rPr>
          <w:rFonts w:ascii="Calibri" w:eastAsia="Calibri" w:hAnsi="Calibri" w:cs="Calibri"/>
          <w:lang w:val="en-GB"/>
        </w:rPr>
        <w:t xml:space="preserve">ne </w:t>
      </w:r>
      <w:r w:rsidR="002B6E5C">
        <w:rPr>
          <w:rFonts w:ascii="Calibri" w:eastAsia="Calibri" w:hAnsi="Calibri" w:cs="Calibri"/>
          <w:lang w:val="en-GB"/>
        </w:rPr>
        <w:t>reporter</w:t>
      </w:r>
      <w:r w:rsidR="00A24E70">
        <w:rPr>
          <w:rFonts w:ascii="Calibri" w:eastAsia="Calibri" w:hAnsi="Calibri" w:cs="Calibri"/>
          <w:lang w:val="en-GB"/>
        </w:rPr>
        <w:t xml:space="preserve"> wrote about the “grief</w:t>
      </w:r>
      <w:r w:rsidR="00A24E70" w:rsidRPr="00381C71">
        <w:rPr>
          <w:rFonts w:ascii="Calibri" w:eastAsia="Calibri" w:hAnsi="Calibri" w:cs="Calibri"/>
          <w:lang w:val="en-GB"/>
        </w:rPr>
        <w:t xml:space="preserve"> echoed in the darke</w:t>
      </w:r>
      <w:r w:rsidR="00A24E70">
        <w:rPr>
          <w:rFonts w:ascii="Calibri" w:eastAsia="Calibri" w:hAnsi="Calibri" w:cs="Calibri"/>
          <w:lang w:val="en-GB"/>
        </w:rPr>
        <w:t>ned skies and intermittent rain</w:t>
      </w:r>
      <w:r w:rsidR="00A24E70" w:rsidRPr="00381C71">
        <w:rPr>
          <w:rFonts w:ascii="Calibri" w:eastAsia="Calibri" w:hAnsi="Calibri" w:cs="Calibri"/>
          <w:lang w:val="en-GB"/>
        </w:rPr>
        <w:t>” (Shaheen, 2015b</w:t>
      </w:r>
      <w:r w:rsidR="00A24E70">
        <w:rPr>
          <w:rFonts w:ascii="Calibri" w:eastAsia="Calibri" w:hAnsi="Calibri" w:cs="Calibri"/>
          <w:lang w:val="en-GB"/>
        </w:rPr>
        <w:t>, para. 1</w:t>
      </w:r>
      <w:r w:rsidR="00A24E70" w:rsidRPr="00381C71">
        <w:rPr>
          <w:rFonts w:ascii="Calibri" w:eastAsia="Calibri" w:hAnsi="Calibri" w:cs="Calibri"/>
          <w:lang w:val="en-GB"/>
        </w:rPr>
        <w:t>). There was “sadness”, “tense resignation”, and mourning, but life also went on (</w:t>
      </w:r>
      <w:r w:rsidR="00A24E70">
        <w:rPr>
          <w:rFonts w:ascii="Calibri" w:eastAsia="Calibri" w:hAnsi="Calibri" w:cs="Calibri"/>
          <w:lang w:val="en-GB"/>
        </w:rPr>
        <w:t>2015b, para. 1, 18</w:t>
      </w:r>
      <w:r w:rsidR="00A24E70" w:rsidRPr="00381C71">
        <w:rPr>
          <w:rFonts w:ascii="Calibri" w:eastAsia="Calibri" w:hAnsi="Calibri" w:cs="Calibri"/>
          <w:lang w:val="en-GB"/>
        </w:rPr>
        <w:t xml:space="preserve">). The street where the attack took place was alive with traffic, although the buildings themselves were broken. </w:t>
      </w:r>
      <w:r>
        <w:rPr>
          <w:rFonts w:ascii="Calibri" w:eastAsia="Calibri" w:hAnsi="Calibri" w:cs="Calibri"/>
          <w:lang w:val="en-GB"/>
        </w:rPr>
        <w:t>However, the amount of attention paid to details in the environment was higher for Beirut than for Paris</w:t>
      </w:r>
      <w:r w:rsidR="00A24E70" w:rsidRPr="00381C71">
        <w:rPr>
          <w:rFonts w:ascii="Calibri" w:eastAsia="Calibri" w:hAnsi="Calibri" w:cs="Calibri"/>
          <w:lang w:val="en-GB"/>
        </w:rPr>
        <w:t>. Destruction, broken glass, broken balconies, debris, and rain-soaked asphalt were all part of the "chaos" in the district, where “forensic science experts dressed in white” walked around together with the security forces (Associated Press in Beirut, 2015</w:t>
      </w:r>
      <w:r w:rsidR="00A24E70">
        <w:rPr>
          <w:rFonts w:ascii="Calibri" w:eastAsia="Calibri" w:hAnsi="Calibri" w:cs="Calibri"/>
          <w:lang w:val="en-GB"/>
        </w:rPr>
        <w:t>, para. 10</w:t>
      </w:r>
      <w:r w:rsidR="00A24E70" w:rsidRPr="00381C71">
        <w:rPr>
          <w:rFonts w:ascii="Calibri" w:eastAsia="Calibri" w:hAnsi="Calibri" w:cs="Calibri"/>
          <w:lang w:val="en-GB"/>
        </w:rPr>
        <w:t>).</w:t>
      </w:r>
      <w:r>
        <w:rPr>
          <w:rFonts w:ascii="Calibri" w:eastAsia="Calibri" w:hAnsi="Calibri" w:cs="Calibri"/>
          <w:lang w:val="en-GB"/>
        </w:rPr>
        <w:t xml:space="preserve"> Although some of the scenes in Paris must have looked similar, there were no paragraphs illustrating how for example the Bataclan looked. </w:t>
      </w:r>
    </w:p>
    <w:p w14:paraId="696138C7" w14:textId="0F355E33" w:rsidR="00B549D5" w:rsidRDefault="00A24E70" w:rsidP="00C101A4">
      <w:pPr>
        <w:spacing w:after="0" w:line="360" w:lineRule="auto"/>
        <w:ind w:firstLine="720"/>
        <w:jc w:val="both"/>
        <w:rPr>
          <w:rFonts w:ascii="Calibri" w:eastAsia="Calibri" w:hAnsi="Calibri" w:cs="Calibri"/>
          <w:lang w:val="en-GB"/>
        </w:rPr>
      </w:pPr>
      <w:r>
        <w:rPr>
          <w:rFonts w:ascii="Calibri" w:eastAsia="Calibri" w:hAnsi="Calibri" w:cs="Calibri"/>
          <w:lang w:val="en-GB"/>
        </w:rPr>
        <w:t xml:space="preserve">All in all, </w:t>
      </w:r>
      <w:r w:rsidR="00081C68">
        <w:rPr>
          <w:rFonts w:ascii="Calibri" w:eastAsia="Calibri" w:hAnsi="Calibri" w:cs="Calibri"/>
          <w:lang w:val="en-GB"/>
        </w:rPr>
        <w:t>a</w:t>
      </w:r>
      <w:r w:rsidRPr="00381C71">
        <w:rPr>
          <w:rFonts w:ascii="Calibri" w:eastAsia="Calibri" w:hAnsi="Calibri" w:cs="Calibri"/>
          <w:lang w:val="en-GB"/>
        </w:rPr>
        <w:t>s with the description of the victims, the variance lies mostly in the focus. Whereas for Paris the resulting emotions are emphasised, in Beirut the physical effects are underlined.</w:t>
      </w:r>
      <w:r>
        <w:rPr>
          <w:rFonts w:ascii="Calibri" w:eastAsia="Calibri" w:hAnsi="Calibri" w:cs="Calibri"/>
          <w:lang w:val="en-GB"/>
        </w:rPr>
        <w:t xml:space="preserve"> It seems as if no descri</w:t>
      </w:r>
      <w:r w:rsidR="00081C68">
        <w:rPr>
          <w:rFonts w:ascii="Calibri" w:eastAsia="Calibri" w:hAnsi="Calibri" w:cs="Calibri"/>
          <w:lang w:val="en-GB"/>
        </w:rPr>
        <w:t xml:space="preserve">ption of the damage done to the venues in Paris </w:t>
      </w:r>
      <w:r>
        <w:rPr>
          <w:rFonts w:ascii="Calibri" w:eastAsia="Calibri" w:hAnsi="Calibri" w:cs="Calibri"/>
          <w:lang w:val="en-GB"/>
        </w:rPr>
        <w:t xml:space="preserve">is needed, nor a description of the characteristics of the neighbourhood. This may indeed be irrelevant for an article focused on the attacks and the victims. Yet why then would it be relevant to describe these characteristics in Beirut? One argument could be that the readers of the Guardian do not have an image of Beirut as they do of Paris. But it is unlikely that the image of either place is correct: Paris has a wide variety of districts with different demographics, as does Beirut. Moreover, the fact that the neighbourhood where the </w:t>
      </w:r>
      <w:r w:rsidR="009C406C">
        <w:rPr>
          <w:rFonts w:ascii="Calibri" w:eastAsia="Calibri" w:hAnsi="Calibri" w:cs="Calibri"/>
          <w:lang w:val="en-GB"/>
        </w:rPr>
        <w:t>Beirut attacks</w:t>
      </w:r>
      <w:r>
        <w:rPr>
          <w:rFonts w:ascii="Calibri" w:eastAsia="Calibri" w:hAnsi="Calibri" w:cs="Calibri"/>
          <w:lang w:val="en-GB"/>
        </w:rPr>
        <w:t xml:space="preserve"> took place is poor does not tell us anything about the personalities of the people whose lives were lost. Nor does the alleged </w:t>
      </w:r>
      <w:r w:rsidR="00081C68">
        <w:rPr>
          <w:rFonts w:ascii="Calibri" w:eastAsia="Calibri" w:hAnsi="Calibri" w:cs="Calibri"/>
          <w:lang w:val="en-GB"/>
        </w:rPr>
        <w:t>sympathy of a majority</w:t>
      </w:r>
      <w:r>
        <w:rPr>
          <w:rFonts w:ascii="Calibri" w:eastAsia="Calibri" w:hAnsi="Calibri" w:cs="Calibri"/>
          <w:lang w:val="en-GB"/>
        </w:rPr>
        <w:t xml:space="preserve"> with Hezbollah</w:t>
      </w:r>
      <w:r w:rsidR="00081C68">
        <w:rPr>
          <w:rFonts w:ascii="Calibri" w:eastAsia="Calibri" w:hAnsi="Calibri" w:cs="Calibri"/>
          <w:lang w:val="en-GB"/>
        </w:rPr>
        <w:t>, as it is unclear if the victims themselves supported this group</w:t>
      </w:r>
      <w:r>
        <w:rPr>
          <w:rFonts w:ascii="Calibri" w:eastAsia="Calibri" w:hAnsi="Calibri" w:cs="Calibri"/>
          <w:lang w:val="en-GB"/>
        </w:rPr>
        <w:t>. As has been ar</w:t>
      </w:r>
      <w:r w:rsidR="00081C68">
        <w:rPr>
          <w:rFonts w:ascii="Calibri" w:eastAsia="Calibri" w:hAnsi="Calibri" w:cs="Calibri"/>
          <w:lang w:val="en-GB"/>
        </w:rPr>
        <w:t>gued by social media users, the</w:t>
      </w:r>
      <w:r>
        <w:rPr>
          <w:rFonts w:ascii="Calibri" w:eastAsia="Calibri" w:hAnsi="Calibri" w:cs="Calibri"/>
          <w:lang w:val="en-GB"/>
        </w:rPr>
        <w:t xml:space="preserve"> focus on Hezbollah may </w:t>
      </w:r>
      <w:r w:rsidR="00081C68">
        <w:rPr>
          <w:rFonts w:ascii="Calibri" w:eastAsia="Calibri" w:hAnsi="Calibri" w:cs="Calibri"/>
          <w:lang w:val="en-GB"/>
        </w:rPr>
        <w:t>make</w:t>
      </w:r>
      <w:r>
        <w:rPr>
          <w:rFonts w:ascii="Calibri" w:eastAsia="Calibri" w:hAnsi="Calibri" w:cs="Calibri"/>
          <w:lang w:val="en-GB"/>
        </w:rPr>
        <w:t xml:space="preserve"> the attacks in Beirut </w:t>
      </w:r>
      <w:r w:rsidR="00081C68">
        <w:rPr>
          <w:rFonts w:ascii="Calibri" w:eastAsia="Calibri" w:hAnsi="Calibri" w:cs="Calibri"/>
          <w:lang w:val="en-GB"/>
        </w:rPr>
        <w:t xml:space="preserve">seem </w:t>
      </w:r>
      <w:r>
        <w:rPr>
          <w:rFonts w:ascii="Calibri" w:eastAsia="Calibri" w:hAnsi="Calibri" w:cs="Calibri"/>
          <w:lang w:val="en-GB"/>
        </w:rPr>
        <w:t xml:space="preserve">less surprising, as if it was expected, even though Burj al-Burujneh is widely diverse in its residents. </w:t>
      </w:r>
      <w:r w:rsidR="009C406C">
        <w:rPr>
          <w:rFonts w:ascii="Calibri" w:eastAsia="Calibri" w:hAnsi="Calibri" w:cs="Calibri"/>
          <w:lang w:val="en-GB"/>
        </w:rPr>
        <w:t>In general, i</w:t>
      </w:r>
      <w:r>
        <w:rPr>
          <w:rFonts w:ascii="Calibri" w:eastAsia="Calibri" w:hAnsi="Calibri" w:cs="Calibri"/>
          <w:lang w:val="en-GB"/>
        </w:rPr>
        <w:t>t is a relevant feature</w:t>
      </w:r>
      <w:r w:rsidR="00081C68">
        <w:rPr>
          <w:rFonts w:ascii="Calibri" w:eastAsia="Calibri" w:hAnsi="Calibri" w:cs="Calibri"/>
          <w:lang w:val="en-GB"/>
        </w:rPr>
        <w:t>,</w:t>
      </w:r>
      <w:r>
        <w:rPr>
          <w:rFonts w:ascii="Calibri" w:eastAsia="Calibri" w:hAnsi="Calibri" w:cs="Calibri"/>
          <w:lang w:val="en-GB"/>
        </w:rPr>
        <w:t xml:space="preserve"> as Isis claimed this was one of the reasons the neighbourhood was targeted (Hezbollah has been actively fighting against Isis in Syria). Nevertheless, the </w:t>
      </w:r>
      <w:r w:rsidR="00081C68">
        <w:rPr>
          <w:rFonts w:ascii="Calibri" w:eastAsia="Calibri" w:hAnsi="Calibri" w:cs="Calibri"/>
          <w:lang w:val="en-GB"/>
        </w:rPr>
        <w:t xml:space="preserve">presence of </w:t>
      </w:r>
      <w:r>
        <w:rPr>
          <w:rFonts w:ascii="Calibri" w:eastAsia="Calibri" w:hAnsi="Calibri" w:cs="Calibri"/>
          <w:lang w:val="en-GB"/>
        </w:rPr>
        <w:t>Hezbollah was mentioned in each article, while Isis’ claim</w:t>
      </w:r>
      <w:r w:rsidR="009C406C">
        <w:rPr>
          <w:rFonts w:ascii="Calibri" w:eastAsia="Calibri" w:hAnsi="Calibri" w:cs="Calibri"/>
          <w:lang w:val="en-GB"/>
        </w:rPr>
        <w:t xml:space="preserve">, which </w:t>
      </w:r>
      <w:r w:rsidR="00081C68">
        <w:rPr>
          <w:rFonts w:ascii="Calibri" w:eastAsia="Calibri" w:hAnsi="Calibri" w:cs="Calibri"/>
          <w:lang w:val="en-GB"/>
        </w:rPr>
        <w:t>made the mentioning of Hezbollah</w:t>
      </w:r>
      <w:r>
        <w:rPr>
          <w:rFonts w:ascii="Calibri" w:eastAsia="Calibri" w:hAnsi="Calibri" w:cs="Calibri"/>
          <w:lang w:val="en-GB"/>
        </w:rPr>
        <w:t xml:space="preserve"> relevant</w:t>
      </w:r>
      <w:r w:rsidR="009C406C">
        <w:rPr>
          <w:rFonts w:ascii="Calibri" w:eastAsia="Calibri" w:hAnsi="Calibri" w:cs="Calibri"/>
          <w:lang w:val="en-GB"/>
        </w:rPr>
        <w:t>,</w:t>
      </w:r>
      <w:r>
        <w:rPr>
          <w:rFonts w:ascii="Calibri" w:eastAsia="Calibri" w:hAnsi="Calibri" w:cs="Calibri"/>
          <w:lang w:val="en-GB"/>
        </w:rPr>
        <w:t xml:space="preserve"> only appeared in two of them, of which in one only at the end. This contrasts with the articles on Paris, where France’s involvement in the war against Isis did not feature prominently</w:t>
      </w:r>
      <w:r w:rsidR="002B6E5C">
        <w:rPr>
          <w:rFonts w:ascii="Calibri" w:eastAsia="Calibri" w:hAnsi="Calibri" w:cs="Calibri"/>
          <w:lang w:val="en-GB"/>
        </w:rPr>
        <w:t xml:space="preserve">, even though it was </w:t>
      </w:r>
      <w:r w:rsidR="009C406C">
        <w:rPr>
          <w:rFonts w:ascii="Calibri" w:eastAsia="Calibri" w:hAnsi="Calibri" w:cs="Calibri"/>
          <w:lang w:val="en-GB"/>
        </w:rPr>
        <w:t xml:space="preserve">also </w:t>
      </w:r>
      <w:r w:rsidR="002B6E5C">
        <w:rPr>
          <w:rFonts w:ascii="Calibri" w:eastAsia="Calibri" w:hAnsi="Calibri" w:cs="Calibri"/>
          <w:lang w:val="en-GB"/>
        </w:rPr>
        <w:t>one of the reasons stated by Isis for its attack</w:t>
      </w:r>
      <w:r>
        <w:rPr>
          <w:rFonts w:ascii="Calibri" w:eastAsia="Calibri" w:hAnsi="Calibri" w:cs="Calibri"/>
          <w:lang w:val="en-GB"/>
        </w:rPr>
        <w:t>. In general, in each article on Beirut the bro</w:t>
      </w:r>
      <w:r w:rsidR="009C406C">
        <w:rPr>
          <w:rFonts w:ascii="Calibri" w:eastAsia="Calibri" w:hAnsi="Calibri" w:cs="Calibri"/>
          <w:lang w:val="en-GB"/>
        </w:rPr>
        <w:t>ader conflict thus returned, while this connection to the broader conflict</w:t>
      </w:r>
      <w:r>
        <w:rPr>
          <w:rFonts w:ascii="Calibri" w:eastAsia="Calibri" w:hAnsi="Calibri" w:cs="Calibri"/>
          <w:lang w:val="en-GB"/>
        </w:rPr>
        <w:t xml:space="preserve"> did not </w:t>
      </w:r>
      <w:r w:rsidR="009C406C">
        <w:rPr>
          <w:rFonts w:ascii="Calibri" w:eastAsia="Calibri" w:hAnsi="Calibri" w:cs="Calibri"/>
          <w:lang w:val="en-GB"/>
        </w:rPr>
        <w:t xml:space="preserve">feature </w:t>
      </w:r>
      <w:r>
        <w:rPr>
          <w:rFonts w:ascii="Calibri" w:eastAsia="Calibri" w:hAnsi="Calibri" w:cs="Calibri"/>
          <w:lang w:val="en-GB"/>
        </w:rPr>
        <w:t xml:space="preserve">in each of the Paris articles. </w:t>
      </w:r>
      <w:r w:rsidR="00C101A4">
        <w:rPr>
          <w:rFonts w:ascii="Calibri" w:eastAsia="Calibri" w:hAnsi="Calibri" w:cs="Calibri"/>
          <w:lang w:val="en-GB"/>
        </w:rPr>
        <w:t xml:space="preserve">The descriptions of the place and scene of </w:t>
      </w:r>
      <w:r w:rsidR="00C101A4">
        <w:rPr>
          <w:rFonts w:ascii="Calibri" w:eastAsia="Calibri" w:hAnsi="Calibri" w:cs="Calibri"/>
          <w:lang w:val="en-GB"/>
        </w:rPr>
        <w:lastRenderedPageBreak/>
        <w:t xml:space="preserve">attack thus seem to confirm all subhypotheses, although not without some reservations. The people of Beirut, when placed together in the broader category of residents of Burj al-Barajneh, are described with demographic, religious, and political labels (A), whereas the residents of Paris are described by focusing on their actions and emotions (D). Nevertheless, the fear and panic residing in Beirut is also mentioned. With regard to hypothesis B, the focus on the broader conflict in which Hezbollah and Isis are involved does indeed connect the inhabitants of Beirut to Isis. Although the broader conflict is also mentioned some times in the articles on Paris, this is only through Isis’ claim of the attack and France’s military involvement in Syria, not through the political affiliations of the inhabitants, confirming hypothesis C. </w:t>
      </w:r>
    </w:p>
    <w:p w14:paraId="0D6B8846" w14:textId="77777777" w:rsidR="00C101A4" w:rsidRPr="00C101A4" w:rsidRDefault="00C101A4" w:rsidP="00C101A4">
      <w:pPr>
        <w:spacing w:after="0" w:line="360" w:lineRule="auto"/>
        <w:ind w:firstLine="720"/>
        <w:jc w:val="both"/>
        <w:rPr>
          <w:rFonts w:ascii="Calibri" w:eastAsia="Calibri" w:hAnsi="Calibri" w:cs="Calibri"/>
          <w:lang w:val="en-GB"/>
        </w:rPr>
      </w:pPr>
    </w:p>
    <w:p w14:paraId="096BE148" w14:textId="4FDD29F4" w:rsidR="007C3962" w:rsidRPr="00907922" w:rsidRDefault="00B549D5" w:rsidP="00E52F0F">
      <w:pPr>
        <w:pStyle w:val="Heading2"/>
        <w:spacing w:line="360" w:lineRule="auto"/>
        <w:jc w:val="both"/>
        <w:rPr>
          <w:lang w:val="en-GB"/>
        </w:rPr>
      </w:pPr>
      <w:bookmarkStart w:id="78" w:name="h.jhynwfiom98t" w:colFirst="0" w:colLast="0"/>
      <w:bookmarkStart w:id="79" w:name="_Toc458983426"/>
      <w:bookmarkEnd w:id="78"/>
      <w:r>
        <w:rPr>
          <w:rFonts w:eastAsia="Calibri" w:cs="Calibri"/>
          <w:lang w:val="en-GB"/>
        </w:rPr>
        <w:t>5</w:t>
      </w:r>
      <w:r w:rsidRPr="00CD7466">
        <w:rPr>
          <w:rFonts w:eastAsia="Calibri" w:cs="Calibri"/>
          <w:lang w:val="en-GB"/>
        </w:rPr>
        <w:t>.</w:t>
      </w:r>
      <w:r w:rsidR="000309DA">
        <w:rPr>
          <w:rFonts w:eastAsia="Calibri" w:cs="Calibri"/>
          <w:lang w:val="en-GB"/>
        </w:rPr>
        <w:t>7</w:t>
      </w:r>
      <w:r w:rsidRPr="00CD7466">
        <w:rPr>
          <w:rFonts w:eastAsia="Calibri" w:cs="Calibri"/>
          <w:lang w:val="en-GB"/>
        </w:rPr>
        <w:t>. Overall analysis</w:t>
      </w:r>
      <w:bookmarkEnd w:id="79"/>
    </w:p>
    <w:p w14:paraId="65D28D71" w14:textId="535FC617" w:rsidR="00742ED3" w:rsidRDefault="00B549D5" w:rsidP="00E52F0F">
      <w:pPr>
        <w:spacing w:after="0" w:line="360" w:lineRule="auto"/>
        <w:ind w:firstLine="720"/>
        <w:jc w:val="both"/>
        <w:rPr>
          <w:rFonts w:ascii="Calibri" w:eastAsia="Calibri" w:hAnsi="Calibri" w:cs="Calibri"/>
          <w:lang w:val="en-GB"/>
        </w:rPr>
      </w:pPr>
      <w:r>
        <w:rPr>
          <w:rFonts w:ascii="Calibri" w:eastAsia="Calibri" w:hAnsi="Calibri" w:cs="Calibri"/>
          <w:lang w:val="en-GB"/>
        </w:rPr>
        <w:t xml:space="preserve">In accordance with Foucault’s theory, the power relations present in the articles are numerous and complicated. There is no clear ruler versus ruled, superior versus inferior, but rather subtle differences that reinforce easier identification with the people of Paris rather than with the people of Beirut. Simultaneously, there are points in the power network that challenge this discourse, highlighting the similarity of the Beirutians to the people </w:t>
      </w:r>
      <w:r w:rsidR="00A97AAB">
        <w:rPr>
          <w:rFonts w:ascii="Calibri" w:eastAsia="Calibri" w:hAnsi="Calibri" w:cs="Calibri"/>
          <w:lang w:val="en-GB"/>
        </w:rPr>
        <w:t>of Paris</w:t>
      </w:r>
      <w:r>
        <w:rPr>
          <w:rFonts w:ascii="Calibri" w:eastAsia="Calibri" w:hAnsi="Calibri" w:cs="Calibri"/>
          <w:lang w:val="en-GB"/>
        </w:rPr>
        <w:t xml:space="preserve">. Nevertheless, most fragments in the articles reinforce a certain discourse – and thus certain power relations – by focusing on different aspects. </w:t>
      </w:r>
      <w:r w:rsidRPr="00381C71">
        <w:rPr>
          <w:rFonts w:ascii="Calibri" w:eastAsia="Calibri" w:hAnsi="Calibri" w:cs="Calibri"/>
          <w:lang w:val="en-GB"/>
        </w:rPr>
        <w:t>Whereas the focus in the Paris articles lies with the personalities of the victims and the emotions of their relatives and fellow-residents of Paris</w:t>
      </w:r>
      <w:r w:rsidR="00A8364C">
        <w:rPr>
          <w:rFonts w:ascii="Calibri" w:eastAsia="Calibri" w:hAnsi="Calibri" w:cs="Calibri"/>
          <w:lang w:val="en-GB"/>
        </w:rPr>
        <w:t xml:space="preserve"> (confirming hypothesis D)</w:t>
      </w:r>
      <w:r w:rsidRPr="00381C71">
        <w:rPr>
          <w:rFonts w:ascii="Calibri" w:eastAsia="Calibri" w:hAnsi="Calibri" w:cs="Calibri"/>
          <w:lang w:val="en-GB"/>
        </w:rPr>
        <w:t>, the attention in the Beirut articles is placed on the physical effects of the attacks: the bodies, the blood, the damage to the buildings and street.</w:t>
      </w:r>
      <w:r w:rsidR="00A97AAB">
        <w:rPr>
          <w:rFonts w:ascii="Calibri" w:eastAsia="Calibri" w:hAnsi="Calibri" w:cs="Calibri"/>
          <w:lang w:val="en-GB"/>
        </w:rPr>
        <w:t xml:space="preserve"> I</w:t>
      </w:r>
      <w:r w:rsidRPr="00381C71">
        <w:rPr>
          <w:rFonts w:ascii="Calibri" w:eastAsia="Calibri" w:hAnsi="Calibri" w:cs="Calibri"/>
          <w:lang w:val="en-GB"/>
        </w:rPr>
        <w:t xml:space="preserve">n the article devoted to Adel Termos, the man who saved dozens by </w:t>
      </w:r>
      <w:r w:rsidR="00A97AAB">
        <w:rPr>
          <w:rFonts w:ascii="Calibri" w:eastAsia="Calibri" w:hAnsi="Calibri" w:cs="Calibri"/>
          <w:lang w:val="en-GB"/>
        </w:rPr>
        <w:t>tackling</w:t>
      </w:r>
      <w:r w:rsidRPr="00381C71">
        <w:rPr>
          <w:rFonts w:ascii="Calibri" w:eastAsia="Calibri" w:hAnsi="Calibri" w:cs="Calibri"/>
          <w:lang w:val="en-GB"/>
        </w:rPr>
        <w:t xml:space="preserve"> the second suicide bomber, the major</w:t>
      </w:r>
      <w:r w:rsidR="00A97AAB">
        <w:rPr>
          <w:rFonts w:ascii="Calibri" w:eastAsia="Calibri" w:hAnsi="Calibri" w:cs="Calibri"/>
          <w:lang w:val="en-GB"/>
        </w:rPr>
        <w:t>ity of the paragraphs describe</w:t>
      </w:r>
      <w:r w:rsidRPr="00381C71">
        <w:rPr>
          <w:rFonts w:ascii="Calibri" w:eastAsia="Calibri" w:hAnsi="Calibri" w:cs="Calibri"/>
          <w:lang w:val="en-GB"/>
        </w:rPr>
        <w:t xml:space="preserve"> the surroundings and the actions of Termos at the moment of the attack as reported by his relatives (Shaheen, 2015b).</w:t>
      </w:r>
      <w:r w:rsidRPr="00341DE5">
        <w:rPr>
          <w:rFonts w:ascii="Calibri" w:eastAsia="Calibri" w:hAnsi="Calibri" w:cs="Calibri"/>
          <w:lang w:val="en-GB"/>
        </w:rPr>
        <w:t xml:space="preserve"> </w:t>
      </w:r>
      <w:r w:rsidR="00A8364C">
        <w:rPr>
          <w:rFonts w:ascii="Calibri" w:eastAsia="Calibri" w:hAnsi="Calibri" w:cs="Calibri"/>
          <w:lang w:val="en-GB"/>
        </w:rPr>
        <w:t xml:space="preserve">Moreover, in the descriptions of the residents of the neighbourhood, the articles on Beirut confirmed hypothesis A, classifying the Beirutians according to demographic and political categories. With regard to hypothesis B, part of the articles confirmed it by stating Burj al-Barajneh was a Hezbollah-controlled district, and part rejected it by quoting relatives distinguishing their own interpretation of Islam with that of Isis. The same is true for hypothesis C: although the majority of the victims of Paris are not classified according to religious and/or political affiliations, some Muslim victims were, which reinforces their positions as another, despite that this was probably not the aim of the Guardian. </w:t>
      </w:r>
      <w:r w:rsidR="00742ED3">
        <w:rPr>
          <w:rFonts w:ascii="Calibri" w:eastAsia="Calibri" w:hAnsi="Calibri" w:cs="Calibri"/>
          <w:lang w:val="en-GB"/>
        </w:rPr>
        <w:t>Rather</w:t>
      </w:r>
      <w:r w:rsidR="00A97AAB">
        <w:rPr>
          <w:rFonts w:ascii="Calibri" w:eastAsia="Calibri" w:hAnsi="Calibri" w:cs="Calibri"/>
          <w:lang w:val="en-GB"/>
        </w:rPr>
        <w:t>, the Guardian actively attempts</w:t>
      </w:r>
      <w:r w:rsidR="00742ED3">
        <w:rPr>
          <w:rFonts w:ascii="Calibri" w:eastAsia="Calibri" w:hAnsi="Calibri" w:cs="Calibri"/>
          <w:lang w:val="en-GB"/>
        </w:rPr>
        <w:t xml:space="preserve"> to prevent widening the gap between non-Muslims and Muslims by not using Isis in the headlines of Paris articles nor connecting the attackers to Islam. Moreover, by using the statements of Beirutians, showing their condemnation of the attackers, and their feeling of kinship with the Parisians, the Guardian contributes to the resistance against the gap between these two peoples. In line with Foucault’s theory</w:t>
      </w:r>
      <w:r w:rsidR="00A8364C">
        <w:rPr>
          <w:rFonts w:ascii="Calibri" w:eastAsia="Calibri" w:hAnsi="Calibri" w:cs="Calibri"/>
          <w:lang w:val="en-GB"/>
        </w:rPr>
        <w:t xml:space="preserve">, there were thus both tendencies reinforcing and resisting </w:t>
      </w:r>
      <w:r w:rsidR="00742ED3">
        <w:rPr>
          <w:rFonts w:ascii="Calibri" w:eastAsia="Calibri" w:hAnsi="Calibri" w:cs="Calibri"/>
          <w:lang w:val="en-GB"/>
        </w:rPr>
        <w:t xml:space="preserve">the objectification of the people of Beirut. Nevertheless, most results confirm </w:t>
      </w:r>
      <w:r w:rsidR="00A8364C">
        <w:rPr>
          <w:rFonts w:ascii="Calibri" w:eastAsia="Calibri" w:hAnsi="Calibri" w:cs="Calibri"/>
          <w:lang w:val="en-GB"/>
        </w:rPr>
        <w:t>the second general hypothesis</w:t>
      </w:r>
      <w:r w:rsidR="00742ED3">
        <w:rPr>
          <w:rFonts w:ascii="Calibri" w:eastAsia="Calibri" w:hAnsi="Calibri" w:cs="Calibri"/>
          <w:lang w:val="en-GB"/>
        </w:rPr>
        <w:t>:</w:t>
      </w:r>
      <w:r w:rsidR="00A8364C">
        <w:rPr>
          <w:rFonts w:ascii="Calibri" w:eastAsia="Calibri" w:hAnsi="Calibri" w:cs="Calibri"/>
          <w:lang w:val="en-GB"/>
        </w:rPr>
        <w:t xml:space="preserve"> the people of Beirut are objectified, whereas the people of Paris are humanised</w:t>
      </w:r>
      <w:r w:rsidR="00742ED3">
        <w:rPr>
          <w:rFonts w:ascii="Calibri" w:eastAsia="Calibri" w:hAnsi="Calibri" w:cs="Calibri"/>
          <w:lang w:val="en-GB"/>
        </w:rPr>
        <w:t xml:space="preserve">. </w:t>
      </w:r>
      <w:r w:rsidR="00A8364C">
        <w:rPr>
          <w:rFonts w:ascii="Calibri" w:eastAsia="Calibri" w:hAnsi="Calibri" w:cs="Calibri"/>
          <w:lang w:val="en-GB"/>
        </w:rPr>
        <w:t xml:space="preserve">The subtlety of the </w:t>
      </w:r>
      <w:r w:rsidR="00A8364C">
        <w:rPr>
          <w:rFonts w:ascii="Calibri" w:eastAsia="Calibri" w:hAnsi="Calibri" w:cs="Calibri"/>
          <w:lang w:val="en-GB"/>
        </w:rPr>
        <w:lastRenderedPageBreak/>
        <w:t xml:space="preserve">difference adds to the strength of the power network: it makes it more complicated to notice, and </w:t>
      </w:r>
      <w:r w:rsidR="00A97AAB">
        <w:rPr>
          <w:rFonts w:ascii="Calibri" w:eastAsia="Calibri" w:hAnsi="Calibri" w:cs="Calibri"/>
          <w:lang w:val="en-GB"/>
        </w:rPr>
        <w:t>thus more complicated to challenge</w:t>
      </w:r>
      <w:r w:rsidR="00A8364C">
        <w:rPr>
          <w:rFonts w:ascii="Calibri" w:eastAsia="Calibri" w:hAnsi="Calibri" w:cs="Calibri"/>
          <w:lang w:val="en-GB"/>
        </w:rPr>
        <w:t xml:space="preserve">. </w:t>
      </w:r>
    </w:p>
    <w:p w14:paraId="20535E24" w14:textId="2D3A2E62" w:rsidR="00B549D5" w:rsidRDefault="00B549D5" w:rsidP="00E52F0F">
      <w:pPr>
        <w:spacing w:after="0" w:line="360" w:lineRule="auto"/>
        <w:ind w:firstLine="709"/>
        <w:jc w:val="both"/>
        <w:rPr>
          <w:rFonts w:ascii="Calibri" w:eastAsia="Calibri" w:hAnsi="Calibri" w:cs="Calibri"/>
          <w:lang w:val="en-GB"/>
        </w:rPr>
      </w:pPr>
      <w:r w:rsidRPr="00381C71">
        <w:rPr>
          <w:rFonts w:ascii="Calibri" w:eastAsia="Calibri" w:hAnsi="Calibri" w:cs="Calibri"/>
          <w:lang w:val="en-GB"/>
        </w:rPr>
        <w:t>Several articles (</w:t>
      </w:r>
      <w:r w:rsidR="002B6E5C">
        <w:rPr>
          <w:rFonts w:ascii="Calibri" w:eastAsia="Calibri" w:hAnsi="Calibri" w:cs="Calibri"/>
          <w:lang w:val="en-GB"/>
        </w:rPr>
        <w:t>included in the overall but not the fine analysis</w:t>
      </w:r>
      <w:r w:rsidRPr="00381C71">
        <w:rPr>
          <w:rFonts w:ascii="Calibri" w:eastAsia="Calibri" w:hAnsi="Calibri" w:cs="Calibri"/>
          <w:lang w:val="en-GB"/>
        </w:rPr>
        <w:t>) reacted to the accusation of the difference</w:t>
      </w:r>
      <w:r w:rsidR="00742ED3">
        <w:rPr>
          <w:rFonts w:ascii="Calibri" w:eastAsia="Calibri" w:hAnsi="Calibri" w:cs="Calibri"/>
          <w:lang w:val="en-GB"/>
        </w:rPr>
        <w:t xml:space="preserve"> on social media</w:t>
      </w:r>
      <w:r w:rsidRPr="00381C71">
        <w:rPr>
          <w:rFonts w:ascii="Calibri" w:eastAsia="Calibri" w:hAnsi="Calibri" w:cs="Calibri"/>
          <w:lang w:val="en-GB"/>
        </w:rPr>
        <w:t xml:space="preserve"> by stating that the readers and producers of the Guardian could identify more easily with the people in Paris than those in Beirut</w:t>
      </w:r>
      <w:r w:rsidR="00FB6356">
        <w:rPr>
          <w:rFonts w:ascii="Calibri" w:eastAsia="Calibri" w:hAnsi="Calibri" w:cs="Calibri"/>
          <w:lang w:val="en-GB"/>
        </w:rPr>
        <w:t xml:space="preserve"> (e.g. </w:t>
      </w:r>
      <w:r w:rsidR="00A03062">
        <w:rPr>
          <w:rFonts w:ascii="Calibri" w:eastAsia="Calibri" w:hAnsi="Calibri" w:cs="Calibri"/>
          <w:lang w:val="en-GB"/>
        </w:rPr>
        <w:t>Malik, 2015</w:t>
      </w:r>
      <w:r w:rsidR="00FB6356">
        <w:rPr>
          <w:rFonts w:ascii="Calibri" w:eastAsia="Calibri" w:hAnsi="Calibri" w:cs="Calibri"/>
          <w:lang w:val="en-GB"/>
        </w:rPr>
        <w:t xml:space="preserve">; Malik, </w:t>
      </w:r>
      <w:r w:rsidR="00A03062">
        <w:rPr>
          <w:rFonts w:ascii="Calibri" w:eastAsia="Calibri" w:hAnsi="Calibri" w:cs="Calibri"/>
          <w:lang w:val="en-GB"/>
        </w:rPr>
        <w:t>2016</w:t>
      </w:r>
      <w:r w:rsidR="00FB6356">
        <w:rPr>
          <w:rFonts w:ascii="Calibri" w:eastAsia="Calibri" w:hAnsi="Calibri" w:cs="Calibri"/>
          <w:lang w:val="en-GB"/>
        </w:rPr>
        <w:t xml:space="preserve">; </w:t>
      </w:r>
      <w:r w:rsidR="00A03062">
        <w:rPr>
          <w:rFonts w:ascii="Calibri" w:eastAsia="Calibri" w:hAnsi="Calibri" w:cs="Calibri"/>
          <w:lang w:val="en-GB"/>
        </w:rPr>
        <w:t>Greenslade, 2015)</w:t>
      </w:r>
      <w:r w:rsidRPr="00381C71">
        <w:rPr>
          <w:rFonts w:ascii="Calibri" w:eastAsia="Calibri" w:hAnsi="Calibri" w:cs="Calibri"/>
          <w:lang w:val="en-GB"/>
        </w:rPr>
        <w:t>.</w:t>
      </w:r>
      <w:r w:rsidR="002B6E5C">
        <w:rPr>
          <w:rFonts w:ascii="Calibri" w:eastAsia="Calibri" w:hAnsi="Calibri" w:cs="Calibri"/>
          <w:lang w:val="en-GB"/>
        </w:rPr>
        <w:t xml:space="preserve"> One such article, produced by a neur</w:t>
      </w:r>
      <w:r w:rsidR="00742ED3">
        <w:rPr>
          <w:rFonts w:ascii="Calibri" w:eastAsia="Calibri" w:hAnsi="Calibri" w:cs="Calibri"/>
          <w:lang w:val="en-GB"/>
        </w:rPr>
        <w:t xml:space="preserve">oscientists, was even featured, with </w:t>
      </w:r>
      <w:r w:rsidR="002B6E5C">
        <w:rPr>
          <w:rFonts w:ascii="Calibri" w:eastAsia="Calibri" w:hAnsi="Calibri" w:cs="Calibri"/>
          <w:lang w:val="en-GB"/>
        </w:rPr>
        <w:t xml:space="preserve">the status of the writer as well as the article’s prominent place </w:t>
      </w:r>
      <w:r w:rsidR="00742ED3" w:rsidRPr="00A97AAB">
        <w:rPr>
          <w:rFonts w:ascii="Calibri" w:eastAsia="Calibri" w:hAnsi="Calibri" w:cs="Calibri"/>
          <w:lang w:val="en-GB"/>
        </w:rPr>
        <w:t xml:space="preserve">thus </w:t>
      </w:r>
      <w:r w:rsidR="002B6E5C" w:rsidRPr="00A97AAB">
        <w:rPr>
          <w:rFonts w:ascii="Calibri" w:eastAsia="Calibri" w:hAnsi="Calibri" w:cs="Calibri"/>
          <w:lang w:val="en-GB"/>
        </w:rPr>
        <w:t xml:space="preserve">reinforcing its position (Glaser, 2015). </w:t>
      </w:r>
      <w:r w:rsidRPr="00A97AAB">
        <w:rPr>
          <w:rFonts w:ascii="Calibri" w:eastAsia="Calibri" w:hAnsi="Calibri" w:cs="Calibri"/>
          <w:lang w:val="en-GB"/>
        </w:rPr>
        <w:t>When reviewing this with the power</w:t>
      </w:r>
      <w:r w:rsidR="00A97AAB" w:rsidRPr="00A97AAB">
        <w:rPr>
          <w:rFonts w:ascii="Calibri" w:eastAsia="Calibri" w:hAnsi="Calibri" w:cs="Calibri"/>
          <w:lang w:val="en-GB"/>
        </w:rPr>
        <w:t>/knowledge theory of Foucault</w:t>
      </w:r>
      <w:r w:rsidRPr="00A97AAB">
        <w:rPr>
          <w:rFonts w:ascii="Calibri" w:eastAsia="Calibri" w:hAnsi="Calibri" w:cs="Calibri"/>
          <w:lang w:val="en-GB"/>
        </w:rPr>
        <w:t xml:space="preserve">, an interesting reflection of power appears. </w:t>
      </w:r>
      <w:r w:rsidR="00A97AAB">
        <w:rPr>
          <w:rFonts w:ascii="Calibri" w:eastAsia="Calibri" w:hAnsi="Calibri" w:cs="Calibri"/>
          <w:lang w:val="en-GB"/>
        </w:rPr>
        <w:t>The argument that</w:t>
      </w:r>
      <w:r w:rsidRPr="00A97AAB">
        <w:rPr>
          <w:rFonts w:ascii="Calibri" w:eastAsia="Calibri" w:hAnsi="Calibri" w:cs="Calibri"/>
          <w:lang w:val="en-GB"/>
        </w:rPr>
        <w:t xml:space="preserve"> it is easier to identify with Parisians, and that this </w:t>
      </w:r>
      <w:r w:rsidR="00A97AAB" w:rsidRPr="00A97AAB">
        <w:rPr>
          <w:rFonts w:ascii="Calibri" w:eastAsia="Calibri" w:hAnsi="Calibri" w:cs="Calibri"/>
          <w:lang w:val="en-GB"/>
        </w:rPr>
        <w:t>is natural</w:t>
      </w:r>
      <w:r>
        <w:rPr>
          <w:rFonts w:ascii="Calibri" w:eastAsia="Calibri" w:hAnsi="Calibri" w:cs="Calibri"/>
          <w:lang w:val="en-GB"/>
        </w:rPr>
        <w:t xml:space="preserve">, </w:t>
      </w:r>
      <w:r w:rsidR="00A97AAB">
        <w:rPr>
          <w:rFonts w:ascii="Calibri" w:eastAsia="Calibri" w:hAnsi="Calibri" w:cs="Calibri"/>
          <w:lang w:val="en-GB"/>
        </w:rPr>
        <w:t>regardless of how the media presents the people affected by the attacks, is often hailed</w:t>
      </w:r>
      <w:r>
        <w:rPr>
          <w:rFonts w:ascii="Calibri" w:eastAsia="Calibri" w:hAnsi="Calibri" w:cs="Calibri"/>
          <w:lang w:val="en-GB"/>
        </w:rPr>
        <w:t xml:space="preserve">. </w:t>
      </w:r>
      <w:r w:rsidR="00A97AAB">
        <w:rPr>
          <w:rFonts w:ascii="Calibri" w:eastAsia="Calibri" w:hAnsi="Calibri" w:cs="Calibri"/>
          <w:lang w:val="en-GB"/>
        </w:rPr>
        <w:t>Nevertheless</w:t>
      </w:r>
      <w:r>
        <w:rPr>
          <w:rFonts w:ascii="Calibri" w:eastAsia="Calibri" w:hAnsi="Calibri" w:cs="Calibri"/>
          <w:lang w:val="en-GB"/>
        </w:rPr>
        <w:t>,</w:t>
      </w:r>
      <w:r w:rsidR="00A97AAB">
        <w:rPr>
          <w:rFonts w:ascii="Calibri" w:eastAsia="Calibri" w:hAnsi="Calibri" w:cs="Calibri"/>
          <w:lang w:val="en-GB"/>
        </w:rPr>
        <w:t xml:space="preserve"> that</w:t>
      </w:r>
      <w:r>
        <w:rPr>
          <w:rFonts w:ascii="Calibri" w:eastAsia="Calibri" w:hAnsi="Calibri" w:cs="Calibri"/>
          <w:lang w:val="en-GB"/>
        </w:rPr>
        <w:t xml:space="preserve"> the Guardian makes it easy to identify with the Parisians</w:t>
      </w:r>
      <w:r w:rsidR="00A97AAB">
        <w:rPr>
          <w:rFonts w:ascii="Calibri" w:eastAsia="Calibri" w:hAnsi="Calibri" w:cs="Calibri"/>
          <w:lang w:val="en-GB"/>
        </w:rPr>
        <w:t xml:space="preserve"> than with Beirutians should be taken into account</w:t>
      </w:r>
      <w:r>
        <w:rPr>
          <w:rFonts w:ascii="Calibri" w:eastAsia="Calibri" w:hAnsi="Calibri" w:cs="Calibri"/>
          <w:lang w:val="en-GB"/>
        </w:rPr>
        <w:t xml:space="preserve">. </w:t>
      </w:r>
      <w:r w:rsidRPr="00381C71">
        <w:rPr>
          <w:rFonts w:ascii="Calibri" w:eastAsia="Calibri" w:hAnsi="Calibri" w:cs="Calibri"/>
          <w:lang w:val="en-GB"/>
        </w:rPr>
        <w:t>It is easier to identify with those who share the same human emotions, than with loose body parts spread over cars and streets.</w:t>
      </w:r>
      <w:r w:rsidR="00CC5A9A" w:rsidRPr="00CC5A9A">
        <w:rPr>
          <w:rFonts w:ascii="Calibri" w:eastAsia="Calibri" w:hAnsi="Calibri" w:cs="Calibri"/>
          <w:lang w:val="en-GB"/>
        </w:rPr>
        <w:t xml:space="preserve"> </w:t>
      </w:r>
      <w:r w:rsidR="00CC5A9A" w:rsidRPr="00381C71">
        <w:rPr>
          <w:rFonts w:ascii="Calibri" w:eastAsia="Calibri" w:hAnsi="Calibri" w:cs="Calibri"/>
          <w:lang w:val="en-GB"/>
        </w:rPr>
        <w:t xml:space="preserve">It is easier to identify with those desperately searching for their loved ones on Twitter, than </w:t>
      </w:r>
      <w:r w:rsidR="00CC5A9A" w:rsidRPr="005639BE">
        <w:rPr>
          <w:rFonts w:ascii="Calibri" w:eastAsia="Calibri" w:hAnsi="Calibri" w:cs="Calibri"/>
          <w:lang w:val="en-GB"/>
        </w:rPr>
        <w:t xml:space="preserve">with those </w:t>
      </w:r>
      <w:r w:rsidR="00CC5A9A">
        <w:rPr>
          <w:rFonts w:ascii="Calibri" w:eastAsia="Calibri" w:hAnsi="Calibri" w:cs="Calibri"/>
          <w:lang w:val="en-GB"/>
        </w:rPr>
        <w:t>living in a Shia-majority neighbourhood.</w:t>
      </w:r>
      <w:r w:rsidRPr="00381C71">
        <w:rPr>
          <w:rFonts w:ascii="Calibri" w:eastAsia="Calibri" w:hAnsi="Calibri" w:cs="Calibri"/>
          <w:lang w:val="en-GB"/>
        </w:rPr>
        <w:t xml:space="preserve"> It is easier to identify with an atmosphere of mourning, than </w:t>
      </w:r>
      <w:r>
        <w:rPr>
          <w:rFonts w:ascii="Calibri" w:eastAsia="Calibri" w:hAnsi="Calibri" w:cs="Calibri"/>
          <w:lang w:val="en-GB"/>
        </w:rPr>
        <w:t xml:space="preserve">with </w:t>
      </w:r>
      <w:r w:rsidRPr="00381C71">
        <w:rPr>
          <w:rFonts w:ascii="Calibri" w:eastAsia="Calibri" w:hAnsi="Calibri" w:cs="Calibri"/>
          <w:lang w:val="en-GB"/>
        </w:rPr>
        <w:t>a surrounding of demolished buildings and debris</w:t>
      </w:r>
      <w:r w:rsidR="00CC5A9A">
        <w:rPr>
          <w:rFonts w:ascii="Calibri" w:eastAsia="Calibri" w:hAnsi="Calibri" w:cs="Calibri"/>
          <w:lang w:val="en-GB"/>
        </w:rPr>
        <w:t>.</w:t>
      </w:r>
    </w:p>
    <w:p w14:paraId="7E4D793C" w14:textId="54B75098" w:rsidR="00B549D5" w:rsidRPr="00642C60" w:rsidRDefault="00CC5A9A" w:rsidP="00E52F0F">
      <w:pPr>
        <w:spacing w:after="0" w:line="360" w:lineRule="auto"/>
        <w:ind w:firstLine="709"/>
        <w:jc w:val="both"/>
        <w:rPr>
          <w:rFonts w:ascii="Calibri" w:eastAsia="Calibri" w:hAnsi="Calibri" w:cs="Calibri"/>
          <w:lang w:val="en-GB"/>
        </w:rPr>
      </w:pPr>
      <w:r>
        <w:rPr>
          <w:rFonts w:ascii="Calibri" w:eastAsia="Calibri" w:hAnsi="Calibri" w:cs="Calibri"/>
          <w:lang w:val="en-GB"/>
        </w:rPr>
        <w:t xml:space="preserve">Another reason brought forward to justify the difference is that media based in Western European countries have the right to focus on events in that region (Malik, 2015). </w:t>
      </w:r>
      <w:r w:rsidR="00A03062">
        <w:rPr>
          <w:rFonts w:ascii="Calibri" w:eastAsia="Calibri" w:hAnsi="Calibri" w:cs="Calibri"/>
          <w:lang w:val="en-GB"/>
        </w:rPr>
        <w:t>I do not deny this. Nevertheless, two problems remain. Firstly, the scale on which more attention was paid to Paris to Beirut is disproportionate, imply</w:t>
      </w:r>
      <w:r w:rsidR="00A97AAB">
        <w:rPr>
          <w:rFonts w:ascii="Calibri" w:eastAsia="Calibri" w:hAnsi="Calibri" w:cs="Calibri"/>
          <w:lang w:val="en-GB"/>
        </w:rPr>
        <w:t>ing</w:t>
      </w:r>
      <w:r w:rsidR="00A03062">
        <w:rPr>
          <w:rFonts w:ascii="Calibri" w:eastAsia="Calibri" w:hAnsi="Calibri" w:cs="Calibri"/>
          <w:lang w:val="en-GB"/>
        </w:rPr>
        <w:t xml:space="preserve"> that the people of Paris matter more than the peo</w:t>
      </w:r>
      <w:r w:rsidR="00A97AAB">
        <w:rPr>
          <w:rFonts w:ascii="Calibri" w:eastAsia="Calibri" w:hAnsi="Calibri" w:cs="Calibri"/>
          <w:lang w:val="en-GB"/>
        </w:rPr>
        <w:t>ple of Beirut, and</w:t>
      </w:r>
      <w:r w:rsidR="00A03062">
        <w:rPr>
          <w:rFonts w:ascii="Calibri" w:eastAsia="Calibri" w:hAnsi="Calibri" w:cs="Calibri"/>
          <w:lang w:val="en-GB"/>
        </w:rPr>
        <w:t xml:space="preserve"> not only because they are </w:t>
      </w:r>
      <w:r w:rsidR="00A97AAB">
        <w:rPr>
          <w:rFonts w:ascii="Calibri" w:eastAsia="Calibri" w:hAnsi="Calibri" w:cs="Calibri"/>
          <w:lang w:val="en-GB"/>
        </w:rPr>
        <w:t xml:space="preserve">geographically </w:t>
      </w:r>
      <w:r w:rsidR="00A03062">
        <w:rPr>
          <w:rFonts w:ascii="Calibri" w:eastAsia="Calibri" w:hAnsi="Calibri" w:cs="Calibri"/>
          <w:lang w:val="en-GB"/>
        </w:rPr>
        <w:t xml:space="preserve">closer. </w:t>
      </w:r>
      <w:r w:rsidR="00A97AAB">
        <w:rPr>
          <w:rFonts w:ascii="Calibri" w:eastAsia="Calibri" w:hAnsi="Calibri" w:cs="Calibri"/>
          <w:lang w:val="en-GB"/>
        </w:rPr>
        <w:t>M</w:t>
      </w:r>
      <w:r w:rsidR="00A03062">
        <w:rPr>
          <w:rFonts w:ascii="Calibri" w:eastAsia="Calibri" w:hAnsi="Calibri" w:cs="Calibri"/>
          <w:lang w:val="en-GB"/>
        </w:rPr>
        <w:t>ost importantly,</w:t>
      </w:r>
      <w:r w:rsidR="00A97AAB">
        <w:rPr>
          <w:rFonts w:ascii="Calibri" w:eastAsia="Calibri" w:hAnsi="Calibri" w:cs="Calibri"/>
          <w:lang w:val="en-GB"/>
        </w:rPr>
        <w:t xml:space="preserve"> however,</w:t>
      </w:r>
      <w:r w:rsidR="00A03062">
        <w:rPr>
          <w:rFonts w:ascii="Calibri" w:eastAsia="Calibri" w:hAnsi="Calibri" w:cs="Calibri"/>
          <w:lang w:val="en-GB"/>
        </w:rPr>
        <w:t xml:space="preserve"> it is the way in which the people are described that sparks </w:t>
      </w:r>
      <w:r w:rsidR="00A97AAB">
        <w:rPr>
          <w:rFonts w:ascii="Calibri" w:eastAsia="Calibri" w:hAnsi="Calibri" w:cs="Calibri"/>
          <w:lang w:val="en-GB"/>
        </w:rPr>
        <w:t>criticism</w:t>
      </w:r>
      <w:r w:rsidR="00A03062">
        <w:rPr>
          <w:rFonts w:ascii="Calibri" w:eastAsia="Calibri" w:hAnsi="Calibri" w:cs="Calibri"/>
          <w:lang w:val="en-GB"/>
        </w:rPr>
        <w:t>. Even though the media have the right to pay more attention to the region in which they are based, do they also have more right to portray the people of other regions as objec</w:t>
      </w:r>
      <w:r w:rsidR="00F931D6">
        <w:rPr>
          <w:rFonts w:ascii="Calibri" w:eastAsia="Calibri" w:hAnsi="Calibri" w:cs="Calibri"/>
          <w:lang w:val="en-GB"/>
        </w:rPr>
        <w:t>ts? Should it be accepted that the Guardian</w:t>
      </w:r>
      <w:r w:rsidR="00A03062">
        <w:rPr>
          <w:rFonts w:ascii="Calibri" w:eastAsia="Calibri" w:hAnsi="Calibri" w:cs="Calibri"/>
          <w:lang w:val="en-GB"/>
        </w:rPr>
        <w:t xml:space="preserve"> (re)produces </w:t>
      </w:r>
      <w:r w:rsidR="00A8364C">
        <w:rPr>
          <w:rFonts w:ascii="Calibri" w:eastAsia="Calibri" w:hAnsi="Calibri" w:cs="Calibri"/>
          <w:lang w:val="en-GB"/>
        </w:rPr>
        <w:t>the objectification of Beirutians while humanising the Parisians? From supposedly ‘Western’ values, often also hold by these newspapers, this is against human dignity, which applies to every single human being. Hence, even from the viewpoint of news outlets based in Western Europe, objectifying the people of Beirut should be unacceptable.</w:t>
      </w:r>
      <w:r w:rsidR="00B549D5">
        <w:rPr>
          <w:rFonts w:ascii="Calibri" w:eastAsia="Calibri" w:hAnsi="Calibri" w:cs="Calibri"/>
          <w:lang w:val="en-GB"/>
        </w:rPr>
        <w:br w:type="page"/>
      </w:r>
    </w:p>
    <w:p w14:paraId="60D9F58A" w14:textId="74E4AE68" w:rsidR="00BE2719" w:rsidRPr="00660C31" w:rsidRDefault="00AC2F29" w:rsidP="00E52F0F">
      <w:pPr>
        <w:pStyle w:val="Heading1"/>
        <w:spacing w:line="360" w:lineRule="auto"/>
        <w:rPr>
          <w:lang w:val="en-GB"/>
        </w:rPr>
      </w:pPr>
      <w:r>
        <w:rPr>
          <w:lang w:val="en-GB"/>
        </w:rPr>
        <w:lastRenderedPageBreak/>
        <w:t xml:space="preserve"> </w:t>
      </w:r>
      <w:bookmarkStart w:id="80" w:name="_Toc458983427"/>
      <w:r w:rsidR="00CB4196">
        <w:rPr>
          <w:lang w:val="en-GB"/>
        </w:rPr>
        <w:t>6</w:t>
      </w:r>
      <w:r w:rsidR="00BE2719">
        <w:rPr>
          <w:lang w:val="en-GB"/>
        </w:rPr>
        <w:t xml:space="preserve">. </w:t>
      </w:r>
      <w:r w:rsidR="00BE2719" w:rsidRPr="00660C31">
        <w:rPr>
          <w:lang w:val="en-GB"/>
        </w:rPr>
        <w:t>Conclusion</w:t>
      </w:r>
      <w:bookmarkEnd w:id="80"/>
    </w:p>
    <w:p w14:paraId="24ADAB4A" w14:textId="77777777" w:rsidR="00BE2719" w:rsidRPr="00660C31" w:rsidRDefault="00BE2719" w:rsidP="00E52F0F">
      <w:pPr>
        <w:spacing w:line="360" w:lineRule="auto"/>
        <w:rPr>
          <w:lang w:val="en-GB"/>
        </w:rPr>
      </w:pPr>
    </w:p>
    <w:p w14:paraId="35910EE6" w14:textId="74A8B844" w:rsidR="00BE2719" w:rsidRDefault="00BE2719" w:rsidP="00E52F0F">
      <w:pPr>
        <w:spacing w:after="0" w:line="360" w:lineRule="auto"/>
        <w:jc w:val="both"/>
        <w:rPr>
          <w:lang w:val="en-GB"/>
        </w:rPr>
      </w:pPr>
      <w:r w:rsidRPr="002C3C63">
        <w:rPr>
          <w:lang w:val="en-GB"/>
        </w:rPr>
        <w:t xml:space="preserve">This thesis set out to research the power relations reflected </w:t>
      </w:r>
      <w:r>
        <w:rPr>
          <w:lang w:val="en-GB"/>
        </w:rPr>
        <w:t>and (re)produced in the news articles about the terror attacks in Beirut and Paris that took place on November 12</w:t>
      </w:r>
      <w:r w:rsidRPr="002C3C63">
        <w:rPr>
          <w:vertAlign w:val="superscript"/>
          <w:lang w:val="en-GB"/>
        </w:rPr>
        <w:t>th</w:t>
      </w:r>
      <w:r>
        <w:rPr>
          <w:lang w:val="en-GB"/>
        </w:rPr>
        <w:t xml:space="preserve"> and 13</w:t>
      </w:r>
      <w:r w:rsidRPr="002C3C63">
        <w:rPr>
          <w:vertAlign w:val="superscript"/>
          <w:lang w:val="en-GB"/>
        </w:rPr>
        <w:t>th</w:t>
      </w:r>
      <w:r>
        <w:rPr>
          <w:lang w:val="en-GB"/>
        </w:rPr>
        <w:t xml:space="preserve"> 2015 respectively. Already </w:t>
      </w:r>
      <w:r w:rsidR="00D01A1A">
        <w:rPr>
          <w:lang w:val="en-GB"/>
        </w:rPr>
        <w:t>during</w:t>
      </w:r>
      <w:r>
        <w:rPr>
          <w:lang w:val="en-GB"/>
        </w:rPr>
        <w:t xml:space="preserve"> the evening of the Paris attacks messages on started appearing </w:t>
      </w:r>
      <w:r w:rsidR="00D01A1A">
        <w:rPr>
          <w:lang w:val="en-GB"/>
        </w:rPr>
        <w:t>social media concerned with the</w:t>
      </w:r>
      <w:r>
        <w:rPr>
          <w:lang w:val="en-GB"/>
        </w:rPr>
        <w:t xml:space="preserve"> difference in coverage of both assaults. Within </w:t>
      </w:r>
      <w:r w:rsidR="00680AB6">
        <w:rPr>
          <w:lang w:val="en-GB"/>
        </w:rPr>
        <w:t>four</w:t>
      </w:r>
      <w:r>
        <w:rPr>
          <w:lang w:val="en-GB"/>
        </w:rPr>
        <w:t xml:space="preserve"> days after the Paris attacks, this had turned into an outcry on social media, with online bloggers, Tweeters, and Facebook users stating that the news made the victims and residents of Beirut seem less important than those of Paris</w:t>
      </w:r>
      <w:r w:rsidR="00D01A1A">
        <w:rPr>
          <w:lang w:val="en-GB"/>
        </w:rPr>
        <w:t xml:space="preserve"> (</w:t>
      </w:r>
      <w:r w:rsidR="00680AB6">
        <w:rPr>
          <w:lang w:val="en-GB"/>
        </w:rPr>
        <w:t xml:space="preserve">e.g. </w:t>
      </w:r>
      <w:r w:rsidR="00C048FC">
        <w:rPr>
          <w:lang w:val="en-GB"/>
        </w:rPr>
        <w:t>Ser, 2015; Ajaka, 2015; Ankatell, 2015</w:t>
      </w:r>
      <w:r w:rsidR="00D01A1A">
        <w:rPr>
          <w:lang w:val="en-GB"/>
        </w:rPr>
        <w:t>)</w:t>
      </w:r>
      <w:r>
        <w:rPr>
          <w:lang w:val="en-GB"/>
        </w:rPr>
        <w:t xml:space="preserve">. </w:t>
      </w:r>
      <w:r w:rsidR="00D01A1A">
        <w:rPr>
          <w:lang w:val="en-GB"/>
        </w:rPr>
        <w:t>Three</w:t>
      </w:r>
      <w:r>
        <w:rPr>
          <w:lang w:val="en-GB"/>
        </w:rPr>
        <w:t xml:space="preserve"> overarching arguments</w:t>
      </w:r>
      <w:r w:rsidR="00D01A1A">
        <w:rPr>
          <w:lang w:val="en-GB"/>
        </w:rPr>
        <w:t xml:space="preserve"> were most often brought forward</w:t>
      </w:r>
      <w:r>
        <w:rPr>
          <w:lang w:val="en-GB"/>
        </w:rPr>
        <w:t xml:space="preserve">. Firstly, the amount of news produced on the Paris attacks was far greater than that on the Beirut attacks, </w:t>
      </w:r>
      <w:r w:rsidR="00D01A1A">
        <w:rPr>
          <w:lang w:val="en-GB"/>
        </w:rPr>
        <w:t>al</w:t>
      </w:r>
      <w:r>
        <w:rPr>
          <w:lang w:val="en-GB"/>
        </w:rPr>
        <w:t xml:space="preserve">though the context </w:t>
      </w:r>
      <w:r w:rsidR="00680AB6">
        <w:rPr>
          <w:lang w:val="en-GB"/>
        </w:rPr>
        <w:t xml:space="preserve">of both attacks </w:t>
      </w:r>
      <w:r>
        <w:rPr>
          <w:lang w:val="en-GB"/>
        </w:rPr>
        <w:t>– except for the death toll – was similar. Secondly, the focus o</w:t>
      </w:r>
      <w:r w:rsidR="00680AB6">
        <w:rPr>
          <w:lang w:val="en-GB"/>
        </w:rPr>
        <w:t>n the broader conflict</w:t>
      </w:r>
      <w:r>
        <w:rPr>
          <w:lang w:val="en-GB"/>
        </w:rPr>
        <w:t xml:space="preserve"> in the Beirut articles contrasted with the focus on the victims in the Paris articles, and made it seem like the victims of Beirut </w:t>
      </w:r>
      <w:r w:rsidR="00DC17E7">
        <w:rPr>
          <w:lang w:val="en-GB"/>
        </w:rPr>
        <w:t>were less important</w:t>
      </w:r>
      <w:r>
        <w:rPr>
          <w:lang w:val="en-GB"/>
        </w:rPr>
        <w:t>. Lastly, the victims and residents of the district in Beirut where the attack</w:t>
      </w:r>
      <w:r w:rsidR="00DC17E7">
        <w:rPr>
          <w:lang w:val="en-GB"/>
        </w:rPr>
        <w:t>s</w:t>
      </w:r>
      <w:r>
        <w:rPr>
          <w:lang w:val="en-GB"/>
        </w:rPr>
        <w:t xml:space="preserve"> took place were categorised according to their alleged political affiliation wit</w:t>
      </w:r>
      <w:r w:rsidR="00680AB6">
        <w:rPr>
          <w:lang w:val="en-GB"/>
        </w:rPr>
        <w:t>h Hezbollah, while the media</w:t>
      </w:r>
      <w:r>
        <w:rPr>
          <w:lang w:val="en-GB"/>
        </w:rPr>
        <w:t xml:space="preserve"> tried to capture the emotions of the victims of the Paris attacks. As such, the media implicitly made it seem like the deaths in Beirut were to be expected, while those in Paris should be mourned. During the outcry about the difference, others – mainly online bloggers and writers of opinion pieces in news outl</w:t>
      </w:r>
      <w:r w:rsidR="00D01A1A">
        <w:rPr>
          <w:lang w:val="en-GB"/>
        </w:rPr>
        <w:t>ets – reacted by arguing that the outcry</w:t>
      </w:r>
      <w:r>
        <w:rPr>
          <w:lang w:val="en-GB"/>
        </w:rPr>
        <w:t xml:space="preserve"> was </w:t>
      </w:r>
      <w:r w:rsidRPr="00C048FC">
        <w:rPr>
          <w:lang w:val="en-GB"/>
        </w:rPr>
        <w:t>unjustified</w:t>
      </w:r>
      <w:r w:rsidR="00D01A1A" w:rsidRPr="00C048FC">
        <w:rPr>
          <w:lang w:val="en-GB"/>
        </w:rPr>
        <w:t xml:space="preserve"> (</w:t>
      </w:r>
      <w:r w:rsidR="00680AB6">
        <w:rPr>
          <w:lang w:val="en-GB"/>
        </w:rPr>
        <w:t xml:space="preserve">e.g. </w:t>
      </w:r>
      <w:r w:rsidR="00C048FC" w:rsidRPr="00C048FC">
        <w:rPr>
          <w:lang w:val="en-GB"/>
        </w:rPr>
        <w:t>Glaser, 2015; Greenslade, 2015</w:t>
      </w:r>
      <w:r w:rsidR="00D01A1A" w:rsidRPr="00C048FC">
        <w:rPr>
          <w:lang w:val="en-GB"/>
        </w:rPr>
        <w:t>)</w:t>
      </w:r>
      <w:r w:rsidRPr="00C048FC">
        <w:rPr>
          <w:lang w:val="en-GB"/>
        </w:rPr>
        <w:t>.</w:t>
      </w:r>
      <w:r>
        <w:rPr>
          <w:lang w:val="en-GB"/>
        </w:rPr>
        <w:t xml:space="preserve"> Some claimed that newspapers based in Western Europe had the right to focus on events in that region (e.g. Malik, 2016), many that not the newspapers but the social media users were to blame (e.g. Roy, 2015; Ser, 2016), and most </w:t>
      </w:r>
      <w:r w:rsidR="00AC2F29">
        <w:rPr>
          <w:lang w:val="en-GB"/>
        </w:rPr>
        <w:t>t</w:t>
      </w:r>
      <w:r>
        <w:rPr>
          <w:lang w:val="en-GB"/>
        </w:rPr>
        <w:t xml:space="preserve">hat the great amount of attention </w:t>
      </w:r>
      <w:r w:rsidRPr="00C048FC">
        <w:rPr>
          <w:lang w:val="en-GB"/>
        </w:rPr>
        <w:t xml:space="preserve">paid to Paris in comparison to Beirut was normal seen the geographical and cultural closeness of the residents of Paris to those of Western Europe and the Anglosphere (e.g. Malik, 2015; </w:t>
      </w:r>
      <w:r w:rsidR="00C048FC" w:rsidRPr="00C048FC">
        <w:rPr>
          <w:lang w:val="en-GB"/>
        </w:rPr>
        <w:t>Glaser</w:t>
      </w:r>
      <w:r w:rsidRPr="00C048FC">
        <w:rPr>
          <w:lang w:val="en-GB"/>
        </w:rPr>
        <w:t>, 2015; Greenslade,</w:t>
      </w:r>
      <w:r>
        <w:rPr>
          <w:lang w:val="en-GB"/>
        </w:rPr>
        <w:t xml:space="preserve"> 2015)</w:t>
      </w:r>
      <w:r w:rsidR="00D01A1A">
        <w:rPr>
          <w:lang w:val="en-GB"/>
        </w:rPr>
        <w:t>. Wondering to what extent the arguments were justified</w:t>
      </w:r>
      <w:r>
        <w:rPr>
          <w:lang w:val="en-GB"/>
        </w:rPr>
        <w:t>, I set out to research the news articles</w:t>
      </w:r>
      <w:r w:rsidR="00D01A1A">
        <w:rPr>
          <w:lang w:val="en-GB"/>
        </w:rPr>
        <w:t xml:space="preserve"> about both attacks</w:t>
      </w:r>
      <w:r>
        <w:rPr>
          <w:lang w:val="en-GB"/>
        </w:rPr>
        <w:t xml:space="preserve">. The research question that guided my investigations was </w:t>
      </w:r>
      <w:r w:rsidR="00D01A1A">
        <w:rPr>
          <w:lang w:val="en-GB"/>
        </w:rPr>
        <w:t>as follows</w:t>
      </w:r>
      <w:r>
        <w:rPr>
          <w:lang w:val="en-GB"/>
        </w:rPr>
        <w:t>:</w:t>
      </w:r>
    </w:p>
    <w:p w14:paraId="18F55F4E" w14:textId="77777777" w:rsidR="00BE2719" w:rsidRDefault="00BE2719" w:rsidP="00E52F0F">
      <w:pPr>
        <w:spacing w:after="0" w:line="360" w:lineRule="auto"/>
        <w:ind w:firstLine="708"/>
        <w:jc w:val="both"/>
        <w:rPr>
          <w:lang w:val="en-GB"/>
        </w:rPr>
      </w:pPr>
    </w:p>
    <w:p w14:paraId="78E65663" w14:textId="58570055" w:rsidR="004417ED" w:rsidRPr="00173294" w:rsidRDefault="004417ED" w:rsidP="00E52F0F">
      <w:pPr>
        <w:pStyle w:val="Normal1"/>
        <w:spacing w:after="0" w:line="360" w:lineRule="auto"/>
        <w:ind w:left="1134" w:right="713"/>
        <w:jc w:val="both"/>
        <w:rPr>
          <w:rFonts w:ascii="Calibri" w:hAnsi="Calibri"/>
          <w:i/>
          <w:lang w:val="en-GB"/>
        </w:rPr>
      </w:pPr>
      <w:r>
        <w:rPr>
          <w:rFonts w:ascii="Calibri" w:hAnsi="Calibri"/>
          <w:i/>
          <w:lang w:val="en-GB"/>
        </w:rPr>
        <w:t>Which</w:t>
      </w:r>
      <w:r w:rsidRPr="00173294">
        <w:rPr>
          <w:rFonts w:ascii="Calibri" w:hAnsi="Calibri"/>
          <w:i/>
          <w:lang w:val="en-GB"/>
        </w:rPr>
        <w:t xml:space="preserve"> power relations are reflected</w:t>
      </w:r>
      <w:r>
        <w:rPr>
          <w:rFonts w:ascii="Calibri" w:hAnsi="Calibri"/>
          <w:i/>
          <w:lang w:val="en-GB"/>
        </w:rPr>
        <w:t xml:space="preserve"> and (re)produced</w:t>
      </w:r>
      <w:r w:rsidRPr="00173294">
        <w:rPr>
          <w:rFonts w:ascii="Calibri" w:hAnsi="Calibri"/>
          <w:i/>
          <w:lang w:val="en-GB"/>
        </w:rPr>
        <w:t xml:space="preserve"> in the</w:t>
      </w:r>
      <w:r>
        <w:rPr>
          <w:rFonts w:ascii="Calibri" w:hAnsi="Calibri"/>
          <w:i/>
          <w:lang w:val="en-GB"/>
        </w:rPr>
        <w:t xml:space="preserve"> Guardian’s</w:t>
      </w:r>
      <w:r w:rsidRPr="00173294">
        <w:rPr>
          <w:rFonts w:ascii="Calibri" w:hAnsi="Calibri"/>
          <w:i/>
          <w:lang w:val="en-GB"/>
        </w:rPr>
        <w:t xml:space="preserve"> coverage of the </w:t>
      </w:r>
      <w:r>
        <w:rPr>
          <w:rFonts w:ascii="Calibri" w:hAnsi="Calibri"/>
          <w:i/>
          <w:lang w:val="en-GB"/>
        </w:rPr>
        <w:t>victims, witnesses, and their relatives affected by</w:t>
      </w:r>
      <w:r w:rsidRPr="00173294">
        <w:rPr>
          <w:rFonts w:ascii="Calibri" w:hAnsi="Calibri"/>
          <w:i/>
          <w:lang w:val="en-GB"/>
        </w:rPr>
        <w:t xml:space="preserve"> the November 2015 </w:t>
      </w:r>
      <w:r>
        <w:rPr>
          <w:rFonts w:ascii="Calibri" w:hAnsi="Calibri"/>
          <w:i/>
          <w:lang w:val="en-GB"/>
        </w:rPr>
        <w:t>attacks in Beirut and Paris</w:t>
      </w:r>
      <w:r w:rsidRPr="00173294">
        <w:rPr>
          <w:rFonts w:ascii="Calibri" w:hAnsi="Calibri"/>
          <w:i/>
          <w:lang w:val="en-GB"/>
        </w:rPr>
        <w:t>?</w:t>
      </w:r>
    </w:p>
    <w:p w14:paraId="337E9FFC" w14:textId="77777777" w:rsidR="00BE2719" w:rsidRDefault="00BE2719" w:rsidP="00E52F0F">
      <w:pPr>
        <w:spacing w:after="0" w:line="360" w:lineRule="auto"/>
        <w:jc w:val="both"/>
        <w:rPr>
          <w:lang w:val="en-GB"/>
        </w:rPr>
      </w:pPr>
    </w:p>
    <w:p w14:paraId="1BCC52AD" w14:textId="4525980B" w:rsidR="00BE2719" w:rsidRDefault="00BE2719" w:rsidP="00E52F0F">
      <w:pPr>
        <w:spacing w:after="0" w:line="360" w:lineRule="auto"/>
        <w:ind w:firstLine="360"/>
        <w:jc w:val="both"/>
        <w:rPr>
          <w:lang w:val="en-GB"/>
        </w:rPr>
      </w:pPr>
      <w:r>
        <w:rPr>
          <w:lang w:val="en-GB"/>
        </w:rPr>
        <w:t>Another guide was Michel Foucault, whose theory on power I used as my theoretical framework. Having been involved with the ways in which people are classified and separated from each other the majority of his life, Foucault produced an astonishing amount of work on the matter. He investigated how knowledge</w:t>
      </w:r>
      <w:r w:rsidR="00D01A1A">
        <w:rPr>
          <w:lang w:val="en-GB"/>
        </w:rPr>
        <w:t>, practice, and power reinforce</w:t>
      </w:r>
      <w:r>
        <w:rPr>
          <w:lang w:val="en-GB"/>
        </w:rPr>
        <w:t xml:space="preserve"> each other in the separation of the ‘mad’ from the ‘sane’ and the ‘criminal’ from the ‘</w:t>
      </w:r>
      <w:r w:rsidR="00D01A1A">
        <w:rPr>
          <w:lang w:val="en-GB"/>
        </w:rPr>
        <w:t>lawful’</w:t>
      </w:r>
      <w:r>
        <w:rPr>
          <w:lang w:val="en-GB"/>
        </w:rPr>
        <w:t>. He researched how language is infused with power relations, and</w:t>
      </w:r>
      <w:r w:rsidR="00D01A1A">
        <w:rPr>
          <w:lang w:val="en-GB"/>
        </w:rPr>
        <w:t xml:space="preserve"> simultaneously</w:t>
      </w:r>
      <w:r>
        <w:rPr>
          <w:lang w:val="en-GB"/>
        </w:rPr>
        <w:t xml:space="preserve"> affects </w:t>
      </w:r>
      <w:r>
        <w:rPr>
          <w:lang w:val="en-GB"/>
        </w:rPr>
        <w:lastRenderedPageBreak/>
        <w:t>these power relations. And he explored the history of sexuality, and the ways in which it was tied up with the</w:t>
      </w:r>
      <w:r w:rsidR="00D01A1A">
        <w:rPr>
          <w:lang w:val="en-GB"/>
        </w:rPr>
        <w:t xml:space="preserve"> commonly accepted</w:t>
      </w:r>
      <w:r>
        <w:rPr>
          <w:lang w:val="en-GB"/>
        </w:rPr>
        <w:t xml:space="preserve"> view on the human being. From all these works, a theory on power and the subject emerged. According to Foucault, power should be seen as force relations that are immanent in the sphere in which they operate</w:t>
      </w:r>
      <w:r w:rsidR="00680AB6">
        <w:rPr>
          <w:lang w:val="en-GB"/>
        </w:rPr>
        <w:t xml:space="preserve"> (1982)</w:t>
      </w:r>
      <w:r>
        <w:rPr>
          <w:lang w:val="en-GB"/>
        </w:rPr>
        <w:t xml:space="preserve">. These power relations are everywhere. This also means that they are bound up with knowledge. Knowledge can be found in different forms; for example in books, in rules, and more broadly in </w:t>
      </w:r>
      <w:r w:rsidRPr="00DC17E7">
        <w:rPr>
          <w:lang w:val="en-GB"/>
        </w:rPr>
        <w:t>discourses</w:t>
      </w:r>
      <w:r w:rsidR="00DC17E7">
        <w:rPr>
          <w:lang w:val="en-GB"/>
        </w:rPr>
        <w:t xml:space="preserve"> –</w:t>
      </w:r>
      <w:r w:rsidR="00DC17E7" w:rsidRPr="000E75E7">
        <w:rPr>
          <w:lang w:val="en-GB"/>
        </w:rPr>
        <w:t xml:space="preserve"> i.e.</w:t>
      </w:r>
      <w:r w:rsidR="00DC17E7">
        <w:rPr>
          <w:lang w:val="en-GB"/>
        </w:rPr>
        <w:t>,</w:t>
      </w:r>
      <w:r w:rsidR="00DC17E7" w:rsidRPr="000E75E7">
        <w:rPr>
          <w:lang w:val="en-GB"/>
        </w:rPr>
        <w:t xml:space="preserve"> systems of thoughts consisting of ideas, actions, practices, beliefs, and attitudes</w:t>
      </w:r>
      <w:r>
        <w:rPr>
          <w:lang w:val="en-GB"/>
        </w:rPr>
        <w:t>. From Foucault’s connection between power relations and knowledge emerged his notion of power/knowledge: effectively, this concept refers to the ways in which knowledge affects power relations, and is affected by power relations</w:t>
      </w:r>
      <w:r w:rsidR="00680AB6">
        <w:rPr>
          <w:lang w:val="en-GB"/>
        </w:rPr>
        <w:t xml:space="preserve"> (1980c)</w:t>
      </w:r>
      <w:r>
        <w:rPr>
          <w:lang w:val="en-GB"/>
        </w:rPr>
        <w:t>. From this an important feature of power becomes clear: it produces instead of merely represses. It produces knowledge, it produces practices, it produces c</w:t>
      </w:r>
      <w:r w:rsidR="00680AB6">
        <w:rPr>
          <w:lang w:val="en-GB"/>
        </w:rPr>
        <w:t xml:space="preserve">ultures, and thereby produces human beings </w:t>
      </w:r>
      <w:r>
        <w:rPr>
          <w:lang w:val="en-GB"/>
        </w:rPr>
        <w:t>as subjects: people with a certain identity and self-identification</w:t>
      </w:r>
      <w:r w:rsidR="00680AB6">
        <w:rPr>
          <w:lang w:val="en-GB"/>
        </w:rPr>
        <w:t xml:space="preserve"> (1982)</w:t>
      </w:r>
      <w:r>
        <w:rPr>
          <w:lang w:val="en-GB"/>
        </w:rPr>
        <w:t xml:space="preserve">. While power produces, it also changes, because it is tied up with numerous resistance points that are also part of its network. And at the foundation of this network, that which keeps it functioning, are subjects, i.e. human beings in their social context. However, that subjects keep power relations functioning does not mean that they </w:t>
      </w:r>
      <w:r w:rsidR="00D01A1A">
        <w:rPr>
          <w:lang w:val="en-GB"/>
        </w:rPr>
        <w:t xml:space="preserve">always </w:t>
      </w:r>
      <w:r>
        <w:rPr>
          <w:lang w:val="en-GB"/>
        </w:rPr>
        <w:t>do so on purpose. In contrast, Foucault even calls subje</w:t>
      </w:r>
      <w:r w:rsidR="00680AB6">
        <w:rPr>
          <w:lang w:val="en-GB"/>
        </w:rPr>
        <w:t>cts the prime effects of power</w:t>
      </w:r>
      <w:r>
        <w:rPr>
          <w:lang w:val="en-GB"/>
        </w:rPr>
        <w:t xml:space="preserve">; we are what and who we are because of power relations, and because we are the wheels that keep them </w:t>
      </w:r>
      <w:r w:rsidR="00680AB6">
        <w:rPr>
          <w:lang w:val="en-GB"/>
        </w:rPr>
        <w:t>turning (1982)</w:t>
      </w:r>
      <w:r>
        <w:rPr>
          <w:lang w:val="en-GB"/>
        </w:rPr>
        <w:t xml:space="preserve">. </w:t>
      </w:r>
      <w:r w:rsidR="00DC17E7">
        <w:rPr>
          <w:lang w:val="en-GB"/>
        </w:rPr>
        <w:t xml:space="preserve">One of Foucault’s key terms is objectification: when humans are made into subjects with features to be known, for example </w:t>
      </w:r>
      <w:r w:rsidR="00680AB6">
        <w:rPr>
          <w:lang w:val="en-GB"/>
        </w:rPr>
        <w:t xml:space="preserve">by classifying them according to </w:t>
      </w:r>
      <w:r w:rsidR="00DC17E7">
        <w:rPr>
          <w:lang w:val="en-GB"/>
        </w:rPr>
        <w:t xml:space="preserve">demographic information. </w:t>
      </w:r>
      <w:r>
        <w:rPr>
          <w:lang w:val="en-GB"/>
        </w:rPr>
        <w:t xml:space="preserve">On the basis of this theory, in combination with the arguments about the difference </w:t>
      </w:r>
      <w:r w:rsidR="00D01A1A">
        <w:rPr>
          <w:lang w:val="en-GB"/>
        </w:rPr>
        <w:t xml:space="preserve">in coverage brought forward </w:t>
      </w:r>
      <w:r>
        <w:rPr>
          <w:lang w:val="en-GB"/>
        </w:rPr>
        <w:t>on social media</w:t>
      </w:r>
      <w:r w:rsidR="00680AB6">
        <w:rPr>
          <w:lang w:val="en-GB"/>
        </w:rPr>
        <w:t xml:space="preserve"> and the findings of Edward Said (2003)</w:t>
      </w:r>
      <w:r>
        <w:rPr>
          <w:lang w:val="en-GB"/>
        </w:rPr>
        <w:t xml:space="preserve">, I developed the following hypotheses. </w:t>
      </w:r>
    </w:p>
    <w:p w14:paraId="088C7F4F" w14:textId="77777777" w:rsidR="00BE2719" w:rsidRDefault="00BE2719" w:rsidP="00E52F0F">
      <w:pPr>
        <w:spacing w:after="0" w:line="360" w:lineRule="auto"/>
        <w:ind w:firstLine="360"/>
        <w:jc w:val="both"/>
        <w:rPr>
          <w:lang w:val="en-GB"/>
        </w:rPr>
      </w:pPr>
    </w:p>
    <w:p w14:paraId="38A46980" w14:textId="77777777" w:rsidR="004417ED" w:rsidRPr="004417ED" w:rsidRDefault="004417ED" w:rsidP="00E52F0F">
      <w:pPr>
        <w:pStyle w:val="ListParagraph"/>
        <w:numPr>
          <w:ilvl w:val="0"/>
          <w:numId w:val="18"/>
        </w:numPr>
        <w:spacing w:after="0" w:line="360" w:lineRule="auto"/>
        <w:jc w:val="both"/>
        <w:rPr>
          <w:i/>
          <w:lang w:val="en-GB"/>
        </w:rPr>
      </w:pPr>
      <w:r w:rsidRPr="005226E7">
        <w:rPr>
          <w:i/>
          <w:lang w:val="en-GB"/>
        </w:rPr>
        <w:t>The Guardian produces more articles on the Paris attacks than on the Beirut attacks, and the former are more often shared on social media than the latter.</w:t>
      </w:r>
    </w:p>
    <w:p w14:paraId="16702E77" w14:textId="77777777" w:rsidR="004417ED" w:rsidRPr="004417ED" w:rsidRDefault="004417ED" w:rsidP="00E52F0F">
      <w:pPr>
        <w:pStyle w:val="ListParagraph"/>
        <w:numPr>
          <w:ilvl w:val="0"/>
          <w:numId w:val="18"/>
        </w:numPr>
        <w:spacing w:after="0" w:line="360" w:lineRule="auto"/>
        <w:jc w:val="both"/>
        <w:rPr>
          <w:i/>
          <w:lang w:val="en-GB"/>
        </w:rPr>
      </w:pPr>
      <w:r w:rsidRPr="005226E7">
        <w:rPr>
          <w:i/>
          <w:lang w:val="en-GB"/>
        </w:rPr>
        <w:t>The people of Beirut are objectified, whereas the people of Paris are humanised.</w:t>
      </w:r>
    </w:p>
    <w:p w14:paraId="55DCDFFF" w14:textId="77777777" w:rsidR="00BE2719" w:rsidRDefault="00BE2719" w:rsidP="00E52F0F">
      <w:pPr>
        <w:spacing w:after="0" w:line="360" w:lineRule="auto"/>
        <w:jc w:val="both"/>
        <w:rPr>
          <w:lang w:val="en-GB"/>
        </w:rPr>
      </w:pPr>
    </w:p>
    <w:p w14:paraId="158A10C8" w14:textId="5F65C511" w:rsidR="00BE2719" w:rsidRDefault="00D01A1A" w:rsidP="00E52F0F">
      <w:pPr>
        <w:spacing w:after="0" w:line="360" w:lineRule="auto"/>
        <w:jc w:val="both"/>
        <w:rPr>
          <w:lang w:val="en-GB"/>
        </w:rPr>
      </w:pPr>
      <w:r>
        <w:rPr>
          <w:lang w:val="en-GB"/>
        </w:rPr>
        <w:t>In t</w:t>
      </w:r>
      <w:r w:rsidR="00BE2719">
        <w:rPr>
          <w:lang w:val="en-GB"/>
        </w:rPr>
        <w:t>he latter hypothesis</w:t>
      </w:r>
      <w:r>
        <w:rPr>
          <w:lang w:val="en-GB"/>
        </w:rPr>
        <w:t xml:space="preserve"> ‘people’ refers to the victims, witnesses, and their relatives. This hypothesis i</w:t>
      </w:r>
      <w:r w:rsidR="00BE2719">
        <w:rPr>
          <w:lang w:val="en-GB"/>
        </w:rPr>
        <w:t xml:space="preserve">s split up in </w:t>
      </w:r>
      <w:r>
        <w:rPr>
          <w:lang w:val="en-GB"/>
        </w:rPr>
        <w:t>four sub</w:t>
      </w:r>
      <w:r w:rsidR="00BE2719">
        <w:rPr>
          <w:lang w:val="en-GB"/>
        </w:rPr>
        <w:t>hypotheses specifying the expected concrete mechanisms through which the power relations are produced</w:t>
      </w:r>
      <w:r w:rsidR="004417ED">
        <w:rPr>
          <w:lang w:val="en-GB"/>
        </w:rPr>
        <w:t xml:space="preserve">, with ‘people’ referring </w:t>
      </w:r>
      <w:r w:rsidR="00F11330">
        <w:rPr>
          <w:lang w:val="en-GB"/>
        </w:rPr>
        <w:t>to the same victims, witnesses, and relatives</w:t>
      </w:r>
      <w:r w:rsidR="00BE2719">
        <w:rPr>
          <w:lang w:val="en-GB"/>
        </w:rPr>
        <w:t xml:space="preserve">: </w:t>
      </w:r>
    </w:p>
    <w:p w14:paraId="78D07BC9" w14:textId="77777777" w:rsidR="004417ED" w:rsidRDefault="004417ED" w:rsidP="00E52F0F">
      <w:pPr>
        <w:spacing w:after="0" w:line="360" w:lineRule="auto"/>
        <w:jc w:val="both"/>
        <w:rPr>
          <w:lang w:val="en-GB"/>
        </w:rPr>
      </w:pPr>
    </w:p>
    <w:p w14:paraId="499DF645" w14:textId="77777777" w:rsidR="004417ED" w:rsidRDefault="004417ED" w:rsidP="00E52F0F">
      <w:pPr>
        <w:numPr>
          <w:ilvl w:val="0"/>
          <w:numId w:val="21"/>
        </w:numPr>
        <w:spacing w:after="0" w:line="360" w:lineRule="auto"/>
        <w:ind w:left="1418" w:right="708" w:hanging="284"/>
        <w:jc w:val="both"/>
        <w:rPr>
          <w:i/>
          <w:lang w:val="en-GB"/>
        </w:rPr>
      </w:pPr>
      <w:r>
        <w:rPr>
          <w:i/>
          <w:lang w:val="en-GB"/>
        </w:rPr>
        <w:t>The people of Beirut are described with geographic, demographic – especially religious –, and political classifications.</w:t>
      </w:r>
    </w:p>
    <w:p w14:paraId="4BFD8098" w14:textId="77777777" w:rsidR="004417ED" w:rsidRDefault="004417ED" w:rsidP="00E52F0F">
      <w:pPr>
        <w:numPr>
          <w:ilvl w:val="0"/>
          <w:numId w:val="21"/>
        </w:numPr>
        <w:spacing w:after="0" w:line="360" w:lineRule="auto"/>
        <w:ind w:left="1418" w:right="708" w:hanging="284"/>
        <w:jc w:val="both"/>
        <w:rPr>
          <w:i/>
          <w:lang w:val="en-GB"/>
        </w:rPr>
      </w:pPr>
      <w:r>
        <w:rPr>
          <w:i/>
          <w:lang w:val="en-GB"/>
        </w:rPr>
        <w:t>The people of Beirut are indirectly connected to Isis by a focus on the Hezbollah group.</w:t>
      </w:r>
    </w:p>
    <w:p w14:paraId="573B24A7" w14:textId="77777777" w:rsidR="004417ED" w:rsidRDefault="004417ED" w:rsidP="00E52F0F">
      <w:pPr>
        <w:numPr>
          <w:ilvl w:val="0"/>
          <w:numId w:val="21"/>
        </w:numPr>
        <w:spacing w:after="0" w:line="360" w:lineRule="auto"/>
        <w:ind w:left="1418" w:right="708" w:hanging="284"/>
        <w:jc w:val="both"/>
        <w:rPr>
          <w:i/>
          <w:lang w:val="en-GB"/>
        </w:rPr>
      </w:pPr>
      <w:r>
        <w:rPr>
          <w:i/>
          <w:lang w:val="en-GB"/>
        </w:rPr>
        <w:t xml:space="preserve">The people of Paris </w:t>
      </w:r>
      <w:r w:rsidRPr="00FB7E6F">
        <w:rPr>
          <w:i/>
          <w:lang w:val="en-GB"/>
        </w:rPr>
        <w:t>are not classified according to reli</w:t>
      </w:r>
      <w:r>
        <w:rPr>
          <w:i/>
          <w:lang w:val="en-GB"/>
        </w:rPr>
        <w:t>gious or political affiliation.</w:t>
      </w:r>
    </w:p>
    <w:p w14:paraId="12FA07EB" w14:textId="77777777" w:rsidR="004417ED" w:rsidRDefault="004417ED" w:rsidP="00E52F0F">
      <w:pPr>
        <w:numPr>
          <w:ilvl w:val="0"/>
          <w:numId w:val="21"/>
        </w:numPr>
        <w:spacing w:after="0" w:line="360" w:lineRule="auto"/>
        <w:ind w:left="1418" w:right="708" w:hanging="284"/>
        <w:jc w:val="both"/>
        <w:rPr>
          <w:i/>
          <w:lang w:val="en-GB"/>
        </w:rPr>
      </w:pPr>
      <w:r>
        <w:rPr>
          <w:i/>
          <w:lang w:val="en-GB"/>
        </w:rPr>
        <w:t xml:space="preserve">The people of Paris </w:t>
      </w:r>
      <w:r w:rsidRPr="00FB7E6F">
        <w:rPr>
          <w:i/>
          <w:lang w:val="en-GB"/>
        </w:rPr>
        <w:t>are described focusing on their emotions.</w:t>
      </w:r>
    </w:p>
    <w:p w14:paraId="00E559E2" w14:textId="77777777" w:rsidR="00BE2719" w:rsidRDefault="00BE2719" w:rsidP="00E52F0F">
      <w:pPr>
        <w:spacing w:after="0" w:line="360" w:lineRule="auto"/>
        <w:ind w:firstLine="708"/>
        <w:jc w:val="both"/>
        <w:rPr>
          <w:lang w:val="en-GB"/>
        </w:rPr>
      </w:pPr>
    </w:p>
    <w:p w14:paraId="1BDB0E19" w14:textId="69EDC5D4" w:rsidR="00066B87" w:rsidRPr="000F12FD" w:rsidRDefault="00BE2719" w:rsidP="00066B87">
      <w:pPr>
        <w:spacing w:after="0" w:line="360" w:lineRule="auto"/>
        <w:ind w:firstLine="708"/>
        <w:jc w:val="both"/>
        <w:rPr>
          <w:lang w:val="en-GB"/>
        </w:rPr>
      </w:pPr>
      <w:r>
        <w:rPr>
          <w:lang w:val="en-GB"/>
        </w:rPr>
        <w:lastRenderedPageBreak/>
        <w:t xml:space="preserve">By applying the Critical Discourse Analysis approach of Siegfried Jäger, which is based on Foucault’s theory and tailored to analysing media discourse, I explored the Guardian articles that were directly concerned with the Beirut and Paris attacks. All hypotheses were confirmed, and all but the last were also partially rejected. </w:t>
      </w:r>
      <w:r w:rsidR="00F11330">
        <w:rPr>
          <w:lang w:val="en-GB"/>
        </w:rPr>
        <w:t xml:space="preserve">The Guardian </w:t>
      </w:r>
      <w:r>
        <w:rPr>
          <w:lang w:val="en-GB"/>
        </w:rPr>
        <w:t>produce</w:t>
      </w:r>
      <w:r w:rsidR="00F11330">
        <w:rPr>
          <w:lang w:val="en-GB"/>
        </w:rPr>
        <w:t>d</w:t>
      </w:r>
      <w:r>
        <w:rPr>
          <w:lang w:val="en-GB"/>
        </w:rPr>
        <w:t xml:space="preserve"> more articles on Paris than on Beirut – 214</w:t>
      </w:r>
      <w:r w:rsidR="00F11330">
        <w:rPr>
          <w:lang w:val="en-GB"/>
        </w:rPr>
        <w:t xml:space="preserve"> more –</w:t>
      </w:r>
      <w:r>
        <w:rPr>
          <w:lang w:val="en-GB"/>
        </w:rPr>
        <w:t xml:space="preserve"> and in total these articles were shared more</w:t>
      </w:r>
      <w:r w:rsidR="00F11330">
        <w:rPr>
          <w:lang w:val="en-GB"/>
        </w:rPr>
        <w:t xml:space="preserve">. As Roy (2015) and Ser (2015) show, the attention paid to Paris on social media – </w:t>
      </w:r>
      <w:r w:rsidR="00426224">
        <w:rPr>
          <w:lang w:val="en-GB"/>
        </w:rPr>
        <w:t>revealed</w:t>
      </w:r>
      <w:r w:rsidR="00177076">
        <w:rPr>
          <w:lang w:val="en-GB"/>
        </w:rPr>
        <w:t xml:space="preserve"> by the </w:t>
      </w:r>
      <w:r w:rsidR="00426224">
        <w:rPr>
          <w:lang w:val="en-GB"/>
        </w:rPr>
        <w:t xml:space="preserve">use of the </w:t>
      </w:r>
      <w:r w:rsidR="00177076">
        <w:rPr>
          <w:lang w:val="en-GB"/>
        </w:rPr>
        <w:t>hashtags #Prayfor</w:t>
      </w:r>
      <w:r w:rsidR="00F11330">
        <w:rPr>
          <w:lang w:val="en-GB"/>
        </w:rPr>
        <w:t>Paris, #Parisattacks, and #Paris</w:t>
      </w:r>
      <w:r w:rsidR="00680AB6">
        <w:rPr>
          <w:lang w:val="en-GB"/>
        </w:rPr>
        <w:t xml:space="preserve"> on Twitter</w:t>
      </w:r>
      <w:r w:rsidR="00F11330">
        <w:rPr>
          <w:lang w:val="en-GB"/>
        </w:rPr>
        <w:t xml:space="preserve"> – was </w:t>
      </w:r>
      <w:r w:rsidR="00DC17E7">
        <w:rPr>
          <w:lang w:val="en-GB"/>
        </w:rPr>
        <w:t>substantial</w:t>
      </w:r>
      <w:r w:rsidR="00F11330">
        <w:rPr>
          <w:lang w:val="en-GB"/>
        </w:rPr>
        <w:t xml:space="preserve"> in the first thirty hours after the Paris attacks. </w:t>
      </w:r>
      <w:r w:rsidR="00426224">
        <w:rPr>
          <w:lang w:val="en-GB"/>
        </w:rPr>
        <w:t xml:space="preserve">In contrast, </w:t>
      </w:r>
      <w:r w:rsidR="00DC17E7">
        <w:rPr>
          <w:lang w:val="en-GB"/>
        </w:rPr>
        <w:t>the</w:t>
      </w:r>
      <w:r w:rsidR="00426224">
        <w:rPr>
          <w:lang w:val="en-GB"/>
        </w:rPr>
        <w:t xml:space="preserve"> Guardian</w:t>
      </w:r>
      <w:r w:rsidR="00DC17E7">
        <w:rPr>
          <w:lang w:val="en-GB"/>
        </w:rPr>
        <w:t xml:space="preserve"> published three</w:t>
      </w:r>
      <w:r w:rsidR="00426224">
        <w:rPr>
          <w:lang w:val="en-GB"/>
        </w:rPr>
        <w:t xml:space="preserve"> articles on the Beirut attacks. Interestingly, individually these articles were </w:t>
      </w:r>
      <w:r w:rsidR="00DC17E7">
        <w:rPr>
          <w:lang w:val="en-GB"/>
        </w:rPr>
        <w:t xml:space="preserve">on average </w:t>
      </w:r>
      <w:r w:rsidR="00426224">
        <w:rPr>
          <w:lang w:val="en-GB"/>
        </w:rPr>
        <w:t xml:space="preserve">shared more often </w:t>
      </w:r>
      <w:r w:rsidR="002D03F7">
        <w:rPr>
          <w:lang w:val="en-GB"/>
        </w:rPr>
        <w:t>than the Paris articles</w:t>
      </w:r>
      <w:r>
        <w:rPr>
          <w:lang w:val="en-GB"/>
        </w:rPr>
        <w:t>. Unfortunately</w:t>
      </w:r>
      <w:r w:rsidR="00F11330">
        <w:rPr>
          <w:lang w:val="en-GB"/>
        </w:rPr>
        <w:t>,</w:t>
      </w:r>
      <w:r>
        <w:rPr>
          <w:lang w:val="en-GB"/>
        </w:rPr>
        <w:t xml:space="preserve"> it was impossible to see how</w:t>
      </w:r>
      <w:r w:rsidR="00F11330">
        <w:rPr>
          <w:lang w:val="en-GB"/>
        </w:rPr>
        <w:t xml:space="preserve"> often the articles were shared</w:t>
      </w:r>
      <w:r w:rsidR="002D03F7">
        <w:rPr>
          <w:lang w:val="en-GB"/>
        </w:rPr>
        <w:t xml:space="preserve"> per moment</w:t>
      </w:r>
      <w:r w:rsidR="00F11330">
        <w:rPr>
          <w:lang w:val="en-GB"/>
        </w:rPr>
        <w:t>. Nevertheless,</w:t>
      </w:r>
      <w:r>
        <w:rPr>
          <w:lang w:val="en-GB"/>
        </w:rPr>
        <w:t xml:space="preserve"> in light of the outcry on social media, it seems plausible that Guardian readers who </w:t>
      </w:r>
      <w:r w:rsidR="00F11330">
        <w:rPr>
          <w:lang w:val="en-GB"/>
        </w:rPr>
        <w:t>considered</w:t>
      </w:r>
      <w:r>
        <w:rPr>
          <w:lang w:val="en-GB"/>
        </w:rPr>
        <w:t xml:space="preserve"> the difference in coverage of Beirut versus Paris </w:t>
      </w:r>
      <w:r w:rsidR="00F11330">
        <w:rPr>
          <w:lang w:val="en-GB"/>
        </w:rPr>
        <w:t>to be</w:t>
      </w:r>
      <w:r>
        <w:rPr>
          <w:lang w:val="en-GB"/>
        </w:rPr>
        <w:t xml:space="preserve"> wrong started sharing the Beirut articles to show t</w:t>
      </w:r>
      <w:r w:rsidR="002D03F7">
        <w:rPr>
          <w:lang w:val="en-GB"/>
        </w:rPr>
        <w:t>he importance of these attacks. This is supported by the insignificant use of the hashtags #PrayForBeirut, #BeirutAttacks, and #Beirut in the first thirty hours after the Beirut attacks</w:t>
      </w:r>
      <w:r w:rsidR="00DC17E7">
        <w:rPr>
          <w:lang w:val="en-GB"/>
        </w:rPr>
        <w:t>, as this means that it is unlikely that the articles on Beirut were shared often in this time period</w:t>
      </w:r>
      <w:r w:rsidR="002D03F7">
        <w:rPr>
          <w:lang w:val="en-GB"/>
        </w:rPr>
        <w:t xml:space="preserve"> (Ser, 2015; Roy, 2015). All in all, </w:t>
      </w:r>
      <w:r w:rsidR="00066B87">
        <w:rPr>
          <w:lang w:val="en-GB"/>
        </w:rPr>
        <w:t>the Guardian not only reproduce</w:t>
      </w:r>
      <w:r w:rsidR="00DC17E7">
        <w:rPr>
          <w:lang w:val="en-GB"/>
        </w:rPr>
        <w:t>d</w:t>
      </w:r>
      <w:r w:rsidR="002D03F7">
        <w:rPr>
          <w:lang w:val="en-GB"/>
        </w:rPr>
        <w:t xml:space="preserve"> the </w:t>
      </w:r>
      <w:r w:rsidR="002D03F7" w:rsidRPr="000F12FD">
        <w:rPr>
          <w:lang w:val="en-GB"/>
        </w:rPr>
        <w:t>different attention given to Beirut and Paris, but also pro</w:t>
      </w:r>
      <w:r w:rsidR="00710CDA" w:rsidRPr="000F12FD">
        <w:rPr>
          <w:lang w:val="en-GB"/>
        </w:rPr>
        <w:t xml:space="preserve">duced this </w:t>
      </w:r>
      <w:r w:rsidR="00066B87" w:rsidRPr="000F12FD">
        <w:rPr>
          <w:lang w:val="en-GB"/>
        </w:rPr>
        <w:t>difference</w:t>
      </w:r>
      <w:r w:rsidR="00710CDA" w:rsidRPr="000F12FD">
        <w:rPr>
          <w:lang w:val="en-GB"/>
        </w:rPr>
        <w:t xml:space="preserve">: </w:t>
      </w:r>
      <w:r w:rsidR="00DB7BA0" w:rsidRPr="000F12FD">
        <w:rPr>
          <w:lang w:val="en-GB"/>
        </w:rPr>
        <w:t>it started its coverage of the Paris attacks with a live blog three minutes after the first explosion</w:t>
      </w:r>
      <w:r w:rsidR="00DB7BA0">
        <w:rPr>
          <w:lang w:val="en-GB"/>
        </w:rPr>
        <w:t xml:space="preserve">, </w:t>
      </w:r>
      <w:r w:rsidR="00680AB6">
        <w:rPr>
          <w:lang w:val="en-GB"/>
        </w:rPr>
        <w:t>before</w:t>
      </w:r>
      <w:r w:rsidR="00DB7BA0">
        <w:rPr>
          <w:lang w:val="en-GB"/>
        </w:rPr>
        <w:t xml:space="preserve"> social media </w:t>
      </w:r>
      <w:r w:rsidR="00680AB6">
        <w:rPr>
          <w:lang w:val="en-GB"/>
        </w:rPr>
        <w:t>users started paying considerable attention to</w:t>
      </w:r>
      <w:r w:rsidR="00DB7BA0">
        <w:rPr>
          <w:lang w:val="en-GB"/>
        </w:rPr>
        <w:t xml:space="preserve"> Paris;</w:t>
      </w:r>
      <w:r w:rsidR="00DB7BA0" w:rsidRPr="000F12FD">
        <w:rPr>
          <w:lang w:val="en-GB"/>
        </w:rPr>
        <w:t xml:space="preserve"> </w:t>
      </w:r>
      <w:r w:rsidR="00DB7BA0">
        <w:rPr>
          <w:lang w:val="en-GB"/>
        </w:rPr>
        <w:t xml:space="preserve">it </w:t>
      </w:r>
      <w:r w:rsidR="00DB7BA0" w:rsidRPr="000F12FD">
        <w:rPr>
          <w:lang w:val="en-GB"/>
        </w:rPr>
        <w:t xml:space="preserve">already </w:t>
      </w:r>
      <w:r w:rsidR="00DB7BA0">
        <w:rPr>
          <w:lang w:val="en-GB"/>
        </w:rPr>
        <w:t>had</w:t>
      </w:r>
      <w:r w:rsidR="00DB7BA0" w:rsidRPr="000F12FD">
        <w:rPr>
          <w:lang w:val="en-GB"/>
        </w:rPr>
        <w:t xml:space="preserve"> at least four reporters based in Paris</w:t>
      </w:r>
      <w:r w:rsidR="00DB7BA0">
        <w:rPr>
          <w:lang w:val="en-GB"/>
        </w:rPr>
        <w:t>;</w:t>
      </w:r>
      <w:r w:rsidR="00DB7BA0" w:rsidRPr="000F12FD">
        <w:rPr>
          <w:lang w:val="en-GB"/>
        </w:rPr>
        <w:t xml:space="preserve"> </w:t>
      </w:r>
      <w:r w:rsidR="00DB7BA0">
        <w:rPr>
          <w:lang w:val="en-GB"/>
        </w:rPr>
        <w:t xml:space="preserve">and it </w:t>
      </w:r>
      <w:r w:rsidR="00710CDA" w:rsidRPr="000F12FD">
        <w:rPr>
          <w:lang w:val="en-GB"/>
        </w:rPr>
        <w:t xml:space="preserve">did not </w:t>
      </w:r>
      <w:r w:rsidR="00066B87" w:rsidRPr="000F12FD">
        <w:rPr>
          <w:lang w:val="en-GB"/>
        </w:rPr>
        <w:t>publish</w:t>
      </w:r>
      <w:r w:rsidR="00710CDA" w:rsidRPr="000F12FD">
        <w:rPr>
          <w:lang w:val="en-GB"/>
        </w:rPr>
        <w:t xml:space="preserve"> more articles on Beirut </w:t>
      </w:r>
      <w:r w:rsidR="00DB7BA0">
        <w:rPr>
          <w:lang w:val="en-GB"/>
        </w:rPr>
        <w:t xml:space="preserve">after </w:t>
      </w:r>
      <w:r w:rsidR="00710CDA" w:rsidRPr="000F12FD">
        <w:rPr>
          <w:lang w:val="en-GB"/>
        </w:rPr>
        <w:t>attention given to it in social media</w:t>
      </w:r>
      <w:r w:rsidR="00DB7BA0">
        <w:rPr>
          <w:lang w:val="en-GB"/>
        </w:rPr>
        <w:t xml:space="preserve"> increased</w:t>
      </w:r>
      <w:r w:rsidR="00066B87" w:rsidRPr="000F12FD">
        <w:rPr>
          <w:lang w:val="en-GB"/>
        </w:rPr>
        <w:t>.</w:t>
      </w:r>
    </w:p>
    <w:p w14:paraId="56558B80" w14:textId="342D9582" w:rsidR="000848A7" w:rsidRDefault="00DB7BA0" w:rsidP="000848A7">
      <w:pPr>
        <w:spacing w:after="0" w:line="360" w:lineRule="auto"/>
        <w:ind w:firstLine="708"/>
        <w:jc w:val="both"/>
        <w:rPr>
          <w:lang w:val="en-GB"/>
        </w:rPr>
      </w:pPr>
      <w:r>
        <w:rPr>
          <w:lang w:val="en-GB"/>
        </w:rPr>
        <w:t>The power relations within</w:t>
      </w:r>
      <w:r w:rsidR="00BE2719" w:rsidRPr="000F12FD">
        <w:rPr>
          <w:lang w:val="en-GB"/>
        </w:rPr>
        <w:t xml:space="preserve"> the articles, moreover, </w:t>
      </w:r>
      <w:r>
        <w:rPr>
          <w:lang w:val="en-GB"/>
        </w:rPr>
        <w:t>were both in line with these findings and different from them</w:t>
      </w:r>
      <w:r w:rsidR="00BE2719" w:rsidRPr="000F12FD">
        <w:rPr>
          <w:lang w:val="en-GB"/>
        </w:rPr>
        <w:t>.</w:t>
      </w:r>
      <w:r w:rsidR="00066B87" w:rsidRPr="000F12FD">
        <w:rPr>
          <w:lang w:val="en-GB"/>
        </w:rPr>
        <w:t xml:space="preserve"> The descriptions of the victims, witnesses, and relatives affected by the Beirut attacks respectively focused on the physical effects the attacks had on the bodies, the actions of those who experienced the attack, </w:t>
      </w:r>
      <w:r w:rsidR="000F12FD" w:rsidRPr="000F12FD">
        <w:rPr>
          <w:lang w:val="en-GB"/>
        </w:rPr>
        <w:t xml:space="preserve">and how the relatives condemned the attackers. </w:t>
      </w:r>
      <w:r w:rsidR="000F12FD">
        <w:rPr>
          <w:lang w:val="en-GB"/>
        </w:rPr>
        <w:t xml:space="preserve">The Guardian described the district where the attacks in Beirut took place </w:t>
      </w:r>
      <w:r w:rsidR="000F12FD" w:rsidRPr="00DB7BA0">
        <w:rPr>
          <w:lang w:val="en-GB"/>
        </w:rPr>
        <w:t>as having a Shia-majority, as well as being in general supportive to Hezbollah</w:t>
      </w:r>
      <w:r w:rsidRPr="00DB7BA0">
        <w:rPr>
          <w:lang w:val="en-GB"/>
        </w:rPr>
        <w:t xml:space="preserve">, besides being </w:t>
      </w:r>
      <w:r w:rsidR="000F12FD" w:rsidRPr="00DB7BA0">
        <w:rPr>
          <w:lang w:val="en-GB"/>
        </w:rPr>
        <w:t>poor and crowded. With</w:t>
      </w:r>
      <w:r w:rsidR="000F12FD">
        <w:rPr>
          <w:lang w:val="en-GB"/>
        </w:rPr>
        <w:t xml:space="preserve"> regard to the Paris attacks, the focus in the descriptions of the victims, witnesses, and relatives was on their emotions and their activities before the attacks. In the reports of the place and scene of the attack</w:t>
      </w:r>
      <w:r>
        <w:rPr>
          <w:lang w:val="en-GB"/>
        </w:rPr>
        <w:t>s in Paris</w:t>
      </w:r>
      <w:r w:rsidR="000F12FD">
        <w:rPr>
          <w:lang w:val="en-GB"/>
        </w:rPr>
        <w:t xml:space="preserve"> factual information was provided – for example the names of the streets where the attacks took place – as well as illustrations of what people were doing, such as dining or attending a concert, and how their evening ended with explosions </w:t>
      </w:r>
      <w:r w:rsidR="000848A7">
        <w:rPr>
          <w:lang w:val="en-GB"/>
        </w:rPr>
        <w:t>and</w:t>
      </w:r>
      <w:r w:rsidR="000F12FD">
        <w:rPr>
          <w:lang w:val="en-GB"/>
        </w:rPr>
        <w:t xml:space="preserve"> gunshots. In general, it thus appeared that hypothesis A can be confirmed when the Guardian discussed the</w:t>
      </w:r>
      <w:r>
        <w:rPr>
          <w:lang w:val="en-GB"/>
        </w:rPr>
        <w:t xml:space="preserve"> targeted</w:t>
      </w:r>
      <w:r w:rsidR="000F12FD">
        <w:rPr>
          <w:lang w:val="en-GB"/>
        </w:rPr>
        <w:t xml:space="preserve"> neighbourhood</w:t>
      </w:r>
      <w:r>
        <w:rPr>
          <w:lang w:val="en-GB"/>
        </w:rPr>
        <w:t xml:space="preserve"> in Beirut</w:t>
      </w:r>
      <w:r w:rsidR="000F12FD">
        <w:rPr>
          <w:lang w:val="en-GB"/>
        </w:rPr>
        <w:t xml:space="preserve">, but not when </w:t>
      </w:r>
      <w:r>
        <w:rPr>
          <w:lang w:val="en-GB"/>
        </w:rPr>
        <w:t>it referred</w:t>
      </w:r>
      <w:r w:rsidR="000F12FD">
        <w:rPr>
          <w:lang w:val="en-GB"/>
        </w:rPr>
        <w:t xml:space="preserve"> to specific persons</w:t>
      </w:r>
      <w:r>
        <w:rPr>
          <w:lang w:val="en-GB"/>
        </w:rPr>
        <w:t xml:space="preserve"> affected by the attacks</w:t>
      </w:r>
      <w:r w:rsidR="000F12FD">
        <w:rPr>
          <w:lang w:val="en-GB"/>
        </w:rPr>
        <w:t>. The same is true for hypothesis B. Hypotheses C and D can be confirmed for both general descriptions of the residents of Paris as well as for the individual persons</w:t>
      </w:r>
      <w:r w:rsidR="00671B77">
        <w:rPr>
          <w:lang w:val="en-GB"/>
        </w:rPr>
        <w:t xml:space="preserve"> affected by the attacks. For hypothesis C, however, an exception should be made. Several of the victims were classified a</w:t>
      </w:r>
      <w:r w:rsidR="000848A7">
        <w:rPr>
          <w:lang w:val="en-GB"/>
        </w:rPr>
        <w:t>ccording to religion, na</w:t>
      </w:r>
      <w:r>
        <w:rPr>
          <w:lang w:val="en-GB"/>
        </w:rPr>
        <w:t>mely those who were Muslim</w:t>
      </w:r>
      <w:r w:rsidR="00671B77">
        <w:rPr>
          <w:lang w:val="en-GB"/>
        </w:rPr>
        <w:t>. The Guardian published a separate article on these victims. In combination with (1) an editorial article stressing the importance of avoiding a categorisation of all Muslims as terrorists</w:t>
      </w:r>
      <w:r w:rsidR="000848A7">
        <w:rPr>
          <w:lang w:val="en-GB"/>
        </w:rPr>
        <w:t xml:space="preserve"> (</w:t>
      </w:r>
      <w:r w:rsidR="00C048FC" w:rsidRPr="00320ECE">
        <w:rPr>
          <w:lang w:val="en-GB"/>
        </w:rPr>
        <w:t>2015b; 2015c</w:t>
      </w:r>
      <w:r w:rsidR="000848A7">
        <w:rPr>
          <w:lang w:val="en-GB"/>
        </w:rPr>
        <w:t>)</w:t>
      </w:r>
      <w:r w:rsidR="00671B77">
        <w:rPr>
          <w:lang w:val="en-GB"/>
        </w:rPr>
        <w:t xml:space="preserve">, (2) </w:t>
      </w:r>
      <w:r w:rsidR="00671B77">
        <w:rPr>
          <w:lang w:val="en-GB"/>
        </w:rPr>
        <w:lastRenderedPageBreak/>
        <w:t xml:space="preserve">an editor </w:t>
      </w:r>
      <w:r>
        <w:rPr>
          <w:lang w:val="en-GB"/>
        </w:rPr>
        <w:t>claiming the decision to</w:t>
      </w:r>
      <w:r w:rsidR="00671B77">
        <w:rPr>
          <w:lang w:val="en-GB"/>
        </w:rPr>
        <w:t xml:space="preserve"> d</w:t>
      </w:r>
      <w:r>
        <w:rPr>
          <w:lang w:val="en-GB"/>
        </w:rPr>
        <w:t xml:space="preserve">isable the </w:t>
      </w:r>
      <w:r w:rsidR="00671B77">
        <w:rPr>
          <w:lang w:val="en-GB"/>
        </w:rPr>
        <w:t xml:space="preserve">comments on the Paris articles in light of the Islamophobic </w:t>
      </w:r>
      <w:r>
        <w:rPr>
          <w:lang w:val="en-GB"/>
        </w:rPr>
        <w:t xml:space="preserve">comments was correct </w:t>
      </w:r>
      <w:r w:rsidR="000848A7">
        <w:rPr>
          <w:lang w:val="en-GB"/>
        </w:rPr>
        <w:t>(</w:t>
      </w:r>
      <w:r w:rsidR="00320ECE">
        <w:rPr>
          <w:lang w:val="en-GB"/>
        </w:rPr>
        <w:t>Elliot, 2015</w:t>
      </w:r>
      <w:r w:rsidR="000848A7">
        <w:rPr>
          <w:lang w:val="en-GB"/>
        </w:rPr>
        <w:t>)</w:t>
      </w:r>
      <w:r w:rsidR="00671B77">
        <w:rPr>
          <w:lang w:val="en-GB"/>
        </w:rPr>
        <w:t>, (3) the publication of an article about how the media concerned with the Paris attacks failed British Muslims</w:t>
      </w:r>
      <w:r w:rsidR="000848A7">
        <w:rPr>
          <w:lang w:val="en-GB"/>
        </w:rPr>
        <w:t xml:space="preserve"> (</w:t>
      </w:r>
      <w:r w:rsidR="00320ECE">
        <w:rPr>
          <w:lang w:val="en-GB"/>
        </w:rPr>
        <w:t>Fishwick, 2015</w:t>
      </w:r>
      <w:r w:rsidR="000848A7">
        <w:rPr>
          <w:lang w:val="en-GB"/>
        </w:rPr>
        <w:t>)</w:t>
      </w:r>
      <w:r w:rsidR="00671B77">
        <w:rPr>
          <w:lang w:val="en-GB"/>
        </w:rPr>
        <w:t>, and (4) the publication of quote</w:t>
      </w:r>
      <w:r w:rsidR="00C03923">
        <w:rPr>
          <w:lang w:val="en-GB"/>
        </w:rPr>
        <w:t>s of relatives of Beirut attack</w:t>
      </w:r>
      <w:r w:rsidR="00671B77">
        <w:rPr>
          <w:lang w:val="en-GB"/>
        </w:rPr>
        <w:t xml:space="preserve"> victims </w:t>
      </w:r>
      <w:r w:rsidR="00671B77" w:rsidRPr="000848A7">
        <w:rPr>
          <w:lang w:val="en-GB"/>
        </w:rPr>
        <w:t>condemning the attackers</w:t>
      </w:r>
      <w:r w:rsidR="000848A7" w:rsidRPr="000848A7">
        <w:rPr>
          <w:lang w:val="en-GB"/>
        </w:rPr>
        <w:t xml:space="preserve"> (</w:t>
      </w:r>
      <w:r w:rsidR="00320ECE">
        <w:rPr>
          <w:lang w:val="en-GB"/>
        </w:rPr>
        <w:t>Shaheen, 2015b</w:t>
      </w:r>
      <w:r w:rsidR="000848A7" w:rsidRPr="000848A7">
        <w:rPr>
          <w:lang w:val="en-GB"/>
        </w:rPr>
        <w:t>)</w:t>
      </w:r>
      <w:r w:rsidR="00671B77" w:rsidRPr="000848A7">
        <w:rPr>
          <w:lang w:val="en-GB"/>
        </w:rPr>
        <w:t xml:space="preserve">, the Guardian appears to aim to resist the equation of Muslims with terrorists. </w:t>
      </w:r>
      <w:r w:rsidR="006A3F1A" w:rsidRPr="000848A7">
        <w:rPr>
          <w:lang w:val="en-GB"/>
        </w:rPr>
        <w:t xml:space="preserve">Nevertheless, by </w:t>
      </w:r>
      <w:r w:rsidR="000848A7" w:rsidRPr="000848A7">
        <w:rPr>
          <w:lang w:val="en-GB"/>
        </w:rPr>
        <w:t>emphasising</w:t>
      </w:r>
      <w:r w:rsidR="006A3F1A" w:rsidRPr="000848A7">
        <w:rPr>
          <w:lang w:val="en-GB"/>
        </w:rPr>
        <w:t xml:space="preserve"> </w:t>
      </w:r>
      <w:r w:rsidR="00C03923">
        <w:rPr>
          <w:lang w:val="en-GB"/>
        </w:rPr>
        <w:t xml:space="preserve">their </w:t>
      </w:r>
      <w:r w:rsidR="000848A7" w:rsidRPr="000848A7">
        <w:rPr>
          <w:lang w:val="en-GB"/>
        </w:rPr>
        <w:t>religio</w:t>
      </w:r>
      <w:r w:rsidR="00C03923">
        <w:rPr>
          <w:lang w:val="en-GB"/>
        </w:rPr>
        <w:t>us affiliation</w:t>
      </w:r>
      <w:r w:rsidR="006A3F1A" w:rsidRPr="000848A7">
        <w:rPr>
          <w:lang w:val="en-GB"/>
        </w:rPr>
        <w:t xml:space="preserve">, </w:t>
      </w:r>
      <w:r w:rsidR="000848A7" w:rsidRPr="000848A7">
        <w:rPr>
          <w:lang w:val="en-GB"/>
        </w:rPr>
        <w:t>the Guardian</w:t>
      </w:r>
      <w:r w:rsidR="006A3F1A" w:rsidRPr="000848A7">
        <w:rPr>
          <w:lang w:val="en-GB"/>
        </w:rPr>
        <w:t xml:space="preserve"> categorise</w:t>
      </w:r>
      <w:r w:rsidR="000848A7" w:rsidRPr="000848A7">
        <w:rPr>
          <w:lang w:val="en-GB"/>
        </w:rPr>
        <w:t xml:space="preserve">s </w:t>
      </w:r>
      <w:r w:rsidR="000848A7">
        <w:rPr>
          <w:lang w:val="en-GB"/>
        </w:rPr>
        <w:t xml:space="preserve">them </w:t>
      </w:r>
      <w:r w:rsidR="000848A7" w:rsidRPr="000848A7">
        <w:rPr>
          <w:lang w:val="en-GB"/>
        </w:rPr>
        <w:t xml:space="preserve">into a separate category. </w:t>
      </w:r>
      <w:r w:rsidR="000848A7">
        <w:rPr>
          <w:lang w:val="en-GB"/>
        </w:rPr>
        <w:t>Instead of being victims, they are Muslims victims. That the Guardian mentioned the descent of almost every named Muslim victim</w:t>
      </w:r>
      <w:r w:rsidR="00C03923">
        <w:rPr>
          <w:lang w:val="en-GB"/>
        </w:rPr>
        <w:t xml:space="preserve"> of the Paris attacks</w:t>
      </w:r>
      <w:r w:rsidR="000848A7">
        <w:rPr>
          <w:lang w:val="en-GB"/>
        </w:rPr>
        <w:t xml:space="preserve"> – regardless of whether they were French nationals – reinforces this categorisation as a separate group (</w:t>
      </w:r>
      <w:r w:rsidR="00320ECE">
        <w:rPr>
          <w:lang w:val="en-GB"/>
        </w:rPr>
        <w:t>Penketh, 2015</w:t>
      </w:r>
      <w:r w:rsidR="000848A7">
        <w:rPr>
          <w:lang w:val="en-GB"/>
        </w:rPr>
        <w:t>)</w:t>
      </w:r>
      <w:r w:rsidR="00BE2719">
        <w:rPr>
          <w:lang w:val="en-GB"/>
        </w:rPr>
        <w:t xml:space="preserve">. </w:t>
      </w:r>
      <w:r w:rsidR="00463D87">
        <w:rPr>
          <w:lang w:val="en-GB"/>
        </w:rPr>
        <w:t>On first sight, however, these differences may not be noticed, since the focus and structure is similar to the other articles. Although this subtlety in differences may not be intended by the authors, it is nevertheless intentional</w:t>
      </w:r>
      <w:r w:rsidR="00C03923">
        <w:rPr>
          <w:lang w:val="en-GB"/>
        </w:rPr>
        <w:t>, and returned in all articles</w:t>
      </w:r>
      <w:r w:rsidR="00463D87">
        <w:rPr>
          <w:lang w:val="en-GB"/>
        </w:rPr>
        <w:t xml:space="preserve">. Due to the subtlety the power relations – an objectification of the people of Beirut and of Muslim </w:t>
      </w:r>
      <w:r w:rsidR="00682D2B">
        <w:rPr>
          <w:lang w:val="en-GB"/>
        </w:rPr>
        <w:t>victims and a humanisation of the people of Paris –</w:t>
      </w:r>
      <w:r w:rsidR="00C03923">
        <w:rPr>
          <w:lang w:val="en-GB"/>
        </w:rPr>
        <w:t xml:space="preserve"> </w:t>
      </w:r>
      <w:r w:rsidR="00463D87">
        <w:rPr>
          <w:lang w:val="en-GB"/>
        </w:rPr>
        <w:t xml:space="preserve">are harder to discern, and thereby harder to resist. </w:t>
      </w:r>
    </w:p>
    <w:p w14:paraId="79B5D26B" w14:textId="0628D07C" w:rsidR="00BE2719" w:rsidRDefault="00682D2B" w:rsidP="009B0B92">
      <w:pPr>
        <w:spacing w:after="0" w:line="360" w:lineRule="auto"/>
        <w:ind w:firstLine="708"/>
        <w:jc w:val="both"/>
        <w:rPr>
          <w:lang w:val="en-GB"/>
        </w:rPr>
      </w:pPr>
      <w:r>
        <w:rPr>
          <w:lang w:val="en-GB"/>
        </w:rPr>
        <w:t>The arguments used to justify the difference further reflect and (re)produce the</w:t>
      </w:r>
      <w:r w:rsidR="00C03923">
        <w:rPr>
          <w:lang w:val="en-GB"/>
        </w:rPr>
        <w:t>se</w:t>
      </w:r>
      <w:r>
        <w:rPr>
          <w:lang w:val="en-GB"/>
        </w:rPr>
        <w:t xml:space="preserve"> power relations. Mostly used is the claim that many readers from Western Europe and the Anglosphere are geographically and culturally closer to the people of Paris than to the people of Beirut, and thus identify easier with the Parisians than the Beirutians, making them more </w:t>
      </w:r>
      <w:r w:rsidR="00C03923">
        <w:rPr>
          <w:lang w:val="en-GB"/>
        </w:rPr>
        <w:t>important to know about</w:t>
      </w:r>
      <w:r>
        <w:rPr>
          <w:lang w:val="en-GB"/>
        </w:rPr>
        <w:t>. Due to the focus on the personalities and emotions of the former rather than on the bodies and demographics of the latter, however, it becomes easier to identify with the Parisians</w:t>
      </w:r>
      <w:r w:rsidR="00C03923">
        <w:rPr>
          <w:lang w:val="en-GB"/>
        </w:rPr>
        <w:t>: it is easier to identify with someone whose personal story you know than with people of whom you only know religious and political affiliation</w:t>
      </w:r>
      <w:r w:rsidR="00CA4FE4">
        <w:rPr>
          <w:lang w:val="en-GB"/>
        </w:rPr>
        <w:t>s</w:t>
      </w:r>
      <w:r>
        <w:rPr>
          <w:lang w:val="en-GB"/>
        </w:rPr>
        <w:t xml:space="preserve">. </w:t>
      </w:r>
      <w:r w:rsidR="009B0B92">
        <w:rPr>
          <w:lang w:val="en-GB"/>
        </w:rPr>
        <w:t>Hence, both the articles and the argument support and thereby (re)produce identification with those in Par</w:t>
      </w:r>
      <w:r w:rsidR="003107A7">
        <w:rPr>
          <w:lang w:val="en-GB"/>
        </w:rPr>
        <w:t xml:space="preserve">is rather than </w:t>
      </w:r>
      <w:r w:rsidR="00CA4FE4">
        <w:rPr>
          <w:lang w:val="en-GB"/>
        </w:rPr>
        <w:t xml:space="preserve">with </w:t>
      </w:r>
      <w:r w:rsidR="003107A7">
        <w:rPr>
          <w:lang w:val="en-GB"/>
        </w:rPr>
        <w:t>those in Beirut.</w:t>
      </w:r>
      <w:r w:rsidR="009B0B92">
        <w:rPr>
          <w:lang w:val="en-GB"/>
        </w:rPr>
        <w:t xml:space="preserve"> Al</w:t>
      </w:r>
      <w:r w:rsidR="00BE2719">
        <w:rPr>
          <w:lang w:val="en-GB"/>
        </w:rPr>
        <w:t>though ther</w:t>
      </w:r>
      <w:r w:rsidR="009B0B92">
        <w:rPr>
          <w:lang w:val="en-GB"/>
        </w:rPr>
        <w:t xml:space="preserve">e </w:t>
      </w:r>
      <w:r w:rsidR="00C03923">
        <w:rPr>
          <w:lang w:val="en-GB"/>
        </w:rPr>
        <w:t xml:space="preserve">certainly </w:t>
      </w:r>
      <w:r w:rsidR="009B0B92">
        <w:rPr>
          <w:lang w:val="en-GB"/>
        </w:rPr>
        <w:t xml:space="preserve">is resistance to these power relations, for example </w:t>
      </w:r>
      <w:r w:rsidR="00C03923">
        <w:rPr>
          <w:lang w:val="en-GB"/>
        </w:rPr>
        <w:t>in the interviews of</w:t>
      </w:r>
      <w:r w:rsidR="009B0B92">
        <w:rPr>
          <w:lang w:val="en-GB"/>
        </w:rPr>
        <w:t xml:space="preserve"> the </w:t>
      </w:r>
      <w:r w:rsidR="00BE2719">
        <w:rPr>
          <w:lang w:val="en-GB"/>
        </w:rPr>
        <w:t xml:space="preserve">witnesses and relatives </w:t>
      </w:r>
      <w:r w:rsidR="009B0B92">
        <w:rPr>
          <w:lang w:val="en-GB"/>
        </w:rPr>
        <w:t>in Beirut, th</w:t>
      </w:r>
      <w:r w:rsidR="00C03923">
        <w:rPr>
          <w:lang w:val="en-GB"/>
        </w:rPr>
        <w:t>is</w:t>
      </w:r>
      <w:r w:rsidR="009B0B92">
        <w:rPr>
          <w:lang w:val="en-GB"/>
        </w:rPr>
        <w:t xml:space="preserve"> resistance is not yet enough</w:t>
      </w:r>
      <w:r w:rsidR="00BE2719">
        <w:rPr>
          <w:lang w:val="en-GB"/>
        </w:rPr>
        <w:t xml:space="preserve"> </w:t>
      </w:r>
      <w:r w:rsidR="009B0B92">
        <w:rPr>
          <w:lang w:val="en-GB"/>
        </w:rPr>
        <w:t>in light of the considerable societal implications</w:t>
      </w:r>
      <w:r w:rsidR="00BE2719">
        <w:rPr>
          <w:lang w:val="en-GB"/>
        </w:rPr>
        <w:t xml:space="preserve">. </w:t>
      </w:r>
    </w:p>
    <w:p w14:paraId="745721DB" w14:textId="3BEDFCED" w:rsidR="00A621E5" w:rsidRDefault="00E10F60" w:rsidP="00F17FD7">
      <w:pPr>
        <w:spacing w:after="0" w:line="360" w:lineRule="auto"/>
        <w:ind w:firstLine="708"/>
        <w:jc w:val="both"/>
        <w:rPr>
          <w:lang w:val="en-GB"/>
        </w:rPr>
      </w:pPr>
      <w:r>
        <w:rPr>
          <w:lang w:val="en-GB"/>
        </w:rPr>
        <w:tab/>
        <w:t xml:space="preserve">If the difference in coverage of these or similar events is continued, an implicit categorisation of different peoples is reinforced. As such, it is highly likely that an implicit bias against those described in similar ways as the Beirutians, and </w:t>
      </w:r>
      <w:r w:rsidR="00516F42">
        <w:rPr>
          <w:lang w:val="en-GB"/>
        </w:rPr>
        <w:t>in favour of</w:t>
      </w:r>
      <w:r>
        <w:rPr>
          <w:lang w:val="en-GB"/>
        </w:rPr>
        <w:t xml:space="preserve"> those described in similar ways as the Parisians, is also produced and reproduced. </w:t>
      </w:r>
      <w:r w:rsidR="000270C3">
        <w:rPr>
          <w:lang w:val="en-GB"/>
        </w:rPr>
        <w:t xml:space="preserve">If these power relations are only reinforced and not resisted, it could in the long run mean that people would no longer care about what happens to those who are considered culturally dissimilar, nor about what is happening in places thought to be geographically and culturally further away. Additionally, the power relations affect other discourses because they are entangled </w:t>
      </w:r>
      <w:r w:rsidR="00CA4FE4">
        <w:rPr>
          <w:lang w:val="en-GB"/>
        </w:rPr>
        <w:t xml:space="preserve">with </w:t>
      </w:r>
      <w:r w:rsidR="000270C3">
        <w:rPr>
          <w:lang w:val="en-GB"/>
        </w:rPr>
        <w:t>them. For example, the discourse on the Beirut and Paris attacks is one of the aspects influencing the discourses and practices around terrorism, in foreign poli</w:t>
      </w:r>
      <w:r w:rsidR="00CA4FE4">
        <w:rPr>
          <w:lang w:val="en-GB"/>
        </w:rPr>
        <w:t xml:space="preserve">cies, and around refugees and </w:t>
      </w:r>
      <w:r w:rsidR="000270C3">
        <w:rPr>
          <w:lang w:val="en-GB"/>
        </w:rPr>
        <w:t xml:space="preserve">migrants coming from the Middle East and North Africa. </w:t>
      </w:r>
      <w:r w:rsidR="00F17FD7">
        <w:rPr>
          <w:lang w:val="en-GB"/>
        </w:rPr>
        <w:t>I</w:t>
      </w:r>
      <w:r w:rsidR="000270C3">
        <w:rPr>
          <w:lang w:val="en-GB"/>
        </w:rPr>
        <w:t xml:space="preserve">dentifying less with the people from Beirut could </w:t>
      </w:r>
      <w:r w:rsidR="00F17FD7">
        <w:rPr>
          <w:lang w:val="en-GB"/>
        </w:rPr>
        <w:t>mean</w:t>
      </w:r>
      <w:r w:rsidR="000270C3">
        <w:rPr>
          <w:lang w:val="en-GB"/>
        </w:rPr>
        <w:t xml:space="preserve"> that </w:t>
      </w:r>
      <w:r w:rsidR="00CA4FE4">
        <w:rPr>
          <w:lang w:val="en-GB"/>
        </w:rPr>
        <w:t>Western Europeans</w:t>
      </w:r>
      <w:r w:rsidR="000270C3">
        <w:rPr>
          <w:lang w:val="en-GB"/>
        </w:rPr>
        <w:t xml:space="preserve"> also identify less with refugees who come from that region, and as such</w:t>
      </w:r>
      <w:r w:rsidR="00F17FD7">
        <w:rPr>
          <w:lang w:val="en-GB"/>
        </w:rPr>
        <w:t xml:space="preserve"> this lack of identification</w:t>
      </w:r>
      <w:r w:rsidR="000270C3">
        <w:rPr>
          <w:lang w:val="en-GB"/>
        </w:rPr>
        <w:t xml:space="preserve"> may harm the plight of the refugees</w:t>
      </w:r>
      <w:r w:rsidR="00CA4FE4">
        <w:rPr>
          <w:lang w:val="en-GB"/>
        </w:rPr>
        <w:t xml:space="preserve"> coming to Western Europe</w:t>
      </w:r>
      <w:r w:rsidR="000270C3">
        <w:rPr>
          <w:lang w:val="en-GB"/>
        </w:rPr>
        <w:t xml:space="preserve">. </w:t>
      </w:r>
      <w:r w:rsidR="00F17FD7">
        <w:rPr>
          <w:lang w:val="en-GB"/>
        </w:rPr>
        <w:t xml:space="preserve">Those are </w:t>
      </w:r>
      <w:r w:rsidR="00CA4FE4">
        <w:rPr>
          <w:lang w:val="en-GB"/>
        </w:rPr>
        <w:t xml:space="preserve">several of </w:t>
      </w:r>
      <w:r w:rsidR="00F17FD7">
        <w:rPr>
          <w:lang w:val="en-GB"/>
        </w:rPr>
        <w:t xml:space="preserve">the societal implications of the </w:t>
      </w:r>
      <w:r w:rsidR="00F17FD7">
        <w:rPr>
          <w:lang w:val="en-GB"/>
        </w:rPr>
        <w:lastRenderedPageBreak/>
        <w:t xml:space="preserve">findings. The societal implications of this thesis, however, are different. </w:t>
      </w:r>
      <w:r w:rsidR="00A621E5">
        <w:rPr>
          <w:lang w:val="en-GB"/>
        </w:rPr>
        <w:t>By clarifying the power relations</w:t>
      </w:r>
      <w:r w:rsidR="000270C3">
        <w:rPr>
          <w:lang w:val="en-GB"/>
        </w:rPr>
        <w:t xml:space="preserve"> underlying the news articles</w:t>
      </w:r>
      <w:r w:rsidR="00A621E5">
        <w:rPr>
          <w:lang w:val="en-GB"/>
        </w:rPr>
        <w:t xml:space="preserve">, </w:t>
      </w:r>
      <w:r w:rsidR="00CA4FE4">
        <w:rPr>
          <w:lang w:val="en-GB"/>
        </w:rPr>
        <w:t>the dissertation</w:t>
      </w:r>
      <w:r w:rsidR="00F17FD7">
        <w:rPr>
          <w:lang w:val="en-GB"/>
        </w:rPr>
        <w:t xml:space="preserve"> </w:t>
      </w:r>
      <w:r w:rsidR="00CA4FE4">
        <w:rPr>
          <w:lang w:val="en-GB"/>
        </w:rPr>
        <w:t xml:space="preserve">both </w:t>
      </w:r>
      <w:r w:rsidR="00F17FD7">
        <w:rPr>
          <w:lang w:val="en-GB"/>
        </w:rPr>
        <w:t>aids in understanding coverage of terror attacks and</w:t>
      </w:r>
      <w:r w:rsidR="00A621E5">
        <w:rPr>
          <w:lang w:val="en-GB"/>
        </w:rPr>
        <w:t xml:space="preserve"> </w:t>
      </w:r>
      <w:r w:rsidR="00F17FD7">
        <w:rPr>
          <w:lang w:val="en-GB"/>
        </w:rPr>
        <w:t xml:space="preserve">implies a need for a change in </w:t>
      </w:r>
      <w:r w:rsidR="00A621E5">
        <w:rPr>
          <w:lang w:val="en-GB"/>
        </w:rPr>
        <w:t xml:space="preserve">the standards of what can and cannot be stated in the media about terror attacks. </w:t>
      </w:r>
      <w:r w:rsidR="00AC74BF">
        <w:rPr>
          <w:lang w:val="en-GB"/>
        </w:rPr>
        <w:t xml:space="preserve">Regarding the former, it may help especially with discovering how power relations are continued </w:t>
      </w:r>
      <w:r w:rsidR="00CA4FE4">
        <w:rPr>
          <w:lang w:val="en-GB"/>
        </w:rPr>
        <w:t>and/</w:t>
      </w:r>
      <w:r w:rsidR="00AC74BF">
        <w:rPr>
          <w:lang w:val="en-GB"/>
        </w:rPr>
        <w:t>or challenged in the coverage of these and later attacks. For example, it could help in understanding the recent decision of several French media outlets to not publish photos or names of attackers, which shows the awareness of these outlets of the influence they exert (Borger, 2016; McKenzie, 2016). With regard to the latter, it implies a categorisation of people from one region and humanisation of people from another region is wrong. D</w:t>
      </w:r>
      <w:r w:rsidR="00A621E5">
        <w:rPr>
          <w:lang w:val="en-GB"/>
        </w:rPr>
        <w:t xml:space="preserve">uring the first 24 hours after the Beirut and Paris attacks, </w:t>
      </w:r>
      <w:r w:rsidR="00F17FD7">
        <w:rPr>
          <w:lang w:val="en-GB"/>
        </w:rPr>
        <w:t>it would have been unacceptable to focus</w:t>
      </w:r>
      <w:r w:rsidR="00A621E5">
        <w:rPr>
          <w:lang w:val="en-GB"/>
        </w:rPr>
        <w:t xml:space="preserve"> on how France is involved in the war in Syria</w:t>
      </w:r>
      <w:r w:rsidR="00F17FD7">
        <w:rPr>
          <w:lang w:val="en-GB"/>
        </w:rPr>
        <w:t>, as this could suggest</w:t>
      </w:r>
      <w:r w:rsidR="00A621E5">
        <w:rPr>
          <w:lang w:val="en-GB"/>
        </w:rPr>
        <w:t xml:space="preserve"> that the assaults were to be expected (Elliot, 2015). </w:t>
      </w:r>
      <w:r w:rsidR="00F17FD7">
        <w:rPr>
          <w:lang w:val="en-GB"/>
        </w:rPr>
        <w:t>However, a</w:t>
      </w:r>
      <w:r w:rsidR="00A621E5">
        <w:rPr>
          <w:lang w:val="en-GB"/>
        </w:rPr>
        <w:t xml:space="preserve">fter the attention paid </w:t>
      </w:r>
      <w:r w:rsidR="00F17FD7">
        <w:rPr>
          <w:lang w:val="en-GB"/>
        </w:rPr>
        <w:t>to the differences in coverage</w:t>
      </w:r>
      <w:r w:rsidR="00A621E5">
        <w:rPr>
          <w:lang w:val="en-GB"/>
        </w:rPr>
        <w:t>, new standards have been created, affecting the coverage of</w:t>
      </w:r>
      <w:r w:rsidR="00CA4FE4">
        <w:rPr>
          <w:lang w:val="en-GB"/>
        </w:rPr>
        <w:t>,</w:t>
      </w:r>
      <w:r w:rsidR="00A621E5">
        <w:rPr>
          <w:lang w:val="en-GB"/>
        </w:rPr>
        <w:t xml:space="preserve"> for example</w:t>
      </w:r>
      <w:r w:rsidR="00CA4FE4">
        <w:rPr>
          <w:lang w:val="en-GB"/>
        </w:rPr>
        <w:t>,</w:t>
      </w:r>
      <w:r w:rsidR="00A621E5">
        <w:rPr>
          <w:lang w:val="en-GB"/>
        </w:rPr>
        <w:t xml:space="preserve"> the Brussels attack in March and the Nice attack in July 2016. </w:t>
      </w:r>
      <w:r w:rsidR="00CA4FE4">
        <w:rPr>
          <w:lang w:val="en-GB"/>
        </w:rPr>
        <w:t>My thesis confirms this</w:t>
      </w:r>
      <w:r w:rsidR="00F17FD7">
        <w:rPr>
          <w:lang w:val="en-GB"/>
        </w:rPr>
        <w:t xml:space="preserve"> need for a change in standards, and implies a direction in which to go. </w:t>
      </w:r>
      <w:r w:rsidR="00A621E5">
        <w:rPr>
          <w:lang w:val="en-GB"/>
        </w:rPr>
        <w:t xml:space="preserve">Instead of describing people from one region with overarching classifications and those from another region </w:t>
      </w:r>
      <w:r w:rsidR="00CA4FE4">
        <w:rPr>
          <w:lang w:val="en-GB"/>
        </w:rPr>
        <w:t>by focusing on</w:t>
      </w:r>
      <w:r w:rsidR="00A621E5">
        <w:rPr>
          <w:lang w:val="en-GB"/>
        </w:rPr>
        <w:t xml:space="preserve"> the emotions they feel, the media should describe all </w:t>
      </w:r>
      <w:r w:rsidR="000270C3">
        <w:rPr>
          <w:lang w:val="en-GB"/>
        </w:rPr>
        <w:t>whom are</w:t>
      </w:r>
      <w:r w:rsidR="00A621E5">
        <w:rPr>
          <w:lang w:val="en-GB"/>
        </w:rPr>
        <w:t xml:space="preserve"> affected by terror attacks as </w:t>
      </w:r>
      <w:r w:rsidR="000270C3">
        <w:rPr>
          <w:lang w:val="en-GB"/>
        </w:rPr>
        <w:t>humans with emotions</w:t>
      </w:r>
      <w:r w:rsidR="00F17FD7">
        <w:rPr>
          <w:lang w:val="en-GB"/>
        </w:rPr>
        <w:t xml:space="preserve"> and personal lives</w:t>
      </w:r>
      <w:r w:rsidR="000270C3">
        <w:rPr>
          <w:lang w:val="en-GB"/>
        </w:rPr>
        <w:t>, and should in both cases also describe the broader conflict. Focussing on the broader conflict</w:t>
      </w:r>
      <w:r w:rsidR="00F17FD7">
        <w:rPr>
          <w:lang w:val="en-GB"/>
        </w:rPr>
        <w:t xml:space="preserve"> when discussing those affected </w:t>
      </w:r>
      <w:r w:rsidR="000270C3">
        <w:rPr>
          <w:lang w:val="en-GB"/>
        </w:rPr>
        <w:t>means not taking into account the effects it has on their personal lives</w:t>
      </w:r>
      <w:r w:rsidR="00F17FD7">
        <w:rPr>
          <w:lang w:val="en-GB"/>
        </w:rPr>
        <w:t>. O</w:t>
      </w:r>
      <w:r w:rsidR="000270C3">
        <w:rPr>
          <w:lang w:val="en-GB"/>
        </w:rPr>
        <w:t xml:space="preserve">nly focussing on the emotions and lives of those affected without describing the broader conflict means ignoring the reasons for and parties involved in a conflict. </w:t>
      </w:r>
    </w:p>
    <w:p w14:paraId="3D50A21A" w14:textId="731E20CE" w:rsidR="00BE2719" w:rsidRDefault="00BE2719" w:rsidP="00E52F0F">
      <w:pPr>
        <w:spacing w:after="0" w:line="360" w:lineRule="auto"/>
        <w:ind w:firstLine="708"/>
        <w:jc w:val="both"/>
        <w:rPr>
          <w:lang w:val="en-GB"/>
        </w:rPr>
      </w:pPr>
      <w:r>
        <w:rPr>
          <w:lang w:val="en-GB"/>
        </w:rPr>
        <w:t xml:space="preserve">Besides helping in understanding possible future terror attacks and </w:t>
      </w:r>
      <w:r w:rsidR="00AC74BF">
        <w:rPr>
          <w:lang w:val="en-GB"/>
        </w:rPr>
        <w:t>their coverage, as well as providing directions for discourses</w:t>
      </w:r>
      <w:r>
        <w:rPr>
          <w:lang w:val="en-GB"/>
        </w:rPr>
        <w:t xml:space="preserve">, my thesis also opens up avenues for future research. One such avenue </w:t>
      </w:r>
      <w:r w:rsidR="00CA4FE4">
        <w:rPr>
          <w:lang w:val="en-GB"/>
        </w:rPr>
        <w:t>is to conduct</w:t>
      </w:r>
      <w:r w:rsidR="00AC74BF">
        <w:rPr>
          <w:lang w:val="en-GB"/>
        </w:rPr>
        <w:t xml:space="preserve"> research on</w:t>
      </w:r>
      <w:r>
        <w:rPr>
          <w:lang w:val="en-GB"/>
        </w:rPr>
        <w:t xml:space="preserve"> the discourse </w:t>
      </w:r>
      <w:r w:rsidR="00AC74BF">
        <w:rPr>
          <w:lang w:val="en-GB"/>
        </w:rPr>
        <w:t>around</w:t>
      </w:r>
      <w:r>
        <w:rPr>
          <w:lang w:val="en-GB"/>
        </w:rPr>
        <w:t xml:space="preserve"> the attackers instead of </w:t>
      </w:r>
      <w:r w:rsidR="00AC74BF">
        <w:rPr>
          <w:lang w:val="en-GB"/>
        </w:rPr>
        <w:t>around</w:t>
      </w:r>
      <w:r>
        <w:rPr>
          <w:lang w:val="en-GB"/>
        </w:rPr>
        <w:t xml:space="preserve"> victims, witnesses, </w:t>
      </w:r>
      <w:r w:rsidR="00AC74BF">
        <w:rPr>
          <w:lang w:val="en-GB"/>
        </w:rPr>
        <w:t xml:space="preserve">and their relatives, </w:t>
      </w:r>
      <w:r>
        <w:rPr>
          <w:lang w:val="en-GB"/>
        </w:rPr>
        <w:t>which would be high</w:t>
      </w:r>
      <w:r w:rsidR="00DC70AB">
        <w:rPr>
          <w:lang w:val="en-GB"/>
        </w:rPr>
        <w:t>ly</w:t>
      </w:r>
      <w:r>
        <w:rPr>
          <w:lang w:val="en-GB"/>
        </w:rPr>
        <w:t xml:space="preserve"> </w:t>
      </w:r>
      <w:r w:rsidR="00DC70AB">
        <w:rPr>
          <w:lang w:val="en-GB"/>
        </w:rPr>
        <w:t>valuable</w:t>
      </w:r>
      <w:r>
        <w:rPr>
          <w:lang w:val="en-GB"/>
        </w:rPr>
        <w:t xml:space="preserve"> to further complete the picture on discourses on terror attacks. This would also </w:t>
      </w:r>
      <w:r w:rsidR="00AC74BF">
        <w:rPr>
          <w:lang w:val="en-GB"/>
        </w:rPr>
        <w:t>significantly aid</w:t>
      </w:r>
      <w:r>
        <w:rPr>
          <w:lang w:val="en-GB"/>
        </w:rPr>
        <w:t xml:space="preserve"> in understanding the implications of the decision of the French media mentioned above. Another road </w:t>
      </w:r>
      <w:r w:rsidR="00AC74BF">
        <w:rPr>
          <w:lang w:val="en-GB"/>
        </w:rPr>
        <w:t>is</w:t>
      </w:r>
      <w:r>
        <w:rPr>
          <w:lang w:val="en-GB"/>
        </w:rPr>
        <w:t xml:space="preserve"> to examine the ways in which the discourse on terror attacks is bound up with practices inside and outside the media. As explained in Foucault’s theory, power relations are embedded in our society: they are </w:t>
      </w:r>
      <w:r w:rsidR="00CA4FE4">
        <w:rPr>
          <w:lang w:val="en-GB"/>
        </w:rPr>
        <w:t xml:space="preserve">entangled </w:t>
      </w:r>
      <w:r>
        <w:rPr>
          <w:lang w:val="en-GB"/>
        </w:rPr>
        <w:t xml:space="preserve">with social relations, discourses, and practices. Since my study focuses on the way in which discourses reflected </w:t>
      </w:r>
      <w:r w:rsidR="00AC74BF">
        <w:rPr>
          <w:lang w:val="en-GB"/>
        </w:rPr>
        <w:t xml:space="preserve">and (re)produced </w:t>
      </w:r>
      <w:r>
        <w:rPr>
          <w:lang w:val="en-GB"/>
        </w:rPr>
        <w:t xml:space="preserve">power relations, it would be interesting to see the other aspect of this network, namely how certain practices are bound up with power relations. For example, knowing if reporters ask different questions, </w:t>
      </w:r>
      <w:r w:rsidR="00AC2F29">
        <w:rPr>
          <w:lang w:val="en-GB"/>
        </w:rPr>
        <w:t>examine</w:t>
      </w:r>
      <w:r>
        <w:rPr>
          <w:lang w:val="en-GB"/>
        </w:rPr>
        <w:t xml:space="preserve"> different aspects, or write in a different way depending on where they are stationed would provide more details on how news texts are produced. Another practice that </w:t>
      </w:r>
      <w:r w:rsidR="00AC74BF">
        <w:rPr>
          <w:lang w:val="en-GB"/>
        </w:rPr>
        <w:t>can be</w:t>
      </w:r>
      <w:r>
        <w:rPr>
          <w:lang w:val="en-GB"/>
        </w:rPr>
        <w:t xml:space="preserve"> examined is the foreign policies of Lebanon and France, and how these are entangled with the discourse</w:t>
      </w:r>
      <w:r w:rsidR="00AC74BF">
        <w:rPr>
          <w:lang w:val="en-GB"/>
        </w:rPr>
        <w:t>s</w:t>
      </w:r>
      <w:r>
        <w:rPr>
          <w:lang w:val="en-GB"/>
        </w:rPr>
        <w:t xml:space="preserve"> on terror attack</w:t>
      </w:r>
      <w:r w:rsidR="00AC74BF">
        <w:rPr>
          <w:lang w:val="en-GB"/>
        </w:rPr>
        <w:t>s</w:t>
      </w:r>
      <w:r>
        <w:rPr>
          <w:lang w:val="en-GB"/>
        </w:rPr>
        <w:t xml:space="preserve">, including whether </w:t>
      </w:r>
      <w:r w:rsidR="00AC74BF">
        <w:rPr>
          <w:lang w:val="en-GB"/>
        </w:rPr>
        <w:t>these discourses are</w:t>
      </w:r>
      <w:r>
        <w:rPr>
          <w:lang w:val="en-GB"/>
        </w:rPr>
        <w:t xml:space="preserve"> similar to </w:t>
      </w:r>
      <w:r w:rsidR="00AC74BF">
        <w:rPr>
          <w:lang w:val="en-GB"/>
        </w:rPr>
        <w:t>those</w:t>
      </w:r>
      <w:r>
        <w:rPr>
          <w:lang w:val="en-GB"/>
        </w:rPr>
        <w:t xml:space="preserve"> (re)produced in the Guardian. These types of future research would further compliment the lack of literature on the theory behind the combination of terror attacks, discourses, and power relations, to which this thesis aimed to contribute. </w:t>
      </w:r>
    </w:p>
    <w:p w14:paraId="77BAE851" w14:textId="6A54CE30" w:rsidR="00BE2719" w:rsidRPr="00F63CD7" w:rsidRDefault="00BE2719" w:rsidP="00DC70AB">
      <w:pPr>
        <w:spacing w:after="0" w:line="360" w:lineRule="auto"/>
        <w:ind w:firstLine="708"/>
        <w:jc w:val="both"/>
        <w:rPr>
          <w:lang w:val="en-GB"/>
        </w:rPr>
      </w:pPr>
      <w:r>
        <w:rPr>
          <w:lang w:val="en-GB"/>
        </w:rPr>
        <w:lastRenderedPageBreak/>
        <w:tab/>
        <w:t>More than contributing to the literature, however, I aimed to create awareness of these power relations, and to inspire people to resist them. By categorising people, the simila</w:t>
      </w:r>
      <w:r w:rsidR="00E77BFB">
        <w:rPr>
          <w:lang w:val="en-GB"/>
        </w:rPr>
        <w:t>rities</w:t>
      </w:r>
      <w:r>
        <w:rPr>
          <w:lang w:val="en-GB"/>
        </w:rPr>
        <w:t xml:space="preserve"> between all humans </w:t>
      </w:r>
      <w:r w:rsidR="00E77BFB">
        <w:rPr>
          <w:lang w:val="en-GB"/>
        </w:rPr>
        <w:t>are</w:t>
      </w:r>
      <w:r>
        <w:rPr>
          <w:lang w:val="en-GB"/>
        </w:rPr>
        <w:t xml:space="preserve"> lost out of sight. Although differences certainly exist, they should not be used to create fictitious homogeneity in groups and real distance between people, both mentally and physically. </w:t>
      </w:r>
      <w:r w:rsidR="00E77BFB">
        <w:rPr>
          <w:lang w:val="en-GB"/>
        </w:rPr>
        <w:t>Variances</w:t>
      </w:r>
      <w:r>
        <w:rPr>
          <w:lang w:val="en-GB"/>
        </w:rPr>
        <w:t xml:space="preserve"> exist between every human being, and should be regarded as such. </w:t>
      </w:r>
      <w:r w:rsidR="00DC70AB">
        <w:rPr>
          <w:lang w:val="en-GB"/>
        </w:rPr>
        <w:t xml:space="preserve">Hence, </w:t>
      </w:r>
      <w:r w:rsidR="00AC74BF">
        <w:rPr>
          <w:lang w:val="en-GB"/>
        </w:rPr>
        <w:t xml:space="preserve">instead of </w:t>
      </w:r>
      <w:r w:rsidR="00E77BFB">
        <w:rPr>
          <w:lang w:val="en-GB"/>
        </w:rPr>
        <w:t>fuelling categorisations</w:t>
      </w:r>
      <w:r w:rsidR="00AC74BF">
        <w:rPr>
          <w:lang w:val="en-GB"/>
        </w:rPr>
        <w:t xml:space="preserve">, </w:t>
      </w:r>
      <w:r w:rsidR="00DC70AB">
        <w:rPr>
          <w:lang w:val="en-GB"/>
        </w:rPr>
        <w:t>let us</w:t>
      </w:r>
      <w:r>
        <w:rPr>
          <w:lang w:val="en-GB"/>
        </w:rPr>
        <w:t xml:space="preserve"> pay attention to what is happening to human beings all over the world</w:t>
      </w:r>
      <w:r w:rsidR="00DC70AB">
        <w:rPr>
          <w:lang w:val="en-GB"/>
        </w:rPr>
        <w:t>,</w:t>
      </w:r>
      <w:r>
        <w:rPr>
          <w:lang w:val="en-GB"/>
        </w:rPr>
        <w:t xml:space="preserve"> with regard for their individuality and context.</w:t>
      </w:r>
    </w:p>
    <w:p w14:paraId="6A446AB5" w14:textId="098F7190" w:rsidR="00B549D5" w:rsidRDefault="00B549D5" w:rsidP="00E52F0F">
      <w:pPr>
        <w:spacing w:line="360" w:lineRule="auto"/>
        <w:rPr>
          <w:rFonts w:ascii="Calibri" w:eastAsia="Calibri" w:hAnsi="Calibri" w:cs="Calibri"/>
          <w:lang w:val="en-GB"/>
        </w:rPr>
      </w:pPr>
    </w:p>
    <w:p w14:paraId="0CB9EDF2" w14:textId="5302E319" w:rsidR="00DF5C20" w:rsidRDefault="00AD0828">
      <w:pPr>
        <w:rPr>
          <w:rFonts w:asciiTheme="majorHAnsi" w:eastAsia="Calibri" w:hAnsiTheme="majorHAnsi" w:cstheme="majorBidi"/>
          <w:color w:val="2E74B5" w:themeColor="accent1" w:themeShade="BF"/>
          <w:sz w:val="36"/>
          <w:szCs w:val="36"/>
          <w:lang w:val="en-GB"/>
        </w:rPr>
      </w:pPr>
      <w:r>
        <w:rPr>
          <w:rFonts w:eastAsia="Calibri"/>
          <w:lang w:val="en-GB"/>
        </w:rPr>
        <w:br w:type="page"/>
      </w:r>
    </w:p>
    <w:p w14:paraId="4030F78E" w14:textId="77777777" w:rsidR="002B77A7" w:rsidRPr="00653C1A" w:rsidRDefault="002B77A7" w:rsidP="002B77A7">
      <w:pPr>
        <w:pStyle w:val="Heading1"/>
        <w:spacing w:line="360" w:lineRule="auto"/>
        <w:rPr>
          <w:lang w:val="en-GB"/>
        </w:rPr>
      </w:pPr>
      <w:bookmarkStart w:id="81" w:name="_Toc458983428"/>
      <w:r>
        <w:rPr>
          <w:rFonts w:eastAsia="Calibri"/>
          <w:lang w:val="en-GB"/>
        </w:rPr>
        <w:lastRenderedPageBreak/>
        <w:t>List of references</w:t>
      </w:r>
      <w:bookmarkEnd w:id="81"/>
    </w:p>
    <w:p w14:paraId="3195C9FE" w14:textId="77777777" w:rsidR="002B77A7" w:rsidRPr="00812BD6" w:rsidRDefault="002B77A7" w:rsidP="002B77A7">
      <w:pPr>
        <w:spacing w:line="360" w:lineRule="auto"/>
        <w:ind w:left="851" w:hanging="851"/>
        <w:rPr>
          <w:rFonts w:ascii="Calibri" w:eastAsia="Calibri" w:hAnsi="Calibri" w:cs="Calibri"/>
          <w:sz w:val="22"/>
          <w:szCs w:val="22"/>
          <w:lang w:val="en-GB"/>
        </w:rPr>
      </w:pPr>
    </w:p>
    <w:p w14:paraId="5A72F315" w14:textId="77777777" w:rsidR="002B77A7" w:rsidRPr="00BE553E" w:rsidRDefault="002B77A7" w:rsidP="002B77A7">
      <w:pPr>
        <w:spacing w:line="360" w:lineRule="auto"/>
        <w:ind w:left="709" w:hanging="709"/>
        <w:jc w:val="both"/>
        <w:rPr>
          <w:rFonts w:eastAsia="Calibri" w:cs="Calibri"/>
          <w:lang w:val="en-GB"/>
        </w:rPr>
      </w:pPr>
      <w:r w:rsidRPr="00BE553E">
        <w:rPr>
          <w:rFonts w:eastAsia="Calibri" w:cs="Calibri"/>
          <w:lang w:val="en-GB"/>
        </w:rPr>
        <w:t>Ajaka, N. (</w:t>
      </w:r>
      <w:r>
        <w:rPr>
          <w:rFonts w:eastAsia="Calibri" w:cs="Calibri"/>
          <w:lang w:val="en-GB"/>
        </w:rPr>
        <w:t>2015</w:t>
      </w:r>
      <w:r w:rsidRPr="00BE553E">
        <w:rPr>
          <w:rFonts w:eastAsia="Calibri" w:cs="Calibri"/>
          <w:lang w:val="en-GB"/>
        </w:rPr>
        <w:t xml:space="preserve">) Paris, Beirut, and the language used to describe terrorism. </w:t>
      </w:r>
      <w:r w:rsidRPr="00CE3236">
        <w:rPr>
          <w:rFonts w:eastAsia="Calibri" w:cs="Calibri"/>
          <w:i/>
          <w:lang w:val="en-GB"/>
        </w:rPr>
        <w:t>The Atlantic</w:t>
      </w:r>
      <w:r>
        <w:rPr>
          <w:rFonts w:eastAsia="Calibri" w:cs="Calibri"/>
          <w:lang w:val="en-GB"/>
        </w:rPr>
        <w:t xml:space="preserve">, 17 November, </w:t>
      </w:r>
      <w:r w:rsidRPr="0013725E">
        <w:rPr>
          <w:rFonts w:eastAsia="Calibri" w:cs="Calibri"/>
          <w:lang w:val="en-GB"/>
        </w:rPr>
        <w:t>http://www.theatlantic.com/international/archive/2015/11/paris-beirut-media-coverage/416457/</w:t>
      </w:r>
      <w:r>
        <w:rPr>
          <w:rFonts w:eastAsia="Calibri" w:cs="Calibri"/>
          <w:lang w:val="en-GB"/>
        </w:rPr>
        <w:t>, accessed 9 July 2016.</w:t>
      </w:r>
    </w:p>
    <w:p w14:paraId="06E4565B" w14:textId="77777777" w:rsidR="002B77A7" w:rsidRPr="00BE553E" w:rsidRDefault="002B77A7" w:rsidP="002B77A7">
      <w:pPr>
        <w:spacing w:line="360" w:lineRule="auto"/>
        <w:ind w:left="709" w:hanging="709"/>
        <w:jc w:val="both"/>
        <w:rPr>
          <w:lang w:val="en-GB"/>
        </w:rPr>
      </w:pPr>
      <w:r w:rsidRPr="00BE553E">
        <w:rPr>
          <w:rFonts w:eastAsia="Calibri" w:cs="Calibri"/>
          <w:lang w:val="en-GB"/>
        </w:rPr>
        <w:t>Alcoff, L.M. (1990) Feminist politics and Foucault: The limits to a collaboration. In</w:t>
      </w:r>
      <w:r>
        <w:rPr>
          <w:rFonts w:eastAsia="Calibri" w:cs="Calibri"/>
          <w:lang w:val="en-GB"/>
        </w:rPr>
        <w:t>:</w:t>
      </w:r>
      <w:r w:rsidRPr="00BE553E">
        <w:rPr>
          <w:rFonts w:eastAsia="Calibri" w:cs="Calibri"/>
          <w:lang w:val="en-GB"/>
        </w:rPr>
        <w:t xml:space="preserve"> A.B. Dallery, C.E. Scott and P.H. Roberts (</w:t>
      </w:r>
      <w:r>
        <w:rPr>
          <w:rFonts w:eastAsia="Calibri" w:cs="Calibri"/>
          <w:lang w:val="en-GB"/>
        </w:rPr>
        <w:t>e</w:t>
      </w:r>
      <w:r w:rsidRPr="00BE553E">
        <w:rPr>
          <w:rFonts w:eastAsia="Calibri" w:cs="Calibri"/>
          <w:lang w:val="en-GB"/>
        </w:rPr>
        <w:t xml:space="preserve">ds.) </w:t>
      </w:r>
      <w:r w:rsidRPr="00CE3236">
        <w:rPr>
          <w:rFonts w:eastAsia="Calibri" w:cs="Calibri"/>
          <w:i/>
          <w:lang w:val="en-GB"/>
        </w:rPr>
        <w:t>Crises in Continental Philosophy</w:t>
      </w:r>
      <w:r w:rsidRPr="00BE553E">
        <w:rPr>
          <w:rFonts w:eastAsia="Calibri" w:cs="Calibri"/>
          <w:lang w:val="en-GB"/>
        </w:rPr>
        <w:t>. New York: State Universi</w:t>
      </w:r>
      <w:r>
        <w:rPr>
          <w:rFonts w:eastAsia="Calibri" w:cs="Calibri"/>
          <w:lang w:val="en-GB"/>
        </w:rPr>
        <w:t>ty of New York Press,</w:t>
      </w:r>
      <w:r w:rsidRPr="00BE553E">
        <w:rPr>
          <w:rFonts w:eastAsia="Calibri" w:cs="Calibri"/>
          <w:lang w:val="en-GB"/>
        </w:rPr>
        <w:t xml:space="preserve"> pp. 69-86</w:t>
      </w:r>
      <w:r>
        <w:rPr>
          <w:rFonts w:eastAsia="Calibri" w:cs="Calibri"/>
          <w:lang w:val="en-GB"/>
        </w:rPr>
        <w:t>.</w:t>
      </w:r>
    </w:p>
    <w:p w14:paraId="00D19FDA" w14:textId="77777777" w:rsidR="002B77A7" w:rsidRPr="00BE553E" w:rsidRDefault="002B77A7" w:rsidP="002B77A7">
      <w:pPr>
        <w:spacing w:line="360" w:lineRule="auto"/>
        <w:ind w:left="709" w:hanging="709"/>
        <w:jc w:val="both"/>
        <w:rPr>
          <w:lang w:val="en-GB"/>
        </w:rPr>
      </w:pPr>
      <w:r w:rsidRPr="00BE553E">
        <w:rPr>
          <w:rFonts w:eastAsia="Calibri" w:cs="Calibri"/>
          <w:lang w:val="en-GB"/>
        </w:rPr>
        <w:t xml:space="preserve">Allen, A. (1999) </w:t>
      </w:r>
      <w:r w:rsidRPr="00CE3236">
        <w:rPr>
          <w:rFonts w:eastAsia="Calibri" w:cs="Calibri"/>
          <w:i/>
          <w:lang w:val="en-GB"/>
        </w:rPr>
        <w:t>The Power of Feminist Theory: Domination, Resistance, Solidarity</w:t>
      </w:r>
      <w:r w:rsidRPr="00BE553E">
        <w:rPr>
          <w:rFonts w:eastAsia="Calibri" w:cs="Calibri"/>
          <w:lang w:val="en-GB"/>
        </w:rPr>
        <w:t>. Boulder: Westview Press.</w:t>
      </w:r>
    </w:p>
    <w:p w14:paraId="04EE29EB" w14:textId="77777777" w:rsidR="002B77A7" w:rsidRPr="00BE553E" w:rsidRDefault="002B77A7" w:rsidP="002B77A7">
      <w:pPr>
        <w:spacing w:line="360" w:lineRule="auto"/>
        <w:ind w:left="709" w:hanging="709"/>
        <w:jc w:val="both"/>
        <w:rPr>
          <w:lang w:val="en-GB"/>
        </w:rPr>
      </w:pPr>
      <w:r w:rsidRPr="00BE553E">
        <w:rPr>
          <w:rFonts w:eastAsia="Calibri" w:cs="Calibri"/>
          <w:color w:val="1A1A1A"/>
          <w:lang w:val="en-GB"/>
        </w:rPr>
        <w:t xml:space="preserve">Allen, A. </w:t>
      </w:r>
      <w:r w:rsidRPr="00BE553E">
        <w:rPr>
          <w:rFonts w:eastAsia="Calibri" w:cs="Calibri"/>
          <w:lang w:val="en-GB"/>
        </w:rPr>
        <w:t xml:space="preserve">(2000) The anti-subjective hypothesis: Michel Foucault and the death of the subject. </w:t>
      </w:r>
      <w:r w:rsidRPr="00C20C4B">
        <w:rPr>
          <w:rFonts w:eastAsia="Calibri" w:cs="Calibri"/>
          <w:i/>
          <w:lang w:val="en-GB"/>
        </w:rPr>
        <w:t>The</w:t>
      </w:r>
      <w:r w:rsidRPr="00BE553E">
        <w:rPr>
          <w:rFonts w:eastAsia="Calibri" w:cs="Calibri"/>
          <w:lang w:val="en-GB"/>
        </w:rPr>
        <w:t xml:space="preserve"> </w:t>
      </w:r>
      <w:r>
        <w:rPr>
          <w:rFonts w:eastAsia="Calibri" w:cs="Calibri"/>
          <w:i/>
          <w:lang w:val="en-GB"/>
        </w:rPr>
        <w:t>Philo</w:t>
      </w:r>
      <w:r w:rsidRPr="00CE3236">
        <w:rPr>
          <w:rFonts w:eastAsia="Calibri" w:cs="Calibri"/>
          <w:i/>
          <w:lang w:val="en-GB"/>
        </w:rPr>
        <w:t>sophical Forum</w:t>
      </w:r>
      <w:r w:rsidRPr="00BE553E">
        <w:rPr>
          <w:rFonts w:eastAsia="Calibri" w:cs="Calibri"/>
          <w:lang w:val="en-GB"/>
        </w:rPr>
        <w:t xml:space="preserve"> </w:t>
      </w:r>
      <w:proofErr w:type="gramStart"/>
      <w:r w:rsidRPr="00BE553E">
        <w:rPr>
          <w:rFonts w:eastAsia="Calibri" w:cs="Calibri"/>
          <w:lang w:val="en-GB"/>
        </w:rPr>
        <w:t>XXXI</w:t>
      </w:r>
      <w:r>
        <w:rPr>
          <w:rFonts w:eastAsia="Calibri" w:cs="Calibri"/>
          <w:lang w:val="en-GB"/>
        </w:rPr>
        <w:t>(</w:t>
      </w:r>
      <w:proofErr w:type="gramEnd"/>
      <w:r>
        <w:rPr>
          <w:rFonts w:eastAsia="Calibri" w:cs="Calibri"/>
          <w:lang w:val="en-GB"/>
        </w:rPr>
        <w:t>2):</w:t>
      </w:r>
      <w:r w:rsidRPr="00BE553E">
        <w:rPr>
          <w:rFonts w:eastAsia="Calibri" w:cs="Calibri"/>
          <w:lang w:val="en-GB"/>
        </w:rPr>
        <w:t xml:space="preserve"> 113-130.</w:t>
      </w:r>
    </w:p>
    <w:p w14:paraId="3FCAC6EF" w14:textId="77777777" w:rsidR="002B77A7" w:rsidRPr="00BE553E" w:rsidRDefault="002B77A7" w:rsidP="002B77A7">
      <w:pPr>
        <w:spacing w:line="360" w:lineRule="auto"/>
        <w:ind w:left="709" w:hanging="709"/>
        <w:jc w:val="both"/>
        <w:rPr>
          <w:lang w:val="en-GB"/>
        </w:rPr>
      </w:pPr>
      <w:r w:rsidRPr="00BE553E">
        <w:rPr>
          <w:rFonts w:eastAsia="Calibri" w:cs="Calibri"/>
          <w:color w:val="1A1A1A"/>
          <w:lang w:val="en-GB"/>
        </w:rPr>
        <w:t xml:space="preserve">Allen, A. </w:t>
      </w:r>
      <w:r w:rsidRPr="00BE553E">
        <w:rPr>
          <w:rFonts w:eastAsia="Calibri" w:cs="Calibri"/>
          <w:lang w:val="en-GB"/>
        </w:rPr>
        <w:t xml:space="preserve">(2002) Power, subjectivity, and agency: Between Arendt and Foucault. </w:t>
      </w:r>
      <w:r w:rsidRPr="00CE3236">
        <w:rPr>
          <w:rFonts w:eastAsia="Calibri" w:cs="Calibri"/>
          <w:i/>
          <w:lang w:val="en-GB"/>
        </w:rPr>
        <w:t>International Journal of Philosophical Studies</w:t>
      </w:r>
      <w:r w:rsidRPr="00BE553E">
        <w:rPr>
          <w:rFonts w:eastAsia="Calibri" w:cs="Calibri"/>
          <w:lang w:val="en-GB"/>
        </w:rPr>
        <w:t xml:space="preserve"> 10(2</w:t>
      </w:r>
      <w:r>
        <w:rPr>
          <w:rFonts w:eastAsia="Calibri" w:cs="Calibri"/>
          <w:lang w:val="en-GB"/>
        </w:rPr>
        <w:t>):</w:t>
      </w:r>
      <w:r w:rsidRPr="00BE553E">
        <w:rPr>
          <w:rFonts w:eastAsia="Calibri" w:cs="Calibri"/>
          <w:lang w:val="en-GB"/>
        </w:rPr>
        <w:t xml:space="preserve"> 131-149.</w:t>
      </w:r>
    </w:p>
    <w:p w14:paraId="613E8464" w14:textId="77777777" w:rsidR="002B77A7" w:rsidRPr="00BE553E" w:rsidRDefault="002B77A7" w:rsidP="002B77A7">
      <w:pPr>
        <w:spacing w:line="360" w:lineRule="auto"/>
        <w:ind w:left="709" w:hanging="709"/>
        <w:jc w:val="both"/>
        <w:rPr>
          <w:lang w:val="en-GB"/>
        </w:rPr>
      </w:pPr>
      <w:r w:rsidRPr="00BE553E">
        <w:rPr>
          <w:rFonts w:eastAsia="Calibri" w:cs="Calibri"/>
          <w:color w:val="1A1A1A"/>
          <w:lang w:val="en-GB"/>
        </w:rPr>
        <w:t xml:space="preserve">Alvesson, M. and Sköldberg, K. (2009) </w:t>
      </w:r>
      <w:r w:rsidRPr="00CE3236">
        <w:rPr>
          <w:rFonts w:eastAsia="Calibri" w:cs="Calibri"/>
          <w:i/>
          <w:color w:val="1A1A1A"/>
          <w:lang w:val="en-GB"/>
        </w:rPr>
        <w:t>Reflexive Methodology: New Vistas for Qualitative Research</w:t>
      </w:r>
      <w:r w:rsidRPr="00BE553E">
        <w:rPr>
          <w:rFonts w:eastAsia="Calibri" w:cs="Calibri"/>
          <w:color w:val="1A1A1A"/>
          <w:lang w:val="en-GB"/>
        </w:rPr>
        <w:t xml:space="preserve"> (2nd ed.). London: SAGE Publications Ltd.</w:t>
      </w:r>
    </w:p>
    <w:p w14:paraId="3669C872" w14:textId="77777777" w:rsidR="002B77A7" w:rsidRPr="00BE553E" w:rsidRDefault="002B77A7" w:rsidP="002B77A7">
      <w:pPr>
        <w:spacing w:line="360" w:lineRule="auto"/>
        <w:ind w:left="709" w:hanging="709"/>
        <w:jc w:val="both"/>
        <w:rPr>
          <w:rFonts w:eastAsia="Calibri" w:cs="Calibri"/>
          <w:color w:val="1A1A1A"/>
          <w:lang w:val="en-GB"/>
        </w:rPr>
      </w:pPr>
      <w:r>
        <w:rPr>
          <w:rFonts w:eastAsia="Calibri" w:cs="Calibri"/>
          <w:color w:val="1A1A1A"/>
          <w:lang w:val="en-GB"/>
        </w:rPr>
        <w:t>Amman, P. (2015)</w:t>
      </w:r>
      <w:r w:rsidRPr="00BE553E">
        <w:rPr>
          <w:rFonts w:eastAsia="Calibri" w:cs="Calibri"/>
          <w:color w:val="1A1A1A"/>
          <w:lang w:val="en-GB"/>
        </w:rPr>
        <w:t xml:space="preserve"> Lower House condemns Beirut bombings. </w:t>
      </w:r>
      <w:r w:rsidRPr="00CE3236">
        <w:rPr>
          <w:rFonts w:eastAsia="Calibri" w:cs="Calibri"/>
          <w:i/>
          <w:color w:val="1A1A1A"/>
          <w:lang w:val="en-GB"/>
        </w:rPr>
        <w:t>Jordan News Agency</w:t>
      </w:r>
      <w:r>
        <w:rPr>
          <w:rFonts w:eastAsia="Calibri" w:cs="Calibri"/>
          <w:color w:val="1A1A1A"/>
          <w:lang w:val="en-GB"/>
        </w:rPr>
        <w:t xml:space="preserve">, 13 November, </w:t>
      </w:r>
      <w:r w:rsidRPr="009769FB">
        <w:rPr>
          <w:rFonts w:eastAsia="Calibri" w:cs="Calibri"/>
          <w:color w:val="1A1A1A"/>
          <w:lang w:val="en-GB"/>
        </w:rPr>
        <w:t>http://www.petranews.gov.jo/nepras/2015/Nov/13/5000.html</w:t>
      </w:r>
      <w:r>
        <w:rPr>
          <w:rFonts w:eastAsia="Calibri" w:cs="Calibri"/>
          <w:lang w:val="en-GB"/>
        </w:rPr>
        <w:t>, accessed 9 June 2016.</w:t>
      </w:r>
    </w:p>
    <w:p w14:paraId="133B8845" w14:textId="77777777" w:rsidR="002B77A7" w:rsidRPr="00BE553E" w:rsidRDefault="002B77A7" w:rsidP="002B77A7">
      <w:pPr>
        <w:spacing w:line="360" w:lineRule="auto"/>
        <w:ind w:left="709" w:hanging="709"/>
        <w:jc w:val="both"/>
        <w:rPr>
          <w:rFonts w:eastAsia="Calibri" w:cs="Calibri"/>
          <w:color w:val="1A1A1A"/>
          <w:lang w:val="en-GB"/>
        </w:rPr>
      </w:pPr>
      <w:r>
        <w:rPr>
          <w:rFonts w:eastAsia="Calibri" w:cs="Calibri"/>
          <w:color w:val="1A1A1A"/>
          <w:lang w:val="en-GB"/>
        </w:rPr>
        <w:t>Ankatell, D. (2015)</w:t>
      </w:r>
      <w:r w:rsidRPr="00BE553E">
        <w:rPr>
          <w:rFonts w:eastAsia="Calibri" w:cs="Calibri"/>
          <w:color w:val="1A1A1A"/>
          <w:lang w:val="en-GB"/>
        </w:rPr>
        <w:t xml:space="preserve"> Families mourn victims of Beirut suicide bombings [Tweet]. </w:t>
      </w:r>
      <w:r w:rsidRPr="00CE3236">
        <w:rPr>
          <w:rFonts w:eastAsia="Calibri" w:cs="Calibri"/>
          <w:i/>
          <w:color w:val="1A1A1A"/>
          <w:lang w:val="en-GB"/>
        </w:rPr>
        <w:t>Twitter</w:t>
      </w:r>
      <w:r>
        <w:rPr>
          <w:rFonts w:eastAsia="Calibri" w:cs="Calibri"/>
          <w:color w:val="1A1A1A"/>
          <w:lang w:val="en-GB"/>
        </w:rPr>
        <w:t xml:space="preserve">, 17 November, </w:t>
      </w:r>
      <w:r w:rsidRPr="002851A0">
        <w:rPr>
          <w:rFonts w:eastAsia="Calibri" w:cs="Calibri"/>
          <w:lang w:val="en-GB"/>
        </w:rPr>
        <w:t>https://twitter.com/da5650/status/666638014039244800</w:t>
      </w:r>
      <w:r>
        <w:rPr>
          <w:rFonts w:eastAsia="Calibri" w:cs="Calibri"/>
          <w:lang w:val="en-GB"/>
        </w:rPr>
        <w:t>, accessed 20 July 2016.</w:t>
      </w:r>
    </w:p>
    <w:p w14:paraId="6DE78426" w14:textId="77777777" w:rsidR="002B77A7" w:rsidRPr="00BE553E" w:rsidRDefault="002B77A7" w:rsidP="002B77A7">
      <w:pPr>
        <w:spacing w:line="360" w:lineRule="auto"/>
        <w:ind w:left="709" w:hanging="709"/>
        <w:jc w:val="both"/>
        <w:rPr>
          <w:rFonts w:eastAsia="Calibri" w:cs="Calibri"/>
          <w:color w:val="1A1A1A"/>
          <w:lang w:val="en-GB"/>
        </w:rPr>
      </w:pPr>
      <w:r>
        <w:rPr>
          <w:rFonts w:eastAsia="Calibri" w:cs="Calibri"/>
          <w:color w:val="1A1A1A"/>
          <w:lang w:val="en-GB"/>
        </w:rPr>
        <w:t>Arendt, H. (1970)</w:t>
      </w:r>
      <w:r w:rsidRPr="00BE553E">
        <w:rPr>
          <w:rFonts w:eastAsia="Calibri" w:cs="Calibri"/>
          <w:color w:val="1A1A1A"/>
          <w:lang w:val="en-GB"/>
        </w:rPr>
        <w:t xml:space="preserve"> </w:t>
      </w:r>
      <w:r w:rsidRPr="00CE3236">
        <w:rPr>
          <w:rFonts w:eastAsia="Calibri" w:cs="Calibri"/>
          <w:i/>
          <w:color w:val="1A1A1A"/>
          <w:lang w:val="en-GB"/>
        </w:rPr>
        <w:t>On Violence</w:t>
      </w:r>
      <w:r w:rsidRPr="00BE553E">
        <w:rPr>
          <w:rFonts w:eastAsia="Calibri" w:cs="Calibri"/>
          <w:color w:val="1A1A1A"/>
          <w:lang w:val="en-GB"/>
        </w:rPr>
        <w:t>. New York: Harcourt Brace and Co.</w:t>
      </w:r>
    </w:p>
    <w:p w14:paraId="65C591C6" w14:textId="77777777" w:rsidR="002B77A7" w:rsidRPr="00BE553E" w:rsidRDefault="002B77A7" w:rsidP="002B77A7">
      <w:pPr>
        <w:spacing w:line="360" w:lineRule="auto"/>
        <w:ind w:left="709" w:hanging="709"/>
        <w:jc w:val="both"/>
        <w:rPr>
          <w:lang w:val="en-GB"/>
        </w:rPr>
      </w:pPr>
      <w:r w:rsidRPr="00BE553E">
        <w:rPr>
          <w:rFonts w:eastAsia="Calibri" w:cs="Calibri"/>
          <w:color w:val="1A1A1A"/>
          <w:lang w:val="en-GB"/>
        </w:rPr>
        <w:t>Arendt, H.</w:t>
      </w:r>
      <w:r>
        <w:rPr>
          <w:rFonts w:eastAsia="Calibri" w:cs="Calibri"/>
          <w:color w:val="1A1A1A"/>
          <w:lang w:val="en-GB"/>
        </w:rPr>
        <w:t xml:space="preserve"> (1972)</w:t>
      </w:r>
      <w:r w:rsidRPr="00BE553E">
        <w:rPr>
          <w:rFonts w:eastAsia="Calibri" w:cs="Calibri"/>
          <w:color w:val="1A1A1A"/>
          <w:lang w:val="en-GB"/>
        </w:rPr>
        <w:t xml:space="preserve"> </w:t>
      </w:r>
      <w:r w:rsidRPr="00CE3236">
        <w:rPr>
          <w:rFonts w:eastAsia="Calibri" w:cs="Calibri"/>
          <w:i/>
          <w:color w:val="1A1A1A"/>
          <w:lang w:val="en-GB"/>
        </w:rPr>
        <w:t>Crisis of the Republic: Lying in Politics; Civil Disobedience; On Violence; Thoughts on Politics and Revolution</w:t>
      </w:r>
      <w:r w:rsidRPr="00BE553E">
        <w:rPr>
          <w:rFonts w:eastAsia="Calibri" w:cs="Calibri"/>
          <w:color w:val="1A1A1A"/>
          <w:lang w:val="en-GB"/>
        </w:rPr>
        <w:t>. New York: Mariner Books.</w:t>
      </w:r>
    </w:p>
    <w:p w14:paraId="67764F64" w14:textId="77777777" w:rsidR="002B77A7" w:rsidRPr="00BE553E" w:rsidRDefault="002B77A7" w:rsidP="002B77A7">
      <w:pPr>
        <w:spacing w:line="360" w:lineRule="auto"/>
        <w:ind w:left="709" w:hanging="709"/>
        <w:jc w:val="both"/>
        <w:rPr>
          <w:lang w:val="en-GB"/>
        </w:rPr>
      </w:pPr>
      <w:r w:rsidRPr="00BE553E">
        <w:rPr>
          <w:rFonts w:eastAsia="Calibri" w:cs="Calibri"/>
          <w:color w:val="1A1A1A"/>
          <w:lang w:val="en-GB"/>
        </w:rPr>
        <w:t>Arendt, H.</w:t>
      </w:r>
      <w:r>
        <w:rPr>
          <w:rFonts w:eastAsia="Calibri" w:cs="Calibri"/>
          <w:color w:val="1A1A1A"/>
          <w:lang w:val="en-GB"/>
        </w:rPr>
        <w:t xml:space="preserve"> (1998)</w:t>
      </w:r>
      <w:r w:rsidRPr="00BE553E">
        <w:rPr>
          <w:rFonts w:eastAsia="Calibri" w:cs="Calibri"/>
          <w:color w:val="1A1A1A"/>
          <w:lang w:val="en-GB"/>
        </w:rPr>
        <w:t xml:space="preserve"> </w:t>
      </w:r>
      <w:r w:rsidRPr="00CE3236">
        <w:rPr>
          <w:rFonts w:eastAsia="Calibri" w:cs="Calibri"/>
          <w:i/>
          <w:color w:val="1A1A1A"/>
          <w:lang w:val="en-GB"/>
        </w:rPr>
        <w:t>The Human Condition</w:t>
      </w:r>
      <w:r w:rsidRPr="00BE553E">
        <w:rPr>
          <w:rFonts w:eastAsia="Calibri" w:cs="Calibri"/>
          <w:color w:val="1A1A1A"/>
          <w:lang w:val="en-GB"/>
        </w:rPr>
        <w:t xml:space="preserve"> (2nd ed.). Chicago: University of Chicago Press.</w:t>
      </w:r>
    </w:p>
    <w:p w14:paraId="40D08FD6" w14:textId="77777777" w:rsidR="002B77A7" w:rsidRPr="002814F7" w:rsidRDefault="002B77A7" w:rsidP="002B77A7">
      <w:pPr>
        <w:spacing w:line="360" w:lineRule="auto"/>
        <w:ind w:left="709" w:hanging="709"/>
        <w:jc w:val="both"/>
        <w:rPr>
          <w:rFonts w:eastAsia="Calibri" w:cs="Calibri"/>
          <w:lang w:val="en-GB"/>
        </w:rPr>
      </w:pPr>
      <w:r>
        <w:rPr>
          <w:rFonts w:eastAsia="Calibri" w:cs="Calibri"/>
          <w:lang w:val="en-GB"/>
        </w:rPr>
        <w:t>Ashley, J. (2008</w:t>
      </w:r>
      <w:r w:rsidRPr="00BE553E">
        <w:rPr>
          <w:rFonts w:eastAsia="Calibri" w:cs="Calibri"/>
          <w:lang w:val="en-GB"/>
        </w:rPr>
        <w:t xml:space="preserve">) Are the Guardianistas rats? </w:t>
      </w:r>
      <w:r w:rsidRPr="00CE3236">
        <w:rPr>
          <w:rFonts w:eastAsia="Calibri" w:cs="Calibri"/>
          <w:i/>
          <w:lang w:val="en-GB"/>
        </w:rPr>
        <w:t>The Guardian</w:t>
      </w:r>
      <w:r>
        <w:rPr>
          <w:rFonts w:eastAsia="Calibri" w:cs="Calibri"/>
          <w:lang w:val="en-GB"/>
        </w:rPr>
        <w:t xml:space="preserve">, 29 April, </w:t>
      </w:r>
      <w:r w:rsidRPr="00BE553E">
        <w:rPr>
          <w:rFonts w:eastAsia="Calibri" w:cs="Calibri"/>
          <w:lang w:val="en-GB"/>
        </w:rPr>
        <w:t>http://www.theguardian.com/commentisfree/2008</w:t>
      </w:r>
      <w:r>
        <w:rPr>
          <w:rFonts w:eastAsia="Calibri" w:cs="Calibri"/>
          <w:lang w:val="en-GB"/>
        </w:rPr>
        <w:t>/apr/29/aretheguardianistasrats, accessed 15 July 2016.</w:t>
      </w:r>
    </w:p>
    <w:p w14:paraId="1C2ADCC9" w14:textId="77777777" w:rsidR="002B77A7" w:rsidRPr="00BE553E" w:rsidRDefault="002B77A7" w:rsidP="002B77A7">
      <w:pPr>
        <w:spacing w:line="360" w:lineRule="auto"/>
        <w:ind w:left="709" w:hanging="709"/>
        <w:jc w:val="both"/>
        <w:rPr>
          <w:rFonts w:eastAsia="Calibri" w:cs="Calibri"/>
          <w:color w:val="1A1A1A"/>
          <w:lang w:val="en-GB"/>
        </w:rPr>
      </w:pPr>
      <w:r w:rsidRPr="00BE553E">
        <w:rPr>
          <w:rFonts w:eastAsia="Calibri" w:cs="Calibri"/>
          <w:color w:val="1A1A1A"/>
          <w:lang w:val="en-GB"/>
        </w:rPr>
        <w:t>Associ</w:t>
      </w:r>
      <w:r>
        <w:rPr>
          <w:rFonts w:eastAsia="Calibri" w:cs="Calibri"/>
          <w:color w:val="1A1A1A"/>
          <w:lang w:val="en-GB"/>
        </w:rPr>
        <w:t>ated Press (2015a)</w:t>
      </w:r>
      <w:r w:rsidRPr="00BE553E">
        <w:rPr>
          <w:rFonts w:eastAsia="Calibri" w:cs="Calibri"/>
          <w:color w:val="1A1A1A"/>
          <w:lang w:val="en-GB"/>
        </w:rPr>
        <w:t xml:space="preserve"> Explosion heard during France v Germany football match in Paris – video. </w:t>
      </w:r>
      <w:r w:rsidRPr="00CE3236">
        <w:rPr>
          <w:rFonts w:eastAsia="Calibri" w:cs="Calibri"/>
          <w:i/>
          <w:color w:val="1A1A1A"/>
          <w:lang w:val="en-GB"/>
        </w:rPr>
        <w:t>The Guardian</w:t>
      </w:r>
      <w:r>
        <w:rPr>
          <w:rFonts w:eastAsia="Calibri" w:cs="Calibri"/>
          <w:color w:val="1A1A1A"/>
          <w:lang w:val="en-GB"/>
        </w:rPr>
        <w:t>, 13 November, h</w:t>
      </w:r>
      <w:r w:rsidRPr="00BE553E">
        <w:rPr>
          <w:rFonts w:eastAsia="Calibri" w:cs="Calibri"/>
          <w:color w:val="1A1A1A"/>
          <w:lang w:val="en-GB"/>
        </w:rPr>
        <w:t>ttps://www.theguardian.com/world/video/2015/nov/13/explosion-fran</w:t>
      </w:r>
      <w:r>
        <w:rPr>
          <w:rFonts w:eastAsia="Calibri" w:cs="Calibri"/>
          <w:color w:val="1A1A1A"/>
          <w:lang w:val="en-GB"/>
        </w:rPr>
        <w:t>ce-germany-football-paris-video</w:t>
      </w:r>
      <w:r>
        <w:rPr>
          <w:rFonts w:eastAsia="Calibri" w:cs="Calibri"/>
          <w:lang w:val="en-GB"/>
        </w:rPr>
        <w:t>, accessed 9 June 2016.</w:t>
      </w:r>
    </w:p>
    <w:p w14:paraId="3364CEE8" w14:textId="77777777" w:rsidR="002B77A7" w:rsidRDefault="002B77A7" w:rsidP="002B77A7">
      <w:pPr>
        <w:spacing w:line="360" w:lineRule="auto"/>
        <w:ind w:left="709" w:hanging="709"/>
        <w:jc w:val="both"/>
        <w:rPr>
          <w:rFonts w:eastAsia="Calibri" w:cs="Calibri"/>
          <w:color w:val="1A1A1A"/>
          <w:lang w:val="en-GB"/>
        </w:rPr>
      </w:pPr>
      <w:r w:rsidRPr="00BE553E">
        <w:rPr>
          <w:rFonts w:eastAsia="Calibri" w:cs="Calibri"/>
          <w:color w:val="1A1A1A"/>
          <w:lang w:val="en-GB"/>
        </w:rPr>
        <w:lastRenderedPageBreak/>
        <w:t>Associated Press (2015b</w:t>
      </w:r>
      <w:r>
        <w:rPr>
          <w:rFonts w:eastAsia="Calibri" w:cs="Calibri"/>
          <w:color w:val="1A1A1A"/>
          <w:lang w:val="en-GB"/>
        </w:rPr>
        <w:t>)</w:t>
      </w:r>
      <w:r w:rsidRPr="00BE553E">
        <w:rPr>
          <w:rFonts w:eastAsia="Calibri" w:cs="Calibri"/>
          <w:color w:val="1A1A1A"/>
          <w:lang w:val="en-GB"/>
        </w:rPr>
        <w:t xml:space="preserve"> 43 killed, 239 wounded in Beirut twin blasts; Islamic State claims responsibility. </w:t>
      </w:r>
      <w:r w:rsidRPr="00CE3236">
        <w:rPr>
          <w:rFonts w:eastAsia="Calibri" w:cs="Calibri"/>
          <w:i/>
          <w:color w:val="1A1A1A"/>
          <w:lang w:val="en-GB"/>
        </w:rPr>
        <w:t>First Post</w:t>
      </w:r>
      <w:r w:rsidRPr="00BE553E">
        <w:rPr>
          <w:rFonts w:eastAsia="Calibri" w:cs="Calibri"/>
          <w:color w:val="1A1A1A"/>
          <w:lang w:val="en-GB"/>
        </w:rPr>
        <w:t xml:space="preserve">, </w:t>
      </w:r>
      <w:r>
        <w:rPr>
          <w:rFonts w:eastAsia="Calibri" w:cs="Calibri"/>
          <w:color w:val="1A1A1A"/>
          <w:lang w:val="en-GB"/>
        </w:rPr>
        <w:t xml:space="preserve">13 </w:t>
      </w:r>
      <w:r w:rsidRPr="00BE553E">
        <w:rPr>
          <w:rFonts w:eastAsia="Calibri" w:cs="Calibri"/>
          <w:color w:val="1A1A1A"/>
          <w:lang w:val="en-GB"/>
        </w:rPr>
        <w:t>November</w:t>
      </w:r>
      <w:r>
        <w:rPr>
          <w:rFonts w:eastAsia="Calibri" w:cs="Calibri"/>
          <w:color w:val="1A1A1A"/>
          <w:lang w:val="en-GB"/>
        </w:rPr>
        <w:t xml:space="preserve">, </w:t>
      </w:r>
      <w:r w:rsidRPr="00BE553E">
        <w:rPr>
          <w:rFonts w:eastAsia="Calibri" w:cs="Calibri"/>
          <w:color w:val="1A1A1A"/>
          <w:lang w:val="en-GB"/>
        </w:rPr>
        <w:t>http://www.firstpost.com/world/41-killed-200-wounded-in-beirut-twin-blasts-is-cla</w:t>
      </w:r>
      <w:r>
        <w:rPr>
          <w:rFonts w:eastAsia="Calibri" w:cs="Calibri"/>
          <w:color w:val="1A1A1A"/>
          <w:lang w:val="en-GB"/>
        </w:rPr>
        <w:t>ims-responsibility-2504508.html</w:t>
      </w:r>
      <w:r>
        <w:rPr>
          <w:rFonts w:eastAsia="Calibri" w:cs="Calibri"/>
          <w:lang w:val="en-GB"/>
        </w:rPr>
        <w:t>, accessed 11 June 2016.</w:t>
      </w:r>
    </w:p>
    <w:p w14:paraId="3D62637D" w14:textId="77777777" w:rsidR="002B77A7" w:rsidRPr="002851A0" w:rsidRDefault="002B77A7" w:rsidP="002B77A7">
      <w:pPr>
        <w:spacing w:line="360" w:lineRule="auto"/>
        <w:ind w:left="709" w:hanging="709"/>
        <w:jc w:val="both"/>
        <w:rPr>
          <w:rFonts w:eastAsia="Calibri" w:cs="Calibri"/>
          <w:color w:val="1A1A1A"/>
          <w:lang w:val="en-GB"/>
        </w:rPr>
      </w:pPr>
      <w:r w:rsidRPr="00BE553E">
        <w:rPr>
          <w:rFonts w:cs="Arial"/>
          <w:color w:val="000000"/>
          <w:sz w:val="22"/>
          <w:szCs w:val="22"/>
          <w:lang w:val="en-GB"/>
        </w:rPr>
        <w:t>A</w:t>
      </w:r>
      <w:r>
        <w:rPr>
          <w:rFonts w:cs="Arial"/>
          <w:color w:val="000000"/>
          <w:sz w:val="22"/>
          <w:szCs w:val="22"/>
          <w:lang w:val="en-GB"/>
        </w:rPr>
        <w:t>ssociated Press in Beirut (2015</w:t>
      </w:r>
      <w:r w:rsidRPr="00BE553E">
        <w:rPr>
          <w:rFonts w:cs="Arial"/>
          <w:color w:val="000000"/>
          <w:sz w:val="22"/>
          <w:szCs w:val="22"/>
          <w:lang w:val="en-GB"/>
        </w:rPr>
        <w:t xml:space="preserve">) Families mourn victims of Beirut suicide bombings. </w:t>
      </w:r>
      <w:r w:rsidRPr="00CE3236">
        <w:rPr>
          <w:rFonts w:cs="Arial"/>
          <w:i/>
          <w:iCs/>
          <w:color w:val="000000"/>
          <w:sz w:val="22"/>
          <w:szCs w:val="22"/>
          <w:lang w:val="en-GB"/>
        </w:rPr>
        <w:t>The Guardian</w:t>
      </w:r>
      <w:r>
        <w:rPr>
          <w:rFonts w:cs="Arial"/>
          <w:iCs/>
          <w:color w:val="000000"/>
          <w:sz w:val="22"/>
          <w:szCs w:val="22"/>
          <w:lang w:val="en-GB"/>
        </w:rPr>
        <w:t xml:space="preserve">, 13 </w:t>
      </w:r>
      <w:r w:rsidRPr="00BE553E">
        <w:rPr>
          <w:rFonts w:cs="Arial"/>
          <w:color w:val="000000"/>
          <w:sz w:val="22"/>
          <w:szCs w:val="22"/>
          <w:lang w:val="en-GB"/>
        </w:rPr>
        <w:t>November</w:t>
      </w:r>
      <w:r>
        <w:rPr>
          <w:rFonts w:cs="Arial"/>
          <w:color w:val="000000"/>
          <w:sz w:val="22"/>
          <w:szCs w:val="22"/>
          <w:lang w:val="en-GB"/>
        </w:rPr>
        <w:t>, h</w:t>
      </w:r>
      <w:r w:rsidRPr="00BE553E">
        <w:rPr>
          <w:rFonts w:eastAsiaTheme="majorEastAsia" w:cs="Arial"/>
          <w:sz w:val="22"/>
          <w:szCs w:val="22"/>
          <w:lang w:val="en-GB"/>
        </w:rPr>
        <w:t>ttps://www.theguardian.com/world/2015/nov/13/lebanon-families-mourn-victims-beirut-bombings</w:t>
      </w:r>
      <w:r>
        <w:rPr>
          <w:rFonts w:eastAsia="Calibri" w:cs="Calibri"/>
          <w:lang w:val="en-GB"/>
        </w:rPr>
        <w:t>, accessed 11 June 2016.</w:t>
      </w:r>
    </w:p>
    <w:p w14:paraId="028F77A6" w14:textId="77777777" w:rsidR="002B77A7" w:rsidRPr="00BE553E" w:rsidRDefault="002B77A7" w:rsidP="002B77A7">
      <w:pPr>
        <w:spacing w:line="360" w:lineRule="auto"/>
        <w:ind w:left="709" w:hanging="709"/>
        <w:jc w:val="both"/>
        <w:rPr>
          <w:lang w:val="en-GB"/>
        </w:rPr>
      </w:pPr>
      <w:r>
        <w:rPr>
          <w:rFonts w:ascii="Calibri" w:eastAsia="Calibri" w:hAnsi="Calibri" w:cs="Calibri"/>
          <w:lang w:val="en-GB"/>
        </w:rPr>
        <w:t>Associated Press (2016)</w:t>
      </w:r>
      <w:r w:rsidRPr="00BE553E">
        <w:rPr>
          <w:rFonts w:ascii="Calibri" w:eastAsia="Calibri" w:hAnsi="Calibri" w:cs="Calibri"/>
          <w:lang w:val="en-GB"/>
        </w:rPr>
        <w:t xml:space="preserve"> About. </w:t>
      </w:r>
      <w:r w:rsidRPr="00CE3236">
        <w:rPr>
          <w:rFonts w:ascii="Calibri" w:eastAsia="Calibri" w:hAnsi="Calibri" w:cs="Calibri"/>
          <w:i/>
          <w:lang w:val="en-GB"/>
        </w:rPr>
        <w:t>The Associated Press</w:t>
      </w:r>
      <w:r>
        <w:rPr>
          <w:rFonts w:ascii="Calibri" w:eastAsia="Calibri" w:hAnsi="Calibri" w:cs="Calibri"/>
          <w:lang w:val="en-GB"/>
        </w:rPr>
        <w:t xml:space="preserve">, </w:t>
      </w:r>
      <w:r w:rsidRPr="0013725E">
        <w:rPr>
          <w:rFonts w:ascii="Calibri" w:eastAsia="Calibri" w:hAnsi="Calibri" w:cs="Calibri"/>
          <w:lang w:val="en-GB"/>
        </w:rPr>
        <w:t>http://www.ap.org/company/FAQs</w:t>
      </w:r>
      <w:r>
        <w:rPr>
          <w:rFonts w:ascii="Calibri" w:eastAsia="Calibri" w:hAnsi="Calibri" w:cs="Calibri"/>
          <w:lang w:val="en-GB"/>
        </w:rPr>
        <w:t>, accessed 12 June 2016.</w:t>
      </w:r>
    </w:p>
    <w:p w14:paraId="54EDC87C" w14:textId="77777777" w:rsidR="002B77A7" w:rsidRPr="00BE553E" w:rsidRDefault="002B77A7" w:rsidP="002B77A7">
      <w:pPr>
        <w:spacing w:line="360" w:lineRule="auto"/>
        <w:ind w:left="709" w:hanging="709"/>
        <w:jc w:val="both"/>
        <w:rPr>
          <w:lang w:val="en-GB"/>
        </w:rPr>
      </w:pPr>
      <w:r w:rsidRPr="00BE553E">
        <w:rPr>
          <w:rFonts w:eastAsia="Calibri" w:cs="Calibri"/>
          <w:lang w:val="en-GB"/>
        </w:rPr>
        <w:t xml:space="preserve">Bachrach, P. and Baratz, M.S. (1962) Two faces of power. </w:t>
      </w:r>
      <w:r w:rsidRPr="00CE3236">
        <w:rPr>
          <w:rFonts w:eastAsia="Calibri" w:cs="Calibri"/>
          <w:i/>
          <w:lang w:val="en-GB"/>
        </w:rPr>
        <w:t>The American Political Science Review</w:t>
      </w:r>
      <w:r w:rsidRPr="00BE553E">
        <w:rPr>
          <w:rFonts w:eastAsia="Calibri" w:cs="Calibri"/>
          <w:lang w:val="en-GB"/>
        </w:rPr>
        <w:t xml:space="preserve"> 56(4)</w:t>
      </w:r>
      <w:r>
        <w:rPr>
          <w:rFonts w:eastAsia="Calibri" w:cs="Calibri"/>
          <w:lang w:val="en-GB"/>
        </w:rPr>
        <w:t>:</w:t>
      </w:r>
      <w:r w:rsidRPr="00BE553E">
        <w:rPr>
          <w:rFonts w:eastAsia="Calibri" w:cs="Calibri"/>
          <w:lang w:val="en-GB"/>
        </w:rPr>
        <w:t xml:space="preserve"> 947-952.</w:t>
      </w:r>
    </w:p>
    <w:p w14:paraId="41312B32" w14:textId="77777777" w:rsidR="002B77A7" w:rsidRPr="00BE553E" w:rsidRDefault="002B77A7" w:rsidP="002B77A7">
      <w:pPr>
        <w:spacing w:line="360" w:lineRule="auto"/>
        <w:ind w:left="709" w:hanging="709"/>
        <w:jc w:val="both"/>
        <w:rPr>
          <w:lang w:val="en-GB"/>
        </w:rPr>
      </w:pPr>
      <w:r w:rsidRPr="00BE553E">
        <w:rPr>
          <w:rFonts w:eastAsia="Calibri" w:cs="Calibri"/>
          <w:color w:val="1A1A1A"/>
          <w:lang w:val="en-GB"/>
        </w:rPr>
        <w:t>Bachrach, P. and Baratz, M.S.</w:t>
      </w:r>
      <w:r w:rsidRPr="00BE553E">
        <w:rPr>
          <w:rFonts w:eastAsia="Calibri" w:cs="Calibri"/>
          <w:lang w:val="en-GB"/>
        </w:rPr>
        <w:t xml:space="preserve"> (1970) </w:t>
      </w:r>
      <w:r w:rsidRPr="00CE3236">
        <w:rPr>
          <w:rFonts w:eastAsia="Calibri" w:cs="Calibri"/>
          <w:i/>
          <w:lang w:val="en-GB"/>
        </w:rPr>
        <w:t>Power and Poverty: Theory and Practice</w:t>
      </w:r>
      <w:r w:rsidRPr="00BE553E">
        <w:rPr>
          <w:rFonts w:eastAsia="Calibri" w:cs="Calibri"/>
          <w:lang w:val="en-GB"/>
        </w:rPr>
        <w:t>. Oxford: Oxford University Press.</w:t>
      </w:r>
    </w:p>
    <w:p w14:paraId="1652E818" w14:textId="77777777" w:rsidR="002B77A7" w:rsidRPr="00BE553E" w:rsidRDefault="002B77A7" w:rsidP="002B77A7">
      <w:pPr>
        <w:spacing w:line="360" w:lineRule="auto"/>
        <w:ind w:left="709" w:hanging="709"/>
        <w:jc w:val="both"/>
        <w:rPr>
          <w:lang w:val="en-GB"/>
        </w:rPr>
      </w:pPr>
      <w:r w:rsidRPr="00BE553E">
        <w:rPr>
          <w:rFonts w:eastAsia="Calibri" w:cs="Calibri"/>
          <w:lang w:val="en-GB"/>
        </w:rPr>
        <w:t xml:space="preserve">Ball, T. (1988) </w:t>
      </w:r>
      <w:r w:rsidRPr="00CE3236">
        <w:rPr>
          <w:rFonts w:eastAsia="Calibri" w:cs="Calibri"/>
          <w:i/>
          <w:lang w:val="en-GB"/>
        </w:rPr>
        <w:t>Transforming Political Discourse</w:t>
      </w:r>
      <w:r w:rsidRPr="00BE553E">
        <w:rPr>
          <w:rFonts w:eastAsia="Calibri" w:cs="Calibri"/>
          <w:lang w:val="en-GB"/>
        </w:rPr>
        <w:t>. Oxford: Blackwell</w:t>
      </w:r>
      <w:r>
        <w:rPr>
          <w:rFonts w:eastAsia="Calibri" w:cs="Calibri"/>
          <w:lang w:val="en-GB"/>
        </w:rPr>
        <w:t>.</w:t>
      </w:r>
    </w:p>
    <w:p w14:paraId="059EACC6" w14:textId="77777777" w:rsidR="002B77A7" w:rsidRPr="00BE553E" w:rsidRDefault="002B77A7" w:rsidP="002B77A7">
      <w:pPr>
        <w:spacing w:line="360" w:lineRule="auto"/>
        <w:ind w:left="709" w:hanging="709"/>
        <w:jc w:val="both"/>
        <w:rPr>
          <w:lang w:val="en-GB"/>
        </w:rPr>
      </w:pPr>
      <w:r>
        <w:rPr>
          <w:rFonts w:eastAsia="Calibri" w:cs="Calibri"/>
          <w:lang w:val="en-GB"/>
        </w:rPr>
        <w:t>Barnard, A. (2015)</w:t>
      </w:r>
      <w:r w:rsidRPr="00BE553E">
        <w:rPr>
          <w:rFonts w:eastAsia="Calibri" w:cs="Calibri"/>
          <w:lang w:val="en-GB"/>
        </w:rPr>
        <w:t xml:space="preserve"> Beirut, also the site of deadly attacks, feels forgotten. </w:t>
      </w:r>
      <w:r w:rsidRPr="00CE3236">
        <w:rPr>
          <w:rFonts w:eastAsia="Calibri" w:cs="Calibri"/>
          <w:i/>
          <w:lang w:val="en-GB"/>
        </w:rPr>
        <w:t>The New York Times</w:t>
      </w:r>
      <w:r>
        <w:rPr>
          <w:rFonts w:eastAsia="Calibri" w:cs="Calibri"/>
          <w:lang w:val="en-GB"/>
        </w:rPr>
        <w:t xml:space="preserve">, 14 </w:t>
      </w:r>
      <w:r w:rsidRPr="00BE553E">
        <w:rPr>
          <w:rFonts w:eastAsia="Calibri" w:cs="Calibri"/>
          <w:lang w:val="en-GB"/>
        </w:rPr>
        <w:t>November</w:t>
      </w:r>
      <w:r>
        <w:rPr>
          <w:rFonts w:eastAsia="Calibri" w:cs="Calibri"/>
          <w:lang w:val="en-GB"/>
        </w:rPr>
        <w:t>, h</w:t>
      </w:r>
      <w:r w:rsidRPr="00BE553E">
        <w:rPr>
          <w:lang w:val="en-GB"/>
        </w:rPr>
        <w:t>ttp://www.nytimes.com/2015/11/16/world/middleeast/beirut-</w:t>
      </w:r>
      <w:r>
        <w:rPr>
          <w:lang w:val="en-GB"/>
        </w:rPr>
        <w:t>lebanon-attacks-paris.html?_r=0</w:t>
      </w:r>
      <w:r>
        <w:rPr>
          <w:rFonts w:eastAsia="Calibri" w:cs="Calibri"/>
          <w:lang w:val="en-GB"/>
        </w:rPr>
        <w:t>, accessed 9 July 2016.</w:t>
      </w:r>
    </w:p>
    <w:p w14:paraId="3356E96B" w14:textId="77777777" w:rsidR="002B77A7" w:rsidRPr="002814F7" w:rsidRDefault="002B77A7" w:rsidP="002B77A7">
      <w:pPr>
        <w:spacing w:line="360" w:lineRule="auto"/>
        <w:ind w:left="709" w:hanging="709"/>
        <w:jc w:val="both"/>
        <w:rPr>
          <w:rFonts w:eastAsia="Calibri" w:cs="Calibri"/>
          <w:lang w:val="en-GB"/>
        </w:rPr>
      </w:pPr>
      <w:r w:rsidRPr="00BE553E">
        <w:rPr>
          <w:rFonts w:eastAsia="Calibri" w:cs="Calibri"/>
          <w:lang w:val="en-GB"/>
        </w:rPr>
        <w:t>Barnard, A. and Saad,</w:t>
      </w:r>
      <w:r>
        <w:rPr>
          <w:rFonts w:eastAsia="Calibri" w:cs="Calibri"/>
          <w:lang w:val="en-GB"/>
        </w:rPr>
        <w:t xml:space="preserve"> H. (2015</w:t>
      </w:r>
      <w:r w:rsidRPr="00BE553E">
        <w:rPr>
          <w:rFonts w:eastAsia="Calibri" w:cs="Calibri"/>
          <w:lang w:val="en-GB"/>
        </w:rPr>
        <w:t xml:space="preserve">) ISIS claims responsibility for blasts that killed dozens in Beirut. </w:t>
      </w:r>
      <w:r w:rsidRPr="00CE3236">
        <w:rPr>
          <w:rFonts w:eastAsia="Calibri" w:cs="Calibri"/>
          <w:i/>
          <w:lang w:val="en-GB"/>
        </w:rPr>
        <w:t>The New York Times</w:t>
      </w:r>
      <w:r>
        <w:rPr>
          <w:rFonts w:eastAsia="Calibri" w:cs="Calibri"/>
          <w:lang w:val="en-GB"/>
        </w:rPr>
        <w:t xml:space="preserve">, 12 </w:t>
      </w:r>
      <w:r w:rsidRPr="00BE553E">
        <w:rPr>
          <w:rFonts w:eastAsia="Calibri" w:cs="Calibri"/>
          <w:lang w:val="en-GB"/>
        </w:rPr>
        <w:t>November</w:t>
      </w:r>
      <w:r>
        <w:rPr>
          <w:rFonts w:eastAsia="Calibri" w:cs="Calibri"/>
          <w:lang w:val="en-GB"/>
        </w:rPr>
        <w:t xml:space="preserve">, </w:t>
      </w:r>
      <w:r w:rsidRPr="00BE553E">
        <w:rPr>
          <w:rFonts w:eastAsia="Calibri" w:cs="Calibri"/>
          <w:lang w:val="en-GB"/>
        </w:rPr>
        <w:t>http://www.nytimes.com/2015/11/13/world/middleeast/lebanon-explosions-sout</w:t>
      </w:r>
      <w:r>
        <w:rPr>
          <w:rFonts w:eastAsia="Calibri" w:cs="Calibri"/>
          <w:lang w:val="en-GB"/>
        </w:rPr>
        <w:t>hern-beirut-hezbollah.html?_r=0, accessed 9 July 2016.</w:t>
      </w:r>
    </w:p>
    <w:p w14:paraId="28457E45" w14:textId="77777777" w:rsidR="002B77A7" w:rsidRPr="00BE553E" w:rsidRDefault="002B77A7" w:rsidP="002B77A7">
      <w:pPr>
        <w:spacing w:line="360" w:lineRule="auto"/>
        <w:ind w:left="709" w:hanging="709"/>
        <w:jc w:val="both"/>
        <w:rPr>
          <w:rFonts w:eastAsia="Calibri" w:cs="Calibri"/>
          <w:lang w:val="en-GB"/>
        </w:rPr>
      </w:pPr>
      <w:r>
        <w:rPr>
          <w:rFonts w:eastAsia="Calibri" w:cs="Calibri"/>
          <w:lang w:val="en-GB"/>
        </w:rPr>
        <w:t>Bartky, S. (1990)</w:t>
      </w:r>
      <w:r w:rsidRPr="00BE553E">
        <w:rPr>
          <w:rFonts w:eastAsia="Calibri" w:cs="Calibri"/>
          <w:lang w:val="en-GB"/>
        </w:rPr>
        <w:t xml:space="preserve"> </w:t>
      </w:r>
      <w:r w:rsidRPr="00CE3236">
        <w:rPr>
          <w:rFonts w:eastAsia="Calibri" w:cs="Calibri"/>
          <w:i/>
          <w:lang w:val="en-GB"/>
        </w:rPr>
        <w:t>Femininity and Domination: Studies in the Phenomenology of Oppression</w:t>
      </w:r>
      <w:r w:rsidRPr="00BE553E">
        <w:rPr>
          <w:rFonts w:eastAsia="Calibri" w:cs="Calibri"/>
          <w:lang w:val="en-GB"/>
        </w:rPr>
        <w:t>. New York: Routledge.</w:t>
      </w:r>
    </w:p>
    <w:p w14:paraId="0D09F316" w14:textId="77777777" w:rsidR="002B77A7" w:rsidRPr="002814F7" w:rsidRDefault="002B77A7" w:rsidP="002B77A7">
      <w:pPr>
        <w:spacing w:line="360" w:lineRule="auto"/>
        <w:ind w:left="709" w:hanging="709"/>
        <w:jc w:val="both"/>
        <w:rPr>
          <w:rFonts w:eastAsia="Calibri" w:cs="Calibri"/>
          <w:lang w:val="en-GB"/>
        </w:rPr>
      </w:pPr>
      <w:r w:rsidRPr="00BE553E">
        <w:rPr>
          <w:rFonts w:eastAsia="Calibri" w:cs="Calibri"/>
          <w:lang w:val="en-GB"/>
        </w:rPr>
        <w:t>Battah, H. (</w:t>
      </w:r>
      <w:r>
        <w:rPr>
          <w:rFonts w:eastAsia="Calibri" w:cs="Calibri"/>
          <w:lang w:val="en-GB"/>
        </w:rPr>
        <w:t>2015</w:t>
      </w:r>
      <w:r w:rsidRPr="00BE553E">
        <w:rPr>
          <w:rFonts w:eastAsia="Calibri" w:cs="Calibri"/>
          <w:lang w:val="en-GB"/>
        </w:rPr>
        <w:t xml:space="preserve">) Analysis: Just as innocent – comparing Beirut and Paris. </w:t>
      </w:r>
      <w:r w:rsidRPr="002814F7">
        <w:rPr>
          <w:rFonts w:eastAsia="Calibri" w:cs="Calibri"/>
          <w:i/>
          <w:lang w:val="en-GB"/>
        </w:rPr>
        <w:t>Al Jazeera</w:t>
      </w:r>
      <w:r w:rsidRPr="002814F7">
        <w:rPr>
          <w:rFonts w:eastAsia="Calibri" w:cs="Calibri"/>
          <w:lang w:val="en-GB"/>
        </w:rPr>
        <w:t>, 15 November, http://www.aljazeera.com/indepth/features/2015/11/beirut-paris-attacks-151115075935564.html</w:t>
      </w:r>
      <w:r>
        <w:rPr>
          <w:rFonts w:eastAsia="Calibri" w:cs="Calibri"/>
          <w:lang w:val="en-GB"/>
        </w:rPr>
        <w:t>, accessed 10 July 2016.</w:t>
      </w:r>
    </w:p>
    <w:p w14:paraId="51BF5A8C" w14:textId="77777777" w:rsidR="002B77A7" w:rsidRPr="00BE553E" w:rsidRDefault="002B77A7" w:rsidP="002B77A7">
      <w:pPr>
        <w:spacing w:line="360" w:lineRule="auto"/>
        <w:ind w:left="709" w:hanging="709"/>
        <w:jc w:val="both"/>
        <w:rPr>
          <w:lang w:val="en-GB"/>
        </w:rPr>
      </w:pPr>
      <w:r w:rsidRPr="00BE553E">
        <w:rPr>
          <w:rFonts w:eastAsia="Calibri" w:cs="Calibri"/>
          <w:lang w:val="en-GB"/>
        </w:rPr>
        <w:t xml:space="preserve">Beiner, R.S. (1990) Hannah Arendt on capitalism and socialism. </w:t>
      </w:r>
      <w:r w:rsidRPr="00CE3236">
        <w:rPr>
          <w:rFonts w:eastAsia="Calibri" w:cs="Calibri"/>
          <w:i/>
          <w:lang w:val="en-GB"/>
        </w:rPr>
        <w:t>Government and Opposition</w:t>
      </w:r>
      <w:r w:rsidRPr="00BE553E">
        <w:rPr>
          <w:rFonts w:eastAsia="Calibri" w:cs="Calibri"/>
          <w:lang w:val="en-GB"/>
        </w:rPr>
        <w:t xml:space="preserve"> 25(</w:t>
      </w:r>
      <w:r>
        <w:rPr>
          <w:rFonts w:eastAsia="Calibri" w:cs="Calibri"/>
          <w:lang w:val="en-GB"/>
        </w:rPr>
        <w:t>3):</w:t>
      </w:r>
      <w:r w:rsidRPr="00BE553E">
        <w:rPr>
          <w:rFonts w:eastAsia="Calibri" w:cs="Calibri"/>
          <w:lang w:val="en-GB"/>
        </w:rPr>
        <w:t xml:space="preserve"> 359-370.</w:t>
      </w:r>
    </w:p>
    <w:p w14:paraId="3501989B" w14:textId="77777777" w:rsidR="002B77A7" w:rsidRPr="00BE553E" w:rsidRDefault="002B77A7" w:rsidP="002B77A7">
      <w:pPr>
        <w:spacing w:line="360" w:lineRule="auto"/>
        <w:ind w:left="709" w:hanging="709"/>
        <w:jc w:val="both"/>
        <w:rPr>
          <w:rFonts w:eastAsia="Calibri" w:cs="Calibri"/>
          <w:lang w:val="en-GB"/>
        </w:rPr>
      </w:pPr>
      <w:r w:rsidRPr="00BE553E">
        <w:rPr>
          <w:rFonts w:eastAsia="Calibri" w:cs="Calibri"/>
          <w:lang w:val="en-GB"/>
        </w:rPr>
        <w:t xml:space="preserve">Benhabib, S. (1992) </w:t>
      </w:r>
      <w:r w:rsidRPr="00CE3236">
        <w:rPr>
          <w:rFonts w:eastAsia="Calibri" w:cs="Calibri"/>
          <w:i/>
          <w:lang w:val="en-GB"/>
        </w:rPr>
        <w:t>Situating the Self: Gender, Community, and Postmodernism in Contemporary Ethics</w:t>
      </w:r>
      <w:r w:rsidRPr="00BE553E">
        <w:rPr>
          <w:rFonts w:eastAsia="Calibri" w:cs="Calibri"/>
          <w:lang w:val="en-GB"/>
        </w:rPr>
        <w:t xml:space="preserve">. New York: Routledge. </w:t>
      </w:r>
    </w:p>
    <w:p w14:paraId="194853CB" w14:textId="77777777" w:rsidR="002B77A7" w:rsidRPr="00BE553E" w:rsidRDefault="002B77A7" w:rsidP="002B77A7">
      <w:pPr>
        <w:spacing w:line="360" w:lineRule="auto"/>
        <w:ind w:left="709" w:hanging="709"/>
        <w:jc w:val="both"/>
        <w:rPr>
          <w:rFonts w:eastAsia="Calibri" w:cs="Calibri"/>
          <w:lang w:val="en-GB"/>
        </w:rPr>
      </w:pPr>
      <w:r w:rsidRPr="00BE553E">
        <w:rPr>
          <w:lang w:val="en-GB"/>
        </w:rPr>
        <w:t>Blomberg, S.B., Gaibulloev, K., and Sandler, T.</w:t>
      </w:r>
      <w:r>
        <w:rPr>
          <w:lang w:val="en-GB"/>
        </w:rPr>
        <w:t xml:space="preserve"> (2011) </w:t>
      </w:r>
      <w:r w:rsidRPr="00BE553E">
        <w:rPr>
          <w:lang w:val="en-GB"/>
        </w:rPr>
        <w:t xml:space="preserve">Terrorist group survival: Ideology, tactics, and base of operations. </w:t>
      </w:r>
      <w:r w:rsidRPr="00CE3236">
        <w:rPr>
          <w:i/>
          <w:lang w:val="en-GB"/>
        </w:rPr>
        <w:t>Published Articles and Papers</w:t>
      </w:r>
      <w:r w:rsidRPr="00BE553E">
        <w:rPr>
          <w:lang w:val="en-GB"/>
        </w:rPr>
        <w:t xml:space="preserve"> </w:t>
      </w:r>
      <w:r>
        <w:rPr>
          <w:lang w:val="en-GB"/>
        </w:rPr>
        <w:t>Paper 149:</w:t>
      </w:r>
      <w:r w:rsidRPr="00BE553E">
        <w:rPr>
          <w:lang w:val="en-GB"/>
        </w:rPr>
        <w:t xml:space="preserve"> 1-40.</w:t>
      </w:r>
    </w:p>
    <w:p w14:paraId="06C3524A" w14:textId="77777777" w:rsidR="002B77A7" w:rsidRPr="00BE553E" w:rsidRDefault="002B77A7" w:rsidP="002B77A7">
      <w:pPr>
        <w:spacing w:line="360" w:lineRule="auto"/>
        <w:ind w:left="709" w:hanging="709"/>
        <w:jc w:val="both"/>
        <w:rPr>
          <w:lang w:val="en-GB"/>
        </w:rPr>
      </w:pPr>
      <w:r w:rsidRPr="00BE553E">
        <w:rPr>
          <w:rFonts w:ascii="Calibri" w:hAnsi="Calibri"/>
          <w:lang w:val="en-GB"/>
        </w:rPr>
        <w:t>B</w:t>
      </w:r>
      <w:r>
        <w:rPr>
          <w:rFonts w:ascii="Calibri" w:hAnsi="Calibri"/>
          <w:lang w:val="en-GB"/>
        </w:rPr>
        <w:t>offey, D. and Zeffman, H. (2015</w:t>
      </w:r>
      <w:r w:rsidRPr="00BE553E">
        <w:rPr>
          <w:rFonts w:ascii="Calibri" w:hAnsi="Calibri"/>
          <w:lang w:val="en-GB"/>
        </w:rPr>
        <w:t xml:space="preserve">) How the terror attacks in Paris unfolded. </w:t>
      </w:r>
      <w:r w:rsidRPr="00CE3236">
        <w:rPr>
          <w:rFonts w:ascii="Calibri" w:hAnsi="Calibri"/>
          <w:i/>
          <w:lang w:val="en-GB"/>
        </w:rPr>
        <w:t>The Guardian</w:t>
      </w:r>
      <w:r>
        <w:rPr>
          <w:rFonts w:ascii="Calibri" w:hAnsi="Calibri"/>
          <w:lang w:val="en-GB"/>
        </w:rPr>
        <w:t xml:space="preserve">, 15 </w:t>
      </w:r>
      <w:r w:rsidRPr="00BE553E">
        <w:rPr>
          <w:rFonts w:ascii="Calibri" w:hAnsi="Calibri"/>
          <w:lang w:val="en-GB"/>
        </w:rPr>
        <w:t>November</w:t>
      </w:r>
      <w:r>
        <w:rPr>
          <w:rFonts w:ascii="Calibri" w:hAnsi="Calibri"/>
          <w:lang w:val="en-GB"/>
        </w:rPr>
        <w:t xml:space="preserve">, </w:t>
      </w:r>
      <w:r w:rsidRPr="00BE553E">
        <w:rPr>
          <w:rFonts w:ascii="Calibri" w:hAnsi="Calibri"/>
          <w:lang w:val="en-GB"/>
        </w:rPr>
        <w:t>https://www.theguardian.com/world/2015/nov/14/p</w:t>
      </w:r>
      <w:r>
        <w:rPr>
          <w:rFonts w:ascii="Calibri" w:hAnsi="Calibri"/>
          <w:lang w:val="en-GB"/>
        </w:rPr>
        <w:t>aris-attacks-timeline-of-terror</w:t>
      </w:r>
      <w:r>
        <w:rPr>
          <w:rFonts w:eastAsia="Calibri" w:cs="Calibri"/>
          <w:lang w:val="en-GB"/>
        </w:rPr>
        <w:t>, accessed 3 June 2016.</w:t>
      </w:r>
    </w:p>
    <w:p w14:paraId="0E389590" w14:textId="77777777" w:rsidR="002B77A7" w:rsidRPr="00BE553E" w:rsidRDefault="002B77A7" w:rsidP="002B77A7">
      <w:pPr>
        <w:spacing w:line="360" w:lineRule="auto"/>
        <w:ind w:left="709" w:hanging="709"/>
        <w:jc w:val="both"/>
        <w:rPr>
          <w:rFonts w:eastAsia="Calibri" w:cs="Calibri"/>
          <w:lang w:val="en-GB"/>
        </w:rPr>
      </w:pPr>
      <w:r>
        <w:rPr>
          <w:rFonts w:eastAsia="Calibri" w:cs="Calibri"/>
          <w:lang w:val="en-GB"/>
        </w:rPr>
        <w:lastRenderedPageBreak/>
        <w:t>Bordo, S. (1993)</w:t>
      </w:r>
      <w:r w:rsidRPr="00BE553E">
        <w:rPr>
          <w:rFonts w:eastAsia="Calibri" w:cs="Calibri"/>
          <w:lang w:val="en-GB"/>
        </w:rPr>
        <w:t xml:space="preserve"> </w:t>
      </w:r>
      <w:r w:rsidRPr="00CE3236">
        <w:rPr>
          <w:rFonts w:eastAsia="Calibri" w:cs="Calibri"/>
          <w:i/>
          <w:lang w:val="en-GB"/>
        </w:rPr>
        <w:t>Unbearable Weight: Feminism, Western Culture, and the Body</w:t>
      </w:r>
      <w:r w:rsidRPr="00BE553E">
        <w:rPr>
          <w:rFonts w:eastAsia="Calibri" w:cs="Calibri"/>
          <w:lang w:val="en-GB"/>
        </w:rPr>
        <w:t>. Berkeley: University of California Press.</w:t>
      </w:r>
    </w:p>
    <w:p w14:paraId="2BCE5D07" w14:textId="77777777" w:rsidR="002B77A7" w:rsidRPr="002814F7" w:rsidRDefault="002B77A7" w:rsidP="002B77A7">
      <w:pPr>
        <w:spacing w:line="360" w:lineRule="auto"/>
        <w:ind w:left="709" w:hanging="709"/>
        <w:jc w:val="both"/>
        <w:rPr>
          <w:rFonts w:eastAsia="Calibri" w:cs="Calibri"/>
          <w:lang w:val="en-GB"/>
        </w:rPr>
      </w:pPr>
      <w:r>
        <w:rPr>
          <w:rFonts w:eastAsia="Calibri" w:cs="Calibri"/>
          <w:lang w:val="en-GB"/>
        </w:rPr>
        <w:t xml:space="preserve">Borger, J. (2016) French media to stop publishing photos and names of terrorists. </w:t>
      </w:r>
      <w:r>
        <w:rPr>
          <w:rFonts w:eastAsia="Calibri" w:cs="Calibri"/>
          <w:i/>
          <w:lang w:val="en-GB"/>
        </w:rPr>
        <w:t>The Guardian</w:t>
      </w:r>
      <w:r>
        <w:rPr>
          <w:rFonts w:eastAsia="Calibri" w:cs="Calibri"/>
          <w:lang w:val="en-GB"/>
        </w:rPr>
        <w:t xml:space="preserve">, 27 July, </w:t>
      </w:r>
      <w:r w:rsidRPr="002814F7">
        <w:rPr>
          <w:rFonts w:eastAsia="Calibri" w:cs="Calibri"/>
          <w:lang w:val="en-GB"/>
        </w:rPr>
        <w:t>https://www.theguardian.com/media/2016/jul/27/french-media-to-stop-publishing-photos-and-names-of-terrorists</w:t>
      </w:r>
      <w:r>
        <w:rPr>
          <w:rFonts w:eastAsia="Calibri" w:cs="Calibri"/>
          <w:lang w:val="en-GB"/>
        </w:rPr>
        <w:t>, accessed 24 July 2016.</w:t>
      </w:r>
    </w:p>
    <w:p w14:paraId="26D3935C" w14:textId="77777777" w:rsidR="002B77A7" w:rsidRPr="00BE553E" w:rsidRDefault="002B77A7" w:rsidP="002B77A7">
      <w:pPr>
        <w:spacing w:line="360" w:lineRule="auto"/>
        <w:ind w:left="709" w:hanging="709"/>
        <w:jc w:val="both"/>
        <w:rPr>
          <w:lang w:val="en-GB"/>
        </w:rPr>
      </w:pPr>
      <w:r w:rsidRPr="00BE553E">
        <w:rPr>
          <w:rFonts w:eastAsia="Calibri" w:cs="Calibri"/>
          <w:lang w:val="en-GB"/>
        </w:rPr>
        <w:t>Braidotti, R. (1989) Envy: Or with your brains and my looks. In</w:t>
      </w:r>
      <w:r>
        <w:rPr>
          <w:rFonts w:eastAsia="Calibri" w:cs="Calibri"/>
          <w:lang w:val="en-GB"/>
        </w:rPr>
        <w:t>:</w:t>
      </w:r>
      <w:r w:rsidRPr="00BE553E">
        <w:rPr>
          <w:rFonts w:eastAsia="Calibri" w:cs="Calibri"/>
          <w:lang w:val="en-GB"/>
        </w:rPr>
        <w:t xml:space="preserve"> A. Jardine and</w:t>
      </w:r>
      <w:r>
        <w:rPr>
          <w:rFonts w:eastAsia="Calibri" w:cs="Calibri"/>
          <w:lang w:val="en-GB"/>
        </w:rPr>
        <w:t xml:space="preserve"> P. Smith (e</w:t>
      </w:r>
      <w:r w:rsidRPr="00BE553E">
        <w:rPr>
          <w:rFonts w:eastAsia="Calibri" w:cs="Calibri"/>
          <w:lang w:val="en-GB"/>
        </w:rPr>
        <w:t xml:space="preserve">ds.) </w:t>
      </w:r>
      <w:r w:rsidRPr="00CE3236">
        <w:rPr>
          <w:rFonts w:eastAsia="Calibri" w:cs="Calibri"/>
          <w:i/>
          <w:lang w:val="en-GB"/>
        </w:rPr>
        <w:t>Men in Feminism</w:t>
      </w:r>
      <w:r>
        <w:rPr>
          <w:rFonts w:eastAsia="Calibri" w:cs="Calibri"/>
          <w:lang w:val="en-GB"/>
        </w:rPr>
        <w:t>. New York: Routledge,</w:t>
      </w:r>
      <w:r w:rsidRPr="00B07EF1">
        <w:rPr>
          <w:rFonts w:eastAsia="Calibri" w:cs="Calibri"/>
          <w:lang w:val="en-GB"/>
        </w:rPr>
        <w:t xml:space="preserve"> </w:t>
      </w:r>
      <w:r w:rsidRPr="00BE553E">
        <w:rPr>
          <w:rFonts w:eastAsia="Calibri" w:cs="Calibri"/>
          <w:lang w:val="en-GB"/>
        </w:rPr>
        <w:t>pp. 233-241</w:t>
      </w:r>
      <w:r>
        <w:rPr>
          <w:rFonts w:eastAsia="Calibri" w:cs="Calibri"/>
          <w:lang w:val="en-GB"/>
        </w:rPr>
        <w:t>.</w:t>
      </w:r>
    </w:p>
    <w:p w14:paraId="1DC904A5" w14:textId="77777777" w:rsidR="002B77A7" w:rsidRPr="00BE553E" w:rsidRDefault="002B77A7" w:rsidP="002B77A7">
      <w:pPr>
        <w:spacing w:line="360" w:lineRule="auto"/>
        <w:ind w:left="709" w:hanging="709"/>
        <w:jc w:val="both"/>
        <w:rPr>
          <w:lang w:val="en-GB"/>
        </w:rPr>
      </w:pPr>
      <w:r>
        <w:rPr>
          <w:rFonts w:cs="Helvetica"/>
          <w:color w:val="222222"/>
          <w:lang w:val="en-GB"/>
        </w:rPr>
        <w:t>Brändlin, A.S. (2015</w:t>
      </w:r>
      <w:r w:rsidRPr="00BE553E">
        <w:rPr>
          <w:rFonts w:cs="Helvetica"/>
          <w:color w:val="222222"/>
          <w:lang w:val="en-GB"/>
        </w:rPr>
        <w:t xml:space="preserve">) As the world honors the victims in Paris, social media asks, what about #Beirut? </w:t>
      </w:r>
      <w:r w:rsidRPr="00CE3236">
        <w:rPr>
          <w:rFonts w:cs="Helvetica"/>
          <w:i/>
          <w:color w:val="222222"/>
          <w:lang w:val="en-GB"/>
        </w:rPr>
        <w:t>DW</w:t>
      </w:r>
      <w:r>
        <w:rPr>
          <w:rFonts w:cs="Helvetica"/>
          <w:color w:val="222222"/>
          <w:lang w:val="en-GB"/>
        </w:rPr>
        <w:t xml:space="preserve">, 15 </w:t>
      </w:r>
      <w:r w:rsidRPr="00BE553E">
        <w:rPr>
          <w:rFonts w:cs="Helvetica"/>
          <w:color w:val="222222"/>
          <w:lang w:val="en-GB"/>
        </w:rPr>
        <w:t>November</w:t>
      </w:r>
      <w:r>
        <w:rPr>
          <w:rFonts w:cs="Helvetica"/>
          <w:color w:val="222222"/>
          <w:lang w:val="en-GB"/>
        </w:rPr>
        <w:t xml:space="preserve">, </w:t>
      </w:r>
      <w:r w:rsidRPr="00BE553E">
        <w:rPr>
          <w:rFonts w:cs="Helvetica"/>
          <w:lang w:val="en-GB"/>
        </w:rPr>
        <w:t>http://www.dw.com/en/as-the-world-honors-the-victims-in-paris-social-media-asks-what-about-beirut/a-18851974</w:t>
      </w:r>
      <w:r>
        <w:rPr>
          <w:rFonts w:eastAsia="Calibri" w:cs="Calibri"/>
          <w:lang w:val="en-GB"/>
        </w:rPr>
        <w:t>, accessed 8 July 2016.</w:t>
      </w:r>
    </w:p>
    <w:p w14:paraId="43C3E7B6" w14:textId="77777777" w:rsidR="002B77A7" w:rsidRPr="00BE553E" w:rsidRDefault="002B77A7" w:rsidP="002B77A7">
      <w:pPr>
        <w:spacing w:line="360" w:lineRule="auto"/>
        <w:ind w:left="709" w:hanging="709"/>
        <w:jc w:val="both"/>
        <w:rPr>
          <w:lang w:val="en-GB"/>
        </w:rPr>
      </w:pPr>
      <w:r w:rsidRPr="00BE553E">
        <w:rPr>
          <w:rFonts w:eastAsia="Calibri" w:cs="Calibri"/>
          <w:lang w:val="en-GB"/>
        </w:rPr>
        <w:t>Butler, J. (</w:t>
      </w:r>
      <w:r>
        <w:rPr>
          <w:rFonts w:eastAsia="Calibri" w:cs="Calibri"/>
          <w:color w:val="1A1A1A"/>
          <w:lang w:val="en-GB"/>
        </w:rPr>
        <w:t>1990)</w:t>
      </w:r>
      <w:r w:rsidRPr="00BE553E">
        <w:rPr>
          <w:rFonts w:eastAsia="Calibri" w:cs="Calibri"/>
          <w:color w:val="1A1A1A"/>
          <w:lang w:val="en-GB"/>
        </w:rPr>
        <w:t xml:space="preserve"> </w:t>
      </w:r>
      <w:r w:rsidRPr="00CE3236">
        <w:rPr>
          <w:rFonts w:eastAsia="Calibri" w:cs="Calibri"/>
          <w:i/>
          <w:color w:val="1A1A1A"/>
          <w:lang w:val="en-GB"/>
        </w:rPr>
        <w:t>Gender Trouble: Feminism and the Subversion of Identity</w:t>
      </w:r>
      <w:r w:rsidRPr="00BE553E">
        <w:rPr>
          <w:rFonts w:eastAsia="Calibri" w:cs="Calibri"/>
          <w:color w:val="1A1A1A"/>
          <w:lang w:val="en-GB"/>
        </w:rPr>
        <w:t>. New York: Routledge.</w:t>
      </w:r>
    </w:p>
    <w:p w14:paraId="4D9D0CAE" w14:textId="77777777" w:rsidR="002B77A7" w:rsidRPr="00BE553E" w:rsidRDefault="002B77A7" w:rsidP="002B77A7">
      <w:pPr>
        <w:spacing w:line="360" w:lineRule="auto"/>
        <w:ind w:left="709" w:hanging="709"/>
        <w:jc w:val="both"/>
        <w:rPr>
          <w:rFonts w:eastAsia="Calibri" w:cs="Calibri"/>
          <w:color w:val="1A1A1A"/>
          <w:lang w:val="en-GB"/>
        </w:rPr>
      </w:pPr>
      <w:r w:rsidRPr="00BE553E">
        <w:rPr>
          <w:rFonts w:eastAsia="Calibri" w:cs="Calibri"/>
          <w:color w:val="1A1A1A"/>
          <w:lang w:val="en-GB"/>
        </w:rPr>
        <w:t xml:space="preserve">Butler, J. (1993) </w:t>
      </w:r>
      <w:r w:rsidRPr="00CE3236">
        <w:rPr>
          <w:rFonts w:eastAsia="Calibri" w:cs="Calibri"/>
          <w:i/>
          <w:color w:val="1A1A1A"/>
          <w:lang w:val="en-GB"/>
        </w:rPr>
        <w:t>Bodies that Matter: On the Discursive Limits of ‘Sex’</w:t>
      </w:r>
      <w:r w:rsidRPr="00BE553E">
        <w:rPr>
          <w:rFonts w:eastAsia="Calibri" w:cs="Calibri"/>
          <w:color w:val="1A1A1A"/>
          <w:lang w:val="en-GB"/>
        </w:rPr>
        <w:t>. New York: Routledge.</w:t>
      </w:r>
    </w:p>
    <w:p w14:paraId="1CFC47B4" w14:textId="77777777" w:rsidR="002B77A7" w:rsidRPr="00B07EF1" w:rsidRDefault="002B77A7" w:rsidP="002B77A7">
      <w:pPr>
        <w:spacing w:line="360" w:lineRule="auto"/>
        <w:ind w:left="709" w:hanging="709"/>
        <w:jc w:val="both"/>
        <w:rPr>
          <w:rFonts w:ascii="Calibri" w:hAnsi="Calibri"/>
          <w:lang w:val="en-GB"/>
        </w:rPr>
      </w:pPr>
      <w:r>
        <w:rPr>
          <w:rFonts w:ascii="Calibri" w:hAnsi="Calibri"/>
          <w:lang w:val="en-GB"/>
        </w:rPr>
        <w:t>Caldas-Coulthard, C. R. (2003)</w:t>
      </w:r>
      <w:r w:rsidRPr="00B07EF1">
        <w:rPr>
          <w:rFonts w:ascii="Calibri" w:hAnsi="Calibri"/>
          <w:lang w:val="en-GB"/>
        </w:rPr>
        <w:t xml:space="preserve"> Cross-cultural representation of ‘otherness’ in media discourse. In</w:t>
      </w:r>
      <w:r>
        <w:rPr>
          <w:rFonts w:ascii="Calibri" w:hAnsi="Calibri"/>
          <w:lang w:val="en-GB"/>
        </w:rPr>
        <w:t>: G. Weiss and R. Wodak (e</w:t>
      </w:r>
      <w:r w:rsidRPr="00B07EF1">
        <w:rPr>
          <w:rFonts w:ascii="Calibri" w:hAnsi="Calibri"/>
          <w:lang w:val="en-GB"/>
        </w:rPr>
        <w:t xml:space="preserve">ds.) </w:t>
      </w:r>
      <w:r w:rsidRPr="00CE3236">
        <w:rPr>
          <w:rFonts w:ascii="Calibri" w:hAnsi="Calibri"/>
          <w:i/>
          <w:iCs/>
          <w:lang w:val="en-GB"/>
        </w:rPr>
        <w:t>Critical Discourse Analysis: Theory and Interdisciplinarity</w:t>
      </w:r>
      <w:r w:rsidRPr="00B07EF1">
        <w:rPr>
          <w:rFonts w:ascii="Calibri" w:hAnsi="Calibri"/>
          <w:lang w:val="en-GB"/>
        </w:rPr>
        <w:t xml:space="preserve">. </w:t>
      </w:r>
      <w:r w:rsidRPr="00641405">
        <w:rPr>
          <w:rFonts w:ascii="Calibri" w:hAnsi="Calibri"/>
          <w:lang w:val="en-GB"/>
        </w:rPr>
        <w:t xml:space="preserve">New York: Palgrave, </w:t>
      </w:r>
      <w:r w:rsidRPr="00B07EF1">
        <w:rPr>
          <w:rFonts w:ascii="Calibri" w:hAnsi="Calibri"/>
          <w:lang w:val="en-GB"/>
        </w:rPr>
        <w:t>pp. 272-296</w:t>
      </w:r>
      <w:r>
        <w:rPr>
          <w:rFonts w:ascii="Calibri" w:hAnsi="Calibri"/>
          <w:lang w:val="en-GB"/>
        </w:rPr>
        <w:t>.</w:t>
      </w:r>
    </w:p>
    <w:p w14:paraId="15578BBA" w14:textId="77777777" w:rsidR="002B77A7" w:rsidRPr="00BE553E" w:rsidRDefault="002B77A7" w:rsidP="002B77A7">
      <w:pPr>
        <w:spacing w:line="360" w:lineRule="auto"/>
        <w:ind w:left="709" w:hanging="709"/>
        <w:jc w:val="both"/>
        <w:rPr>
          <w:lang w:val="en-GB"/>
        </w:rPr>
      </w:pPr>
      <w:r>
        <w:rPr>
          <w:rFonts w:ascii="Calibri" w:hAnsi="Calibri"/>
          <w:lang w:val="en-GB"/>
        </w:rPr>
        <w:t>Callimachi, R. (2015)</w:t>
      </w:r>
      <w:r w:rsidRPr="00BE553E">
        <w:rPr>
          <w:rFonts w:ascii="Calibri" w:hAnsi="Calibri"/>
          <w:lang w:val="en-GB"/>
        </w:rPr>
        <w:t xml:space="preserve"> ISIS claims responsibility, calling Paris attacks ‘first of the storm’. </w:t>
      </w:r>
      <w:r w:rsidRPr="00CE3236">
        <w:rPr>
          <w:rFonts w:ascii="Calibri" w:hAnsi="Calibri"/>
          <w:i/>
          <w:lang w:val="en-GB"/>
        </w:rPr>
        <w:t>The New York Times</w:t>
      </w:r>
      <w:r>
        <w:rPr>
          <w:rFonts w:ascii="Calibri" w:hAnsi="Calibri"/>
          <w:lang w:val="en-GB"/>
        </w:rPr>
        <w:t xml:space="preserve">, 14 </w:t>
      </w:r>
      <w:r w:rsidRPr="00BE553E">
        <w:rPr>
          <w:rFonts w:ascii="Calibri" w:hAnsi="Calibri"/>
          <w:lang w:val="en-GB"/>
        </w:rPr>
        <w:t>November</w:t>
      </w:r>
      <w:r>
        <w:rPr>
          <w:rFonts w:ascii="Calibri" w:hAnsi="Calibri"/>
          <w:lang w:val="en-GB"/>
        </w:rPr>
        <w:t>, ht</w:t>
      </w:r>
      <w:r w:rsidRPr="00BE553E">
        <w:rPr>
          <w:rFonts w:ascii="Calibri" w:hAnsi="Calibri"/>
          <w:lang w:val="en-GB"/>
        </w:rPr>
        <w:t>tp://www.nytimes.com/2015/11/15/world/europe/isis-claims-responsibility-for-paris-attacks-calling-them-miracles.html?_r=0</w:t>
      </w:r>
      <w:r>
        <w:rPr>
          <w:rFonts w:eastAsia="Calibri" w:cs="Calibri"/>
          <w:lang w:val="en-GB"/>
        </w:rPr>
        <w:t>, accessed 3 June 2016.</w:t>
      </w:r>
    </w:p>
    <w:p w14:paraId="5A980F0C" w14:textId="77777777" w:rsidR="002B77A7" w:rsidRPr="00BE553E" w:rsidRDefault="002B77A7" w:rsidP="002B77A7">
      <w:pPr>
        <w:spacing w:line="360" w:lineRule="auto"/>
        <w:ind w:left="709" w:hanging="709"/>
        <w:jc w:val="both"/>
        <w:rPr>
          <w:lang w:val="en-GB"/>
        </w:rPr>
      </w:pPr>
      <w:r w:rsidRPr="00BE553E">
        <w:rPr>
          <w:rFonts w:eastAsia="Calibri" w:cs="Calibri"/>
          <w:lang w:val="en-GB"/>
        </w:rPr>
        <w:t xml:space="preserve">Clegg, S.R. (1989) </w:t>
      </w:r>
      <w:r w:rsidRPr="00CE3236">
        <w:rPr>
          <w:rFonts w:eastAsia="Calibri" w:cs="Calibri"/>
          <w:i/>
          <w:lang w:val="en-GB"/>
        </w:rPr>
        <w:t>Frameworks of Power</w:t>
      </w:r>
      <w:r w:rsidRPr="00BE553E">
        <w:rPr>
          <w:rFonts w:eastAsia="Calibri" w:cs="Calibri"/>
          <w:lang w:val="en-GB"/>
        </w:rPr>
        <w:t xml:space="preserve">. London: SAGE Publications Ltd. </w:t>
      </w:r>
    </w:p>
    <w:p w14:paraId="16862D35" w14:textId="77777777" w:rsidR="002B77A7" w:rsidRPr="00BE553E" w:rsidRDefault="002B77A7" w:rsidP="002B77A7">
      <w:pPr>
        <w:spacing w:line="360" w:lineRule="auto"/>
        <w:ind w:left="709" w:hanging="709"/>
        <w:jc w:val="both"/>
        <w:rPr>
          <w:lang w:val="en-GB"/>
        </w:rPr>
      </w:pPr>
      <w:r w:rsidRPr="00BE553E">
        <w:rPr>
          <w:rFonts w:eastAsia="Calibri" w:cs="Calibri"/>
          <w:lang w:val="en-GB"/>
        </w:rPr>
        <w:t xml:space="preserve">Dahl, R.A. (1957) The concept of power. </w:t>
      </w:r>
      <w:r w:rsidRPr="00CE3236">
        <w:rPr>
          <w:rFonts w:eastAsia="Calibri" w:cs="Calibri"/>
          <w:i/>
          <w:lang w:val="en-GB"/>
        </w:rPr>
        <w:t>Behavioural Science</w:t>
      </w:r>
      <w:r>
        <w:rPr>
          <w:rFonts w:eastAsia="Calibri" w:cs="Calibri"/>
          <w:lang w:val="en-GB"/>
        </w:rPr>
        <w:t xml:space="preserve"> 2:</w:t>
      </w:r>
      <w:r w:rsidRPr="00BE553E">
        <w:rPr>
          <w:rFonts w:eastAsia="Calibri" w:cs="Calibri"/>
          <w:lang w:val="en-GB"/>
        </w:rPr>
        <w:t xml:space="preserve"> 201-215.</w:t>
      </w:r>
    </w:p>
    <w:p w14:paraId="348108AC" w14:textId="77777777" w:rsidR="002B77A7" w:rsidRPr="00BE553E" w:rsidRDefault="002B77A7" w:rsidP="002B77A7">
      <w:pPr>
        <w:spacing w:line="360" w:lineRule="auto"/>
        <w:ind w:left="709" w:hanging="709"/>
        <w:jc w:val="both"/>
        <w:rPr>
          <w:lang w:val="en-GB"/>
        </w:rPr>
      </w:pPr>
      <w:r w:rsidRPr="00BE553E">
        <w:rPr>
          <w:rFonts w:eastAsia="Calibri" w:cs="Calibri"/>
          <w:color w:val="1A1A1A"/>
          <w:lang w:val="en-GB"/>
        </w:rPr>
        <w:t>Dahl, R.A.</w:t>
      </w:r>
      <w:r w:rsidRPr="00BE553E">
        <w:rPr>
          <w:rFonts w:eastAsia="Calibri" w:cs="Calibri"/>
          <w:lang w:val="en-GB"/>
        </w:rPr>
        <w:t xml:space="preserve"> (1958) A critique of the ruling elite model. </w:t>
      </w:r>
      <w:r w:rsidRPr="00CE3236">
        <w:rPr>
          <w:rFonts w:eastAsia="Calibri" w:cs="Calibri"/>
          <w:i/>
          <w:lang w:val="en-GB"/>
        </w:rPr>
        <w:t>The American Political Science Review</w:t>
      </w:r>
      <w:r w:rsidRPr="00BE553E">
        <w:rPr>
          <w:rFonts w:eastAsia="Calibri" w:cs="Calibri"/>
          <w:lang w:val="en-GB"/>
        </w:rPr>
        <w:t xml:space="preserve"> 52</w:t>
      </w:r>
      <w:r>
        <w:rPr>
          <w:rFonts w:eastAsia="Calibri" w:cs="Calibri"/>
          <w:lang w:val="en-GB"/>
        </w:rPr>
        <w:t>(2):</w:t>
      </w:r>
      <w:r w:rsidRPr="00BE553E">
        <w:rPr>
          <w:rFonts w:eastAsia="Calibri" w:cs="Calibri"/>
          <w:lang w:val="en-GB"/>
        </w:rPr>
        <w:t xml:space="preserve"> 463-469.</w:t>
      </w:r>
    </w:p>
    <w:p w14:paraId="55366DB9" w14:textId="77777777" w:rsidR="002B77A7" w:rsidRPr="00BE553E" w:rsidRDefault="002B77A7" w:rsidP="002B77A7">
      <w:pPr>
        <w:spacing w:line="360" w:lineRule="auto"/>
        <w:ind w:left="709" w:hanging="709"/>
        <w:jc w:val="both"/>
        <w:rPr>
          <w:lang w:val="en-GB"/>
        </w:rPr>
      </w:pPr>
      <w:r w:rsidRPr="00BE553E">
        <w:rPr>
          <w:rFonts w:eastAsia="Calibri" w:cs="Calibri"/>
          <w:color w:val="1A1A1A"/>
          <w:lang w:val="en-GB"/>
        </w:rPr>
        <w:t>Dahl, R.A.</w:t>
      </w:r>
      <w:r>
        <w:rPr>
          <w:rFonts w:eastAsia="Calibri" w:cs="Calibri"/>
          <w:lang w:val="en-GB"/>
        </w:rPr>
        <w:t xml:space="preserve"> (1961) </w:t>
      </w:r>
      <w:r w:rsidRPr="00CE3236">
        <w:rPr>
          <w:rFonts w:eastAsia="Calibri" w:cs="Calibri"/>
          <w:i/>
          <w:lang w:val="en-GB"/>
        </w:rPr>
        <w:t>Who Governs? Democracy and Power in an American City</w:t>
      </w:r>
      <w:r w:rsidRPr="00BE553E">
        <w:rPr>
          <w:rFonts w:eastAsia="Calibri" w:cs="Calibri"/>
          <w:lang w:val="en-GB"/>
        </w:rPr>
        <w:t xml:space="preserve">. </w:t>
      </w:r>
      <w:r>
        <w:rPr>
          <w:rFonts w:eastAsia="Calibri" w:cs="Calibri"/>
          <w:lang w:val="en-GB"/>
        </w:rPr>
        <w:t>New Haven</w:t>
      </w:r>
      <w:r w:rsidRPr="00BE553E">
        <w:rPr>
          <w:rFonts w:eastAsia="Calibri" w:cs="Calibri"/>
          <w:lang w:val="en-GB"/>
        </w:rPr>
        <w:t>: Yale University Press.</w:t>
      </w:r>
    </w:p>
    <w:p w14:paraId="241C37BD" w14:textId="77777777" w:rsidR="002B77A7" w:rsidRPr="00BE553E" w:rsidRDefault="002B77A7" w:rsidP="002B77A7">
      <w:pPr>
        <w:spacing w:line="360" w:lineRule="auto"/>
        <w:ind w:left="709" w:hanging="709"/>
        <w:jc w:val="both"/>
        <w:rPr>
          <w:lang w:val="en-GB"/>
        </w:rPr>
      </w:pPr>
      <w:r>
        <w:rPr>
          <w:color w:val="000000"/>
          <w:lang w:val="en-GB"/>
        </w:rPr>
        <w:t>Davidson, H. and agencies (2015</w:t>
      </w:r>
      <w:r w:rsidRPr="00BE553E">
        <w:rPr>
          <w:color w:val="000000"/>
          <w:lang w:val="en-GB"/>
        </w:rPr>
        <w:t xml:space="preserve">) Identities of Paris terror attack victims from more than a dozen countries emerge. </w:t>
      </w:r>
      <w:r w:rsidRPr="00CE3236">
        <w:rPr>
          <w:i/>
          <w:iCs/>
          <w:color w:val="000000"/>
          <w:lang w:val="en-GB"/>
        </w:rPr>
        <w:t>The Guardian</w:t>
      </w:r>
      <w:r>
        <w:rPr>
          <w:color w:val="000000"/>
          <w:lang w:val="en-GB"/>
        </w:rPr>
        <w:t xml:space="preserve">, 16 </w:t>
      </w:r>
      <w:r w:rsidRPr="00BE553E">
        <w:rPr>
          <w:color w:val="000000"/>
          <w:lang w:val="en-GB"/>
        </w:rPr>
        <w:t>November</w:t>
      </w:r>
      <w:r>
        <w:rPr>
          <w:color w:val="000000"/>
          <w:lang w:val="en-GB"/>
        </w:rPr>
        <w:t xml:space="preserve">, </w:t>
      </w:r>
      <w:r w:rsidRPr="00BE553E">
        <w:rPr>
          <w:lang w:val="en-GB"/>
        </w:rPr>
        <w:t>https://www.theguardian.com/world/2015/nov/15/paris-attacks-identities-of-victims-from-more-than-a-dozen-countries-emerge</w:t>
      </w:r>
      <w:r>
        <w:rPr>
          <w:rFonts w:eastAsia="Calibri" w:cs="Calibri"/>
          <w:lang w:val="en-GB"/>
        </w:rPr>
        <w:t>, accessed 2 June 2016.</w:t>
      </w:r>
    </w:p>
    <w:p w14:paraId="699305DB" w14:textId="77777777" w:rsidR="002B77A7" w:rsidRPr="00BE553E" w:rsidRDefault="002B77A7" w:rsidP="002B77A7">
      <w:pPr>
        <w:spacing w:line="360" w:lineRule="auto"/>
        <w:ind w:left="709" w:hanging="709"/>
        <w:jc w:val="both"/>
        <w:rPr>
          <w:lang w:val="en-GB"/>
        </w:rPr>
      </w:pPr>
      <w:r w:rsidRPr="00BE553E">
        <w:rPr>
          <w:rFonts w:eastAsia="Calibri" w:cs="Calibri"/>
          <w:lang w:val="en-GB"/>
        </w:rPr>
        <w:t xml:space="preserve">Dews, P. (1979) The Nouvelle Philosophie and Foucault. </w:t>
      </w:r>
      <w:r w:rsidRPr="00CE3236">
        <w:rPr>
          <w:rFonts w:eastAsia="Calibri" w:cs="Calibri"/>
          <w:i/>
          <w:lang w:val="en-GB"/>
        </w:rPr>
        <w:t>Economy and Society</w:t>
      </w:r>
      <w:r w:rsidRPr="00BE553E">
        <w:rPr>
          <w:rFonts w:eastAsia="Calibri" w:cs="Calibri"/>
          <w:lang w:val="en-GB"/>
        </w:rPr>
        <w:t xml:space="preserve"> 8</w:t>
      </w:r>
      <w:r>
        <w:rPr>
          <w:rFonts w:eastAsia="Calibri" w:cs="Calibri"/>
          <w:lang w:val="en-GB"/>
        </w:rPr>
        <w:t>(2):</w:t>
      </w:r>
      <w:r w:rsidRPr="00BE553E">
        <w:rPr>
          <w:rFonts w:eastAsia="Calibri" w:cs="Calibri"/>
          <w:lang w:val="en-GB"/>
        </w:rPr>
        <w:t xml:space="preserve"> 127-171.</w:t>
      </w:r>
    </w:p>
    <w:p w14:paraId="4854853D" w14:textId="77777777" w:rsidR="002B77A7" w:rsidRPr="00895ACF" w:rsidRDefault="002B77A7" w:rsidP="002B77A7">
      <w:pPr>
        <w:spacing w:line="360" w:lineRule="auto"/>
        <w:ind w:left="709" w:hanging="709"/>
        <w:jc w:val="both"/>
      </w:pPr>
      <w:r w:rsidRPr="00BE553E">
        <w:rPr>
          <w:rFonts w:eastAsia="Calibri" w:cs="Calibri"/>
          <w:lang w:val="en-GB"/>
        </w:rPr>
        <w:t>Diamond, I. and</w:t>
      </w:r>
      <w:r>
        <w:rPr>
          <w:rFonts w:eastAsia="Calibri" w:cs="Calibri"/>
          <w:lang w:val="en-GB"/>
        </w:rPr>
        <w:t xml:space="preserve"> Quinby, L. (eds.) (1988)</w:t>
      </w:r>
      <w:r w:rsidRPr="00BE553E">
        <w:rPr>
          <w:rFonts w:eastAsia="Calibri" w:cs="Calibri"/>
          <w:lang w:val="en-GB"/>
        </w:rPr>
        <w:t xml:space="preserve"> </w:t>
      </w:r>
      <w:r w:rsidRPr="00CE3236">
        <w:rPr>
          <w:rFonts w:eastAsia="Calibri" w:cs="Calibri"/>
          <w:i/>
          <w:lang w:val="en-GB"/>
        </w:rPr>
        <w:t>Feminism and Foucault: Reflections on Resistance</w:t>
      </w:r>
      <w:r w:rsidRPr="00BE553E">
        <w:rPr>
          <w:rFonts w:eastAsia="Calibri" w:cs="Calibri"/>
          <w:lang w:val="en-GB"/>
        </w:rPr>
        <w:t xml:space="preserve">. </w:t>
      </w:r>
      <w:r w:rsidRPr="00895ACF">
        <w:rPr>
          <w:rFonts w:eastAsia="Calibri" w:cs="Calibri"/>
        </w:rPr>
        <w:t>Boston: Northeastern University Press.</w:t>
      </w:r>
    </w:p>
    <w:p w14:paraId="6D885777" w14:textId="77777777" w:rsidR="002B77A7" w:rsidRPr="00641405" w:rsidRDefault="002B77A7" w:rsidP="002B77A7">
      <w:pPr>
        <w:spacing w:line="360" w:lineRule="auto"/>
        <w:ind w:left="709" w:hanging="709"/>
        <w:jc w:val="both"/>
      </w:pPr>
      <w:r w:rsidRPr="00641405">
        <w:rPr>
          <w:rFonts w:eastAsia="Calibri" w:cs="Calibri"/>
        </w:rPr>
        <w:t xml:space="preserve">Dienst Justitiële Inrichtingen (n.d.) </w:t>
      </w:r>
      <w:r>
        <w:rPr>
          <w:rFonts w:eastAsia="Calibri" w:cs="Calibri"/>
        </w:rPr>
        <w:t>Re-integratie en N</w:t>
      </w:r>
      <w:r w:rsidRPr="00BE553E">
        <w:rPr>
          <w:rFonts w:eastAsia="Calibri" w:cs="Calibri"/>
        </w:rPr>
        <w:t xml:space="preserve">azorg. </w:t>
      </w:r>
      <w:r w:rsidRPr="00CE3236">
        <w:rPr>
          <w:rFonts w:eastAsia="Calibri" w:cs="Calibri"/>
          <w:i/>
        </w:rPr>
        <w:t>Dienst Justitiële Inrichtingen</w:t>
      </w:r>
      <w:r>
        <w:rPr>
          <w:rFonts w:eastAsia="Calibri" w:cs="Calibri"/>
          <w:i/>
        </w:rPr>
        <w:t>,</w:t>
      </w:r>
      <w:r w:rsidRPr="00641405">
        <w:rPr>
          <w:rFonts w:eastAsia="Calibri" w:cs="Calibri"/>
        </w:rPr>
        <w:t xml:space="preserve"> https://www.dji.nl/Onderwerpen/Volwassenen-in-de</w:t>
      </w:r>
      <w:r>
        <w:rPr>
          <w:rFonts w:eastAsia="Calibri" w:cs="Calibri"/>
        </w:rPr>
        <w:t>tentie/Re-integratie-en-nazorg/</w:t>
      </w:r>
      <w:r w:rsidRPr="002814F7">
        <w:rPr>
          <w:rFonts w:eastAsia="Calibri" w:cs="Calibri"/>
        </w:rPr>
        <w:t>, accessed 3</w:t>
      </w:r>
      <w:r>
        <w:rPr>
          <w:rFonts w:eastAsia="Calibri" w:cs="Calibri"/>
        </w:rPr>
        <w:t xml:space="preserve"> June </w:t>
      </w:r>
      <w:r w:rsidRPr="002814F7">
        <w:rPr>
          <w:rFonts w:eastAsia="Calibri" w:cs="Calibri"/>
        </w:rPr>
        <w:t>2016.</w:t>
      </w:r>
    </w:p>
    <w:p w14:paraId="2290560F" w14:textId="77777777" w:rsidR="002B77A7" w:rsidRPr="002814F7" w:rsidRDefault="002B77A7" w:rsidP="002B77A7">
      <w:pPr>
        <w:spacing w:line="360" w:lineRule="auto"/>
        <w:ind w:left="709" w:hanging="709"/>
        <w:jc w:val="both"/>
        <w:rPr>
          <w:lang w:val="en-GB"/>
        </w:rPr>
      </w:pPr>
      <w:r>
        <w:rPr>
          <w:rFonts w:eastAsia="Calibri" w:cs="Calibri"/>
          <w:lang w:val="en-GB"/>
        </w:rPr>
        <w:lastRenderedPageBreak/>
        <w:t>Draven, S. (2015)</w:t>
      </w:r>
      <w:r w:rsidRPr="00BE553E">
        <w:rPr>
          <w:rFonts w:eastAsia="Calibri" w:cs="Calibri"/>
          <w:lang w:val="en-GB"/>
        </w:rPr>
        <w:t xml:space="preserve"> And the world still burns… </w:t>
      </w:r>
      <w:r w:rsidRPr="00E24F50">
        <w:rPr>
          <w:rFonts w:eastAsia="Calibri" w:cs="Calibri"/>
          <w:lang w:val="en-GB"/>
        </w:rPr>
        <w:t xml:space="preserve">[Tweet]. </w:t>
      </w:r>
      <w:r w:rsidRPr="002814F7">
        <w:rPr>
          <w:rFonts w:eastAsia="Calibri" w:cs="Calibri"/>
          <w:i/>
          <w:lang w:val="en-GB"/>
        </w:rPr>
        <w:t>Twitter</w:t>
      </w:r>
      <w:r w:rsidRPr="002814F7">
        <w:rPr>
          <w:rFonts w:eastAsia="Calibri" w:cs="Calibri"/>
          <w:lang w:val="en-GB"/>
        </w:rPr>
        <w:t xml:space="preserve">, 16 November, </w:t>
      </w:r>
      <w:r w:rsidRPr="0013725E">
        <w:rPr>
          <w:rFonts w:eastAsia="Calibri" w:cs="Calibri"/>
          <w:lang w:val="en-GB"/>
        </w:rPr>
        <w:t>https://twitter.com/SamaraDraven/status/666322428377743360</w:t>
      </w:r>
      <w:r>
        <w:rPr>
          <w:rFonts w:eastAsia="Calibri" w:cs="Calibri"/>
          <w:lang w:val="en-GB"/>
        </w:rPr>
        <w:t>, accessed 18 July 2016.</w:t>
      </w:r>
    </w:p>
    <w:p w14:paraId="16425199" w14:textId="77777777" w:rsidR="002B77A7" w:rsidRPr="00BE553E" w:rsidRDefault="002B77A7" w:rsidP="002B77A7">
      <w:pPr>
        <w:spacing w:line="360" w:lineRule="auto"/>
        <w:ind w:left="709" w:hanging="709"/>
        <w:jc w:val="both"/>
        <w:rPr>
          <w:rFonts w:eastAsia="Calibri" w:cs="Calibri"/>
          <w:lang w:val="en-GB"/>
        </w:rPr>
      </w:pPr>
      <w:r w:rsidRPr="00BE553E">
        <w:rPr>
          <w:rFonts w:eastAsia="Calibri" w:cs="Calibri"/>
          <w:lang w:val="en-GB"/>
        </w:rPr>
        <w:t>D</w:t>
      </w:r>
      <w:r>
        <w:rPr>
          <w:rFonts w:eastAsia="Calibri" w:cs="Calibri"/>
          <w:lang w:val="en-GB"/>
        </w:rPr>
        <w:t>owding, K. (1996)</w:t>
      </w:r>
      <w:r w:rsidRPr="00BE553E">
        <w:rPr>
          <w:rFonts w:eastAsia="Calibri" w:cs="Calibri"/>
          <w:lang w:val="en-GB"/>
        </w:rPr>
        <w:t xml:space="preserve"> </w:t>
      </w:r>
      <w:r w:rsidRPr="00CE3236">
        <w:rPr>
          <w:rFonts w:eastAsia="Calibri" w:cs="Calibri"/>
          <w:i/>
          <w:lang w:val="en-GB"/>
        </w:rPr>
        <w:t>Power</w:t>
      </w:r>
      <w:r w:rsidRPr="00BE553E">
        <w:rPr>
          <w:rFonts w:eastAsia="Calibri" w:cs="Calibri"/>
          <w:lang w:val="en-GB"/>
        </w:rPr>
        <w:t>. Buckingham: Open University Press.</w:t>
      </w:r>
    </w:p>
    <w:p w14:paraId="09410D63" w14:textId="77777777" w:rsidR="002B77A7" w:rsidRPr="00BE553E" w:rsidRDefault="002B77A7" w:rsidP="002B77A7">
      <w:pPr>
        <w:spacing w:line="360" w:lineRule="auto"/>
        <w:ind w:left="709" w:hanging="709"/>
        <w:jc w:val="both"/>
        <w:rPr>
          <w:lang w:val="en-GB"/>
        </w:rPr>
      </w:pPr>
      <w:r w:rsidRPr="00BE553E">
        <w:rPr>
          <w:rFonts w:eastAsia="Calibri" w:cs="Calibri"/>
          <w:lang w:val="en-GB"/>
        </w:rPr>
        <w:t>Editor</w:t>
      </w:r>
      <w:r>
        <w:rPr>
          <w:rFonts w:eastAsia="Calibri" w:cs="Calibri"/>
          <w:lang w:val="en-GB"/>
        </w:rPr>
        <w:t>ial (2010</w:t>
      </w:r>
      <w:r w:rsidRPr="00BE553E">
        <w:rPr>
          <w:rFonts w:eastAsia="Calibri" w:cs="Calibri"/>
          <w:lang w:val="en-GB"/>
        </w:rPr>
        <w:t xml:space="preserve">) General election 2010: The liberal moment has come. </w:t>
      </w:r>
      <w:r w:rsidRPr="00CE3236">
        <w:rPr>
          <w:rFonts w:eastAsia="Calibri" w:cs="Calibri"/>
          <w:i/>
          <w:lang w:val="en-GB"/>
        </w:rPr>
        <w:t>The Guardian</w:t>
      </w:r>
      <w:r>
        <w:rPr>
          <w:rFonts w:eastAsia="Calibri" w:cs="Calibri"/>
          <w:lang w:val="en-GB"/>
        </w:rPr>
        <w:t xml:space="preserve">, 30 </w:t>
      </w:r>
      <w:r w:rsidRPr="00BE553E">
        <w:rPr>
          <w:rFonts w:eastAsia="Calibri" w:cs="Calibri"/>
          <w:lang w:val="en-GB"/>
        </w:rPr>
        <w:t>April</w:t>
      </w:r>
      <w:r>
        <w:rPr>
          <w:rFonts w:eastAsia="Calibri" w:cs="Calibri"/>
          <w:lang w:val="en-GB"/>
        </w:rPr>
        <w:t xml:space="preserve">, </w:t>
      </w:r>
      <w:r w:rsidRPr="00BE553E">
        <w:rPr>
          <w:rFonts w:eastAsia="Calibri" w:cs="Calibri"/>
          <w:lang w:val="en-GB"/>
        </w:rPr>
        <w:t>http://www.theguardian.com/commentisfree/2010/apr</w:t>
      </w:r>
      <w:r>
        <w:rPr>
          <w:rFonts w:eastAsia="Calibri" w:cs="Calibri"/>
          <w:lang w:val="en-GB"/>
        </w:rPr>
        <w:t>/30/the-liberal-moment-has-come, accessed 3 May 2016.</w:t>
      </w:r>
    </w:p>
    <w:p w14:paraId="1FAB484A" w14:textId="77777777" w:rsidR="002B77A7" w:rsidRPr="00BE553E" w:rsidRDefault="002B77A7" w:rsidP="002B77A7">
      <w:pPr>
        <w:spacing w:line="360" w:lineRule="auto"/>
        <w:ind w:left="709" w:hanging="709"/>
        <w:jc w:val="both"/>
        <w:rPr>
          <w:rFonts w:eastAsia="Calibri" w:cs="Calibri"/>
          <w:lang w:val="en-GB"/>
        </w:rPr>
      </w:pPr>
      <w:r w:rsidRPr="00BE553E">
        <w:rPr>
          <w:rFonts w:eastAsia="Calibri" w:cs="Calibri"/>
          <w:color w:val="1A1A1A"/>
          <w:lang w:val="en-GB"/>
        </w:rPr>
        <w:t>Editorial</w:t>
      </w:r>
      <w:r w:rsidRPr="00BE553E">
        <w:rPr>
          <w:rFonts w:eastAsia="Calibri" w:cs="Calibri"/>
          <w:lang w:val="en-GB"/>
        </w:rPr>
        <w:t xml:space="preserve"> (2015a) The Guardian view: Britain needs a new direction, Britain needs Labour. </w:t>
      </w:r>
      <w:r w:rsidRPr="00CE3236">
        <w:rPr>
          <w:rFonts w:eastAsia="Calibri" w:cs="Calibri"/>
          <w:i/>
          <w:lang w:val="en-GB"/>
        </w:rPr>
        <w:t>The Guardian</w:t>
      </w:r>
      <w:r>
        <w:rPr>
          <w:rFonts w:eastAsia="Calibri" w:cs="Calibri"/>
          <w:lang w:val="en-GB"/>
        </w:rPr>
        <w:t xml:space="preserve">, 1 May, </w:t>
      </w:r>
      <w:r w:rsidRPr="00BE553E">
        <w:rPr>
          <w:rFonts w:eastAsia="Calibri" w:cs="Calibri"/>
          <w:lang w:val="en-GB"/>
        </w:rPr>
        <w:t>http://www.theguardian.com/commentisfree/2015/may/01/guardian-view-britain-n</w:t>
      </w:r>
      <w:r>
        <w:rPr>
          <w:rFonts w:eastAsia="Calibri" w:cs="Calibri"/>
          <w:lang w:val="en-GB"/>
        </w:rPr>
        <w:t>eeds-new-direction-needs-labour, accessed 3 May 2016.</w:t>
      </w:r>
    </w:p>
    <w:p w14:paraId="0900F0A4" w14:textId="77777777" w:rsidR="002B77A7" w:rsidRPr="00BE553E" w:rsidRDefault="002B77A7" w:rsidP="002B77A7">
      <w:pPr>
        <w:spacing w:line="360" w:lineRule="auto"/>
        <w:ind w:left="709" w:hanging="709"/>
        <w:jc w:val="both"/>
        <w:rPr>
          <w:rFonts w:eastAsia="Calibri" w:cs="Calibri"/>
          <w:lang w:val="en-GB"/>
        </w:rPr>
      </w:pPr>
      <w:r w:rsidRPr="00BE553E">
        <w:rPr>
          <w:rFonts w:eastAsia="Times New Roman" w:cs="Times New Roman"/>
          <w:lang w:val="en-GB" w:eastAsia="nl-NL"/>
        </w:rPr>
        <w:t xml:space="preserve">Editorial </w:t>
      </w:r>
      <w:r>
        <w:rPr>
          <w:rFonts w:eastAsia="Times New Roman" w:cs="Times New Roman"/>
          <w:color w:val="000000"/>
          <w:lang w:val="en-GB" w:eastAsia="nl-NL"/>
        </w:rPr>
        <w:t>(2015b)</w:t>
      </w:r>
      <w:r w:rsidRPr="00BE553E">
        <w:rPr>
          <w:rFonts w:eastAsia="Times New Roman" w:cs="Times New Roman"/>
          <w:color w:val="000000"/>
          <w:lang w:val="en-GB" w:eastAsia="nl-NL"/>
        </w:rPr>
        <w:t xml:space="preserve"> The Guardian view on the Paris attacks: amid the grief, we must defend the values that define us. </w:t>
      </w:r>
      <w:r w:rsidRPr="00CE3236">
        <w:rPr>
          <w:rFonts w:eastAsia="Times New Roman" w:cs="Times New Roman"/>
          <w:i/>
          <w:color w:val="000000"/>
          <w:lang w:val="en-GB" w:eastAsia="nl-NL"/>
        </w:rPr>
        <w:t>The Guardian</w:t>
      </w:r>
      <w:r>
        <w:rPr>
          <w:rFonts w:eastAsia="Times New Roman" w:cs="Times New Roman"/>
          <w:color w:val="000000"/>
          <w:lang w:val="en-GB" w:eastAsia="nl-NL"/>
        </w:rPr>
        <w:t xml:space="preserve">, 15 </w:t>
      </w:r>
      <w:r w:rsidRPr="00BE553E">
        <w:rPr>
          <w:rFonts w:eastAsia="Times New Roman" w:cs="Times New Roman"/>
          <w:color w:val="000000"/>
          <w:lang w:val="en-GB" w:eastAsia="nl-NL"/>
        </w:rPr>
        <w:t>November</w:t>
      </w:r>
      <w:r>
        <w:rPr>
          <w:rFonts w:eastAsia="Times New Roman" w:cs="Times New Roman"/>
          <w:color w:val="000000"/>
          <w:lang w:val="en-GB" w:eastAsia="nl-NL"/>
        </w:rPr>
        <w:t xml:space="preserve">, </w:t>
      </w:r>
      <w:r w:rsidRPr="00641405">
        <w:rPr>
          <w:rFonts w:eastAsia="Times New Roman" w:cs="Times New Roman"/>
          <w:lang w:val="en-GB" w:eastAsia="nl-NL"/>
        </w:rPr>
        <w:t>https://www.theguardian.com/commentisfree/2015/nov/15/the-guardian-view-on-the-paris-attacks-amid-the-grief-we-need-to-hold-firm-to-th</w:t>
      </w:r>
      <w:r>
        <w:rPr>
          <w:rFonts w:eastAsia="Times New Roman" w:cs="Times New Roman"/>
          <w:lang w:val="en-GB" w:eastAsia="nl-NL"/>
        </w:rPr>
        <w:t>e-values-that-make-us-who-we-are</w:t>
      </w:r>
      <w:r>
        <w:rPr>
          <w:rFonts w:eastAsia="Calibri" w:cs="Calibri"/>
          <w:lang w:val="en-GB"/>
        </w:rPr>
        <w:t>, accessed 5 June 2016.</w:t>
      </w:r>
    </w:p>
    <w:p w14:paraId="041C6812" w14:textId="77777777" w:rsidR="002B77A7" w:rsidRPr="00BE553E" w:rsidRDefault="002B77A7" w:rsidP="002B77A7">
      <w:pPr>
        <w:spacing w:line="360" w:lineRule="auto"/>
        <w:ind w:left="709" w:hanging="709"/>
        <w:jc w:val="both"/>
        <w:rPr>
          <w:rFonts w:eastAsia="Calibri" w:cs="Calibri"/>
          <w:lang w:val="en-GB"/>
        </w:rPr>
      </w:pPr>
      <w:r w:rsidRPr="00BE553E">
        <w:rPr>
          <w:rFonts w:eastAsia="Times New Roman" w:cs="Times New Roman"/>
          <w:color w:val="000000"/>
          <w:lang w:val="en-GB" w:eastAsia="nl-NL"/>
        </w:rPr>
        <w:t>Editorial (2015c</w:t>
      </w:r>
      <w:r>
        <w:rPr>
          <w:rFonts w:eastAsia="Times New Roman" w:cs="Times New Roman"/>
          <w:color w:val="000000"/>
          <w:lang w:val="en-GB" w:eastAsia="nl-NL"/>
        </w:rPr>
        <w:t>)</w:t>
      </w:r>
      <w:r w:rsidRPr="00BE553E">
        <w:rPr>
          <w:rFonts w:eastAsia="Times New Roman" w:cs="Times New Roman"/>
          <w:color w:val="000000"/>
          <w:lang w:val="en-GB" w:eastAsia="nl-NL"/>
        </w:rPr>
        <w:t xml:space="preserve"> The Guardian view on the media after Paris: from fear to loathing, by way of made-up facts. </w:t>
      </w:r>
      <w:r w:rsidRPr="00CE3236">
        <w:rPr>
          <w:rFonts w:eastAsia="Times New Roman" w:cs="Times New Roman"/>
          <w:i/>
          <w:color w:val="000000"/>
          <w:lang w:val="en-GB" w:eastAsia="nl-NL"/>
        </w:rPr>
        <w:t>The Guardian</w:t>
      </w:r>
      <w:r>
        <w:rPr>
          <w:rFonts w:eastAsia="Times New Roman" w:cs="Times New Roman"/>
          <w:color w:val="000000"/>
          <w:lang w:val="en-GB" w:eastAsia="nl-NL"/>
        </w:rPr>
        <w:t xml:space="preserve">, 24 </w:t>
      </w:r>
      <w:r w:rsidRPr="00BE553E">
        <w:rPr>
          <w:rFonts w:eastAsia="Times New Roman" w:cs="Times New Roman"/>
          <w:color w:val="000000"/>
          <w:lang w:val="en-GB" w:eastAsia="nl-NL"/>
        </w:rPr>
        <w:t>November</w:t>
      </w:r>
      <w:r>
        <w:rPr>
          <w:rFonts w:eastAsia="Times New Roman" w:cs="Times New Roman"/>
          <w:color w:val="000000"/>
          <w:lang w:val="en-GB" w:eastAsia="nl-NL"/>
        </w:rPr>
        <w:t xml:space="preserve">, </w:t>
      </w:r>
      <w:r w:rsidRPr="00641405">
        <w:rPr>
          <w:rFonts w:eastAsia="Times New Roman" w:cs="Times New Roman"/>
          <w:lang w:val="en-GB" w:eastAsia="nl-NL"/>
        </w:rPr>
        <w:t>https://www.theguardian.com/commentisfree/2015/nov/24/the-guardian-view-on-the-media-after-paris-from-fear-to-loathing-by-way-of-made-up-facts</w:t>
      </w:r>
      <w:r>
        <w:rPr>
          <w:rFonts w:eastAsia="Calibri" w:cs="Calibri"/>
          <w:lang w:val="en-GB"/>
        </w:rPr>
        <w:t>, accessed 5 June 2016.</w:t>
      </w:r>
    </w:p>
    <w:p w14:paraId="50D13F9F" w14:textId="77777777" w:rsidR="002B77A7" w:rsidRPr="00BE553E" w:rsidRDefault="002B77A7" w:rsidP="002B77A7">
      <w:pPr>
        <w:spacing w:line="360" w:lineRule="auto"/>
        <w:ind w:left="709" w:hanging="709"/>
        <w:jc w:val="both"/>
        <w:rPr>
          <w:rFonts w:eastAsia="Calibri" w:cs="Calibri"/>
          <w:lang w:val="en-GB"/>
        </w:rPr>
      </w:pPr>
      <w:r w:rsidRPr="00BE553E">
        <w:rPr>
          <w:rFonts w:eastAsia="Calibri" w:cs="Calibri"/>
          <w:lang w:val="en-GB"/>
        </w:rPr>
        <w:t>Elgot, J., Phipps, C. and</w:t>
      </w:r>
      <w:r>
        <w:rPr>
          <w:rFonts w:eastAsia="Calibri" w:cs="Calibri"/>
          <w:lang w:val="en-GB"/>
        </w:rPr>
        <w:t xml:space="preserve"> Bucks, J. (2015)</w:t>
      </w:r>
      <w:r w:rsidRPr="00BE553E">
        <w:rPr>
          <w:rFonts w:eastAsia="Calibri" w:cs="Calibri"/>
          <w:lang w:val="en-GB"/>
        </w:rPr>
        <w:t xml:space="preserve"> Paris attacks: day after atrocity – as it happened [Live blog]. </w:t>
      </w:r>
      <w:r w:rsidRPr="00CE3236">
        <w:rPr>
          <w:rFonts w:eastAsia="Calibri" w:cs="Calibri"/>
          <w:i/>
          <w:lang w:val="en-GB"/>
        </w:rPr>
        <w:t>The Guardian</w:t>
      </w:r>
      <w:r>
        <w:rPr>
          <w:rFonts w:eastAsia="Calibri" w:cs="Calibri"/>
          <w:lang w:val="en-GB"/>
        </w:rPr>
        <w:t xml:space="preserve">, 14 </w:t>
      </w:r>
      <w:r w:rsidRPr="00BE553E">
        <w:rPr>
          <w:rFonts w:eastAsia="Calibri" w:cs="Calibri"/>
          <w:lang w:val="en-GB"/>
        </w:rPr>
        <w:t>November</w:t>
      </w:r>
      <w:r>
        <w:rPr>
          <w:rFonts w:eastAsia="Calibri" w:cs="Calibri"/>
          <w:lang w:val="en-GB"/>
        </w:rPr>
        <w:t xml:space="preserve">, </w:t>
      </w:r>
      <w:r w:rsidRPr="00BE553E">
        <w:rPr>
          <w:rFonts w:eastAsia="Calibri" w:cs="Calibri"/>
          <w:lang w:val="en-GB"/>
        </w:rPr>
        <w:t>https://www.theguardian.com/world/live/2015/nov/14/paris-terror-attacks-attackers</w:t>
      </w:r>
      <w:r>
        <w:rPr>
          <w:rFonts w:eastAsia="Calibri" w:cs="Calibri"/>
          <w:lang w:val="en-GB"/>
        </w:rPr>
        <w:t>-dead-mass-killing-live-updates, accessed 23 May 2016.</w:t>
      </w:r>
    </w:p>
    <w:p w14:paraId="0682A2BD" w14:textId="77777777" w:rsidR="002B77A7" w:rsidRPr="00BE553E" w:rsidRDefault="002B77A7" w:rsidP="002B77A7">
      <w:pPr>
        <w:spacing w:line="360" w:lineRule="auto"/>
        <w:ind w:left="709" w:hanging="709"/>
        <w:jc w:val="both"/>
        <w:rPr>
          <w:lang w:val="en-GB"/>
        </w:rPr>
      </w:pPr>
      <w:r>
        <w:rPr>
          <w:rFonts w:eastAsia="Calibri" w:cs="Calibri"/>
          <w:lang w:val="en-GB"/>
        </w:rPr>
        <w:t>Elliot, C. (2015</w:t>
      </w:r>
      <w:r w:rsidRPr="00BE553E">
        <w:rPr>
          <w:rFonts w:eastAsia="Calibri" w:cs="Calibri"/>
          <w:lang w:val="en-GB"/>
        </w:rPr>
        <w:t xml:space="preserve">) What we got right and wrong in the coverage of the Paris attacks. </w:t>
      </w:r>
      <w:r w:rsidRPr="00CE3236">
        <w:rPr>
          <w:rFonts w:eastAsia="Calibri" w:cs="Calibri"/>
          <w:i/>
          <w:lang w:val="en-GB"/>
        </w:rPr>
        <w:t>The Guardian</w:t>
      </w:r>
      <w:r>
        <w:rPr>
          <w:rFonts w:eastAsia="Calibri" w:cs="Calibri"/>
          <w:lang w:val="en-GB"/>
        </w:rPr>
        <w:t xml:space="preserve">, 23 </w:t>
      </w:r>
      <w:r w:rsidRPr="00BE553E">
        <w:rPr>
          <w:rFonts w:eastAsia="Calibri" w:cs="Calibri"/>
          <w:lang w:val="en-GB"/>
        </w:rPr>
        <w:t>November</w:t>
      </w:r>
      <w:r>
        <w:rPr>
          <w:rFonts w:eastAsia="Calibri" w:cs="Calibri"/>
          <w:lang w:val="en-GB"/>
        </w:rPr>
        <w:t xml:space="preserve">, </w:t>
      </w:r>
      <w:r w:rsidRPr="00BE553E">
        <w:rPr>
          <w:rFonts w:eastAsia="Arial" w:cs="Arial"/>
          <w:lang w:val="en-GB"/>
        </w:rPr>
        <w:t>https://www.theguardian.com/commentisfree/2015/nov/23/what-we-got-right-and-wrong-i</w:t>
      </w:r>
      <w:r>
        <w:rPr>
          <w:rFonts w:eastAsia="Arial" w:cs="Arial"/>
          <w:lang w:val="en-GB"/>
        </w:rPr>
        <w:t>n-coverage-of-the-paris-attacks</w:t>
      </w:r>
      <w:r>
        <w:rPr>
          <w:rFonts w:eastAsia="Calibri" w:cs="Calibri"/>
          <w:lang w:val="en-GB"/>
        </w:rPr>
        <w:t>, accessed 5 June 2016.</w:t>
      </w:r>
    </w:p>
    <w:p w14:paraId="5CA9D652" w14:textId="77777777" w:rsidR="002B77A7" w:rsidRPr="00BE553E" w:rsidRDefault="002B77A7" w:rsidP="002B77A7">
      <w:pPr>
        <w:spacing w:line="360" w:lineRule="auto"/>
        <w:ind w:left="709" w:hanging="709"/>
        <w:jc w:val="both"/>
        <w:rPr>
          <w:lang w:val="en-GB"/>
        </w:rPr>
      </w:pPr>
      <w:r w:rsidRPr="00BE553E">
        <w:rPr>
          <w:rFonts w:eastAsia="Calibri" w:cs="Calibri"/>
          <w:lang w:val="en-GB"/>
        </w:rPr>
        <w:t>Fairclough, N.</w:t>
      </w:r>
      <w:r>
        <w:rPr>
          <w:rFonts w:eastAsia="Calibri" w:cs="Calibri"/>
          <w:lang w:val="en-GB"/>
        </w:rPr>
        <w:t xml:space="preserve"> </w:t>
      </w:r>
      <w:r w:rsidRPr="00BE553E">
        <w:rPr>
          <w:rFonts w:eastAsia="Calibri" w:cs="Calibri"/>
          <w:lang w:val="en-GB"/>
        </w:rPr>
        <w:t xml:space="preserve">(1995) </w:t>
      </w:r>
      <w:r w:rsidRPr="00CE3236">
        <w:rPr>
          <w:rFonts w:eastAsia="Calibri" w:cs="Calibri"/>
          <w:i/>
          <w:lang w:val="en-GB"/>
        </w:rPr>
        <w:t>Critical Discourse Analysis: The Critical Study of Languages</w:t>
      </w:r>
      <w:r w:rsidRPr="00BE553E">
        <w:rPr>
          <w:rFonts w:eastAsia="Calibri" w:cs="Calibri"/>
          <w:lang w:val="en-GB"/>
        </w:rPr>
        <w:t>. London: Longman.</w:t>
      </w:r>
    </w:p>
    <w:p w14:paraId="7A8FE153" w14:textId="77777777" w:rsidR="002B77A7" w:rsidRPr="00BE553E" w:rsidRDefault="002B77A7" w:rsidP="002B77A7">
      <w:pPr>
        <w:spacing w:line="360" w:lineRule="auto"/>
        <w:ind w:left="709" w:hanging="709"/>
        <w:jc w:val="both"/>
        <w:rPr>
          <w:rFonts w:eastAsia="Calibri" w:cs="Calibri"/>
          <w:lang w:val="en-GB"/>
        </w:rPr>
      </w:pPr>
      <w:r>
        <w:rPr>
          <w:rFonts w:eastAsia="Calibri" w:cs="Calibri"/>
          <w:lang w:val="en-GB"/>
        </w:rPr>
        <w:t>Ferrier, M. (2016)</w:t>
      </w:r>
      <w:r w:rsidRPr="00BE553E">
        <w:rPr>
          <w:rFonts w:eastAsia="Calibri" w:cs="Calibri"/>
          <w:lang w:val="en-GB"/>
        </w:rPr>
        <w:t xml:space="preserve"> Louis Vuitton celebrates stoic Paris in menswear show. </w:t>
      </w:r>
      <w:r w:rsidRPr="00CE3236">
        <w:rPr>
          <w:rFonts w:eastAsia="Calibri" w:cs="Calibri"/>
          <w:i/>
          <w:lang w:val="en-GB"/>
        </w:rPr>
        <w:t>The Guardian</w:t>
      </w:r>
      <w:r>
        <w:rPr>
          <w:rFonts w:eastAsia="Calibri" w:cs="Calibri"/>
          <w:lang w:val="en-GB"/>
        </w:rPr>
        <w:t xml:space="preserve">, 21 </w:t>
      </w:r>
      <w:r w:rsidRPr="00BE553E">
        <w:rPr>
          <w:rFonts w:eastAsia="Calibri" w:cs="Calibri"/>
          <w:lang w:val="en-GB"/>
        </w:rPr>
        <w:t>January</w:t>
      </w:r>
      <w:r>
        <w:rPr>
          <w:rFonts w:eastAsia="Calibri" w:cs="Calibri"/>
          <w:lang w:val="en-GB"/>
        </w:rPr>
        <w:t xml:space="preserve">, </w:t>
      </w:r>
      <w:r w:rsidRPr="00BE553E">
        <w:rPr>
          <w:rFonts w:eastAsia="Calibri" w:cs="Calibri"/>
          <w:lang w:val="en-GB"/>
        </w:rPr>
        <w:t>https://www.theguardian.com/fashion/2016/jan/21/louis-vuitton-celebrat</w:t>
      </w:r>
      <w:r>
        <w:rPr>
          <w:rFonts w:eastAsia="Calibri" w:cs="Calibri"/>
          <w:lang w:val="en-GB"/>
        </w:rPr>
        <w:t>es-stoic-paris-in-menswear-show, accessed 23 May 2016.</w:t>
      </w:r>
    </w:p>
    <w:p w14:paraId="7CC42FAD" w14:textId="77777777" w:rsidR="002B77A7" w:rsidRPr="00BE553E" w:rsidRDefault="002B77A7" w:rsidP="002B77A7">
      <w:pPr>
        <w:spacing w:line="360" w:lineRule="auto"/>
        <w:ind w:left="709" w:hanging="709"/>
        <w:jc w:val="both"/>
        <w:rPr>
          <w:rFonts w:eastAsia="Calibri" w:cs="Calibri"/>
          <w:lang w:val="en-GB"/>
        </w:rPr>
      </w:pPr>
      <w:r>
        <w:rPr>
          <w:rFonts w:eastAsia="Calibri" w:cs="Calibri"/>
          <w:lang w:val="en-GB"/>
        </w:rPr>
        <w:t>Fishwick, C. (2015)</w:t>
      </w:r>
      <w:r w:rsidRPr="00BE553E">
        <w:rPr>
          <w:rFonts w:eastAsia="Calibri" w:cs="Calibri"/>
          <w:lang w:val="en-GB"/>
        </w:rPr>
        <w:t xml:space="preserve"> ‘The media have failed us’: British Muslims on the coverage of the Paris attacks. </w:t>
      </w:r>
      <w:r w:rsidRPr="00CE3236">
        <w:rPr>
          <w:rFonts w:eastAsia="Calibri" w:cs="Calibri"/>
          <w:i/>
          <w:lang w:val="en-GB"/>
        </w:rPr>
        <w:t>The Guardian</w:t>
      </w:r>
      <w:r>
        <w:rPr>
          <w:rFonts w:eastAsia="Calibri" w:cs="Calibri"/>
          <w:lang w:val="en-GB"/>
        </w:rPr>
        <w:t xml:space="preserve">, 20 </w:t>
      </w:r>
      <w:r w:rsidRPr="00BE553E">
        <w:rPr>
          <w:rFonts w:eastAsia="Calibri" w:cs="Calibri"/>
          <w:lang w:val="en-GB"/>
        </w:rPr>
        <w:t>November</w:t>
      </w:r>
      <w:r>
        <w:rPr>
          <w:rFonts w:eastAsia="Calibri" w:cs="Calibri"/>
          <w:lang w:val="en-GB"/>
        </w:rPr>
        <w:t xml:space="preserve">, </w:t>
      </w:r>
      <w:r w:rsidRPr="00BE553E">
        <w:rPr>
          <w:rFonts w:eastAsia="Calibri" w:cs="Calibri"/>
          <w:lang w:val="en-GB"/>
        </w:rPr>
        <w:t>https://www.theguardian.com/world/2015/nov/20/british-muslims-med</w:t>
      </w:r>
      <w:r>
        <w:rPr>
          <w:rFonts w:eastAsia="Calibri" w:cs="Calibri"/>
          <w:lang w:val="en-GB"/>
        </w:rPr>
        <w:t>ia-coverage-paris-terror-attacks, accessed 18 June 2016.</w:t>
      </w:r>
    </w:p>
    <w:p w14:paraId="0D65E9E0" w14:textId="77777777" w:rsidR="002B77A7" w:rsidRPr="00BE553E" w:rsidRDefault="002B77A7" w:rsidP="002B77A7">
      <w:pPr>
        <w:spacing w:line="360" w:lineRule="auto"/>
        <w:ind w:left="709" w:hanging="709"/>
        <w:jc w:val="both"/>
        <w:rPr>
          <w:lang w:val="en-GB"/>
        </w:rPr>
      </w:pPr>
      <w:r w:rsidRPr="00BE553E">
        <w:rPr>
          <w:rFonts w:eastAsia="Calibri" w:cs="Calibri"/>
          <w:lang w:val="en-GB"/>
        </w:rPr>
        <w:t>Foucault, M. (1965)</w:t>
      </w:r>
      <w:r>
        <w:rPr>
          <w:rFonts w:eastAsia="Calibri" w:cs="Calibri"/>
          <w:lang w:val="en-GB"/>
        </w:rPr>
        <w:t xml:space="preserve"> </w:t>
      </w:r>
      <w:r w:rsidRPr="00CE3236">
        <w:rPr>
          <w:rFonts w:eastAsia="Calibri" w:cs="Calibri"/>
          <w:i/>
          <w:lang w:val="en-GB"/>
        </w:rPr>
        <w:t>Madness and Civilization: A History of Insanity in the Age of Reason</w:t>
      </w:r>
      <w:r>
        <w:rPr>
          <w:rFonts w:eastAsia="Calibri" w:cs="Calibri"/>
          <w:lang w:val="en-GB"/>
        </w:rPr>
        <w:t>, trans. R. Howard,</w:t>
      </w:r>
      <w:r w:rsidRPr="00BE553E">
        <w:rPr>
          <w:rFonts w:eastAsia="Calibri" w:cs="Calibri"/>
          <w:lang w:val="en-GB"/>
        </w:rPr>
        <w:t xml:space="preserve"> New York: Vintage Books. (Original work published 1961)</w:t>
      </w:r>
      <w:r>
        <w:rPr>
          <w:rFonts w:eastAsia="Calibri" w:cs="Calibri"/>
          <w:lang w:val="en-GB"/>
        </w:rPr>
        <w:t>.</w:t>
      </w:r>
    </w:p>
    <w:p w14:paraId="19C9EAC1" w14:textId="77777777" w:rsidR="002B77A7" w:rsidRPr="00BE553E" w:rsidRDefault="002B77A7" w:rsidP="002B77A7">
      <w:pPr>
        <w:spacing w:line="360" w:lineRule="auto"/>
        <w:ind w:left="709" w:hanging="709"/>
        <w:jc w:val="both"/>
        <w:rPr>
          <w:lang w:val="en-GB"/>
        </w:rPr>
      </w:pPr>
      <w:r w:rsidRPr="00BE553E">
        <w:rPr>
          <w:rFonts w:eastAsia="Calibri" w:cs="Calibri"/>
          <w:lang w:val="en-GB"/>
        </w:rPr>
        <w:lastRenderedPageBreak/>
        <w:t xml:space="preserve">Foucault, M. </w:t>
      </w:r>
      <w:r>
        <w:rPr>
          <w:rFonts w:eastAsia="Calibri" w:cs="Calibri"/>
          <w:lang w:val="en-GB"/>
        </w:rPr>
        <w:t>(1969) The birth of a world:</w:t>
      </w:r>
      <w:r w:rsidRPr="00BE553E">
        <w:rPr>
          <w:rFonts w:eastAsia="Calibri" w:cs="Calibri"/>
          <w:lang w:val="en-GB"/>
        </w:rPr>
        <w:t> Int</w:t>
      </w:r>
      <w:r>
        <w:rPr>
          <w:rFonts w:eastAsia="Calibri" w:cs="Calibri"/>
          <w:lang w:val="en-GB"/>
        </w:rPr>
        <w:t xml:space="preserve">erview with Jean-Michel Palmier, </w:t>
      </w:r>
      <w:r w:rsidRPr="00CE3236">
        <w:rPr>
          <w:rFonts w:eastAsia="Calibri" w:cs="Calibri"/>
          <w:i/>
          <w:lang w:val="en-GB"/>
        </w:rPr>
        <w:t>Le Monde</w:t>
      </w:r>
      <w:r>
        <w:rPr>
          <w:rFonts w:eastAsia="Calibri" w:cs="Calibri"/>
          <w:lang w:val="en-GB"/>
        </w:rPr>
        <w:t xml:space="preserve"> 3:</w:t>
      </w:r>
      <w:r w:rsidRPr="00BE553E">
        <w:rPr>
          <w:rFonts w:eastAsia="Calibri" w:cs="Calibri"/>
          <w:lang w:val="en-GB"/>
        </w:rPr>
        <w:t xml:space="preserve"> 65-67.</w:t>
      </w:r>
    </w:p>
    <w:p w14:paraId="723FA050" w14:textId="77777777" w:rsidR="002B77A7" w:rsidRPr="00BE553E" w:rsidRDefault="002B77A7" w:rsidP="002B77A7">
      <w:pPr>
        <w:spacing w:line="360" w:lineRule="auto"/>
        <w:ind w:left="709" w:hanging="709"/>
        <w:jc w:val="both"/>
        <w:rPr>
          <w:lang w:val="en-GB"/>
        </w:rPr>
      </w:pPr>
      <w:r w:rsidRPr="00BE553E">
        <w:rPr>
          <w:rFonts w:eastAsia="Calibri" w:cs="Calibri"/>
          <w:lang w:val="en-GB"/>
        </w:rPr>
        <w:t xml:space="preserve">Foucault, M. </w:t>
      </w:r>
      <w:r>
        <w:rPr>
          <w:rFonts w:eastAsia="Calibri" w:cs="Calibri"/>
          <w:lang w:val="en-GB"/>
        </w:rPr>
        <w:t xml:space="preserve">(1978) </w:t>
      </w:r>
      <w:r w:rsidRPr="00CE3236">
        <w:rPr>
          <w:rFonts w:eastAsia="Calibri" w:cs="Calibri"/>
          <w:i/>
          <w:lang w:val="en-GB"/>
        </w:rPr>
        <w:t xml:space="preserve">The History of Sexuality: Vol. I </w:t>
      </w:r>
      <w:proofErr w:type="gramStart"/>
      <w:r w:rsidRPr="00CE3236">
        <w:rPr>
          <w:rFonts w:eastAsia="Calibri" w:cs="Calibri"/>
          <w:i/>
          <w:lang w:val="en-GB"/>
        </w:rPr>
        <w:t>An</w:t>
      </w:r>
      <w:proofErr w:type="gramEnd"/>
      <w:r w:rsidRPr="00CE3236">
        <w:rPr>
          <w:rFonts w:eastAsia="Calibri" w:cs="Calibri"/>
          <w:i/>
          <w:lang w:val="en-GB"/>
        </w:rPr>
        <w:t xml:space="preserve"> introduction</w:t>
      </w:r>
      <w:r>
        <w:rPr>
          <w:rFonts w:eastAsia="Calibri" w:cs="Calibri"/>
          <w:lang w:val="en-GB"/>
        </w:rPr>
        <w:t>, trans. R. Hurley,</w:t>
      </w:r>
      <w:r w:rsidRPr="00BE553E">
        <w:rPr>
          <w:rFonts w:eastAsia="Calibri" w:cs="Calibri"/>
          <w:lang w:val="en-GB"/>
        </w:rPr>
        <w:t xml:space="preserve"> New York: Vintage.</w:t>
      </w:r>
      <w:r>
        <w:rPr>
          <w:rFonts w:eastAsia="Calibri" w:cs="Calibri"/>
          <w:lang w:val="en-GB"/>
        </w:rPr>
        <w:t xml:space="preserve"> </w:t>
      </w:r>
      <w:r w:rsidRPr="00BE553E">
        <w:rPr>
          <w:rFonts w:eastAsia="Calibri" w:cs="Calibri"/>
          <w:lang w:val="en-GB"/>
        </w:rPr>
        <w:t>(Original work published in 1976)</w:t>
      </w:r>
      <w:r>
        <w:rPr>
          <w:rFonts w:eastAsia="Calibri" w:cs="Calibri"/>
          <w:lang w:val="en-GB"/>
        </w:rPr>
        <w:t>.</w:t>
      </w:r>
    </w:p>
    <w:p w14:paraId="0DF611BB" w14:textId="77777777" w:rsidR="002B77A7" w:rsidRPr="00BE553E" w:rsidRDefault="002B77A7" w:rsidP="002B77A7">
      <w:pPr>
        <w:spacing w:line="360" w:lineRule="auto"/>
        <w:ind w:left="709" w:hanging="709"/>
        <w:jc w:val="both"/>
        <w:rPr>
          <w:rFonts w:eastAsia="Calibri" w:cs="Calibri"/>
          <w:lang w:val="en-GB"/>
        </w:rPr>
      </w:pPr>
      <w:r w:rsidRPr="00BE553E">
        <w:rPr>
          <w:rFonts w:eastAsia="Calibri" w:cs="Calibri"/>
          <w:lang w:val="en-GB"/>
        </w:rPr>
        <w:t xml:space="preserve">Foucault, M. </w:t>
      </w:r>
      <w:r>
        <w:rPr>
          <w:rFonts w:eastAsia="Calibri" w:cs="Calibri"/>
          <w:lang w:val="en-GB"/>
        </w:rPr>
        <w:t>(1979)</w:t>
      </w:r>
      <w:r w:rsidRPr="00BE553E">
        <w:rPr>
          <w:rFonts w:eastAsia="Calibri" w:cs="Calibri"/>
          <w:lang w:val="en-GB"/>
        </w:rPr>
        <w:t xml:space="preserve"> What is Enlightenment? In</w:t>
      </w:r>
      <w:r>
        <w:rPr>
          <w:rFonts w:eastAsia="Calibri" w:cs="Calibri"/>
          <w:lang w:val="en-GB"/>
        </w:rPr>
        <w:t>:</w:t>
      </w:r>
      <w:r w:rsidRPr="00BE553E">
        <w:rPr>
          <w:rFonts w:eastAsia="Calibri" w:cs="Calibri"/>
          <w:lang w:val="en-GB"/>
        </w:rPr>
        <w:t xml:space="preserve"> P. Rabinow and W.M. Sullivan (</w:t>
      </w:r>
      <w:r>
        <w:rPr>
          <w:rFonts w:eastAsia="Calibri" w:cs="Calibri"/>
          <w:lang w:val="en-GB"/>
        </w:rPr>
        <w:t>e</w:t>
      </w:r>
      <w:r w:rsidRPr="00BE553E">
        <w:rPr>
          <w:rFonts w:eastAsia="Calibri" w:cs="Calibri"/>
          <w:lang w:val="en-GB"/>
        </w:rPr>
        <w:t xml:space="preserve">ds.) </w:t>
      </w:r>
      <w:r w:rsidRPr="00CE3236">
        <w:rPr>
          <w:rFonts w:eastAsia="Calibri" w:cs="Calibri"/>
          <w:i/>
          <w:lang w:val="en-GB"/>
        </w:rPr>
        <w:t>Interpretive Social Science: A Second Look</w:t>
      </w:r>
      <w:r w:rsidRPr="00BE553E">
        <w:rPr>
          <w:rFonts w:eastAsia="Calibri" w:cs="Calibri"/>
          <w:lang w:val="en-GB"/>
        </w:rPr>
        <w:t>. Berkeley, Los Angeles, and London: University of California Press</w:t>
      </w:r>
      <w:r>
        <w:rPr>
          <w:rFonts w:eastAsia="Calibri" w:cs="Calibri"/>
          <w:lang w:val="en-GB"/>
        </w:rPr>
        <w:t>,</w:t>
      </w:r>
      <w:r w:rsidRPr="00016D8C">
        <w:rPr>
          <w:rFonts w:eastAsia="Calibri" w:cs="Calibri"/>
          <w:lang w:val="en-GB"/>
        </w:rPr>
        <w:t xml:space="preserve"> </w:t>
      </w:r>
      <w:r w:rsidRPr="00BE553E">
        <w:rPr>
          <w:rFonts w:eastAsia="Calibri" w:cs="Calibri"/>
          <w:lang w:val="en-GB"/>
        </w:rPr>
        <w:t>pp. 157-176</w:t>
      </w:r>
      <w:r>
        <w:rPr>
          <w:rFonts w:eastAsia="Calibri" w:cs="Calibri"/>
          <w:lang w:val="en-GB"/>
        </w:rPr>
        <w:t>.</w:t>
      </w:r>
    </w:p>
    <w:p w14:paraId="3412DF5E" w14:textId="77777777" w:rsidR="002B77A7" w:rsidRPr="00BE553E" w:rsidRDefault="002B77A7" w:rsidP="002B77A7">
      <w:pPr>
        <w:spacing w:line="360" w:lineRule="auto"/>
        <w:ind w:left="709" w:hanging="709"/>
        <w:jc w:val="both"/>
        <w:rPr>
          <w:lang w:val="en-GB"/>
        </w:rPr>
      </w:pPr>
      <w:r w:rsidRPr="00BE553E">
        <w:rPr>
          <w:rFonts w:eastAsia="Calibri" w:cs="Calibri"/>
          <w:lang w:val="en-GB"/>
        </w:rPr>
        <w:t xml:space="preserve">Foucault, M. </w:t>
      </w:r>
      <w:r>
        <w:rPr>
          <w:rFonts w:eastAsia="Calibri" w:cs="Calibri"/>
          <w:lang w:val="en-GB"/>
        </w:rPr>
        <w:t>(1980a)</w:t>
      </w:r>
      <w:r w:rsidRPr="00BE553E">
        <w:rPr>
          <w:rFonts w:eastAsia="Calibri" w:cs="Calibri"/>
          <w:lang w:val="en-GB"/>
        </w:rPr>
        <w:t xml:space="preserve"> Two lectures. In</w:t>
      </w:r>
      <w:r>
        <w:rPr>
          <w:rFonts w:eastAsia="Calibri" w:cs="Calibri"/>
          <w:lang w:val="en-GB"/>
        </w:rPr>
        <w:t>: C. Gordon (</w:t>
      </w:r>
      <w:r w:rsidRPr="00CE3236">
        <w:rPr>
          <w:rFonts w:eastAsia="Calibri" w:cs="Calibri"/>
          <w:lang w:val="en-GB"/>
        </w:rPr>
        <w:t>ed.)</w:t>
      </w:r>
      <w:r w:rsidRPr="00CE3236">
        <w:rPr>
          <w:rFonts w:eastAsia="Calibri" w:cs="Calibri"/>
          <w:i/>
          <w:lang w:val="en-GB"/>
        </w:rPr>
        <w:t xml:space="preserve"> Power/Knowledge: Selected Interviews and Other Writings</w:t>
      </w:r>
      <w:r>
        <w:rPr>
          <w:rFonts w:eastAsia="Calibri" w:cs="Calibri"/>
          <w:lang w:val="en-GB"/>
        </w:rPr>
        <w:t>, trans. C</w:t>
      </w:r>
      <w:r w:rsidRPr="00BE553E">
        <w:rPr>
          <w:rFonts w:eastAsia="Calibri" w:cs="Calibri"/>
          <w:lang w:val="en-GB"/>
        </w:rPr>
        <w:t>. Gordon, L. Marshall, J. Mepham, and K. Soper,</w:t>
      </w:r>
      <w:r>
        <w:rPr>
          <w:rFonts w:eastAsia="Calibri" w:cs="Calibri"/>
          <w:lang w:val="en-GB"/>
        </w:rPr>
        <w:t xml:space="preserve"> New York: Pantheon Books, </w:t>
      </w:r>
      <w:r w:rsidRPr="00BE553E">
        <w:rPr>
          <w:rFonts w:eastAsia="Calibri" w:cs="Calibri"/>
          <w:lang w:val="en-GB"/>
        </w:rPr>
        <w:t>pp. 78-108</w:t>
      </w:r>
      <w:r>
        <w:rPr>
          <w:rFonts w:eastAsia="Calibri" w:cs="Calibri"/>
          <w:lang w:val="en-GB"/>
        </w:rPr>
        <w:t>.</w:t>
      </w:r>
    </w:p>
    <w:p w14:paraId="530FE7F9" w14:textId="77777777" w:rsidR="002B77A7" w:rsidRPr="00BE553E" w:rsidRDefault="002B77A7" w:rsidP="002B77A7">
      <w:pPr>
        <w:spacing w:line="360" w:lineRule="auto"/>
        <w:ind w:left="709" w:hanging="709"/>
        <w:jc w:val="both"/>
        <w:rPr>
          <w:rFonts w:eastAsia="Calibri" w:cs="Calibri"/>
          <w:lang w:val="en-GB"/>
        </w:rPr>
      </w:pPr>
      <w:r w:rsidRPr="00BE553E">
        <w:rPr>
          <w:rFonts w:eastAsia="Calibri" w:cs="Calibri"/>
          <w:lang w:val="en-GB"/>
        </w:rPr>
        <w:t>Foucault, M. (1980b) Body/power. In</w:t>
      </w:r>
      <w:r>
        <w:rPr>
          <w:rFonts w:eastAsia="Calibri" w:cs="Calibri"/>
          <w:lang w:val="en-GB"/>
        </w:rPr>
        <w:t xml:space="preserve">: C. Gordon (ed.) </w:t>
      </w:r>
      <w:r w:rsidRPr="00CE3236">
        <w:rPr>
          <w:rFonts w:eastAsia="Calibri" w:cs="Calibri"/>
          <w:i/>
          <w:lang w:val="en-GB"/>
        </w:rPr>
        <w:t>Power/Knowledge: Selected Interviews and Other Writings</w:t>
      </w:r>
      <w:r>
        <w:rPr>
          <w:rFonts w:eastAsia="Calibri" w:cs="Calibri"/>
          <w:lang w:val="en-GB"/>
        </w:rPr>
        <w:t xml:space="preserve">, trans. </w:t>
      </w:r>
      <w:r w:rsidRPr="00BE553E">
        <w:rPr>
          <w:rFonts w:eastAsia="Calibri" w:cs="Calibri"/>
          <w:lang w:val="en-GB"/>
        </w:rPr>
        <w:t>C. Gordon, L. Marshall, J. Mepham, and</w:t>
      </w:r>
      <w:r>
        <w:rPr>
          <w:rFonts w:eastAsia="Calibri" w:cs="Calibri"/>
          <w:lang w:val="en-GB"/>
        </w:rPr>
        <w:t xml:space="preserve"> K. Soper, New York: Pantheon Books, </w:t>
      </w:r>
      <w:r w:rsidRPr="00BE553E">
        <w:rPr>
          <w:rFonts w:eastAsia="Calibri" w:cs="Calibri"/>
          <w:lang w:val="en-GB"/>
        </w:rPr>
        <w:t>pp. 55-62</w:t>
      </w:r>
      <w:r>
        <w:rPr>
          <w:rFonts w:eastAsia="Calibri" w:cs="Calibri"/>
          <w:lang w:val="en-GB"/>
        </w:rPr>
        <w:t>.</w:t>
      </w:r>
    </w:p>
    <w:p w14:paraId="24431898" w14:textId="77777777" w:rsidR="002B77A7" w:rsidRPr="00BE553E" w:rsidRDefault="002B77A7" w:rsidP="002B77A7">
      <w:pPr>
        <w:spacing w:line="360" w:lineRule="auto"/>
        <w:ind w:left="709" w:hanging="709"/>
        <w:jc w:val="both"/>
        <w:rPr>
          <w:rFonts w:eastAsia="Calibri" w:cs="Calibri"/>
          <w:lang w:val="en-GB"/>
        </w:rPr>
      </w:pPr>
      <w:r w:rsidRPr="00BE553E">
        <w:rPr>
          <w:rFonts w:eastAsia="Calibri" w:cs="Calibri"/>
          <w:lang w:val="en-GB"/>
        </w:rPr>
        <w:t xml:space="preserve">Foucault, M. </w:t>
      </w:r>
      <w:r>
        <w:rPr>
          <w:rFonts w:eastAsia="Calibri" w:cs="Calibri"/>
          <w:lang w:val="en-GB"/>
        </w:rPr>
        <w:t>(1980c)</w:t>
      </w:r>
      <w:r w:rsidRPr="00BE553E">
        <w:rPr>
          <w:rFonts w:eastAsia="Calibri" w:cs="Calibri"/>
          <w:lang w:val="en-GB"/>
        </w:rPr>
        <w:t xml:space="preserve"> Truth and power. In</w:t>
      </w:r>
      <w:r>
        <w:rPr>
          <w:rFonts w:eastAsia="Calibri" w:cs="Calibri"/>
          <w:lang w:val="en-GB"/>
        </w:rPr>
        <w:t xml:space="preserve">: C. Gordon (ed.) </w:t>
      </w:r>
      <w:r w:rsidRPr="00CE3236">
        <w:rPr>
          <w:rFonts w:eastAsia="Calibri" w:cs="Calibri"/>
          <w:i/>
          <w:lang w:val="en-GB"/>
        </w:rPr>
        <w:t>Power/Knowledge: Selecte</w:t>
      </w:r>
      <w:r>
        <w:rPr>
          <w:rFonts w:eastAsia="Calibri" w:cs="Calibri"/>
          <w:i/>
          <w:lang w:val="en-GB"/>
        </w:rPr>
        <w:t xml:space="preserve">d interviews and Other </w:t>
      </w:r>
      <w:r w:rsidRPr="009769FB">
        <w:rPr>
          <w:rFonts w:eastAsia="Calibri" w:cs="Calibri"/>
          <w:i/>
          <w:lang w:val="en-GB"/>
        </w:rPr>
        <w:t>Writings</w:t>
      </w:r>
      <w:r>
        <w:rPr>
          <w:rFonts w:eastAsia="Calibri" w:cs="Calibri"/>
          <w:i/>
          <w:lang w:val="en-GB"/>
        </w:rPr>
        <w:t xml:space="preserve">, </w:t>
      </w:r>
      <w:r>
        <w:rPr>
          <w:rFonts w:eastAsia="Calibri" w:cs="Calibri"/>
          <w:lang w:val="en-GB"/>
        </w:rPr>
        <w:t>trans. C</w:t>
      </w:r>
      <w:r w:rsidRPr="00BE553E">
        <w:rPr>
          <w:rFonts w:eastAsia="Calibri" w:cs="Calibri"/>
          <w:lang w:val="en-GB"/>
        </w:rPr>
        <w:t>. Gordon, L. Marshall, J. Mepham, and</w:t>
      </w:r>
      <w:r>
        <w:rPr>
          <w:rFonts w:eastAsia="Calibri" w:cs="Calibri"/>
          <w:lang w:val="en-GB"/>
        </w:rPr>
        <w:t xml:space="preserve"> K. Soper, New York: Pantheon Books,</w:t>
      </w:r>
      <w:r w:rsidRPr="00016D8C">
        <w:rPr>
          <w:rFonts w:eastAsia="Calibri" w:cs="Calibri"/>
          <w:lang w:val="en-GB"/>
        </w:rPr>
        <w:t xml:space="preserve"> </w:t>
      </w:r>
      <w:r w:rsidRPr="00BE553E">
        <w:rPr>
          <w:rFonts w:eastAsia="Calibri" w:cs="Calibri"/>
          <w:lang w:val="en-GB"/>
        </w:rPr>
        <w:t>pp. 109-133</w:t>
      </w:r>
      <w:r>
        <w:rPr>
          <w:rFonts w:eastAsia="Calibri" w:cs="Calibri"/>
          <w:lang w:val="en-GB"/>
        </w:rPr>
        <w:t>.</w:t>
      </w:r>
    </w:p>
    <w:p w14:paraId="3D135097" w14:textId="77777777" w:rsidR="002B77A7" w:rsidRPr="00BE553E" w:rsidRDefault="002B77A7" w:rsidP="002B77A7">
      <w:pPr>
        <w:spacing w:line="360" w:lineRule="auto"/>
        <w:ind w:left="709" w:hanging="709"/>
        <w:jc w:val="both"/>
        <w:rPr>
          <w:lang w:val="en-GB"/>
        </w:rPr>
      </w:pPr>
      <w:r w:rsidRPr="00BE553E">
        <w:rPr>
          <w:rFonts w:eastAsia="Calibri" w:cs="Calibri"/>
          <w:lang w:val="en-GB"/>
        </w:rPr>
        <w:t xml:space="preserve">Foucault, M. </w:t>
      </w:r>
      <w:r>
        <w:rPr>
          <w:rFonts w:eastAsia="Calibri" w:cs="Calibri"/>
          <w:lang w:val="en-GB"/>
        </w:rPr>
        <w:t>(1982)</w:t>
      </w:r>
      <w:r w:rsidRPr="00BE553E">
        <w:rPr>
          <w:rFonts w:eastAsia="Calibri" w:cs="Calibri"/>
          <w:lang w:val="en-GB"/>
        </w:rPr>
        <w:t xml:space="preserve"> The subj</w:t>
      </w:r>
      <w:r>
        <w:rPr>
          <w:rFonts w:eastAsia="Calibri" w:cs="Calibri"/>
          <w:lang w:val="en-GB"/>
        </w:rPr>
        <w:t xml:space="preserve">ect and power. </w:t>
      </w:r>
      <w:r w:rsidRPr="00CE3236">
        <w:rPr>
          <w:rFonts w:eastAsia="Calibri" w:cs="Calibri"/>
          <w:i/>
          <w:lang w:val="en-GB"/>
        </w:rPr>
        <w:t>Critical Inquiry</w:t>
      </w:r>
      <w:r w:rsidRPr="00BE553E">
        <w:rPr>
          <w:rFonts w:eastAsia="Calibri" w:cs="Calibri"/>
          <w:lang w:val="en-GB"/>
        </w:rPr>
        <w:t xml:space="preserve"> 8(4)</w:t>
      </w:r>
      <w:r>
        <w:rPr>
          <w:rFonts w:eastAsia="Calibri" w:cs="Calibri"/>
          <w:lang w:val="en-GB"/>
        </w:rPr>
        <w:t>:</w:t>
      </w:r>
      <w:r w:rsidRPr="00BE553E">
        <w:rPr>
          <w:rFonts w:eastAsia="Calibri" w:cs="Calibri"/>
          <w:lang w:val="en-GB"/>
        </w:rPr>
        <w:t xml:space="preserve"> 777-795.</w:t>
      </w:r>
    </w:p>
    <w:p w14:paraId="290794BD" w14:textId="77777777" w:rsidR="002B77A7" w:rsidRPr="00BE553E" w:rsidRDefault="002B77A7" w:rsidP="002B77A7">
      <w:pPr>
        <w:spacing w:line="360" w:lineRule="auto"/>
        <w:ind w:left="709" w:hanging="709"/>
        <w:jc w:val="both"/>
        <w:rPr>
          <w:rFonts w:eastAsia="Calibri" w:cs="Calibri"/>
          <w:lang w:val="en-GB"/>
        </w:rPr>
      </w:pPr>
      <w:r w:rsidRPr="00BE553E">
        <w:rPr>
          <w:rFonts w:eastAsia="Calibri" w:cs="Calibri"/>
          <w:lang w:val="en-GB"/>
        </w:rPr>
        <w:t>Foucault, M. (1991a)</w:t>
      </w:r>
      <w:r>
        <w:rPr>
          <w:rFonts w:eastAsia="Calibri" w:cs="Calibri"/>
          <w:lang w:val="en-GB"/>
        </w:rPr>
        <w:t xml:space="preserve"> </w:t>
      </w:r>
      <w:r w:rsidRPr="00CE3236">
        <w:rPr>
          <w:rFonts w:eastAsia="Calibri" w:cs="Calibri"/>
          <w:i/>
          <w:lang w:val="en-GB"/>
        </w:rPr>
        <w:t>Discipline and Punish: The Birth of a Prison</w:t>
      </w:r>
      <w:r>
        <w:rPr>
          <w:rFonts w:eastAsia="Calibri" w:cs="Calibri"/>
          <w:lang w:val="en-GB"/>
        </w:rPr>
        <w:t>, trans. A. Sheridan, London:</w:t>
      </w:r>
      <w:r w:rsidRPr="00BE553E">
        <w:rPr>
          <w:rFonts w:eastAsia="Calibri" w:cs="Calibri"/>
          <w:lang w:val="en-GB"/>
        </w:rPr>
        <w:t xml:space="preserve"> Penguin. (Original work published in 1975)</w:t>
      </w:r>
      <w:r>
        <w:rPr>
          <w:rFonts w:eastAsia="Calibri" w:cs="Calibri"/>
          <w:lang w:val="en-GB"/>
        </w:rPr>
        <w:t>.</w:t>
      </w:r>
    </w:p>
    <w:p w14:paraId="22E1CF02" w14:textId="77777777" w:rsidR="002B77A7" w:rsidRPr="00016D8C" w:rsidRDefault="002B77A7" w:rsidP="002B77A7">
      <w:pPr>
        <w:spacing w:line="360" w:lineRule="auto"/>
        <w:ind w:left="709" w:hanging="709"/>
        <w:jc w:val="both"/>
        <w:rPr>
          <w:lang w:val="en-GB"/>
        </w:rPr>
      </w:pPr>
      <w:r w:rsidRPr="00BE553E">
        <w:rPr>
          <w:lang w:val="en-GB"/>
        </w:rPr>
        <w:t xml:space="preserve">Foucault, M. (1991b) </w:t>
      </w:r>
      <w:r w:rsidRPr="00CE3236">
        <w:rPr>
          <w:i/>
          <w:lang w:val="en-GB"/>
        </w:rPr>
        <w:t>Remarks on Marx: Conversations with Duccio Trombadori</w:t>
      </w:r>
      <w:r>
        <w:rPr>
          <w:lang w:val="en-GB"/>
        </w:rPr>
        <w:t xml:space="preserve">, trans. </w:t>
      </w:r>
      <w:r w:rsidRPr="00016D8C">
        <w:rPr>
          <w:lang w:val="en-GB"/>
        </w:rPr>
        <w:t>R.J. Goldstein and J. Cascaito, New</w:t>
      </w:r>
      <w:r w:rsidRPr="00BE553E">
        <w:rPr>
          <w:lang w:val="en-GB"/>
        </w:rPr>
        <w:t xml:space="preserve"> York</w:t>
      </w:r>
      <w:r w:rsidRPr="00016D8C">
        <w:rPr>
          <w:lang w:val="en-GB"/>
        </w:rPr>
        <w:t>: Semiotext(e).</w:t>
      </w:r>
    </w:p>
    <w:p w14:paraId="4BCF49FB" w14:textId="77777777" w:rsidR="002B77A7" w:rsidRPr="00BE553E" w:rsidRDefault="002B77A7" w:rsidP="002B77A7">
      <w:pPr>
        <w:spacing w:line="360" w:lineRule="auto"/>
        <w:ind w:left="709" w:hanging="709"/>
        <w:jc w:val="both"/>
        <w:rPr>
          <w:lang w:val="en-GB"/>
        </w:rPr>
      </w:pPr>
      <w:r w:rsidRPr="00BE553E">
        <w:rPr>
          <w:rFonts w:eastAsia="Calibri" w:cs="Calibri"/>
          <w:lang w:val="en-GB"/>
        </w:rPr>
        <w:t xml:space="preserve">Foucault, M. </w:t>
      </w:r>
      <w:r>
        <w:rPr>
          <w:rFonts w:eastAsia="Calibri" w:cs="Calibri"/>
          <w:lang w:val="en-GB"/>
        </w:rPr>
        <w:t xml:space="preserve">(2003) </w:t>
      </w:r>
      <w:r w:rsidRPr="00CE3236">
        <w:rPr>
          <w:rFonts w:eastAsia="Calibri" w:cs="Calibri"/>
          <w:i/>
          <w:lang w:val="en-GB"/>
        </w:rPr>
        <w:t>The Birth of the Clinic: An A</w:t>
      </w:r>
      <w:r>
        <w:rPr>
          <w:rFonts w:eastAsia="Calibri" w:cs="Calibri"/>
          <w:i/>
          <w:lang w:val="en-GB"/>
        </w:rPr>
        <w:t xml:space="preserve">rchaeology of Medical Perception, </w:t>
      </w:r>
      <w:r>
        <w:rPr>
          <w:rFonts w:eastAsia="Calibri" w:cs="Calibri"/>
          <w:lang w:val="en-GB"/>
        </w:rPr>
        <w:t xml:space="preserve">trans. </w:t>
      </w:r>
      <w:r w:rsidRPr="00BE553E">
        <w:rPr>
          <w:rFonts w:eastAsia="Calibri" w:cs="Calibri"/>
          <w:lang w:val="en-GB"/>
        </w:rPr>
        <w:t>A.M. Sheridan, London: Routledge. (Original work published 1963)</w:t>
      </w:r>
      <w:r>
        <w:rPr>
          <w:rFonts w:eastAsia="Calibri" w:cs="Calibri"/>
          <w:lang w:val="en-GB"/>
        </w:rPr>
        <w:t>.</w:t>
      </w:r>
    </w:p>
    <w:p w14:paraId="6A55FC3F" w14:textId="77777777" w:rsidR="002B77A7" w:rsidRPr="00BE553E" w:rsidRDefault="002B77A7" w:rsidP="002B77A7">
      <w:pPr>
        <w:spacing w:line="360" w:lineRule="auto"/>
        <w:ind w:left="709" w:hanging="709"/>
        <w:jc w:val="both"/>
        <w:rPr>
          <w:lang w:val="en-GB"/>
        </w:rPr>
      </w:pPr>
      <w:r>
        <w:rPr>
          <w:rFonts w:eastAsia="Calibri" w:cs="Calibri"/>
          <w:lang w:val="en-GB"/>
        </w:rPr>
        <w:t>Fraser, N. (1981)</w:t>
      </w:r>
      <w:r w:rsidRPr="00BE553E">
        <w:rPr>
          <w:rFonts w:eastAsia="Calibri" w:cs="Calibri"/>
          <w:lang w:val="en-GB"/>
        </w:rPr>
        <w:t xml:space="preserve"> Foucault on modern power: Empirical insights and normative c</w:t>
      </w:r>
      <w:r>
        <w:rPr>
          <w:rFonts w:eastAsia="Calibri" w:cs="Calibri"/>
          <w:lang w:val="en-GB"/>
        </w:rPr>
        <w:t xml:space="preserve">onfusions. </w:t>
      </w:r>
      <w:r w:rsidRPr="00CE3236">
        <w:rPr>
          <w:rFonts w:eastAsia="Calibri" w:cs="Calibri"/>
          <w:i/>
          <w:lang w:val="en-GB"/>
        </w:rPr>
        <w:t>Praxis International</w:t>
      </w:r>
      <w:r>
        <w:rPr>
          <w:rFonts w:eastAsia="Calibri" w:cs="Calibri"/>
          <w:lang w:val="en-GB"/>
        </w:rPr>
        <w:t xml:space="preserve"> 1(3):</w:t>
      </w:r>
      <w:r w:rsidRPr="00BE553E">
        <w:rPr>
          <w:rFonts w:eastAsia="Calibri" w:cs="Calibri"/>
          <w:lang w:val="en-GB"/>
        </w:rPr>
        <w:t xml:space="preserve"> 272-287.</w:t>
      </w:r>
    </w:p>
    <w:p w14:paraId="7FBAE376" w14:textId="77777777" w:rsidR="002B77A7" w:rsidRPr="002814F7" w:rsidRDefault="002B77A7" w:rsidP="002B77A7">
      <w:pPr>
        <w:spacing w:line="360" w:lineRule="auto"/>
        <w:ind w:left="709" w:hanging="709"/>
        <w:jc w:val="both"/>
        <w:rPr>
          <w:rFonts w:eastAsia="Calibri" w:cs="Calibri"/>
          <w:lang w:val="en-GB"/>
        </w:rPr>
      </w:pPr>
      <w:r>
        <w:rPr>
          <w:rFonts w:eastAsia="Calibri" w:cs="Calibri"/>
          <w:lang w:val="en-GB"/>
        </w:rPr>
        <w:t>Frost, L. (2015)</w:t>
      </w:r>
      <w:r w:rsidRPr="00BE553E">
        <w:rPr>
          <w:rFonts w:eastAsia="Calibri" w:cs="Calibri"/>
          <w:lang w:val="en-GB"/>
        </w:rPr>
        <w:t xml:space="preserve"> France condemns attack on Leban</w:t>
      </w:r>
      <w:r>
        <w:rPr>
          <w:rFonts w:eastAsia="Calibri" w:cs="Calibri"/>
          <w:lang w:val="en-GB"/>
        </w:rPr>
        <w:t xml:space="preserve">ese Hezbollah bastion. </w:t>
      </w:r>
      <w:r w:rsidRPr="002814F7">
        <w:rPr>
          <w:rFonts w:eastAsia="Calibri" w:cs="Calibri"/>
          <w:i/>
          <w:lang w:val="en-GB"/>
        </w:rPr>
        <w:t>Reuters</w:t>
      </w:r>
      <w:r w:rsidRPr="002814F7">
        <w:rPr>
          <w:rFonts w:eastAsia="Calibri" w:cs="Calibri"/>
          <w:lang w:val="en-GB"/>
        </w:rPr>
        <w:t>, 12 November, http://www.reuters.com/article/us-syria-crisis-hezbollah-france-idUSKCN0T12FK20151112</w:t>
      </w:r>
      <w:r>
        <w:rPr>
          <w:rFonts w:eastAsia="Calibri" w:cs="Calibri"/>
          <w:lang w:val="en-GB"/>
        </w:rPr>
        <w:t>, accessed 1 August 2016.</w:t>
      </w:r>
    </w:p>
    <w:p w14:paraId="3FB51942" w14:textId="77777777" w:rsidR="002B77A7" w:rsidRPr="00BE553E" w:rsidRDefault="002B77A7" w:rsidP="002B77A7">
      <w:pPr>
        <w:spacing w:line="360" w:lineRule="auto"/>
        <w:ind w:left="709" w:hanging="709"/>
        <w:jc w:val="both"/>
        <w:rPr>
          <w:lang w:val="en-GB"/>
        </w:rPr>
      </w:pPr>
      <w:r w:rsidRPr="00BE553E">
        <w:rPr>
          <w:rFonts w:eastAsia="Calibri" w:cs="Calibri"/>
          <w:lang w:val="en-GB"/>
        </w:rPr>
        <w:t xml:space="preserve">Gendreau, P., Little, T., and Goggin, C. (1996) A meta-analysis of adult offender recidivism: What works! </w:t>
      </w:r>
      <w:r w:rsidRPr="00CE3236">
        <w:rPr>
          <w:rFonts w:eastAsia="Calibri" w:cs="Calibri"/>
          <w:i/>
          <w:lang w:val="en-GB"/>
        </w:rPr>
        <w:t>Criminology</w:t>
      </w:r>
      <w:r>
        <w:rPr>
          <w:rFonts w:eastAsia="Calibri" w:cs="Calibri"/>
          <w:lang w:val="en-GB"/>
        </w:rPr>
        <w:t xml:space="preserve"> 34:</w:t>
      </w:r>
      <w:r w:rsidRPr="00BE553E">
        <w:rPr>
          <w:rFonts w:eastAsia="Calibri" w:cs="Calibri"/>
          <w:lang w:val="en-GB"/>
        </w:rPr>
        <w:t xml:space="preserve"> 575-607.</w:t>
      </w:r>
    </w:p>
    <w:p w14:paraId="2196C854" w14:textId="77777777" w:rsidR="002B77A7" w:rsidRPr="00BE553E" w:rsidRDefault="002B77A7" w:rsidP="002B77A7">
      <w:pPr>
        <w:spacing w:line="360" w:lineRule="auto"/>
        <w:ind w:left="709" w:hanging="709"/>
        <w:jc w:val="both"/>
        <w:rPr>
          <w:lang w:val="en-GB"/>
        </w:rPr>
      </w:pPr>
      <w:r>
        <w:rPr>
          <w:rFonts w:eastAsia="Arial" w:cs="Arial"/>
          <w:lang w:val="en-GB"/>
        </w:rPr>
        <w:t>Glaser, D. (2015)</w:t>
      </w:r>
      <w:r w:rsidRPr="00BE553E">
        <w:rPr>
          <w:rFonts w:eastAsia="Arial" w:cs="Arial"/>
          <w:lang w:val="en-GB"/>
        </w:rPr>
        <w:t xml:space="preserve"> Why the Paris attacks felt </w:t>
      </w:r>
      <w:r>
        <w:rPr>
          <w:rFonts w:eastAsia="Arial" w:cs="Arial"/>
          <w:lang w:val="en-GB"/>
        </w:rPr>
        <w:t xml:space="preserve">so close to home. </w:t>
      </w:r>
      <w:r w:rsidRPr="00CE3236">
        <w:rPr>
          <w:rFonts w:eastAsia="Arial" w:cs="Arial"/>
          <w:i/>
          <w:lang w:val="en-GB"/>
        </w:rPr>
        <w:t>The Guardian</w:t>
      </w:r>
      <w:r>
        <w:rPr>
          <w:rFonts w:eastAsia="Arial" w:cs="Arial"/>
          <w:lang w:val="en-GB"/>
        </w:rPr>
        <w:t xml:space="preserve">, 22 </w:t>
      </w:r>
      <w:r w:rsidRPr="00BE553E">
        <w:rPr>
          <w:rFonts w:eastAsia="Arial" w:cs="Arial"/>
          <w:lang w:val="en-GB"/>
        </w:rPr>
        <w:t>November</w:t>
      </w:r>
      <w:r>
        <w:rPr>
          <w:rFonts w:eastAsia="Arial" w:cs="Arial"/>
          <w:lang w:val="en-GB"/>
        </w:rPr>
        <w:t xml:space="preserve">, </w:t>
      </w:r>
      <w:r w:rsidRPr="00BE553E">
        <w:rPr>
          <w:rFonts w:eastAsia="Arial" w:cs="Arial"/>
          <w:lang w:val="en-GB"/>
        </w:rPr>
        <w:t>http://www.theguardian.com/lifeandstyle/2015/nov/22/why-pa</w:t>
      </w:r>
      <w:r>
        <w:rPr>
          <w:rFonts w:eastAsia="Arial" w:cs="Arial"/>
          <w:lang w:val="en-GB"/>
        </w:rPr>
        <w:t>ris-attacks-felt-close-to-home</w:t>
      </w:r>
      <w:r>
        <w:rPr>
          <w:rFonts w:eastAsia="Calibri" w:cs="Calibri"/>
          <w:lang w:val="en-GB"/>
        </w:rPr>
        <w:t>, accessed 17 June 2016.</w:t>
      </w:r>
    </w:p>
    <w:p w14:paraId="308FFFB4" w14:textId="77777777" w:rsidR="002B77A7" w:rsidRPr="00BE553E" w:rsidRDefault="002B77A7" w:rsidP="002B77A7">
      <w:pPr>
        <w:spacing w:line="360" w:lineRule="auto"/>
        <w:ind w:left="709" w:hanging="709"/>
        <w:jc w:val="both"/>
        <w:rPr>
          <w:rFonts w:eastAsia="Calibri" w:cs="Calibri"/>
          <w:lang w:val="en-GB"/>
        </w:rPr>
      </w:pPr>
      <w:r w:rsidRPr="00BE553E">
        <w:rPr>
          <w:rFonts w:eastAsia="Calibri" w:cs="Calibri"/>
          <w:lang w:val="en-GB"/>
        </w:rPr>
        <w:lastRenderedPageBreak/>
        <w:t>Global Profiling Study (2015</w:t>
      </w:r>
      <w:r>
        <w:rPr>
          <w:rFonts w:eastAsia="Calibri" w:cs="Calibri"/>
          <w:lang w:val="en-GB"/>
        </w:rPr>
        <w:t xml:space="preserve">) </w:t>
      </w:r>
      <w:r w:rsidRPr="00CE3236">
        <w:rPr>
          <w:rFonts w:eastAsia="Calibri" w:cs="Calibri"/>
          <w:i/>
          <w:lang w:val="en-GB"/>
        </w:rPr>
        <w:t>The Guardian</w:t>
      </w:r>
      <w:r>
        <w:rPr>
          <w:rFonts w:eastAsia="Calibri" w:cs="Calibri"/>
          <w:lang w:val="en-GB"/>
        </w:rPr>
        <w:t xml:space="preserve"> Advertising, </w:t>
      </w:r>
      <w:r w:rsidRPr="00BE553E">
        <w:rPr>
          <w:rFonts w:eastAsia="Calibri" w:cs="Calibri"/>
          <w:lang w:val="en-GB"/>
        </w:rPr>
        <w:t>http://advertising.theguardian.com/</w:t>
      </w:r>
      <w:r>
        <w:rPr>
          <w:rFonts w:eastAsia="Calibri" w:cs="Calibri"/>
          <w:lang w:val="en-GB"/>
        </w:rPr>
        <w:t>insights/global-profiling-study, accessed 3 April 2016.</w:t>
      </w:r>
    </w:p>
    <w:p w14:paraId="1F517748" w14:textId="77777777" w:rsidR="002B77A7" w:rsidRPr="00BE553E" w:rsidRDefault="002B77A7" w:rsidP="002B77A7">
      <w:pPr>
        <w:spacing w:line="360" w:lineRule="auto"/>
        <w:ind w:left="709" w:hanging="709"/>
        <w:jc w:val="both"/>
        <w:rPr>
          <w:lang w:val="en-GB"/>
        </w:rPr>
      </w:pPr>
      <w:r w:rsidRPr="00BE553E">
        <w:rPr>
          <w:rFonts w:eastAsia="Calibri" w:cs="Calibri"/>
          <w:color w:val="1A1A1A"/>
          <w:lang w:val="en-GB"/>
        </w:rPr>
        <w:t xml:space="preserve">GNM press office </w:t>
      </w:r>
      <w:r>
        <w:rPr>
          <w:rFonts w:eastAsia="Calibri" w:cs="Calibri"/>
          <w:lang w:val="en-GB"/>
        </w:rPr>
        <w:t>(2015)</w:t>
      </w:r>
      <w:r w:rsidRPr="00BE553E">
        <w:rPr>
          <w:rFonts w:eastAsia="Calibri" w:cs="Calibri"/>
          <w:lang w:val="en-GB"/>
        </w:rPr>
        <w:t xml:space="preserve"> Guardian reports record digital tra</w:t>
      </w:r>
      <w:r>
        <w:rPr>
          <w:rFonts w:eastAsia="Calibri" w:cs="Calibri"/>
          <w:lang w:val="en-GB"/>
        </w:rPr>
        <w:t xml:space="preserve">ffic in November. </w:t>
      </w:r>
      <w:r w:rsidRPr="00CE3236">
        <w:rPr>
          <w:rFonts w:eastAsia="Calibri" w:cs="Calibri"/>
          <w:i/>
          <w:lang w:val="en-GB"/>
        </w:rPr>
        <w:t>The Guardian</w:t>
      </w:r>
      <w:r>
        <w:rPr>
          <w:rFonts w:eastAsia="Calibri" w:cs="Calibri"/>
          <w:lang w:val="en-GB"/>
        </w:rPr>
        <w:t xml:space="preserve">, 7 December, </w:t>
      </w:r>
      <w:r w:rsidRPr="00BE553E">
        <w:rPr>
          <w:rFonts w:eastAsia="Calibri" w:cs="Calibri"/>
          <w:lang w:val="en-GB"/>
        </w:rPr>
        <w:t>http://www.theguardian.com/gnm-press-office/2015/dec/17/guardian-reports-rec</w:t>
      </w:r>
      <w:r>
        <w:rPr>
          <w:rFonts w:eastAsia="Calibri" w:cs="Calibri"/>
          <w:lang w:val="en-GB"/>
        </w:rPr>
        <w:t>ord-digital-traffic-in-november, accessed 3 April 2016.</w:t>
      </w:r>
    </w:p>
    <w:p w14:paraId="1359C54C" w14:textId="77777777" w:rsidR="002B77A7" w:rsidRPr="00895ACF" w:rsidRDefault="002B77A7" w:rsidP="002B77A7">
      <w:pPr>
        <w:spacing w:line="360" w:lineRule="auto"/>
        <w:ind w:left="709" w:hanging="709"/>
        <w:jc w:val="both"/>
        <w:rPr>
          <w:lang w:val="en-GB"/>
        </w:rPr>
      </w:pPr>
      <w:r w:rsidRPr="00895ACF">
        <w:rPr>
          <w:rFonts w:eastAsia="Calibri" w:cs="Calibri"/>
          <w:lang w:val="en-GB"/>
        </w:rPr>
        <w:t xml:space="preserve">Göhler, G. (ed.) </w:t>
      </w:r>
      <w:r w:rsidRPr="00C46E97">
        <w:rPr>
          <w:rFonts w:eastAsia="Calibri" w:cs="Calibri"/>
          <w:lang w:val="en-GB"/>
        </w:rPr>
        <w:t xml:space="preserve">(1997) </w:t>
      </w:r>
      <w:r w:rsidRPr="00CE3236">
        <w:rPr>
          <w:rFonts w:eastAsia="Calibri" w:cs="Calibri"/>
          <w:i/>
          <w:lang w:val="en-GB"/>
        </w:rPr>
        <w:t>Institution - Macht - Repräsentation: Wafür Politische Institutionen Stehen und wie sie Wirken</w:t>
      </w:r>
      <w:r w:rsidRPr="00C46E97">
        <w:rPr>
          <w:rFonts w:eastAsia="Calibri" w:cs="Calibri"/>
          <w:lang w:val="en-GB"/>
        </w:rPr>
        <w:t xml:space="preserve"> [Institution – Power – Representation: </w:t>
      </w:r>
      <w:r>
        <w:rPr>
          <w:rFonts w:eastAsia="Calibri" w:cs="Calibri"/>
          <w:lang w:val="en-GB"/>
        </w:rPr>
        <w:t>For what</w:t>
      </w:r>
      <w:r w:rsidRPr="00C46E97">
        <w:rPr>
          <w:rFonts w:eastAsia="Calibri" w:cs="Calibri"/>
          <w:lang w:val="en-GB"/>
        </w:rPr>
        <w:t xml:space="preserve"> Political Institutions Exist and How they Work]. </w:t>
      </w:r>
      <w:r w:rsidRPr="00895ACF">
        <w:rPr>
          <w:rFonts w:eastAsia="Calibri" w:cs="Calibri"/>
          <w:lang w:val="en-GB"/>
        </w:rPr>
        <w:t>Baden-Baden: Nomos.</w:t>
      </w:r>
    </w:p>
    <w:p w14:paraId="75F2BAAA" w14:textId="77777777" w:rsidR="002B77A7" w:rsidRPr="00BE553E" w:rsidRDefault="002B77A7" w:rsidP="002B77A7">
      <w:pPr>
        <w:spacing w:line="360" w:lineRule="auto"/>
        <w:ind w:left="709" w:hanging="709"/>
        <w:jc w:val="both"/>
        <w:rPr>
          <w:lang w:val="en-GB"/>
        </w:rPr>
      </w:pPr>
      <w:r w:rsidRPr="00AA2131">
        <w:rPr>
          <w:rFonts w:eastAsia="Calibri" w:cs="Calibri"/>
          <w:lang w:val="en-GB"/>
        </w:rPr>
        <w:t xml:space="preserve">Göhler, G. </w:t>
      </w:r>
      <w:r w:rsidRPr="00BE553E">
        <w:rPr>
          <w:rFonts w:eastAsia="Calibri" w:cs="Calibri"/>
          <w:lang w:val="en-GB"/>
        </w:rPr>
        <w:t xml:space="preserve">(2000) Constitution and use of power. </w:t>
      </w:r>
      <w:r w:rsidRPr="00AA2131">
        <w:rPr>
          <w:rFonts w:eastAsia="Calibri" w:cs="Calibri"/>
        </w:rPr>
        <w:t xml:space="preserve">In: H. Goverde et al (eds.) </w:t>
      </w:r>
      <w:r w:rsidRPr="00CE3236">
        <w:rPr>
          <w:rFonts w:eastAsia="Calibri" w:cs="Calibri"/>
          <w:i/>
          <w:lang w:val="en-GB"/>
        </w:rPr>
        <w:t>Power in Contemporary Politics</w:t>
      </w:r>
      <w:r>
        <w:rPr>
          <w:rFonts w:eastAsia="Calibri" w:cs="Calibri"/>
          <w:lang w:val="en-GB"/>
        </w:rPr>
        <w:t>. London: SAGE Publications Ltd,</w:t>
      </w:r>
      <w:r w:rsidRPr="00AA2131">
        <w:rPr>
          <w:rFonts w:eastAsia="Calibri" w:cs="Calibri"/>
          <w:lang w:val="en-GB"/>
        </w:rPr>
        <w:t xml:space="preserve"> </w:t>
      </w:r>
      <w:r w:rsidRPr="00BE553E">
        <w:rPr>
          <w:rFonts w:eastAsia="Calibri" w:cs="Calibri"/>
          <w:lang w:val="en-GB"/>
        </w:rPr>
        <w:t>pp. 41-58</w:t>
      </w:r>
      <w:r>
        <w:rPr>
          <w:rFonts w:eastAsia="Calibri" w:cs="Calibri"/>
          <w:lang w:val="en-GB"/>
        </w:rPr>
        <w:t>.</w:t>
      </w:r>
    </w:p>
    <w:p w14:paraId="7BF00597" w14:textId="77777777" w:rsidR="002B77A7" w:rsidRPr="00BE553E" w:rsidRDefault="002B77A7" w:rsidP="002B77A7">
      <w:pPr>
        <w:spacing w:line="360" w:lineRule="auto"/>
        <w:ind w:left="709" w:hanging="709"/>
        <w:jc w:val="both"/>
        <w:rPr>
          <w:lang w:val="en-GB"/>
        </w:rPr>
      </w:pPr>
      <w:r w:rsidRPr="00AA2131">
        <w:rPr>
          <w:rFonts w:eastAsia="Calibri" w:cs="Calibri"/>
          <w:lang w:val="en-GB"/>
        </w:rPr>
        <w:t xml:space="preserve">Göhler, G. </w:t>
      </w:r>
      <w:r>
        <w:rPr>
          <w:rFonts w:eastAsia="Calibri" w:cs="Calibri"/>
          <w:lang w:val="en-GB"/>
        </w:rPr>
        <w:t>(2009)</w:t>
      </w:r>
      <w:r w:rsidRPr="00BE553E">
        <w:rPr>
          <w:rFonts w:eastAsia="Calibri" w:cs="Calibri"/>
          <w:lang w:val="en-GB"/>
        </w:rPr>
        <w:t xml:space="preserve"> ‘Power to’ and ‘power over’. In</w:t>
      </w:r>
      <w:r>
        <w:rPr>
          <w:rFonts w:eastAsia="Calibri" w:cs="Calibri"/>
          <w:lang w:val="en-GB"/>
        </w:rPr>
        <w:t>:</w:t>
      </w:r>
      <w:r w:rsidRPr="00BE553E">
        <w:rPr>
          <w:rFonts w:eastAsia="Calibri" w:cs="Calibri"/>
          <w:lang w:val="en-GB"/>
        </w:rPr>
        <w:t xml:space="preserve"> S.R. Clegg and</w:t>
      </w:r>
      <w:r>
        <w:rPr>
          <w:rFonts w:eastAsia="Calibri" w:cs="Calibri"/>
          <w:lang w:val="en-GB"/>
        </w:rPr>
        <w:t xml:space="preserve"> M. Haugaard (eds.)</w:t>
      </w:r>
      <w:r w:rsidRPr="00BE553E">
        <w:rPr>
          <w:rFonts w:eastAsia="Calibri" w:cs="Calibri"/>
          <w:lang w:val="en-GB"/>
        </w:rPr>
        <w:t xml:space="preserve"> </w:t>
      </w:r>
      <w:r w:rsidRPr="00CE3236">
        <w:rPr>
          <w:rFonts w:eastAsia="Calibri" w:cs="Calibri"/>
          <w:i/>
          <w:lang w:val="en-GB"/>
        </w:rPr>
        <w:t>The SAGE Handbook of Power</w:t>
      </w:r>
      <w:r>
        <w:rPr>
          <w:rFonts w:eastAsia="Calibri" w:cs="Calibri"/>
          <w:lang w:val="en-GB"/>
        </w:rPr>
        <w:t>. London: SAGE Publications Ltd,</w:t>
      </w:r>
      <w:r w:rsidRPr="00AA2131">
        <w:rPr>
          <w:rFonts w:eastAsia="Calibri" w:cs="Calibri"/>
          <w:lang w:val="en-GB"/>
        </w:rPr>
        <w:t xml:space="preserve"> </w:t>
      </w:r>
      <w:r w:rsidRPr="00BE553E">
        <w:rPr>
          <w:rFonts w:eastAsia="Calibri" w:cs="Calibri"/>
          <w:lang w:val="en-GB"/>
        </w:rPr>
        <w:t>pp. 27-39</w:t>
      </w:r>
      <w:r>
        <w:rPr>
          <w:rFonts w:eastAsia="Calibri" w:cs="Calibri"/>
          <w:lang w:val="en-GB"/>
        </w:rPr>
        <w:t>.</w:t>
      </w:r>
    </w:p>
    <w:p w14:paraId="4213592F" w14:textId="77777777" w:rsidR="002B77A7" w:rsidRPr="00BE553E" w:rsidRDefault="002B77A7" w:rsidP="002B77A7">
      <w:pPr>
        <w:spacing w:line="360" w:lineRule="auto"/>
        <w:ind w:left="709" w:hanging="709"/>
        <w:jc w:val="both"/>
        <w:rPr>
          <w:lang w:val="en-GB"/>
        </w:rPr>
      </w:pPr>
      <w:r w:rsidRPr="00BE553E">
        <w:rPr>
          <w:rFonts w:eastAsia="Calibri" w:cs="Calibri"/>
          <w:lang w:val="en-GB"/>
        </w:rPr>
        <w:t xml:space="preserve">Gordon, T. (n.d.). What we stand for. </w:t>
      </w:r>
      <w:r w:rsidRPr="00CE3236">
        <w:rPr>
          <w:rFonts w:eastAsia="Calibri" w:cs="Calibri"/>
          <w:i/>
          <w:lang w:val="en-GB"/>
        </w:rPr>
        <w:t>LibDems</w:t>
      </w:r>
      <w:r>
        <w:rPr>
          <w:rFonts w:eastAsia="Calibri" w:cs="Calibri"/>
          <w:lang w:val="en-GB"/>
        </w:rPr>
        <w:t>,</w:t>
      </w:r>
      <w:r w:rsidRPr="00BE553E">
        <w:rPr>
          <w:rFonts w:eastAsia="Calibri" w:cs="Calibri"/>
          <w:lang w:val="en-GB"/>
        </w:rPr>
        <w:t xml:space="preserve"> </w:t>
      </w:r>
      <w:r w:rsidRPr="0013725E">
        <w:rPr>
          <w:rFonts w:eastAsia="Calibri" w:cs="Calibri"/>
          <w:lang w:val="en-GB"/>
        </w:rPr>
        <w:t>http://www.libdems.org.uk/about_our_party</w:t>
      </w:r>
      <w:r>
        <w:rPr>
          <w:rFonts w:eastAsia="Calibri" w:cs="Calibri"/>
          <w:lang w:val="en-GB"/>
        </w:rPr>
        <w:t>, accessed 3 May 2016.</w:t>
      </w:r>
    </w:p>
    <w:p w14:paraId="7B512621" w14:textId="77777777" w:rsidR="002B77A7" w:rsidRPr="00BE553E" w:rsidRDefault="002B77A7" w:rsidP="002B77A7">
      <w:pPr>
        <w:spacing w:line="360" w:lineRule="auto"/>
        <w:ind w:left="709" w:hanging="709"/>
        <w:jc w:val="both"/>
        <w:rPr>
          <w:rFonts w:eastAsia="Calibri" w:cs="Calibri"/>
          <w:lang w:val="en-GB"/>
        </w:rPr>
      </w:pPr>
      <w:r>
        <w:rPr>
          <w:rFonts w:eastAsia="Calibri" w:cs="Calibri"/>
          <w:lang w:val="en-GB"/>
        </w:rPr>
        <w:t>Graham, D.A. (2015)</w:t>
      </w:r>
      <w:r w:rsidRPr="00BE553E">
        <w:rPr>
          <w:rFonts w:eastAsia="Calibri" w:cs="Calibri"/>
          <w:lang w:val="en-GB"/>
        </w:rPr>
        <w:t xml:space="preserve"> The empathy gap between </w:t>
      </w:r>
      <w:r>
        <w:rPr>
          <w:rFonts w:eastAsia="Calibri" w:cs="Calibri"/>
          <w:lang w:val="en-GB"/>
        </w:rPr>
        <w:t xml:space="preserve">Paris and Beirut. </w:t>
      </w:r>
      <w:r w:rsidRPr="00CE3236">
        <w:rPr>
          <w:rFonts w:eastAsia="Calibri" w:cs="Calibri"/>
          <w:i/>
          <w:lang w:val="en-GB"/>
        </w:rPr>
        <w:t>The Atlantic</w:t>
      </w:r>
      <w:r>
        <w:rPr>
          <w:rFonts w:eastAsia="Calibri" w:cs="Calibri"/>
          <w:lang w:val="en-GB"/>
        </w:rPr>
        <w:t xml:space="preserve">, 16 November, </w:t>
      </w:r>
      <w:r w:rsidRPr="00BE553E">
        <w:rPr>
          <w:rFonts w:eastAsia="Calibri" w:cs="Calibri"/>
          <w:lang w:val="en-GB"/>
        </w:rPr>
        <w:t>http://www.theatlantic.com/international/archive/2015/11/paris-beiru</w:t>
      </w:r>
      <w:r>
        <w:rPr>
          <w:rFonts w:eastAsia="Calibri" w:cs="Calibri"/>
          <w:lang w:val="en-GB"/>
        </w:rPr>
        <w:t>t-terrorism-empathy-gap/416121/, accessed 4 July 2016.</w:t>
      </w:r>
    </w:p>
    <w:p w14:paraId="7330B9D2" w14:textId="77777777" w:rsidR="002B77A7" w:rsidRPr="00BE553E" w:rsidRDefault="002B77A7" w:rsidP="002B77A7">
      <w:pPr>
        <w:spacing w:line="360" w:lineRule="auto"/>
        <w:ind w:left="709" w:hanging="709"/>
        <w:jc w:val="both"/>
        <w:rPr>
          <w:lang w:val="en-GB"/>
        </w:rPr>
      </w:pPr>
      <w:r>
        <w:rPr>
          <w:rFonts w:eastAsia="Calibri" w:cs="Calibri"/>
          <w:lang w:val="en-GB"/>
        </w:rPr>
        <w:t>Greenslade, R. (2015)</w:t>
      </w:r>
      <w:r w:rsidRPr="00BE553E">
        <w:rPr>
          <w:rFonts w:eastAsia="Calibri" w:cs="Calibri"/>
          <w:lang w:val="en-GB"/>
        </w:rPr>
        <w:t xml:space="preserve"> Why the Paris attacks got larger coverage than</w:t>
      </w:r>
      <w:r>
        <w:rPr>
          <w:rFonts w:eastAsia="Calibri" w:cs="Calibri"/>
          <w:lang w:val="en-GB"/>
        </w:rPr>
        <w:t xml:space="preserve"> other tragedies. </w:t>
      </w:r>
      <w:r w:rsidRPr="00CE3236">
        <w:rPr>
          <w:rFonts w:eastAsia="Calibri" w:cs="Calibri"/>
          <w:i/>
          <w:lang w:val="en-GB"/>
        </w:rPr>
        <w:t>The Guardian</w:t>
      </w:r>
      <w:r>
        <w:rPr>
          <w:rFonts w:eastAsia="Calibri" w:cs="Calibri"/>
          <w:lang w:val="en-GB"/>
        </w:rPr>
        <w:t xml:space="preserve">, 18 </w:t>
      </w:r>
      <w:r w:rsidRPr="00BE553E">
        <w:rPr>
          <w:rFonts w:eastAsia="Calibri" w:cs="Calibri"/>
          <w:lang w:val="en-GB"/>
        </w:rPr>
        <w:t>November</w:t>
      </w:r>
      <w:r>
        <w:rPr>
          <w:rFonts w:eastAsia="Calibri" w:cs="Calibri"/>
          <w:lang w:val="en-GB"/>
        </w:rPr>
        <w:t xml:space="preserve">¸ </w:t>
      </w:r>
      <w:r w:rsidRPr="00BE553E">
        <w:rPr>
          <w:rFonts w:eastAsia="Arial" w:cs="Arial"/>
          <w:lang w:val="en-GB"/>
        </w:rPr>
        <w:t>http://www.theguardian.com/media/greenslade/2015/nov/18/why-the-paris-attacks-got-larger-uk-</w:t>
      </w:r>
      <w:r>
        <w:rPr>
          <w:rFonts w:eastAsia="Arial" w:cs="Arial"/>
          <w:lang w:val="en-GB"/>
        </w:rPr>
        <w:t>coverage-than-similar-tragedies</w:t>
      </w:r>
      <w:r>
        <w:rPr>
          <w:rFonts w:eastAsia="Calibri" w:cs="Calibri"/>
          <w:lang w:val="en-GB"/>
        </w:rPr>
        <w:t>, accessed 13 June 2016.</w:t>
      </w:r>
    </w:p>
    <w:p w14:paraId="2F55949E" w14:textId="77777777" w:rsidR="002B77A7" w:rsidRPr="00BE553E" w:rsidRDefault="002B77A7" w:rsidP="002B77A7">
      <w:pPr>
        <w:spacing w:line="360" w:lineRule="auto"/>
        <w:ind w:left="709" w:hanging="709"/>
        <w:jc w:val="both"/>
        <w:rPr>
          <w:rFonts w:eastAsia="Calibri" w:cs="Calibri"/>
          <w:lang w:val="en-GB"/>
        </w:rPr>
      </w:pPr>
      <w:r>
        <w:rPr>
          <w:rFonts w:eastAsia="Calibri" w:cs="Calibri"/>
          <w:lang w:val="en-GB"/>
        </w:rPr>
        <w:t xml:space="preserve">Guardian key stats (2016) </w:t>
      </w:r>
      <w:r w:rsidRPr="00CE3236">
        <w:rPr>
          <w:rFonts w:eastAsia="Calibri" w:cs="Calibri"/>
          <w:i/>
          <w:lang w:val="en-GB"/>
        </w:rPr>
        <w:t>The Guardian</w:t>
      </w:r>
      <w:r>
        <w:rPr>
          <w:rFonts w:eastAsia="Calibri" w:cs="Calibri"/>
          <w:lang w:val="en-GB"/>
        </w:rPr>
        <w:t xml:space="preserve">, June, </w:t>
      </w:r>
      <w:r w:rsidRPr="00BE553E">
        <w:rPr>
          <w:rFonts w:eastAsia="Calibri" w:cs="Calibri"/>
          <w:lang w:val="en-GB"/>
        </w:rPr>
        <w:t>http://advertising.theguardian.com/assets//files/audience/g</w:t>
      </w:r>
      <w:r>
        <w:rPr>
          <w:rFonts w:eastAsia="Calibri" w:cs="Calibri"/>
          <w:lang w:val="en-GB"/>
        </w:rPr>
        <w:t>uardian-cheatsheet-jun-2016.pdf, accessed 3 July 2016.</w:t>
      </w:r>
    </w:p>
    <w:p w14:paraId="01333776" w14:textId="77777777" w:rsidR="002B77A7" w:rsidRPr="00BE553E" w:rsidRDefault="002B77A7" w:rsidP="002B77A7">
      <w:pPr>
        <w:spacing w:line="360" w:lineRule="auto"/>
        <w:ind w:left="709" w:hanging="709"/>
        <w:jc w:val="both"/>
        <w:rPr>
          <w:lang w:val="en-GB"/>
        </w:rPr>
      </w:pPr>
      <w:r w:rsidRPr="00BE553E">
        <w:rPr>
          <w:rFonts w:eastAsia="Calibri" w:cs="Calibri"/>
          <w:lang w:val="en-GB"/>
        </w:rPr>
        <w:t>Guardian readership p</w:t>
      </w:r>
      <w:r>
        <w:rPr>
          <w:rFonts w:eastAsia="Calibri" w:cs="Calibri"/>
          <w:lang w:val="en-GB"/>
        </w:rPr>
        <w:t xml:space="preserve">rofile (2010) </w:t>
      </w:r>
      <w:r w:rsidRPr="00CE3236">
        <w:rPr>
          <w:rFonts w:eastAsia="Calibri" w:cs="Calibri"/>
          <w:i/>
          <w:lang w:val="en-GB"/>
        </w:rPr>
        <w:t>The Guardian</w:t>
      </w:r>
      <w:r>
        <w:rPr>
          <w:rFonts w:eastAsia="Calibri" w:cs="Calibri"/>
          <w:lang w:val="en-GB"/>
        </w:rPr>
        <w:t xml:space="preserve">, 30 April, </w:t>
      </w:r>
      <w:r w:rsidRPr="00BE553E">
        <w:rPr>
          <w:rFonts w:eastAsia="Calibri" w:cs="Calibri"/>
          <w:lang w:val="en-GB"/>
        </w:rPr>
        <w:t>http://www.theguardian.com/advertising/advertis</w:t>
      </w:r>
      <w:r>
        <w:rPr>
          <w:rFonts w:eastAsia="Calibri" w:cs="Calibri"/>
          <w:lang w:val="en-GB"/>
        </w:rPr>
        <w:t>ing-guardian-readership-profile, accessed 3 April 2016.</w:t>
      </w:r>
    </w:p>
    <w:p w14:paraId="24E356FA" w14:textId="77777777" w:rsidR="002B77A7" w:rsidRPr="00BE553E" w:rsidRDefault="002B77A7" w:rsidP="002B77A7">
      <w:pPr>
        <w:spacing w:line="360" w:lineRule="auto"/>
        <w:ind w:left="709" w:hanging="709"/>
        <w:jc w:val="both"/>
        <w:rPr>
          <w:rFonts w:eastAsia="Calibri" w:cs="Calibri"/>
          <w:lang w:val="en-GB"/>
        </w:rPr>
      </w:pPr>
      <w:r>
        <w:rPr>
          <w:rFonts w:eastAsia="Calibri" w:cs="Calibri"/>
          <w:lang w:val="en-GB"/>
        </w:rPr>
        <w:t>Habermas (1988)</w:t>
      </w:r>
      <w:r w:rsidRPr="00BE553E">
        <w:rPr>
          <w:rFonts w:eastAsia="Calibri" w:cs="Calibri"/>
          <w:lang w:val="en-GB"/>
        </w:rPr>
        <w:t xml:space="preserve"> </w:t>
      </w:r>
      <w:r w:rsidRPr="00CE3236">
        <w:rPr>
          <w:rFonts w:eastAsia="Calibri" w:cs="Calibri"/>
          <w:i/>
          <w:lang w:val="en-GB"/>
        </w:rPr>
        <w:t>Philo</w:t>
      </w:r>
      <w:r>
        <w:rPr>
          <w:rFonts w:eastAsia="Calibri" w:cs="Calibri"/>
          <w:i/>
          <w:lang w:val="en-GB"/>
        </w:rPr>
        <w:t>sophical D</w:t>
      </w:r>
      <w:r w:rsidRPr="00CE3236">
        <w:rPr>
          <w:rFonts w:eastAsia="Calibri" w:cs="Calibri"/>
          <w:i/>
          <w:lang w:val="en-GB"/>
        </w:rPr>
        <w:t xml:space="preserve">iscourse of </w:t>
      </w:r>
      <w:r>
        <w:rPr>
          <w:rFonts w:eastAsia="Calibri" w:cs="Calibri"/>
          <w:i/>
          <w:lang w:val="en-GB"/>
        </w:rPr>
        <w:t>M</w:t>
      </w:r>
      <w:r w:rsidRPr="00CE3236">
        <w:rPr>
          <w:rFonts w:eastAsia="Calibri" w:cs="Calibri"/>
          <w:i/>
          <w:lang w:val="en-GB"/>
        </w:rPr>
        <w:t>odernity: Twelve Lectures</w:t>
      </w:r>
      <w:r w:rsidRPr="00BE553E">
        <w:rPr>
          <w:rFonts w:eastAsia="Calibri" w:cs="Calibri"/>
          <w:lang w:val="en-GB"/>
        </w:rPr>
        <w:t>. Cambridge: MIT Press.</w:t>
      </w:r>
    </w:p>
    <w:p w14:paraId="408C75A2" w14:textId="77777777" w:rsidR="002B77A7" w:rsidRPr="00BE553E" w:rsidRDefault="002B77A7" w:rsidP="002B77A7">
      <w:pPr>
        <w:spacing w:line="360" w:lineRule="auto"/>
        <w:ind w:left="709" w:hanging="709"/>
        <w:jc w:val="both"/>
        <w:rPr>
          <w:rFonts w:eastAsia="Calibri" w:cs="Calibri"/>
          <w:lang w:val="en-GB"/>
        </w:rPr>
      </w:pPr>
      <w:r w:rsidRPr="00BE553E">
        <w:rPr>
          <w:rFonts w:eastAsia="Calibri" w:cs="Calibri"/>
          <w:lang w:val="en-GB"/>
        </w:rPr>
        <w:t>Halliday, J. and Bucks, J. (</w:t>
      </w:r>
      <w:r>
        <w:rPr>
          <w:rFonts w:eastAsia="Calibri" w:cs="Calibri"/>
          <w:lang w:val="en-GB"/>
        </w:rPr>
        <w:t>2015)</w:t>
      </w:r>
      <w:r w:rsidRPr="00BE553E">
        <w:rPr>
          <w:rFonts w:eastAsia="Calibri" w:cs="Calibri"/>
          <w:lang w:val="en-GB"/>
        </w:rPr>
        <w:t xml:space="preserve"> Paris attacks: final victims named include ma</w:t>
      </w:r>
      <w:r>
        <w:rPr>
          <w:rFonts w:eastAsia="Calibri" w:cs="Calibri"/>
          <w:lang w:val="en-GB"/>
        </w:rPr>
        <w:t xml:space="preserve">n killed at home. </w:t>
      </w:r>
      <w:r w:rsidRPr="00CE3236">
        <w:rPr>
          <w:rFonts w:eastAsia="Calibri" w:cs="Calibri"/>
          <w:i/>
          <w:lang w:val="en-GB"/>
        </w:rPr>
        <w:t>The Guardian</w:t>
      </w:r>
      <w:r>
        <w:rPr>
          <w:rFonts w:eastAsia="Calibri" w:cs="Calibri"/>
          <w:lang w:val="en-GB"/>
        </w:rPr>
        <w:t xml:space="preserve">, 18 November, </w:t>
      </w:r>
      <w:r w:rsidRPr="00BE553E">
        <w:rPr>
          <w:rFonts w:cs="Arial"/>
          <w:lang w:val="en-GB"/>
        </w:rPr>
        <w:t>https://www.theguardian.com/world/2015/nov/18/paris-attacks-final-victims-named-stephan-hache-killed-home</w:t>
      </w:r>
      <w:r>
        <w:rPr>
          <w:rFonts w:eastAsia="Calibri" w:cs="Calibri"/>
          <w:lang w:val="en-GB"/>
        </w:rPr>
        <w:t>, accessed 4 May 2016.</w:t>
      </w:r>
    </w:p>
    <w:p w14:paraId="6789B1C3" w14:textId="77777777" w:rsidR="002B77A7" w:rsidRPr="00BE553E" w:rsidRDefault="002B77A7" w:rsidP="002B77A7">
      <w:pPr>
        <w:spacing w:line="360" w:lineRule="auto"/>
        <w:ind w:left="709" w:hanging="709"/>
        <w:jc w:val="both"/>
        <w:rPr>
          <w:lang w:val="en-GB"/>
        </w:rPr>
      </w:pPr>
      <w:r w:rsidRPr="00BE553E">
        <w:rPr>
          <w:rFonts w:eastAsia="Calibri" w:cs="Calibri"/>
          <w:lang w:val="en-GB"/>
        </w:rPr>
        <w:t>Hardt, M. (1991) Translator’s foreword: The anatomy of power. In</w:t>
      </w:r>
      <w:r>
        <w:rPr>
          <w:rFonts w:eastAsia="Calibri" w:cs="Calibri"/>
          <w:lang w:val="en-GB"/>
        </w:rPr>
        <w:t xml:space="preserve">: A. Negri (author) </w:t>
      </w:r>
      <w:r w:rsidRPr="00CE3236">
        <w:rPr>
          <w:rFonts w:eastAsia="Calibri" w:cs="Calibri"/>
          <w:i/>
          <w:lang w:val="en-GB"/>
        </w:rPr>
        <w:t>The Savage Anomaly: The Power of Spinoza’s Metaphysics and Politics</w:t>
      </w:r>
      <w:r>
        <w:rPr>
          <w:rFonts w:eastAsia="Calibri" w:cs="Calibri"/>
          <w:lang w:val="en-GB"/>
        </w:rPr>
        <w:t>, trans. M. Hardt,</w:t>
      </w:r>
      <w:r w:rsidRPr="00BE553E">
        <w:rPr>
          <w:rFonts w:eastAsia="Calibri" w:cs="Calibri"/>
          <w:lang w:val="en-GB"/>
        </w:rPr>
        <w:t xml:space="preserve"> Oxford: University of Minnesota Press</w:t>
      </w:r>
      <w:r>
        <w:rPr>
          <w:rFonts w:eastAsia="Calibri" w:cs="Calibri"/>
          <w:lang w:val="en-GB"/>
        </w:rPr>
        <w:t>,</w:t>
      </w:r>
      <w:r w:rsidRPr="00AA2131">
        <w:rPr>
          <w:rFonts w:eastAsia="Calibri" w:cs="Calibri"/>
          <w:lang w:val="en-GB"/>
        </w:rPr>
        <w:t xml:space="preserve"> </w:t>
      </w:r>
      <w:r w:rsidRPr="00BE553E">
        <w:rPr>
          <w:rFonts w:eastAsia="Calibri" w:cs="Calibri"/>
          <w:lang w:val="en-GB"/>
        </w:rPr>
        <w:t xml:space="preserve">pp. xi-xvi. (Original work published in 1981). </w:t>
      </w:r>
    </w:p>
    <w:p w14:paraId="28756932" w14:textId="77777777" w:rsidR="002B77A7" w:rsidRPr="00BE553E" w:rsidRDefault="002B77A7" w:rsidP="002B77A7">
      <w:pPr>
        <w:spacing w:line="360" w:lineRule="auto"/>
        <w:ind w:left="709" w:hanging="709"/>
        <w:jc w:val="both"/>
        <w:rPr>
          <w:rFonts w:eastAsia="Calibri" w:cs="Calibri"/>
          <w:lang w:val="en-GB"/>
        </w:rPr>
      </w:pPr>
      <w:r>
        <w:rPr>
          <w:rFonts w:eastAsia="Calibri" w:cs="Calibri"/>
          <w:lang w:val="en-GB"/>
        </w:rPr>
        <w:lastRenderedPageBreak/>
        <w:t>Hekman, S. (ed.) (1996)</w:t>
      </w:r>
      <w:r w:rsidRPr="00BE553E">
        <w:rPr>
          <w:rFonts w:eastAsia="Calibri" w:cs="Calibri"/>
          <w:lang w:val="en-GB"/>
        </w:rPr>
        <w:t xml:space="preserve"> </w:t>
      </w:r>
      <w:r w:rsidRPr="00CE3236">
        <w:rPr>
          <w:rFonts w:eastAsia="Calibri" w:cs="Calibri"/>
          <w:i/>
          <w:lang w:val="en-GB"/>
        </w:rPr>
        <w:t>Feminist Interpretations of Michel Foucault</w:t>
      </w:r>
      <w:r w:rsidRPr="00BE553E">
        <w:rPr>
          <w:rFonts w:eastAsia="Calibri" w:cs="Calibri"/>
          <w:lang w:val="en-GB"/>
        </w:rPr>
        <w:t>. University Park: The Pennsylvania State University Press.</w:t>
      </w:r>
    </w:p>
    <w:p w14:paraId="3B517776" w14:textId="77777777" w:rsidR="002B77A7" w:rsidRPr="00BE553E" w:rsidRDefault="002B77A7" w:rsidP="002B77A7">
      <w:pPr>
        <w:spacing w:line="360" w:lineRule="auto"/>
        <w:ind w:left="709" w:hanging="709"/>
        <w:jc w:val="both"/>
        <w:rPr>
          <w:lang w:val="en-GB"/>
        </w:rPr>
      </w:pPr>
      <w:r w:rsidRPr="00BE553E">
        <w:rPr>
          <w:rFonts w:eastAsia="Calibri" w:cs="Calibri"/>
          <w:lang w:val="en-GB"/>
        </w:rPr>
        <w:t>Henley, J. and</w:t>
      </w:r>
      <w:r>
        <w:rPr>
          <w:rFonts w:eastAsia="Calibri" w:cs="Calibri"/>
          <w:lang w:val="en-GB"/>
        </w:rPr>
        <w:t xml:space="preserve"> Chrisafis, A. (2015)</w:t>
      </w:r>
      <w:r w:rsidRPr="00BE553E">
        <w:rPr>
          <w:rFonts w:eastAsia="Calibri" w:cs="Calibri"/>
          <w:lang w:val="en-GB"/>
        </w:rPr>
        <w:t xml:space="preserve"> Paris terror attacks: Hollande says Isis atrocity </w:t>
      </w:r>
      <w:r>
        <w:rPr>
          <w:rFonts w:eastAsia="Calibri" w:cs="Calibri"/>
          <w:lang w:val="en-GB"/>
        </w:rPr>
        <w:t xml:space="preserve">was ‘act of war’. </w:t>
      </w:r>
      <w:r w:rsidRPr="00021575">
        <w:rPr>
          <w:rFonts w:eastAsia="Calibri" w:cs="Calibri"/>
          <w:i/>
          <w:lang w:val="en-GB"/>
        </w:rPr>
        <w:t>The Guardian</w:t>
      </w:r>
      <w:r>
        <w:rPr>
          <w:rFonts w:eastAsia="Calibri" w:cs="Calibri"/>
          <w:lang w:val="en-GB"/>
        </w:rPr>
        <w:t xml:space="preserve">, 14 November¸ </w:t>
      </w:r>
      <w:r w:rsidRPr="00BE553E">
        <w:rPr>
          <w:rFonts w:eastAsia="Calibri" w:cs="Calibri"/>
          <w:lang w:val="en-GB"/>
        </w:rPr>
        <w:t>https://www.theguardian.com/world/2015/nov/13/paris-attack</w:t>
      </w:r>
      <w:r>
        <w:rPr>
          <w:rFonts w:eastAsia="Calibri" w:cs="Calibri"/>
          <w:lang w:val="en-GB"/>
        </w:rPr>
        <w:t>s-shootings-explosions-hostages, accessed 20 May 2016.</w:t>
      </w:r>
    </w:p>
    <w:p w14:paraId="3F60AA9B" w14:textId="77777777" w:rsidR="002B77A7" w:rsidRPr="00BE553E" w:rsidRDefault="002B77A7" w:rsidP="002B77A7">
      <w:pPr>
        <w:spacing w:line="360" w:lineRule="auto"/>
        <w:ind w:left="709" w:hanging="709"/>
        <w:jc w:val="both"/>
        <w:rPr>
          <w:rFonts w:eastAsia="Calibri" w:cs="Calibri"/>
          <w:lang w:val="en-GB"/>
        </w:rPr>
      </w:pPr>
      <w:r>
        <w:rPr>
          <w:rFonts w:eastAsia="Calibri" w:cs="Calibri"/>
          <w:lang w:val="en-GB"/>
        </w:rPr>
        <w:t>Hersch, L.M. (2015)</w:t>
      </w:r>
      <w:r w:rsidRPr="00BE553E">
        <w:rPr>
          <w:rFonts w:eastAsia="Calibri" w:cs="Calibri"/>
          <w:lang w:val="en-GB"/>
        </w:rPr>
        <w:t xml:space="preserve"> #prayingforParis, but also #pra</w:t>
      </w:r>
      <w:r>
        <w:rPr>
          <w:rFonts w:eastAsia="Calibri" w:cs="Calibri"/>
          <w:lang w:val="en-GB"/>
        </w:rPr>
        <w:t xml:space="preserve">yingforBeirut [Tweet]. </w:t>
      </w:r>
      <w:r w:rsidRPr="00021575">
        <w:rPr>
          <w:rFonts w:eastAsia="Calibri" w:cs="Calibri"/>
          <w:i/>
          <w:lang w:val="en-GB"/>
        </w:rPr>
        <w:t>Twitter</w:t>
      </w:r>
      <w:r>
        <w:rPr>
          <w:rFonts w:eastAsia="Calibri" w:cs="Calibri"/>
          <w:lang w:val="en-GB"/>
        </w:rPr>
        <w:t xml:space="preserve">, 13 November, </w:t>
      </w:r>
      <w:r w:rsidRPr="00BE553E">
        <w:rPr>
          <w:rFonts w:eastAsia="Calibri" w:cs="Calibri"/>
          <w:lang w:val="en-GB"/>
        </w:rPr>
        <w:t>https://twitter.com/LM_Hersch/status/665335</w:t>
      </w:r>
      <w:r>
        <w:rPr>
          <w:rFonts w:eastAsia="Calibri" w:cs="Calibri"/>
          <w:lang w:val="en-GB"/>
        </w:rPr>
        <w:t>480901210112, accessed 9 June 2016.</w:t>
      </w:r>
    </w:p>
    <w:p w14:paraId="7A7DD3BF" w14:textId="77777777" w:rsidR="002B77A7" w:rsidRPr="00BE553E" w:rsidRDefault="002B77A7" w:rsidP="002B77A7">
      <w:pPr>
        <w:spacing w:line="360" w:lineRule="auto"/>
        <w:ind w:left="709" w:hanging="709"/>
        <w:jc w:val="both"/>
        <w:rPr>
          <w:rFonts w:eastAsia="Calibri" w:cs="Calibri"/>
          <w:lang w:val="en-GB"/>
        </w:rPr>
      </w:pPr>
      <w:r w:rsidRPr="00BE553E">
        <w:rPr>
          <w:rFonts w:eastAsia="Calibri" w:cs="Calibri"/>
          <w:lang w:val="en-GB"/>
        </w:rPr>
        <w:t>Heyes, C. (2007)</w:t>
      </w:r>
      <w:r>
        <w:rPr>
          <w:rFonts w:eastAsia="Calibri" w:cs="Calibri"/>
          <w:lang w:val="en-GB"/>
        </w:rPr>
        <w:t xml:space="preserve">. </w:t>
      </w:r>
      <w:r w:rsidRPr="00021575">
        <w:rPr>
          <w:rFonts w:eastAsia="Calibri" w:cs="Calibri"/>
          <w:i/>
          <w:lang w:val="en-GB"/>
        </w:rPr>
        <w:t xml:space="preserve">Self-Transformations: Foucault, Ethics, and Normalized </w:t>
      </w:r>
      <w:r>
        <w:rPr>
          <w:rFonts w:eastAsia="Calibri" w:cs="Calibri"/>
          <w:i/>
          <w:lang w:val="en-GB"/>
        </w:rPr>
        <w:t>B</w:t>
      </w:r>
      <w:r w:rsidRPr="00021575">
        <w:rPr>
          <w:rFonts w:eastAsia="Calibri" w:cs="Calibri"/>
          <w:i/>
          <w:lang w:val="en-GB"/>
        </w:rPr>
        <w:t>odies</w:t>
      </w:r>
      <w:r w:rsidRPr="00BE553E">
        <w:rPr>
          <w:rFonts w:eastAsia="Calibri" w:cs="Calibri"/>
          <w:lang w:val="en-GB"/>
        </w:rPr>
        <w:t>. Oxford: Oxford University Press.</w:t>
      </w:r>
    </w:p>
    <w:p w14:paraId="4831459D" w14:textId="77777777" w:rsidR="002B77A7" w:rsidRPr="00BE553E" w:rsidRDefault="002B77A7" w:rsidP="002B77A7">
      <w:pPr>
        <w:spacing w:line="360" w:lineRule="auto"/>
        <w:ind w:left="709" w:hanging="709"/>
        <w:jc w:val="both"/>
        <w:rPr>
          <w:lang w:val="en-GB"/>
        </w:rPr>
      </w:pPr>
      <w:r w:rsidRPr="00BE553E">
        <w:rPr>
          <w:rFonts w:eastAsia="Calibri" w:cs="Calibri"/>
          <w:lang w:val="en-GB"/>
        </w:rPr>
        <w:t xml:space="preserve">Honig, B. (1988) Arendt, identity, and difference. </w:t>
      </w:r>
      <w:r w:rsidRPr="00021575">
        <w:rPr>
          <w:rFonts w:eastAsia="Calibri" w:cs="Calibri"/>
          <w:i/>
          <w:lang w:val="en-GB"/>
        </w:rPr>
        <w:t>Political Theory</w:t>
      </w:r>
      <w:r>
        <w:rPr>
          <w:rFonts w:eastAsia="Calibri" w:cs="Calibri"/>
          <w:lang w:val="en-GB"/>
        </w:rPr>
        <w:t xml:space="preserve"> 16(1):</w:t>
      </w:r>
      <w:r w:rsidRPr="00BE553E">
        <w:rPr>
          <w:rFonts w:eastAsia="Calibri" w:cs="Calibri"/>
          <w:lang w:val="en-GB"/>
        </w:rPr>
        <w:t xml:space="preserve"> 77-98.</w:t>
      </w:r>
    </w:p>
    <w:p w14:paraId="2548825C" w14:textId="77777777" w:rsidR="002B77A7" w:rsidRPr="00BE553E" w:rsidRDefault="002B77A7" w:rsidP="002B77A7">
      <w:pPr>
        <w:spacing w:line="360" w:lineRule="auto"/>
        <w:ind w:left="709" w:hanging="709"/>
        <w:jc w:val="both"/>
        <w:rPr>
          <w:lang w:val="en-GB"/>
        </w:rPr>
      </w:pPr>
      <w:r>
        <w:rPr>
          <w:rFonts w:eastAsia="Calibri" w:cs="Calibri"/>
          <w:lang w:val="en-GB"/>
        </w:rPr>
        <w:t xml:space="preserve">Hoy, D.C. (1986) </w:t>
      </w:r>
      <w:r w:rsidRPr="00021575">
        <w:rPr>
          <w:rFonts w:eastAsia="Calibri" w:cs="Calibri"/>
          <w:i/>
          <w:lang w:val="en-GB"/>
        </w:rPr>
        <w:t>Foucault: A Critical Reader</w:t>
      </w:r>
      <w:r w:rsidRPr="00BE553E">
        <w:rPr>
          <w:rFonts w:eastAsia="Calibri" w:cs="Calibri"/>
          <w:lang w:val="en-GB"/>
        </w:rPr>
        <w:t xml:space="preserve">. Oxford: Basil Blackwell. </w:t>
      </w:r>
    </w:p>
    <w:p w14:paraId="69BDD398" w14:textId="77777777" w:rsidR="002B77A7" w:rsidRPr="00BE553E" w:rsidRDefault="002B77A7" w:rsidP="002B77A7">
      <w:pPr>
        <w:spacing w:line="360" w:lineRule="auto"/>
        <w:ind w:left="709" w:hanging="709"/>
        <w:jc w:val="both"/>
        <w:rPr>
          <w:lang w:val="en-GB"/>
        </w:rPr>
      </w:pPr>
      <w:r w:rsidRPr="00BE553E">
        <w:rPr>
          <w:rFonts w:eastAsia="Calibri" w:cs="Calibri"/>
          <w:lang w:val="en-GB"/>
        </w:rPr>
        <w:t>I</w:t>
      </w:r>
      <w:r>
        <w:rPr>
          <w:rFonts w:eastAsia="Calibri" w:cs="Calibri"/>
          <w:lang w:val="en-GB"/>
        </w:rPr>
        <w:t xml:space="preserve">ndividual [Def. 1] (2016) </w:t>
      </w:r>
      <w:r w:rsidRPr="00021575">
        <w:rPr>
          <w:rFonts w:eastAsia="Calibri" w:cs="Calibri"/>
          <w:i/>
          <w:lang w:val="en-GB"/>
        </w:rPr>
        <w:t>Oxford Dictionaries</w:t>
      </w:r>
      <w:r w:rsidRPr="00BE553E">
        <w:rPr>
          <w:rFonts w:eastAsia="Calibri" w:cs="Calibri"/>
          <w:lang w:val="en-GB"/>
        </w:rPr>
        <w:t>, http://www.oxforddictionaries.co</w:t>
      </w:r>
      <w:r>
        <w:rPr>
          <w:rFonts w:eastAsia="Calibri" w:cs="Calibri"/>
          <w:lang w:val="en-GB"/>
        </w:rPr>
        <w:t>m/definition/english/individual, accessed 16 March 2016.</w:t>
      </w:r>
    </w:p>
    <w:p w14:paraId="326B55B2" w14:textId="77777777" w:rsidR="002B77A7" w:rsidRPr="009169AE" w:rsidRDefault="002B77A7" w:rsidP="002B77A7">
      <w:pPr>
        <w:spacing w:line="360" w:lineRule="auto"/>
        <w:ind w:left="709" w:hanging="709"/>
        <w:jc w:val="both"/>
        <w:rPr>
          <w:rFonts w:eastAsia="Calibri" w:cs="Calibri"/>
          <w:lang w:val="en-GB"/>
        </w:rPr>
      </w:pPr>
      <w:r>
        <w:rPr>
          <w:rFonts w:eastAsia="Calibri" w:cs="Calibri"/>
          <w:lang w:val="en-GB"/>
        </w:rPr>
        <w:t xml:space="preserve">Jäger, S. (1994) </w:t>
      </w:r>
      <w:r w:rsidRPr="00021575">
        <w:rPr>
          <w:rFonts w:eastAsia="Calibri" w:cs="Calibri"/>
          <w:i/>
          <w:lang w:val="en-GB"/>
        </w:rPr>
        <w:t>Text- und Diskursanalyse: Eine Anleitung zur Analyse politischer Texte</w:t>
      </w:r>
      <w:r w:rsidRPr="00BE553E">
        <w:rPr>
          <w:rFonts w:eastAsia="Calibri" w:cs="Calibri"/>
          <w:lang w:val="en-GB"/>
        </w:rPr>
        <w:t xml:space="preserve"> [Tekst- and </w:t>
      </w:r>
      <w:r>
        <w:rPr>
          <w:rFonts w:eastAsia="Calibri" w:cs="Calibri"/>
          <w:lang w:val="en-GB"/>
        </w:rPr>
        <w:t>D</w:t>
      </w:r>
      <w:r w:rsidRPr="00BE553E">
        <w:rPr>
          <w:rFonts w:eastAsia="Calibri" w:cs="Calibri"/>
          <w:lang w:val="en-GB"/>
        </w:rPr>
        <w:t xml:space="preserve">iscourse </w:t>
      </w:r>
      <w:r>
        <w:rPr>
          <w:rFonts w:eastAsia="Calibri" w:cs="Calibri"/>
          <w:lang w:val="en-GB"/>
        </w:rPr>
        <w:t>A</w:t>
      </w:r>
      <w:r w:rsidRPr="00BE553E">
        <w:rPr>
          <w:rFonts w:eastAsia="Calibri" w:cs="Calibri"/>
          <w:lang w:val="en-GB"/>
        </w:rPr>
        <w:t xml:space="preserve">nalysis: An </w:t>
      </w:r>
      <w:r>
        <w:rPr>
          <w:rFonts w:eastAsia="Calibri" w:cs="Calibri"/>
          <w:lang w:val="en-GB"/>
        </w:rPr>
        <w:t>I</w:t>
      </w:r>
      <w:r w:rsidRPr="00BE553E">
        <w:rPr>
          <w:rFonts w:eastAsia="Calibri" w:cs="Calibri"/>
          <w:lang w:val="en-GB"/>
        </w:rPr>
        <w:t xml:space="preserve">ntroduction into </w:t>
      </w:r>
      <w:r>
        <w:rPr>
          <w:rFonts w:eastAsia="Calibri" w:cs="Calibri"/>
          <w:lang w:val="en-GB"/>
        </w:rPr>
        <w:t>Analysing P</w:t>
      </w:r>
      <w:r w:rsidRPr="00BE553E">
        <w:rPr>
          <w:rFonts w:eastAsia="Calibri" w:cs="Calibri"/>
          <w:lang w:val="en-GB"/>
        </w:rPr>
        <w:t xml:space="preserve">olitical </w:t>
      </w:r>
      <w:r>
        <w:rPr>
          <w:rFonts w:eastAsia="Calibri" w:cs="Calibri"/>
          <w:lang w:val="en-GB"/>
        </w:rPr>
        <w:t>T</w:t>
      </w:r>
      <w:r w:rsidRPr="00BE553E">
        <w:rPr>
          <w:rFonts w:eastAsia="Calibri" w:cs="Calibri"/>
          <w:lang w:val="en-GB"/>
        </w:rPr>
        <w:t xml:space="preserve">exts]. </w:t>
      </w:r>
      <w:r w:rsidRPr="009169AE">
        <w:rPr>
          <w:rFonts w:eastAsia="Calibri" w:cs="Calibri"/>
          <w:lang w:val="en-GB"/>
        </w:rPr>
        <w:t xml:space="preserve">Duisburg. DISS-Texte nr. 16. </w:t>
      </w:r>
    </w:p>
    <w:p w14:paraId="5AC36195" w14:textId="77777777" w:rsidR="002B77A7" w:rsidRPr="00BE553E" w:rsidRDefault="002B77A7" w:rsidP="002B77A7">
      <w:pPr>
        <w:spacing w:line="360" w:lineRule="auto"/>
        <w:ind w:left="709" w:hanging="709"/>
        <w:jc w:val="both"/>
        <w:rPr>
          <w:lang w:val="en-GB"/>
        </w:rPr>
      </w:pPr>
      <w:r w:rsidRPr="009169AE">
        <w:rPr>
          <w:rFonts w:eastAsia="Calibri" w:cs="Calibri"/>
          <w:lang w:val="en-GB"/>
        </w:rPr>
        <w:t xml:space="preserve">Jäger, S. (2004) </w:t>
      </w:r>
      <w:r w:rsidRPr="009169AE">
        <w:rPr>
          <w:rFonts w:eastAsia="Calibri" w:cs="Calibri"/>
          <w:i/>
          <w:lang w:val="en-GB"/>
        </w:rPr>
        <w:t>Kritische Diskursanalyse: Eine Einführung</w:t>
      </w:r>
      <w:r w:rsidRPr="009169AE">
        <w:rPr>
          <w:rFonts w:eastAsia="Calibri" w:cs="Calibri"/>
          <w:lang w:val="en-GB"/>
        </w:rPr>
        <w:t xml:space="preserve"> [Discourse Analysis: </w:t>
      </w:r>
      <w:r w:rsidRPr="00BE553E">
        <w:rPr>
          <w:rFonts w:eastAsia="Calibri" w:cs="Calibri"/>
          <w:lang w:val="en-GB"/>
        </w:rPr>
        <w:t>An Introduction] (4</w:t>
      </w:r>
      <w:r>
        <w:rPr>
          <w:rFonts w:eastAsia="Calibri" w:cs="Calibri"/>
          <w:lang w:val="en-GB"/>
        </w:rPr>
        <w:t>th ed.). Münster: UNRAST-Verlag.</w:t>
      </w:r>
    </w:p>
    <w:p w14:paraId="14837BC1" w14:textId="77777777" w:rsidR="002B77A7" w:rsidRPr="004E1607" w:rsidRDefault="002B77A7" w:rsidP="002B77A7">
      <w:pPr>
        <w:spacing w:line="360" w:lineRule="auto"/>
        <w:ind w:left="709" w:hanging="709"/>
        <w:jc w:val="both"/>
        <w:rPr>
          <w:lang w:val="en-GB"/>
        </w:rPr>
      </w:pPr>
      <w:r w:rsidRPr="00BE553E">
        <w:rPr>
          <w:rFonts w:eastAsia="Calibri" w:cs="Calibri"/>
          <w:lang w:val="en-GB"/>
        </w:rPr>
        <w:t>Jäger, S. and Maier, F. (2009) Theoretical and methodological aspects of Foucauldian critical discourse analysis and dispositive analysis. In</w:t>
      </w:r>
      <w:r>
        <w:rPr>
          <w:rFonts w:eastAsia="Calibri" w:cs="Calibri"/>
          <w:lang w:val="en-GB"/>
        </w:rPr>
        <w:t>:</w:t>
      </w:r>
      <w:r w:rsidRPr="00BE553E">
        <w:rPr>
          <w:rFonts w:eastAsia="Calibri" w:cs="Calibri"/>
          <w:lang w:val="en-GB"/>
        </w:rPr>
        <w:t xml:space="preserve"> R. Wodak and</w:t>
      </w:r>
      <w:r>
        <w:rPr>
          <w:rFonts w:eastAsia="Calibri" w:cs="Calibri"/>
          <w:lang w:val="en-GB"/>
        </w:rPr>
        <w:t xml:space="preserve"> M. Meyer (eds.)</w:t>
      </w:r>
      <w:r w:rsidRPr="00BE553E">
        <w:rPr>
          <w:rFonts w:eastAsia="Calibri" w:cs="Calibri"/>
          <w:lang w:val="en-GB"/>
        </w:rPr>
        <w:t xml:space="preserve"> </w:t>
      </w:r>
      <w:r w:rsidRPr="00021575">
        <w:rPr>
          <w:rFonts w:eastAsia="Calibri" w:cs="Calibri"/>
          <w:i/>
          <w:lang w:val="en-GB"/>
        </w:rPr>
        <w:t>Methods of Critical Discourse Analysis</w:t>
      </w:r>
      <w:r w:rsidRPr="00BE553E">
        <w:rPr>
          <w:rFonts w:eastAsia="Calibri" w:cs="Calibri"/>
          <w:lang w:val="en-GB"/>
        </w:rPr>
        <w:t xml:space="preserve"> (2nd ed.)</w:t>
      </w:r>
      <w:r>
        <w:rPr>
          <w:rFonts w:eastAsia="Calibri" w:cs="Calibri"/>
          <w:lang w:val="en-GB"/>
        </w:rPr>
        <w:t xml:space="preserve">. London: SAGE Publications </w:t>
      </w:r>
      <w:r w:rsidRPr="004E1607">
        <w:rPr>
          <w:rFonts w:eastAsia="Calibri" w:cs="Calibri"/>
          <w:lang w:val="en-GB"/>
        </w:rPr>
        <w:t>Ltd, pp. 34-61.</w:t>
      </w:r>
    </w:p>
    <w:p w14:paraId="132F60CD" w14:textId="77777777" w:rsidR="002B77A7" w:rsidRPr="004E1607" w:rsidRDefault="002B77A7" w:rsidP="002B77A7">
      <w:pPr>
        <w:spacing w:line="360" w:lineRule="auto"/>
        <w:ind w:left="709" w:hanging="709"/>
        <w:jc w:val="both"/>
        <w:rPr>
          <w:lang w:val="en-GB"/>
        </w:rPr>
      </w:pPr>
      <w:r w:rsidRPr="004E1607">
        <w:rPr>
          <w:rFonts w:eastAsia="Calibri" w:cs="Calibri"/>
          <w:lang w:val="en-GB"/>
        </w:rPr>
        <w:t>Kearns, I. and</w:t>
      </w:r>
      <w:r>
        <w:rPr>
          <w:rFonts w:eastAsia="Calibri" w:cs="Calibri"/>
          <w:lang w:val="en-GB"/>
        </w:rPr>
        <w:t xml:space="preserve"> Lukes, S. (2006)</w:t>
      </w:r>
      <w:r w:rsidRPr="004E1607">
        <w:rPr>
          <w:rFonts w:eastAsia="Calibri" w:cs="Calibri"/>
          <w:lang w:val="en-GB"/>
        </w:rPr>
        <w:t xml:space="preserve"> In conversation with … Steve</w:t>
      </w:r>
      <w:r>
        <w:rPr>
          <w:rFonts w:eastAsia="Calibri" w:cs="Calibri"/>
          <w:lang w:val="en-GB"/>
        </w:rPr>
        <w:t xml:space="preserve">n Lukes. </w:t>
      </w:r>
      <w:r w:rsidRPr="00021575">
        <w:rPr>
          <w:rFonts w:eastAsia="Calibri" w:cs="Calibri"/>
          <w:i/>
          <w:lang w:val="en-GB"/>
        </w:rPr>
        <w:t>Public Policy Research</w:t>
      </w:r>
      <w:r>
        <w:rPr>
          <w:rFonts w:eastAsia="Calibri" w:cs="Calibri"/>
          <w:lang w:val="en-GB"/>
        </w:rPr>
        <w:t xml:space="preserve"> 13(4):</w:t>
      </w:r>
      <w:r w:rsidRPr="004E1607">
        <w:rPr>
          <w:rFonts w:eastAsia="Calibri" w:cs="Calibri"/>
          <w:lang w:val="en-GB"/>
        </w:rPr>
        <w:t xml:space="preserve"> 272-275.</w:t>
      </w:r>
    </w:p>
    <w:p w14:paraId="1BA1491B" w14:textId="77777777" w:rsidR="002B77A7" w:rsidRPr="00BE553E" w:rsidRDefault="002B77A7" w:rsidP="002B77A7">
      <w:pPr>
        <w:spacing w:line="360" w:lineRule="auto"/>
        <w:ind w:left="709" w:hanging="709"/>
        <w:jc w:val="both"/>
        <w:rPr>
          <w:rFonts w:eastAsia="Calibri" w:cs="Calibri"/>
          <w:lang w:val="en-GB"/>
        </w:rPr>
      </w:pPr>
      <w:r w:rsidRPr="004E1607">
        <w:rPr>
          <w:rFonts w:eastAsia="Calibri" w:cs="Calibri"/>
          <w:lang w:val="en-GB"/>
        </w:rPr>
        <w:t>King, A. (2004) The prisoner of gender: Foucault and</w:t>
      </w:r>
      <w:r w:rsidRPr="00BE553E">
        <w:rPr>
          <w:rFonts w:eastAsia="Calibri" w:cs="Calibri"/>
          <w:lang w:val="en-GB"/>
        </w:rPr>
        <w:t xml:space="preserve"> the disciplining of the female body. </w:t>
      </w:r>
      <w:r w:rsidRPr="00021575">
        <w:rPr>
          <w:rFonts w:eastAsia="Calibri" w:cs="Calibri"/>
          <w:i/>
          <w:lang w:val="en-GB"/>
        </w:rPr>
        <w:t>Journal of</w:t>
      </w:r>
      <w:r w:rsidRPr="00BE553E">
        <w:rPr>
          <w:rFonts w:eastAsia="Calibri" w:cs="Calibri"/>
          <w:lang w:val="en-GB"/>
        </w:rPr>
        <w:t xml:space="preserve"> </w:t>
      </w:r>
      <w:r w:rsidRPr="00021575">
        <w:rPr>
          <w:rFonts w:eastAsia="Calibri" w:cs="Calibri"/>
          <w:i/>
          <w:lang w:val="en-GB"/>
        </w:rPr>
        <w:t>International Women’s Studies</w:t>
      </w:r>
      <w:r>
        <w:rPr>
          <w:rFonts w:eastAsia="Calibri" w:cs="Calibri"/>
          <w:lang w:val="en-GB"/>
        </w:rPr>
        <w:t xml:space="preserve"> 5(2):</w:t>
      </w:r>
      <w:r w:rsidRPr="00BE553E">
        <w:rPr>
          <w:rFonts w:eastAsia="Calibri" w:cs="Calibri"/>
          <w:lang w:val="en-GB"/>
        </w:rPr>
        <w:t xml:space="preserve"> 29-39.</w:t>
      </w:r>
    </w:p>
    <w:p w14:paraId="157E3FDE" w14:textId="77777777" w:rsidR="002B77A7" w:rsidRPr="00BE553E" w:rsidRDefault="002B77A7" w:rsidP="002B77A7">
      <w:pPr>
        <w:spacing w:line="360" w:lineRule="auto"/>
        <w:ind w:left="709" w:hanging="709"/>
        <w:jc w:val="both"/>
        <w:rPr>
          <w:lang w:val="en-GB"/>
        </w:rPr>
      </w:pPr>
      <w:r>
        <w:rPr>
          <w:rFonts w:eastAsia="Calibri" w:cs="Calibri"/>
          <w:lang w:val="en-GB"/>
        </w:rPr>
        <w:t>Langer, R. (1998)</w:t>
      </w:r>
      <w:r w:rsidRPr="00BE553E">
        <w:rPr>
          <w:rFonts w:eastAsia="Calibri" w:cs="Calibri"/>
          <w:lang w:val="en-GB"/>
        </w:rPr>
        <w:t xml:space="preserve"> The concept of discourse in the analysis of complex communication events</w:t>
      </w:r>
      <w:r>
        <w:rPr>
          <w:rFonts w:eastAsia="Calibri" w:cs="Calibri"/>
          <w:lang w:val="en-GB"/>
        </w:rPr>
        <w:t xml:space="preserve"> [Open Archive Document]. </w:t>
      </w:r>
      <w:r w:rsidRPr="00021575">
        <w:rPr>
          <w:rFonts w:eastAsia="Calibri" w:cs="Calibri"/>
          <w:i/>
          <w:lang w:val="en-GB"/>
        </w:rPr>
        <w:t>Open Archive</w:t>
      </w:r>
      <w:r>
        <w:rPr>
          <w:rFonts w:eastAsia="Calibri" w:cs="Calibri"/>
          <w:lang w:val="en-GB"/>
        </w:rPr>
        <w:t xml:space="preserve">, </w:t>
      </w:r>
      <w:r w:rsidRPr="0013725E">
        <w:rPr>
          <w:rFonts w:eastAsia="Calibri" w:cs="Calibri"/>
          <w:lang w:val="en-GB"/>
        </w:rPr>
        <w:t>http://openarchive.cbs.dk/bitstream/handle/10398/7028/wpnr.26%201997.pdf?sequence=1</w:t>
      </w:r>
      <w:r>
        <w:rPr>
          <w:rFonts w:eastAsia="Calibri" w:cs="Calibri"/>
          <w:lang w:val="en-GB"/>
        </w:rPr>
        <w:t>, accessed 2 March 2016.</w:t>
      </w:r>
    </w:p>
    <w:p w14:paraId="2764DDD3" w14:textId="77777777" w:rsidR="002B77A7" w:rsidRPr="00BE553E" w:rsidRDefault="002B77A7" w:rsidP="002B77A7">
      <w:pPr>
        <w:spacing w:line="360" w:lineRule="auto"/>
        <w:ind w:left="709" w:hanging="709"/>
        <w:jc w:val="both"/>
        <w:rPr>
          <w:lang w:val="en-GB"/>
        </w:rPr>
      </w:pPr>
      <w:r>
        <w:rPr>
          <w:rFonts w:eastAsia="Calibri" w:cs="Calibri"/>
          <w:lang w:val="en-GB"/>
        </w:rPr>
        <w:t xml:space="preserve">Lukes, S. (1974) </w:t>
      </w:r>
      <w:r w:rsidRPr="00021575">
        <w:rPr>
          <w:rFonts w:eastAsia="Calibri" w:cs="Calibri"/>
          <w:i/>
          <w:lang w:val="en-GB"/>
        </w:rPr>
        <w:t>Power: A Radical View</w:t>
      </w:r>
      <w:r>
        <w:rPr>
          <w:rFonts w:eastAsia="Calibri" w:cs="Calibri"/>
          <w:lang w:val="en-GB"/>
        </w:rPr>
        <w:t>. London: Macmillan Press.</w:t>
      </w:r>
    </w:p>
    <w:p w14:paraId="639EA7A4" w14:textId="77777777" w:rsidR="002B77A7" w:rsidRPr="00BE553E" w:rsidRDefault="002B77A7" w:rsidP="002B77A7">
      <w:pPr>
        <w:spacing w:line="360" w:lineRule="auto"/>
        <w:ind w:left="709" w:hanging="709"/>
        <w:jc w:val="both"/>
        <w:rPr>
          <w:lang w:val="en-GB"/>
        </w:rPr>
      </w:pPr>
      <w:r w:rsidRPr="00BE553E">
        <w:rPr>
          <w:rFonts w:eastAsia="Calibri" w:cs="Calibri"/>
          <w:lang w:val="en-GB"/>
        </w:rPr>
        <w:t xml:space="preserve">Lukes, S. </w:t>
      </w:r>
      <w:r>
        <w:rPr>
          <w:rFonts w:eastAsia="Calibri" w:cs="Calibri"/>
          <w:lang w:val="en-GB"/>
        </w:rPr>
        <w:t>(2006)</w:t>
      </w:r>
      <w:r w:rsidRPr="00BE553E">
        <w:rPr>
          <w:rFonts w:eastAsia="Calibri" w:cs="Calibri"/>
          <w:lang w:val="en-GB"/>
        </w:rPr>
        <w:t xml:space="preserve"> Reply to commen</w:t>
      </w:r>
      <w:r>
        <w:rPr>
          <w:rFonts w:eastAsia="Calibri" w:cs="Calibri"/>
          <w:lang w:val="en-GB"/>
        </w:rPr>
        <w:t xml:space="preserve">ts. </w:t>
      </w:r>
      <w:r w:rsidRPr="00021575">
        <w:rPr>
          <w:rFonts w:eastAsia="Calibri" w:cs="Calibri"/>
          <w:i/>
          <w:lang w:val="en-GB"/>
        </w:rPr>
        <w:t>Political Studies Review</w:t>
      </w:r>
      <w:r>
        <w:rPr>
          <w:rFonts w:eastAsia="Calibri" w:cs="Calibri"/>
          <w:lang w:val="en-GB"/>
        </w:rPr>
        <w:t xml:space="preserve"> 4:</w:t>
      </w:r>
      <w:r w:rsidRPr="00BE553E">
        <w:rPr>
          <w:rFonts w:eastAsia="Calibri" w:cs="Calibri"/>
          <w:lang w:val="en-GB"/>
        </w:rPr>
        <w:t xml:space="preserve"> 164-173.</w:t>
      </w:r>
    </w:p>
    <w:p w14:paraId="58921D10" w14:textId="77777777" w:rsidR="002B77A7" w:rsidRPr="00BE553E" w:rsidRDefault="002B77A7" w:rsidP="002B77A7">
      <w:pPr>
        <w:spacing w:line="360" w:lineRule="auto"/>
        <w:ind w:left="709" w:hanging="709"/>
        <w:jc w:val="both"/>
        <w:rPr>
          <w:lang w:val="en-GB"/>
        </w:rPr>
      </w:pPr>
      <w:r w:rsidRPr="00BE553E">
        <w:rPr>
          <w:rFonts w:ascii="Calibri" w:eastAsia="Calibri" w:hAnsi="Calibri" w:cs="Calibri"/>
          <w:lang w:val="en-GB"/>
        </w:rPr>
        <w:t>Malik, N. (201</w:t>
      </w:r>
      <w:r>
        <w:rPr>
          <w:rFonts w:ascii="Calibri" w:eastAsia="Calibri" w:hAnsi="Calibri" w:cs="Calibri"/>
          <w:lang w:val="en-GB"/>
        </w:rPr>
        <w:t>5,</w:t>
      </w:r>
      <w:r w:rsidRPr="00BE553E">
        <w:rPr>
          <w:rFonts w:ascii="Calibri" w:eastAsia="Calibri" w:hAnsi="Calibri" w:cs="Calibri"/>
          <w:lang w:val="en-GB"/>
        </w:rPr>
        <w:t xml:space="preserve"> Why do deaths in Paris get more attention than </w:t>
      </w:r>
      <w:r>
        <w:rPr>
          <w:rFonts w:ascii="Calibri" w:eastAsia="Calibri" w:hAnsi="Calibri" w:cs="Calibri"/>
          <w:lang w:val="en-GB"/>
        </w:rPr>
        <w:t xml:space="preserve">deaths in Beirut? </w:t>
      </w:r>
      <w:r w:rsidRPr="00021575">
        <w:rPr>
          <w:rFonts w:ascii="Calibri" w:eastAsia="Calibri" w:hAnsi="Calibri" w:cs="Calibri"/>
          <w:i/>
          <w:lang w:val="en-GB"/>
        </w:rPr>
        <w:t>The Guardian</w:t>
      </w:r>
      <w:r>
        <w:rPr>
          <w:rFonts w:ascii="Calibri" w:eastAsia="Calibri" w:hAnsi="Calibri" w:cs="Calibri"/>
          <w:lang w:val="en-GB"/>
        </w:rPr>
        <w:t xml:space="preserve">, 18 November, </w:t>
      </w:r>
      <w:r w:rsidRPr="00BE553E">
        <w:rPr>
          <w:rFonts w:cs="Arial"/>
          <w:lang w:val="en-GB"/>
        </w:rPr>
        <w:t>https://www.theguardian.com/commentisfree/2015/nov/18/deaths-paris-beirut-media</w:t>
      </w:r>
      <w:r>
        <w:rPr>
          <w:rFonts w:eastAsia="Calibri" w:cs="Calibri"/>
          <w:lang w:val="en-GB"/>
        </w:rPr>
        <w:t>, accessed 9 June 2016.</w:t>
      </w:r>
    </w:p>
    <w:p w14:paraId="7871CA86" w14:textId="77777777" w:rsidR="002B77A7" w:rsidRPr="00B97C1C" w:rsidRDefault="002B77A7" w:rsidP="002B77A7">
      <w:pPr>
        <w:spacing w:line="360" w:lineRule="auto"/>
        <w:ind w:left="709" w:hanging="709"/>
        <w:jc w:val="both"/>
        <w:rPr>
          <w:lang w:val="en-GB"/>
        </w:rPr>
      </w:pPr>
      <w:r w:rsidRPr="00BE553E">
        <w:rPr>
          <w:rFonts w:ascii="Calibri" w:eastAsia="Calibri" w:hAnsi="Calibri" w:cs="Calibri"/>
          <w:lang w:val="en-GB"/>
        </w:rPr>
        <w:lastRenderedPageBreak/>
        <w:t xml:space="preserve">Malik, N. </w:t>
      </w:r>
      <w:r>
        <w:rPr>
          <w:lang w:val="en-GB"/>
        </w:rPr>
        <w:t>(2016)</w:t>
      </w:r>
      <w:r w:rsidRPr="00BE553E">
        <w:rPr>
          <w:lang w:val="en-GB"/>
        </w:rPr>
        <w:t xml:space="preserve"> There’s nothing wrong </w:t>
      </w:r>
      <w:r w:rsidRPr="00B97C1C">
        <w:rPr>
          <w:lang w:val="en-GB"/>
        </w:rPr>
        <w:t xml:space="preserve">with mourning Brussels but not Beirut. </w:t>
      </w:r>
      <w:r w:rsidRPr="00B97C1C">
        <w:rPr>
          <w:i/>
          <w:lang w:val="en-GB"/>
        </w:rPr>
        <w:t>The Guardian</w:t>
      </w:r>
      <w:r w:rsidRPr="00B97C1C">
        <w:rPr>
          <w:lang w:val="en-GB"/>
        </w:rPr>
        <w:t>, 25 March, https://www.theguardian.com/commentisfree/2016/mar/25/nothing-wrong-mourning-brussels-not-beirut</w:t>
      </w:r>
      <w:r w:rsidRPr="00B97C1C">
        <w:rPr>
          <w:rFonts w:eastAsia="Calibri" w:cs="Calibri"/>
          <w:lang w:val="en-GB"/>
        </w:rPr>
        <w:t>, accessed 9 June 2016.</w:t>
      </w:r>
    </w:p>
    <w:p w14:paraId="40735D1B" w14:textId="77777777" w:rsidR="002B77A7" w:rsidRPr="00B97C1C" w:rsidRDefault="002B77A7" w:rsidP="002B77A7">
      <w:pPr>
        <w:spacing w:line="360" w:lineRule="auto"/>
        <w:ind w:left="709" w:hanging="709"/>
        <w:jc w:val="both"/>
        <w:rPr>
          <w:lang w:val="en-GB"/>
        </w:rPr>
      </w:pPr>
      <w:r w:rsidRPr="00B97C1C">
        <w:rPr>
          <w:rFonts w:eastAsia="Calibri" w:cs="Calibri"/>
          <w:lang w:val="en-GB"/>
        </w:rPr>
        <w:t xml:space="preserve">Martin, L.H., Gutman, H. and Hutton, P.H. (eds.) (1988) </w:t>
      </w:r>
      <w:r w:rsidRPr="00B97C1C">
        <w:rPr>
          <w:rFonts w:eastAsia="Calibri" w:cs="Calibri"/>
          <w:i/>
          <w:lang w:val="en-GB"/>
        </w:rPr>
        <w:t>Technologies of the Self: A Seminar with Michel Foucault</w:t>
      </w:r>
      <w:r w:rsidRPr="00B97C1C">
        <w:rPr>
          <w:rFonts w:eastAsia="Calibri" w:cs="Calibri"/>
          <w:lang w:val="en-GB"/>
        </w:rPr>
        <w:t>. London: Tavistock Publications.</w:t>
      </w:r>
    </w:p>
    <w:p w14:paraId="24C7BA57" w14:textId="77777777" w:rsidR="002B77A7" w:rsidRPr="00BE553E" w:rsidRDefault="002B77A7" w:rsidP="002B77A7">
      <w:pPr>
        <w:spacing w:line="360" w:lineRule="auto"/>
        <w:ind w:left="709" w:hanging="709"/>
        <w:jc w:val="both"/>
        <w:rPr>
          <w:lang w:val="en-GB"/>
        </w:rPr>
      </w:pPr>
      <w:r w:rsidRPr="00B97C1C">
        <w:rPr>
          <w:rFonts w:eastAsia="Calibri" w:cs="Calibri"/>
          <w:lang w:val="en-GB"/>
        </w:rPr>
        <w:t>Matouschek, B., Wodak, R., and Januschek, F. (1995)</w:t>
      </w:r>
      <w:r w:rsidRPr="00B97C1C">
        <w:rPr>
          <w:rFonts w:eastAsia="Calibri" w:cs="Calibri"/>
          <w:i/>
          <w:lang w:val="en-GB"/>
        </w:rPr>
        <w:t xml:space="preserve"> Notwendige Maßnahmen gegen Fremde? </w:t>
      </w:r>
      <w:r w:rsidRPr="00021575">
        <w:rPr>
          <w:rFonts w:eastAsia="Calibri" w:cs="Calibri"/>
          <w:i/>
          <w:lang w:val="en-GB"/>
        </w:rPr>
        <w:t>Genese und Formen von rassistischen Diskursen der Differenz</w:t>
      </w:r>
      <w:r>
        <w:rPr>
          <w:rFonts w:eastAsia="Calibri" w:cs="Calibri"/>
          <w:lang w:val="en-GB"/>
        </w:rPr>
        <w:t xml:space="preserve"> [Necessary Measures against S</w:t>
      </w:r>
      <w:r w:rsidRPr="00BE553E">
        <w:rPr>
          <w:rFonts w:eastAsia="Calibri" w:cs="Calibri"/>
          <w:lang w:val="en-GB"/>
        </w:rPr>
        <w:t>trangers?</w:t>
      </w:r>
      <w:r>
        <w:rPr>
          <w:rFonts w:eastAsia="Calibri" w:cs="Calibri"/>
          <w:lang w:val="en-GB"/>
        </w:rPr>
        <w:t xml:space="preserve"> Genesis and Forms of Racist Di</w:t>
      </w:r>
      <w:r w:rsidRPr="00BE553E">
        <w:rPr>
          <w:rFonts w:eastAsia="Calibri" w:cs="Calibri"/>
          <w:lang w:val="en-GB"/>
        </w:rPr>
        <w:t>s</w:t>
      </w:r>
      <w:r>
        <w:rPr>
          <w:rFonts w:eastAsia="Calibri" w:cs="Calibri"/>
          <w:lang w:val="en-GB"/>
        </w:rPr>
        <w:t>courses of D</w:t>
      </w:r>
      <w:r w:rsidRPr="00BE553E">
        <w:rPr>
          <w:rFonts w:eastAsia="Calibri" w:cs="Calibri"/>
          <w:lang w:val="en-GB"/>
        </w:rPr>
        <w:t>ifference]. Wien: Passagen Verlag.</w:t>
      </w:r>
    </w:p>
    <w:p w14:paraId="1D4453CE" w14:textId="77777777" w:rsidR="002B77A7" w:rsidRPr="00BE553E" w:rsidRDefault="002B77A7" w:rsidP="002B77A7">
      <w:pPr>
        <w:spacing w:line="360" w:lineRule="auto"/>
        <w:ind w:left="709" w:hanging="709"/>
        <w:jc w:val="both"/>
        <w:rPr>
          <w:lang w:val="en-GB"/>
        </w:rPr>
      </w:pPr>
      <w:r w:rsidRPr="00BE553E">
        <w:rPr>
          <w:rFonts w:eastAsia="Calibri" w:cs="Calibri"/>
          <w:lang w:val="en-GB"/>
        </w:rPr>
        <w:t>McCurry, J. and</w:t>
      </w:r>
      <w:r>
        <w:rPr>
          <w:rFonts w:eastAsia="Calibri" w:cs="Calibri"/>
          <w:lang w:val="en-GB"/>
        </w:rPr>
        <w:t xml:space="preserve"> Rawlinson, K. (2015)</w:t>
      </w:r>
      <w:r w:rsidRPr="00BE553E">
        <w:rPr>
          <w:rFonts w:eastAsia="Calibri" w:cs="Calibri"/>
          <w:lang w:val="en-GB"/>
        </w:rPr>
        <w:t xml:space="preserve"> Paris terror attacks: world leaders condemn ‘the wo</w:t>
      </w:r>
      <w:r>
        <w:rPr>
          <w:rFonts w:eastAsia="Calibri" w:cs="Calibri"/>
          <w:lang w:val="en-GB"/>
        </w:rPr>
        <w:t xml:space="preserve">rk of the devil’. </w:t>
      </w:r>
      <w:r w:rsidRPr="00021575">
        <w:rPr>
          <w:rFonts w:eastAsia="Calibri" w:cs="Calibri"/>
          <w:i/>
          <w:lang w:val="en-GB"/>
        </w:rPr>
        <w:t>The Guardian</w:t>
      </w:r>
      <w:r>
        <w:rPr>
          <w:rFonts w:eastAsia="Calibri" w:cs="Calibri"/>
          <w:lang w:val="en-GB"/>
        </w:rPr>
        <w:t xml:space="preserve">, 14 </w:t>
      </w:r>
      <w:r w:rsidRPr="00BE553E">
        <w:rPr>
          <w:rFonts w:eastAsia="Calibri" w:cs="Calibri"/>
          <w:lang w:val="en-GB"/>
        </w:rPr>
        <w:t>November</w:t>
      </w:r>
      <w:r>
        <w:rPr>
          <w:rFonts w:eastAsia="Calibri" w:cs="Calibri"/>
          <w:lang w:val="en-GB"/>
        </w:rPr>
        <w:t xml:space="preserve">, </w:t>
      </w:r>
      <w:r w:rsidRPr="00BE553E">
        <w:rPr>
          <w:rFonts w:eastAsia="Calibri" w:cs="Calibri"/>
          <w:lang w:val="en-GB"/>
        </w:rPr>
        <w:t>https://www.theguardian.com/world/2015/nov/14/paris-terror-attacks-world-leader</w:t>
      </w:r>
      <w:r>
        <w:rPr>
          <w:rFonts w:eastAsia="Calibri" w:cs="Calibri"/>
          <w:lang w:val="en-GB"/>
        </w:rPr>
        <w:t>s-condemn-the-work-of-the-devil, accessed 20 May 2016.</w:t>
      </w:r>
    </w:p>
    <w:p w14:paraId="614FC227" w14:textId="77777777" w:rsidR="002B77A7" w:rsidRPr="007345BD" w:rsidRDefault="002B77A7" w:rsidP="002B77A7">
      <w:pPr>
        <w:spacing w:line="360" w:lineRule="auto"/>
        <w:ind w:left="709" w:hanging="709"/>
        <w:jc w:val="both"/>
        <w:rPr>
          <w:rFonts w:eastAsia="Calibri" w:cs="Calibri"/>
          <w:lang w:val="en-GB"/>
        </w:rPr>
      </w:pPr>
      <w:r>
        <w:rPr>
          <w:rFonts w:eastAsia="Calibri" w:cs="Calibri"/>
          <w:lang w:val="en-GB"/>
        </w:rPr>
        <w:t xml:space="preserve">McGreal, C. (2006) Beirut under siege as Israel attacks from air and sea. </w:t>
      </w:r>
      <w:r>
        <w:rPr>
          <w:rFonts w:eastAsia="Calibri" w:cs="Calibri"/>
          <w:i/>
          <w:lang w:val="en-GB"/>
        </w:rPr>
        <w:t xml:space="preserve">The Guardian, </w:t>
      </w:r>
      <w:r>
        <w:rPr>
          <w:rFonts w:eastAsia="Calibri" w:cs="Calibri"/>
          <w:lang w:val="en-GB"/>
        </w:rPr>
        <w:t xml:space="preserve">14 July, </w:t>
      </w:r>
      <w:r w:rsidRPr="007345BD">
        <w:rPr>
          <w:rFonts w:eastAsia="Calibri" w:cs="Calibri"/>
          <w:lang w:val="en-GB"/>
        </w:rPr>
        <w:t>https://www.theguardian.com/world/2006/jul/14/syria.israelandthepalestinians2</w:t>
      </w:r>
      <w:r>
        <w:rPr>
          <w:rFonts w:eastAsia="Calibri" w:cs="Calibri"/>
          <w:lang w:val="en-GB"/>
        </w:rPr>
        <w:t>, accessed 14 July 2016.</w:t>
      </w:r>
    </w:p>
    <w:p w14:paraId="4BD83479" w14:textId="77777777" w:rsidR="002B77A7" w:rsidRPr="002814F7" w:rsidRDefault="002B77A7" w:rsidP="002B77A7">
      <w:pPr>
        <w:spacing w:line="360" w:lineRule="auto"/>
        <w:ind w:left="709" w:hanging="709"/>
        <w:jc w:val="both"/>
        <w:rPr>
          <w:rFonts w:eastAsia="Calibri" w:cs="Calibri"/>
          <w:lang w:val="en-GB"/>
        </w:rPr>
      </w:pPr>
      <w:r>
        <w:rPr>
          <w:rFonts w:eastAsia="Calibri" w:cs="Calibri"/>
          <w:lang w:val="en-GB"/>
        </w:rPr>
        <w:t xml:space="preserve">McKenzie, S. (2016) French media stop publishing terrorist images: The argument for and against. </w:t>
      </w:r>
      <w:r>
        <w:rPr>
          <w:rFonts w:eastAsia="Calibri" w:cs="Calibri"/>
          <w:i/>
          <w:lang w:val="en-GB"/>
        </w:rPr>
        <w:t>CNN,</w:t>
      </w:r>
      <w:r>
        <w:rPr>
          <w:rFonts w:eastAsia="Calibri" w:cs="Calibri"/>
          <w:lang w:val="en-GB"/>
        </w:rPr>
        <w:t xml:space="preserve"> 28 July, </w:t>
      </w:r>
      <w:r w:rsidRPr="002814F7">
        <w:rPr>
          <w:rFonts w:eastAsia="Calibri" w:cs="Calibri"/>
          <w:lang w:val="en-GB"/>
        </w:rPr>
        <w:t>http://edition.cnn.com/2016/07/28/europe/french-media-terrorist-photographs/</w:t>
      </w:r>
      <w:r>
        <w:rPr>
          <w:rFonts w:eastAsia="Calibri" w:cs="Calibri"/>
          <w:lang w:val="en-GB"/>
        </w:rPr>
        <w:t>, accessed 20 July 2016.</w:t>
      </w:r>
    </w:p>
    <w:p w14:paraId="4061EBC9" w14:textId="77777777" w:rsidR="002B77A7" w:rsidRPr="00BE553E" w:rsidRDefault="002B77A7" w:rsidP="002B77A7">
      <w:pPr>
        <w:spacing w:line="360" w:lineRule="auto"/>
        <w:ind w:left="709" w:hanging="709"/>
        <w:jc w:val="both"/>
        <w:rPr>
          <w:rFonts w:eastAsia="Calibri" w:cs="Calibri"/>
          <w:lang w:val="en-GB"/>
        </w:rPr>
      </w:pPr>
      <w:r>
        <w:rPr>
          <w:rFonts w:eastAsia="Calibri" w:cs="Calibri"/>
          <w:lang w:val="en-GB"/>
        </w:rPr>
        <w:t xml:space="preserve">McLaren, M. (2002) </w:t>
      </w:r>
      <w:r w:rsidRPr="00021575">
        <w:rPr>
          <w:rFonts w:eastAsia="Calibri" w:cs="Calibri"/>
          <w:i/>
          <w:lang w:val="en-GB"/>
        </w:rPr>
        <w:t>Feminism, Foucault, and Embodied Subjectivity</w:t>
      </w:r>
      <w:r w:rsidRPr="00BE553E">
        <w:rPr>
          <w:rFonts w:eastAsia="Calibri" w:cs="Calibri"/>
          <w:lang w:val="en-GB"/>
        </w:rPr>
        <w:t>. Albany: SUNY Press.</w:t>
      </w:r>
    </w:p>
    <w:p w14:paraId="079F5218" w14:textId="77777777" w:rsidR="002B77A7" w:rsidRPr="00BE553E" w:rsidRDefault="002B77A7" w:rsidP="002B77A7">
      <w:pPr>
        <w:spacing w:line="360" w:lineRule="auto"/>
        <w:ind w:left="709" w:hanging="709"/>
        <w:jc w:val="both"/>
        <w:rPr>
          <w:lang w:val="en-GB"/>
        </w:rPr>
      </w:pPr>
      <w:r w:rsidRPr="00BE553E">
        <w:rPr>
          <w:rFonts w:eastAsia="Calibri" w:cs="Calibri"/>
          <w:lang w:val="en-GB"/>
        </w:rPr>
        <w:t>Mc</w:t>
      </w:r>
      <w:r>
        <w:rPr>
          <w:rFonts w:eastAsia="Calibri" w:cs="Calibri"/>
          <w:lang w:val="en-GB"/>
        </w:rPr>
        <w:t xml:space="preserve">Nay, L. (1994) </w:t>
      </w:r>
      <w:r w:rsidRPr="00021575">
        <w:rPr>
          <w:rFonts w:eastAsia="Calibri" w:cs="Calibri"/>
          <w:i/>
          <w:lang w:val="en-GB"/>
        </w:rPr>
        <w:t>Foucault: A Critical Introduction</w:t>
      </w:r>
      <w:r w:rsidRPr="00BE553E">
        <w:rPr>
          <w:rFonts w:eastAsia="Calibri" w:cs="Calibri"/>
          <w:lang w:val="en-GB"/>
        </w:rPr>
        <w:t>. Cambridge: Polity Press.</w:t>
      </w:r>
    </w:p>
    <w:p w14:paraId="061D0E8E" w14:textId="77777777" w:rsidR="002B77A7" w:rsidRPr="00BE553E" w:rsidRDefault="002B77A7" w:rsidP="002B77A7">
      <w:pPr>
        <w:spacing w:line="360" w:lineRule="auto"/>
        <w:ind w:left="709" w:hanging="709"/>
        <w:jc w:val="both"/>
        <w:rPr>
          <w:rFonts w:eastAsia="Calibri" w:cs="Calibri"/>
          <w:lang w:val="en-GB"/>
        </w:rPr>
      </w:pPr>
      <w:r w:rsidRPr="00BE553E">
        <w:rPr>
          <w:rFonts w:eastAsia="Calibri" w:cs="Calibri"/>
          <w:lang w:val="en-GB"/>
        </w:rPr>
        <w:t>McWhorter, L. (1999)</w:t>
      </w:r>
      <w:r>
        <w:rPr>
          <w:rFonts w:eastAsia="Calibri" w:cs="Calibri"/>
          <w:lang w:val="en-GB"/>
        </w:rPr>
        <w:t xml:space="preserve"> </w:t>
      </w:r>
      <w:r w:rsidRPr="00021575">
        <w:rPr>
          <w:rFonts w:eastAsia="Calibri" w:cs="Calibri"/>
          <w:i/>
          <w:lang w:val="en-GB"/>
        </w:rPr>
        <w:t>Foucault and Feminism: Power, Gender, and the Self</w:t>
      </w:r>
      <w:r w:rsidRPr="00BE553E">
        <w:rPr>
          <w:rFonts w:eastAsia="Calibri" w:cs="Calibri"/>
          <w:lang w:val="en-GB"/>
        </w:rPr>
        <w:t>. Boston: Northeastern University Press.</w:t>
      </w:r>
    </w:p>
    <w:p w14:paraId="23C41B07" w14:textId="77777777" w:rsidR="002B77A7" w:rsidRPr="00BE553E" w:rsidRDefault="002B77A7" w:rsidP="002B77A7">
      <w:pPr>
        <w:spacing w:line="360" w:lineRule="auto"/>
        <w:ind w:left="709" w:hanging="709"/>
        <w:jc w:val="both"/>
        <w:rPr>
          <w:lang w:val="en-GB"/>
        </w:rPr>
      </w:pPr>
      <w:r>
        <w:rPr>
          <w:rFonts w:eastAsia="Calibri" w:cs="Calibri"/>
          <w:lang w:val="en-GB"/>
        </w:rPr>
        <w:t xml:space="preserve">Media [Def. 1] (2016) </w:t>
      </w:r>
      <w:r w:rsidRPr="00021575">
        <w:rPr>
          <w:rFonts w:eastAsia="Calibri" w:cs="Calibri"/>
          <w:i/>
          <w:lang w:val="en-GB"/>
        </w:rPr>
        <w:t>Oxford Dictionaries</w:t>
      </w:r>
      <w:r>
        <w:rPr>
          <w:rFonts w:eastAsia="Calibri" w:cs="Calibri"/>
          <w:lang w:val="en-GB"/>
        </w:rPr>
        <w:t xml:space="preserve">, </w:t>
      </w:r>
      <w:r w:rsidRPr="00BE553E">
        <w:rPr>
          <w:rFonts w:eastAsia="Calibri" w:cs="Calibri"/>
          <w:lang w:val="en-GB"/>
        </w:rPr>
        <w:t>http://www.oxforddictionari</w:t>
      </w:r>
      <w:r>
        <w:rPr>
          <w:rFonts w:eastAsia="Calibri" w:cs="Calibri"/>
          <w:lang w:val="en-GB"/>
        </w:rPr>
        <w:t>es.com/definition/english/media, accessed 2 March 2016.</w:t>
      </w:r>
    </w:p>
    <w:p w14:paraId="354DB349" w14:textId="77777777" w:rsidR="002B77A7" w:rsidRPr="00BE553E" w:rsidRDefault="002B77A7" w:rsidP="002B77A7">
      <w:pPr>
        <w:spacing w:line="360" w:lineRule="auto"/>
        <w:ind w:left="709" w:hanging="709"/>
        <w:jc w:val="both"/>
        <w:rPr>
          <w:rFonts w:eastAsia="Calibri" w:cs="Calibri"/>
          <w:lang w:val="en-GB"/>
        </w:rPr>
      </w:pPr>
      <w:r w:rsidRPr="00BE553E">
        <w:rPr>
          <w:rFonts w:eastAsia="Calibri" w:cs="Calibri"/>
          <w:lang w:val="en-GB"/>
        </w:rPr>
        <w:t>Morris, P. (1987</w:t>
      </w:r>
      <w:r>
        <w:rPr>
          <w:rFonts w:eastAsia="Calibri" w:cs="Calibri"/>
          <w:lang w:val="en-GB"/>
        </w:rPr>
        <w:t xml:space="preserve">) </w:t>
      </w:r>
      <w:r w:rsidRPr="00021575">
        <w:rPr>
          <w:rFonts w:eastAsia="Calibri" w:cs="Calibri"/>
          <w:i/>
          <w:lang w:val="en-GB"/>
        </w:rPr>
        <w:t>Power: A Philosophical Analysis</w:t>
      </w:r>
      <w:r w:rsidRPr="00BE553E">
        <w:rPr>
          <w:rFonts w:eastAsia="Calibri" w:cs="Calibri"/>
          <w:lang w:val="en-GB"/>
        </w:rPr>
        <w:t>. Manchester: University Press.</w:t>
      </w:r>
    </w:p>
    <w:p w14:paraId="00E3C5E6" w14:textId="77777777" w:rsidR="002B77A7" w:rsidRPr="00BE553E" w:rsidRDefault="002B77A7" w:rsidP="002B77A7">
      <w:pPr>
        <w:spacing w:line="360" w:lineRule="auto"/>
        <w:ind w:left="709" w:hanging="709"/>
        <w:jc w:val="both"/>
        <w:rPr>
          <w:rFonts w:eastAsia="Calibri" w:cs="Calibri"/>
          <w:lang w:val="en-GB"/>
        </w:rPr>
      </w:pPr>
      <w:r>
        <w:rPr>
          <w:rFonts w:eastAsia="Calibri" w:cs="Calibri"/>
          <w:lang w:val="en-GB"/>
        </w:rPr>
        <w:t>Narine (2015</w:t>
      </w:r>
      <w:r w:rsidRPr="00BE553E">
        <w:rPr>
          <w:rFonts w:eastAsia="Calibri" w:cs="Calibri"/>
          <w:lang w:val="en-GB"/>
        </w:rPr>
        <w:t>) Not forgetting that Lebanon was also attac</w:t>
      </w:r>
      <w:r>
        <w:rPr>
          <w:rFonts w:eastAsia="Calibri" w:cs="Calibri"/>
          <w:lang w:val="en-GB"/>
        </w:rPr>
        <w:t xml:space="preserve">ked yesterday [tweet]. </w:t>
      </w:r>
      <w:r w:rsidRPr="00021575">
        <w:rPr>
          <w:rFonts w:eastAsia="Calibri" w:cs="Calibri"/>
          <w:i/>
          <w:lang w:val="en-GB"/>
        </w:rPr>
        <w:t>Twitter</w:t>
      </w:r>
      <w:r>
        <w:rPr>
          <w:rFonts w:eastAsia="Calibri" w:cs="Calibri"/>
          <w:lang w:val="en-GB"/>
        </w:rPr>
        <w:t xml:space="preserve">, 13 </w:t>
      </w:r>
      <w:r w:rsidRPr="00BE553E">
        <w:rPr>
          <w:rFonts w:eastAsia="Calibri" w:cs="Calibri"/>
          <w:lang w:val="en-GB"/>
        </w:rPr>
        <w:t>November</w:t>
      </w:r>
      <w:r>
        <w:rPr>
          <w:rFonts w:eastAsia="Calibri" w:cs="Calibri"/>
          <w:lang w:val="en-GB"/>
        </w:rPr>
        <w:t xml:space="preserve">, </w:t>
      </w:r>
      <w:r w:rsidRPr="00BE553E">
        <w:rPr>
          <w:rFonts w:eastAsia="Calibri" w:cs="Calibri"/>
          <w:lang w:val="en-GB"/>
        </w:rPr>
        <w:t>https://twitter.com/nari</w:t>
      </w:r>
      <w:r>
        <w:rPr>
          <w:rFonts w:eastAsia="Calibri" w:cs="Calibri"/>
          <w:lang w:val="en-GB"/>
        </w:rPr>
        <w:t>neesm/status/665343634062106624, accessed 3 July 2016.</w:t>
      </w:r>
    </w:p>
    <w:p w14:paraId="3D2BBBE2" w14:textId="77777777" w:rsidR="002B77A7" w:rsidRPr="00BE553E" w:rsidRDefault="002B77A7" w:rsidP="002B77A7">
      <w:pPr>
        <w:spacing w:line="360" w:lineRule="auto"/>
        <w:ind w:left="709" w:hanging="709"/>
        <w:jc w:val="both"/>
        <w:rPr>
          <w:lang w:val="en-GB"/>
        </w:rPr>
      </w:pPr>
      <w:r>
        <w:rPr>
          <w:rFonts w:eastAsia="Calibri" w:cs="Calibri"/>
          <w:lang w:val="en-GB"/>
        </w:rPr>
        <w:t>Nealon, J.T. (2008)</w:t>
      </w:r>
      <w:r w:rsidRPr="00BE553E">
        <w:rPr>
          <w:rFonts w:eastAsia="Calibri" w:cs="Calibri"/>
          <w:lang w:val="en-GB"/>
        </w:rPr>
        <w:t xml:space="preserve"> </w:t>
      </w:r>
      <w:r w:rsidRPr="00021575">
        <w:rPr>
          <w:rFonts w:eastAsia="Calibri" w:cs="Calibri"/>
          <w:i/>
          <w:lang w:val="en-GB"/>
        </w:rPr>
        <w:t>Foucault beyond Foucault: Power and Its Intensifications since 1984</w:t>
      </w:r>
      <w:r w:rsidRPr="00BE553E">
        <w:rPr>
          <w:rFonts w:eastAsia="Calibri" w:cs="Calibri"/>
          <w:lang w:val="en-GB"/>
        </w:rPr>
        <w:t>. Stanford: Stanford University Press.</w:t>
      </w:r>
    </w:p>
    <w:p w14:paraId="51D390D6" w14:textId="77777777" w:rsidR="002B77A7" w:rsidRPr="00BE553E" w:rsidRDefault="002B77A7" w:rsidP="002B77A7">
      <w:pPr>
        <w:spacing w:line="360" w:lineRule="auto"/>
        <w:ind w:left="709" w:hanging="709"/>
        <w:jc w:val="both"/>
        <w:rPr>
          <w:rFonts w:eastAsia="Calibri" w:cs="Calibri"/>
          <w:lang w:val="en-GB"/>
        </w:rPr>
      </w:pPr>
      <w:r>
        <w:rPr>
          <w:rFonts w:eastAsia="Calibri" w:cs="Calibri"/>
          <w:lang w:val="en-GB"/>
        </w:rPr>
        <w:t>Nelson, M (2015</w:t>
      </w:r>
      <w:r w:rsidRPr="00BE553E">
        <w:rPr>
          <w:rFonts w:eastAsia="Calibri" w:cs="Calibri"/>
          <w:lang w:val="en-GB"/>
        </w:rPr>
        <w:t>) Where’s the global solidarity for this terro</w:t>
      </w:r>
      <w:r>
        <w:rPr>
          <w:rFonts w:eastAsia="Calibri" w:cs="Calibri"/>
          <w:lang w:val="en-GB"/>
        </w:rPr>
        <w:t xml:space="preserve">rist attack? [Tweet]. </w:t>
      </w:r>
      <w:r w:rsidRPr="00021575">
        <w:rPr>
          <w:rFonts w:eastAsia="Calibri" w:cs="Calibri"/>
          <w:i/>
          <w:lang w:val="en-GB"/>
        </w:rPr>
        <w:t>Twitter</w:t>
      </w:r>
      <w:r>
        <w:rPr>
          <w:rFonts w:eastAsia="Calibri" w:cs="Calibri"/>
          <w:lang w:val="en-GB"/>
        </w:rPr>
        <w:t xml:space="preserve">, 15 </w:t>
      </w:r>
      <w:r w:rsidRPr="00BE553E">
        <w:rPr>
          <w:rFonts w:eastAsia="Calibri" w:cs="Calibri"/>
          <w:lang w:val="en-GB"/>
        </w:rPr>
        <w:t>November</w:t>
      </w:r>
      <w:r>
        <w:rPr>
          <w:rFonts w:eastAsia="Calibri" w:cs="Calibri"/>
          <w:lang w:val="en-GB"/>
        </w:rPr>
        <w:t xml:space="preserve">, </w:t>
      </w:r>
      <w:r w:rsidRPr="00BE553E">
        <w:rPr>
          <w:rFonts w:eastAsia="Calibri" w:cs="Calibri"/>
          <w:lang w:val="en-GB"/>
        </w:rPr>
        <w:t>https://twitter.com/1</w:t>
      </w:r>
      <w:r>
        <w:rPr>
          <w:rFonts w:eastAsia="Calibri" w:cs="Calibri"/>
          <w:lang w:val="en-GB"/>
        </w:rPr>
        <w:t>jedi2/status/665979718378745857, accessed 5 July 2016.</w:t>
      </w:r>
    </w:p>
    <w:p w14:paraId="3C684ED7" w14:textId="77777777" w:rsidR="002B77A7" w:rsidRPr="00BE553E" w:rsidRDefault="002B77A7" w:rsidP="002B77A7">
      <w:pPr>
        <w:spacing w:line="360" w:lineRule="auto"/>
        <w:ind w:left="709" w:hanging="709"/>
        <w:jc w:val="both"/>
        <w:rPr>
          <w:lang w:val="en-GB"/>
        </w:rPr>
      </w:pPr>
      <w:r>
        <w:rPr>
          <w:rFonts w:eastAsia="Calibri" w:cs="Calibri"/>
          <w:lang w:val="en-GB"/>
        </w:rPr>
        <w:t xml:space="preserve">News [Def. 1] (2016) </w:t>
      </w:r>
      <w:r w:rsidRPr="00021575">
        <w:rPr>
          <w:rFonts w:eastAsia="Calibri" w:cs="Calibri"/>
          <w:i/>
          <w:lang w:val="en-GB"/>
        </w:rPr>
        <w:t>Oxford Dictionaries</w:t>
      </w:r>
      <w:r>
        <w:rPr>
          <w:rFonts w:eastAsia="Calibri" w:cs="Calibri"/>
          <w:lang w:val="en-GB"/>
        </w:rPr>
        <w:t xml:space="preserve">, </w:t>
      </w:r>
      <w:r w:rsidRPr="0013725E">
        <w:rPr>
          <w:rFonts w:eastAsia="Calibri" w:cs="Calibri"/>
          <w:lang w:val="en-GB"/>
        </w:rPr>
        <w:t>http://www.oxforddictionaries.com/definition/english/news</w:t>
      </w:r>
      <w:r>
        <w:rPr>
          <w:rFonts w:eastAsia="Calibri" w:cs="Calibri"/>
          <w:lang w:val="en-GB"/>
        </w:rPr>
        <w:t>, accessed 3 April 2016.</w:t>
      </w:r>
    </w:p>
    <w:p w14:paraId="08A55391" w14:textId="77777777" w:rsidR="002B77A7" w:rsidRPr="00BE553E" w:rsidRDefault="002B77A7" w:rsidP="002B77A7">
      <w:pPr>
        <w:spacing w:line="360" w:lineRule="auto"/>
        <w:ind w:left="709" w:hanging="709"/>
        <w:jc w:val="both"/>
        <w:rPr>
          <w:lang w:val="en-GB"/>
        </w:rPr>
      </w:pPr>
      <w:r>
        <w:rPr>
          <w:rFonts w:eastAsia="Calibri" w:cs="Calibri"/>
          <w:lang w:val="en-GB"/>
        </w:rPr>
        <w:lastRenderedPageBreak/>
        <w:t xml:space="preserve">Oksala, J. (2009) </w:t>
      </w:r>
      <w:r w:rsidRPr="00021575">
        <w:rPr>
          <w:rFonts w:eastAsia="Calibri" w:cs="Calibri"/>
          <w:i/>
          <w:lang w:val="en-GB"/>
        </w:rPr>
        <w:t>Foucault on Freedom</w:t>
      </w:r>
      <w:r w:rsidRPr="00BE553E">
        <w:rPr>
          <w:rFonts w:eastAsia="Calibri" w:cs="Calibri"/>
          <w:lang w:val="en-GB"/>
        </w:rPr>
        <w:t>. Cambridge: Cambridge University Press.</w:t>
      </w:r>
    </w:p>
    <w:p w14:paraId="4983A3C3" w14:textId="77777777" w:rsidR="002B77A7" w:rsidRPr="00BE553E" w:rsidRDefault="002B77A7" w:rsidP="002B77A7">
      <w:pPr>
        <w:spacing w:line="360" w:lineRule="auto"/>
        <w:ind w:left="709" w:hanging="709"/>
        <w:jc w:val="both"/>
        <w:rPr>
          <w:lang w:val="en-GB"/>
        </w:rPr>
      </w:pPr>
      <w:r w:rsidRPr="00BE553E">
        <w:rPr>
          <w:rFonts w:eastAsia="Calibri" w:cs="Calibri"/>
          <w:lang w:val="en-GB"/>
        </w:rPr>
        <w:t>Paris attack victims: lives cut cruelly shor</w:t>
      </w:r>
      <w:r>
        <w:rPr>
          <w:rFonts w:eastAsia="Calibri" w:cs="Calibri"/>
          <w:lang w:val="en-GB"/>
        </w:rPr>
        <w:t xml:space="preserve">t during night of terror (2015) </w:t>
      </w:r>
      <w:r w:rsidRPr="00021575">
        <w:rPr>
          <w:rFonts w:eastAsia="Calibri" w:cs="Calibri"/>
          <w:i/>
          <w:lang w:val="en-GB"/>
        </w:rPr>
        <w:t>The Guardian</w:t>
      </w:r>
      <w:r>
        <w:rPr>
          <w:rFonts w:eastAsia="Calibri" w:cs="Calibri"/>
          <w:lang w:val="en-GB"/>
        </w:rPr>
        <w:t xml:space="preserve">, 26 </w:t>
      </w:r>
      <w:r w:rsidRPr="00BE553E">
        <w:rPr>
          <w:rFonts w:eastAsia="Calibri" w:cs="Calibri"/>
          <w:lang w:val="en-GB"/>
        </w:rPr>
        <w:t>November</w:t>
      </w:r>
      <w:r>
        <w:rPr>
          <w:rFonts w:eastAsia="Calibri" w:cs="Calibri"/>
          <w:lang w:val="en-GB"/>
        </w:rPr>
        <w:t xml:space="preserve">, </w:t>
      </w:r>
      <w:r w:rsidRPr="00BE553E">
        <w:rPr>
          <w:rFonts w:eastAsia="Calibri" w:cs="Calibri"/>
          <w:lang w:val="en-GB"/>
        </w:rPr>
        <w:t>http://www.theguardian.com/world/ng-interactive/2015/nov/16/paris-attack-</w:t>
      </w:r>
      <w:r>
        <w:rPr>
          <w:rFonts w:eastAsia="Calibri" w:cs="Calibri"/>
          <w:lang w:val="en-GB"/>
        </w:rPr>
        <w:t>victims-lives-cut-cruelly-short, accessed 3 May 2016.</w:t>
      </w:r>
    </w:p>
    <w:p w14:paraId="5A2E519F" w14:textId="77777777" w:rsidR="002B77A7" w:rsidRPr="00BE553E" w:rsidRDefault="002B77A7" w:rsidP="002B77A7">
      <w:pPr>
        <w:spacing w:line="360" w:lineRule="auto"/>
        <w:ind w:left="709" w:hanging="709"/>
        <w:jc w:val="both"/>
        <w:rPr>
          <w:rFonts w:eastAsia="Calibri" w:cs="Calibri"/>
          <w:lang w:val="en-GB"/>
        </w:rPr>
      </w:pPr>
      <w:r w:rsidRPr="00BE553E">
        <w:rPr>
          <w:rFonts w:eastAsia="Calibri" w:cs="Calibri"/>
          <w:lang w:val="en-GB"/>
        </w:rPr>
        <w:t>P</w:t>
      </w:r>
      <w:r>
        <w:rPr>
          <w:rFonts w:eastAsia="Calibri" w:cs="Calibri"/>
          <w:lang w:val="en-GB"/>
        </w:rPr>
        <w:t>atton, P. (2006)</w:t>
      </w:r>
      <w:r w:rsidRPr="00BE553E">
        <w:rPr>
          <w:rFonts w:eastAsia="Calibri" w:cs="Calibri"/>
          <w:lang w:val="en-GB"/>
        </w:rPr>
        <w:t xml:space="preserve"> Taylor and Foucault on power</w:t>
      </w:r>
      <w:r>
        <w:rPr>
          <w:rFonts w:eastAsia="Calibri" w:cs="Calibri"/>
          <w:lang w:val="en-GB"/>
        </w:rPr>
        <w:t xml:space="preserve"> and freedom. </w:t>
      </w:r>
      <w:r w:rsidRPr="00021575">
        <w:rPr>
          <w:rFonts w:eastAsia="Calibri" w:cs="Calibri"/>
          <w:i/>
          <w:lang w:val="en-GB"/>
        </w:rPr>
        <w:t>Political Studies</w:t>
      </w:r>
      <w:r>
        <w:rPr>
          <w:rFonts w:eastAsia="Calibri" w:cs="Calibri"/>
          <w:lang w:val="en-GB"/>
        </w:rPr>
        <w:t xml:space="preserve"> 37(2):</w:t>
      </w:r>
      <w:r w:rsidRPr="00BE553E">
        <w:rPr>
          <w:rFonts w:eastAsia="Calibri" w:cs="Calibri"/>
          <w:lang w:val="en-GB"/>
        </w:rPr>
        <w:t xml:space="preserve"> 260-276.</w:t>
      </w:r>
    </w:p>
    <w:p w14:paraId="3DFE1C2D" w14:textId="77777777" w:rsidR="002B77A7" w:rsidRPr="00BE553E" w:rsidRDefault="002B77A7" w:rsidP="002B77A7">
      <w:pPr>
        <w:spacing w:line="360" w:lineRule="auto"/>
        <w:ind w:left="709" w:hanging="709"/>
        <w:jc w:val="both"/>
        <w:rPr>
          <w:sz w:val="22"/>
          <w:szCs w:val="22"/>
          <w:lang w:val="en-GB"/>
        </w:rPr>
      </w:pPr>
      <w:r>
        <w:rPr>
          <w:rFonts w:cs="Arial"/>
          <w:color w:val="000000"/>
          <w:sz w:val="22"/>
          <w:szCs w:val="22"/>
          <w:lang w:val="en-GB"/>
        </w:rPr>
        <w:t>Penketh, A. (2015</w:t>
      </w:r>
      <w:r w:rsidRPr="00BE553E">
        <w:rPr>
          <w:rFonts w:cs="Arial"/>
          <w:color w:val="000000"/>
          <w:sz w:val="22"/>
          <w:szCs w:val="22"/>
          <w:lang w:val="en-GB"/>
        </w:rPr>
        <w:t>) Paris attacks: the Muslim victims of t</w:t>
      </w:r>
      <w:r>
        <w:rPr>
          <w:rFonts w:cs="Arial"/>
          <w:color w:val="000000"/>
          <w:sz w:val="22"/>
          <w:szCs w:val="22"/>
          <w:lang w:val="en-GB"/>
        </w:rPr>
        <w:t xml:space="preserve">errorist bullets. </w:t>
      </w:r>
      <w:r w:rsidRPr="00021575">
        <w:rPr>
          <w:rFonts w:cs="Arial"/>
          <w:i/>
          <w:color w:val="000000"/>
          <w:sz w:val="22"/>
          <w:szCs w:val="22"/>
          <w:lang w:val="en-GB"/>
        </w:rPr>
        <w:t>The Guardian</w:t>
      </w:r>
      <w:r>
        <w:rPr>
          <w:rFonts w:cs="Arial"/>
          <w:color w:val="000000"/>
          <w:sz w:val="22"/>
          <w:szCs w:val="22"/>
          <w:lang w:val="en-GB"/>
        </w:rPr>
        <w:t xml:space="preserve">, 18 </w:t>
      </w:r>
      <w:r w:rsidRPr="00BE553E">
        <w:rPr>
          <w:rFonts w:cs="Arial"/>
          <w:color w:val="000000"/>
          <w:sz w:val="22"/>
          <w:szCs w:val="22"/>
          <w:lang w:val="en-GB"/>
        </w:rPr>
        <w:t>November</w:t>
      </w:r>
      <w:r>
        <w:rPr>
          <w:rFonts w:cs="Arial"/>
          <w:color w:val="000000"/>
          <w:sz w:val="22"/>
          <w:szCs w:val="22"/>
          <w:lang w:val="en-GB"/>
        </w:rPr>
        <w:t xml:space="preserve">, </w:t>
      </w:r>
      <w:r w:rsidRPr="00BE553E">
        <w:rPr>
          <w:rFonts w:eastAsia="Arial"/>
          <w:sz w:val="22"/>
          <w:szCs w:val="22"/>
          <w:lang w:val="en-GB"/>
        </w:rPr>
        <w:t>https://www.theguardian.com/world/2015/nov/18/paris-attacks-muslim-victims-terrorist-france-isis</w:t>
      </w:r>
      <w:r>
        <w:rPr>
          <w:rFonts w:eastAsia="Calibri" w:cs="Calibri"/>
          <w:lang w:val="en-GB"/>
        </w:rPr>
        <w:t>, accessed 1 May 2016.</w:t>
      </w:r>
    </w:p>
    <w:p w14:paraId="588BB4E6" w14:textId="77777777" w:rsidR="002B77A7" w:rsidRPr="00BE553E" w:rsidRDefault="002B77A7" w:rsidP="002B77A7">
      <w:pPr>
        <w:spacing w:line="360" w:lineRule="auto"/>
        <w:ind w:left="709" w:hanging="709"/>
        <w:jc w:val="both"/>
        <w:rPr>
          <w:rFonts w:cs="Arial"/>
          <w:sz w:val="22"/>
          <w:szCs w:val="22"/>
          <w:lang w:val="en-GB"/>
        </w:rPr>
      </w:pPr>
      <w:r w:rsidRPr="00BE553E">
        <w:rPr>
          <w:rFonts w:cs="Arial"/>
          <w:color w:val="000000"/>
          <w:sz w:val="22"/>
          <w:szCs w:val="22"/>
          <w:lang w:val="en-GB"/>
        </w:rPr>
        <w:t>Phip</w:t>
      </w:r>
      <w:r>
        <w:rPr>
          <w:rFonts w:cs="Arial"/>
          <w:color w:val="000000"/>
          <w:sz w:val="22"/>
          <w:szCs w:val="22"/>
          <w:lang w:val="en-GB"/>
        </w:rPr>
        <w:t>ps, C. and Rawlinson, K. (2015a</w:t>
      </w:r>
      <w:r w:rsidRPr="00BE553E">
        <w:rPr>
          <w:rFonts w:cs="Arial"/>
          <w:color w:val="000000"/>
          <w:sz w:val="22"/>
          <w:szCs w:val="22"/>
          <w:lang w:val="en-GB"/>
        </w:rPr>
        <w:t xml:space="preserve">) Paris attacks: what we know in wake of killings. </w:t>
      </w:r>
      <w:r w:rsidRPr="00021575">
        <w:rPr>
          <w:rFonts w:cs="Arial"/>
          <w:i/>
          <w:iCs/>
          <w:color w:val="000000"/>
          <w:sz w:val="22"/>
          <w:szCs w:val="22"/>
          <w:lang w:val="en-GB"/>
        </w:rPr>
        <w:t>The Guardian</w:t>
      </w:r>
      <w:r>
        <w:rPr>
          <w:rFonts w:cs="Arial"/>
          <w:iCs/>
          <w:color w:val="000000"/>
          <w:sz w:val="22"/>
          <w:szCs w:val="22"/>
          <w:lang w:val="en-GB"/>
        </w:rPr>
        <w:t xml:space="preserve">, 14 </w:t>
      </w:r>
      <w:r w:rsidRPr="00BE553E">
        <w:rPr>
          <w:rFonts w:cs="Arial"/>
          <w:color w:val="000000"/>
          <w:sz w:val="22"/>
          <w:szCs w:val="22"/>
          <w:lang w:val="en-GB"/>
        </w:rPr>
        <w:t>November</w:t>
      </w:r>
      <w:r>
        <w:rPr>
          <w:rFonts w:cs="Arial"/>
          <w:color w:val="000000"/>
          <w:sz w:val="22"/>
          <w:szCs w:val="22"/>
          <w:lang w:val="en-GB"/>
        </w:rPr>
        <w:t xml:space="preserve">, </w:t>
      </w:r>
      <w:r w:rsidRPr="00BE553E">
        <w:rPr>
          <w:rFonts w:cs="Arial"/>
          <w:sz w:val="22"/>
          <w:szCs w:val="22"/>
          <w:lang w:val="en-GB"/>
        </w:rPr>
        <w:t>https://www.theguardian.com/world/2015/nov/14/p</w:t>
      </w:r>
      <w:r>
        <w:rPr>
          <w:rFonts w:cs="Arial"/>
          <w:sz w:val="22"/>
          <w:szCs w:val="22"/>
          <w:lang w:val="en-GB"/>
        </w:rPr>
        <w:t>aris-attacks-what-we-know-so-far</w:t>
      </w:r>
      <w:r>
        <w:rPr>
          <w:rFonts w:eastAsia="Calibri" w:cs="Calibri"/>
          <w:lang w:val="en-GB"/>
        </w:rPr>
        <w:t>, accessed 1 May 2016.</w:t>
      </w:r>
    </w:p>
    <w:p w14:paraId="02A7D17F" w14:textId="77777777" w:rsidR="002B77A7" w:rsidRPr="00BE553E" w:rsidRDefault="002B77A7" w:rsidP="002B77A7">
      <w:pPr>
        <w:spacing w:line="360" w:lineRule="auto"/>
        <w:ind w:left="709" w:hanging="709"/>
        <w:jc w:val="both"/>
        <w:rPr>
          <w:lang w:val="en-GB"/>
        </w:rPr>
      </w:pPr>
      <w:r w:rsidRPr="00BE553E">
        <w:rPr>
          <w:rFonts w:cs="Arial"/>
          <w:color w:val="000000"/>
          <w:sz w:val="22"/>
          <w:szCs w:val="22"/>
          <w:lang w:val="en-GB"/>
        </w:rPr>
        <w:t>Phip</w:t>
      </w:r>
      <w:r>
        <w:rPr>
          <w:rFonts w:cs="Arial"/>
          <w:color w:val="000000"/>
          <w:sz w:val="22"/>
          <w:szCs w:val="22"/>
          <w:lang w:val="en-GB"/>
        </w:rPr>
        <w:t>ps, C. and Rawlinson, K. (2015b)</w:t>
      </w:r>
      <w:r w:rsidRPr="00BE553E">
        <w:rPr>
          <w:rFonts w:cs="Arial"/>
          <w:color w:val="000000"/>
          <w:sz w:val="22"/>
          <w:szCs w:val="22"/>
          <w:lang w:val="en-GB"/>
        </w:rPr>
        <w:t xml:space="preserve"> Paris attacks kill more than 120 people </w:t>
      </w:r>
      <w:r>
        <w:rPr>
          <w:rFonts w:cs="Arial"/>
          <w:color w:val="000000"/>
          <w:sz w:val="22"/>
          <w:szCs w:val="22"/>
          <w:lang w:val="en-GB"/>
        </w:rPr>
        <w:t xml:space="preserve">– as it happened. </w:t>
      </w:r>
      <w:r w:rsidRPr="00021575">
        <w:rPr>
          <w:rFonts w:cs="Arial"/>
          <w:i/>
          <w:color w:val="000000"/>
          <w:sz w:val="22"/>
          <w:szCs w:val="22"/>
          <w:lang w:val="en-GB"/>
        </w:rPr>
        <w:t>The Guardian</w:t>
      </w:r>
      <w:r>
        <w:rPr>
          <w:rFonts w:cs="Arial"/>
          <w:color w:val="000000"/>
          <w:sz w:val="22"/>
          <w:szCs w:val="22"/>
          <w:lang w:val="en-GB"/>
        </w:rPr>
        <w:t xml:space="preserve">, 14 </w:t>
      </w:r>
      <w:r w:rsidRPr="00BE553E">
        <w:rPr>
          <w:rFonts w:cs="Arial"/>
          <w:color w:val="000000"/>
          <w:sz w:val="22"/>
          <w:szCs w:val="22"/>
          <w:lang w:val="en-GB"/>
        </w:rPr>
        <w:t>November</w:t>
      </w:r>
      <w:r>
        <w:rPr>
          <w:rFonts w:cs="Arial"/>
          <w:color w:val="000000"/>
          <w:sz w:val="22"/>
          <w:szCs w:val="22"/>
          <w:lang w:val="en-GB"/>
        </w:rPr>
        <w:t xml:space="preserve">, </w:t>
      </w:r>
      <w:r w:rsidRPr="00BE553E">
        <w:rPr>
          <w:rFonts w:cs="Arial"/>
          <w:color w:val="000000"/>
          <w:sz w:val="22"/>
          <w:szCs w:val="22"/>
          <w:lang w:val="en-GB"/>
        </w:rPr>
        <w:t>https://www.theguardian.com/world/live/2015/</w:t>
      </w:r>
      <w:r w:rsidRPr="00BE553E">
        <w:rPr>
          <w:rFonts w:cs="Arial"/>
          <w:color w:val="000000"/>
          <w:sz w:val="22"/>
          <w:szCs w:val="22"/>
          <w:lang w:val="en-GB"/>
        </w:rPr>
        <w:br/>
        <w:t>nov/13/shootings-rep</w:t>
      </w:r>
      <w:r>
        <w:rPr>
          <w:rFonts w:cs="Arial"/>
          <w:color w:val="000000"/>
          <w:sz w:val="22"/>
          <w:szCs w:val="22"/>
          <w:lang w:val="en-GB"/>
        </w:rPr>
        <w:t>orted-in-eastern-paris-live</w:t>
      </w:r>
      <w:r>
        <w:rPr>
          <w:rFonts w:eastAsia="Calibri" w:cs="Calibri"/>
          <w:lang w:val="en-GB"/>
        </w:rPr>
        <w:t>, accessed 1 May 2016.</w:t>
      </w:r>
    </w:p>
    <w:p w14:paraId="7B1CA4DD" w14:textId="77777777" w:rsidR="002B77A7" w:rsidRPr="00BE553E" w:rsidRDefault="002B77A7" w:rsidP="002B77A7">
      <w:pPr>
        <w:spacing w:line="360" w:lineRule="auto"/>
        <w:ind w:left="709" w:hanging="709"/>
        <w:jc w:val="both"/>
        <w:rPr>
          <w:rFonts w:eastAsia="Calibri" w:cs="Calibri"/>
          <w:lang w:val="en-GB"/>
        </w:rPr>
      </w:pPr>
      <w:r w:rsidRPr="00BE553E">
        <w:rPr>
          <w:rFonts w:eastAsia="Calibri" w:cs="Calibri"/>
          <w:lang w:val="en-GB"/>
        </w:rPr>
        <w:t>Pick</w:t>
      </w:r>
      <w:r>
        <w:rPr>
          <w:rFonts w:eastAsia="Calibri" w:cs="Calibri"/>
          <w:lang w:val="en-GB"/>
        </w:rPr>
        <w:t>ett, B.L. (1996)</w:t>
      </w:r>
      <w:r w:rsidRPr="00BE553E">
        <w:rPr>
          <w:rFonts w:eastAsia="Calibri" w:cs="Calibri"/>
          <w:lang w:val="en-GB"/>
        </w:rPr>
        <w:t xml:space="preserve"> Foucault and the</w:t>
      </w:r>
      <w:r>
        <w:rPr>
          <w:rFonts w:eastAsia="Calibri" w:cs="Calibri"/>
          <w:lang w:val="en-GB"/>
        </w:rPr>
        <w:t xml:space="preserve"> politics of resistance. </w:t>
      </w:r>
      <w:r w:rsidRPr="00021575">
        <w:rPr>
          <w:rFonts w:eastAsia="Calibri" w:cs="Calibri"/>
          <w:i/>
          <w:lang w:val="en-GB"/>
        </w:rPr>
        <w:t>Polity</w:t>
      </w:r>
      <w:r>
        <w:rPr>
          <w:rFonts w:eastAsia="Calibri" w:cs="Calibri"/>
          <w:lang w:val="en-GB"/>
        </w:rPr>
        <w:t xml:space="preserve"> 28(4):</w:t>
      </w:r>
      <w:r w:rsidRPr="00BE553E">
        <w:rPr>
          <w:rFonts w:eastAsia="Calibri" w:cs="Calibri"/>
          <w:lang w:val="en-GB"/>
        </w:rPr>
        <w:t xml:space="preserve"> 445-466.</w:t>
      </w:r>
    </w:p>
    <w:p w14:paraId="14EDA72E" w14:textId="77777777" w:rsidR="002B77A7" w:rsidRPr="00BE553E" w:rsidRDefault="002B77A7" w:rsidP="002B77A7">
      <w:pPr>
        <w:spacing w:line="360" w:lineRule="auto"/>
        <w:ind w:left="709" w:hanging="709"/>
        <w:jc w:val="both"/>
        <w:rPr>
          <w:lang w:val="en-GB"/>
        </w:rPr>
      </w:pPr>
      <w:r>
        <w:rPr>
          <w:rFonts w:eastAsia="Calibri" w:cs="Calibri"/>
          <w:lang w:val="en-GB"/>
        </w:rPr>
        <w:t xml:space="preserve">Pitkin, H. (1972) </w:t>
      </w:r>
      <w:r w:rsidRPr="00021575">
        <w:rPr>
          <w:rFonts w:eastAsia="Calibri" w:cs="Calibri"/>
          <w:i/>
          <w:lang w:val="en-GB"/>
        </w:rPr>
        <w:t>Wittgenstein and Justice</w:t>
      </w:r>
      <w:r w:rsidRPr="00BE553E">
        <w:rPr>
          <w:rFonts w:eastAsia="Calibri" w:cs="Calibri"/>
          <w:lang w:val="en-GB"/>
        </w:rPr>
        <w:t>. Berkeley: University of California Press.</w:t>
      </w:r>
    </w:p>
    <w:p w14:paraId="7C3341AF" w14:textId="77777777" w:rsidR="002B77A7" w:rsidRPr="00BE553E" w:rsidRDefault="002B77A7" w:rsidP="002B77A7">
      <w:pPr>
        <w:spacing w:line="360" w:lineRule="auto"/>
        <w:ind w:left="709" w:hanging="709"/>
        <w:jc w:val="both"/>
        <w:rPr>
          <w:rFonts w:eastAsia="Calibri" w:cs="Calibri"/>
          <w:lang w:val="en-GB"/>
        </w:rPr>
      </w:pPr>
      <w:r>
        <w:rPr>
          <w:rFonts w:eastAsia="Calibri" w:cs="Calibri"/>
          <w:lang w:val="en-GB"/>
        </w:rPr>
        <w:t xml:space="preserve">Phillips, A. (1991) </w:t>
      </w:r>
      <w:r w:rsidRPr="00021575">
        <w:rPr>
          <w:rFonts w:eastAsia="Calibri" w:cs="Calibri"/>
          <w:i/>
          <w:lang w:val="en-GB"/>
        </w:rPr>
        <w:t>Engendering Democracy</w:t>
      </w:r>
      <w:r w:rsidRPr="00BE553E">
        <w:rPr>
          <w:rFonts w:eastAsia="Calibri" w:cs="Calibri"/>
          <w:lang w:val="en-GB"/>
        </w:rPr>
        <w:t>. Cambridge: Polity Press.</w:t>
      </w:r>
    </w:p>
    <w:p w14:paraId="556BDCB2" w14:textId="77777777" w:rsidR="002B77A7" w:rsidRPr="00BE553E" w:rsidRDefault="002B77A7" w:rsidP="002B77A7">
      <w:pPr>
        <w:spacing w:line="360" w:lineRule="auto"/>
        <w:ind w:left="709" w:hanging="709"/>
        <w:jc w:val="both"/>
        <w:rPr>
          <w:rFonts w:eastAsia="Calibri" w:cs="Calibri"/>
          <w:lang w:val="en-GB"/>
        </w:rPr>
      </w:pPr>
      <w:r w:rsidRPr="00BE553E">
        <w:rPr>
          <w:rFonts w:eastAsia="Calibri" w:cs="Calibri"/>
          <w:lang w:val="en-GB"/>
        </w:rPr>
        <w:t>Polis (2016)</w:t>
      </w:r>
      <w:r>
        <w:rPr>
          <w:rFonts w:eastAsia="Calibri" w:cs="Calibri"/>
          <w:lang w:val="en-GB"/>
        </w:rPr>
        <w:t xml:space="preserve"> Kareem Shaheen. </w:t>
      </w:r>
      <w:r w:rsidRPr="00021575">
        <w:rPr>
          <w:rFonts w:eastAsia="Calibri" w:cs="Calibri"/>
          <w:i/>
          <w:lang w:val="en-GB"/>
        </w:rPr>
        <w:t>Polis</w:t>
      </w:r>
      <w:r>
        <w:rPr>
          <w:rFonts w:eastAsia="Calibri" w:cs="Calibri"/>
          <w:lang w:val="en-GB"/>
        </w:rPr>
        <w:t xml:space="preserve">, </w:t>
      </w:r>
      <w:r w:rsidRPr="00BE553E">
        <w:rPr>
          <w:rFonts w:eastAsia="Calibri" w:cs="Calibri"/>
          <w:lang w:val="en-GB"/>
        </w:rPr>
        <w:t>https://polisconference.com/speakers/karim-</w:t>
      </w:r>
      <w:r>
        <w:rPr>
          <w:rFonts w:eastAsia="Calibri" w:cs="Calibri"/>
          <w:lang w:val="en-GB"/>
        </w:rPr>
        <w:t>shaheen/, accessed 9 July 2016.</w:t>
      </w:r>
    </w:p>
    <w:p w14:paraId="25FE77E6" w14:textId="77777777" w:rsidR="002B77A7" w:rsidRPr="00B97C1C" w:rsidRDefault="002B77A7" w:rsidP="002B77A7">
      <w:pPr>
        <w:spacing w:line="360" w:lineRule="auto"/>
        <w:ind w:left="709" w:hanging="709"/>
        <w:jc w:val="both"/>
        <w:rPr>
          <w:rFonts w:eastAsia="Calibri" w:cs="Calibri"/>
          <w:lang w:val="en-GB"/>
        </w:rPr>
      </w:pPr>
      <w:r>
        <w:rPr>
          <w:rFonts w:eastAsia="Calibri" w:cs="Calibri"/>
          <w:lang w:val="en-GB"/>
        </w:rPr>
        <w:t xml:space="preserve">Pounsford, M. (2007) Using storytelling, conversation and coaching to engage. </w:t>
      </w:r>
      <w:r>
        <w:rPr>
          <w:rFonts w:eastAsia="Calibri" w:cs="Calibri"/>
          <w:i/>
          <w:lang w:val="en-GB"/>
        </w:rPr>
        <w:t xml:space="preserve">Strategic Communication Management </w:t>
      </w:r>
      <w:r>
        <w:rPr>
          <w:rFonts w:eastAsia="Calibri" w:cs="Calibri"/>
          <w:lang w:val="en-GB"/>
        </w:rPr>
        <w:t xml:space="preserve">11(2): 32-35. </w:t>
      </w:r>
    </w:p>
    <w:p w14:paraId="2E4A873A" w14:textId="77777777" w:rsidR="002B77A7" w:rsidRPr="00BE553E" w:rsidRDefault="002B77A7" w:rsidP="002B77A7">
      <w:pPr>
        <w:spacing w:line="360" w:lineRule="auto"/>
        <w:ind w:left="709" w:hanging="709"/>
        <w:jc w:val="both"/>
        <w:rPr>
          <w:rFonts w:eastAsia="Calibri" w:cs="Calibri"/>
          <w:lang w:val="en-GB"/>
        </w:rPr>
      </w:pPr>
      <w:r w:rsidRPr="00BE553E">
        <w:rPr>
          <w:rFonts w:eastAsia="Calibri" w:cs="Calibri"/>
          <w:lang w:val="en-GB"/>
        </w:rPr>
        <w:t>Priestman, C. (20</w:t>
      </w:r>
      <w:r>
        <w:rPr>
          <w:rFonts w:eastAsia="Calibri" w:cs="Calibri"/>
          <w:lang w:val="en-GB"/>
        </w:rPr>
        <w:t>14)</w:t>
      </w:r>
      <w:r w:rsidRPr="00BE553E">
        <w:rPr>
          <w:rFonts w:eastAsia="Calibri" w:cs="Calibri"/>
          <w:lang w:val="en-GB"/>
        </w:rPr>
        <w:t xml:space="preserve"> A video g</w:t>
      </w:r>
      <w:r>
        <w:rPr>
          <w:rFonts w:eastAsia="Calibri" w:cs="Calibri"/>
          <w:lang w:val="en-GB"/>
        </w:rPr>
        <w:t xml:space="preserve">ame for Ferguson. </w:t>
      </w:r>
      <w:r w:rsidRPr="00021575">
        <w:rPr>
          <w:rFonts w:eastAsia="Calibri" w:cs="Calibri"/>
          <w:i/>
          <w:lang w:val="en-GB"/>
        </w:rPr>
        <w:t>The Atlantic</w:t>
      </w:r>
      <w:r>
        <w:rPr>
          <w:rFonts w:eastAsia="Calibri" w:cs="Calibri"/>
          <w:lang w:val="en-GB"/>
        </w:rPr>
        <w:t xml:space="preserve">, 27 </w:t>
      </w:r>
      <w:r w:rsidRPr="00BE553E">
        <w:rPr>
          <w:rFonts w:eastAsia="Calibri" w:cs="Calibri"/>
          <w:lang w:val="en-GB"/>
        </w:rPr>
        <w:t>August</w:t>
      </w:r>
      <w:r>
        <w:rPr>
          <w:rFonts w:eastAsia="Calibri" w:cs="Calibri"/>
          <w:lang w:val="en-GB"/>
        </w:rPr>
        <w:t xml:space="preserve">, </w:t>
      </w:r>
      <w:r w:rsidRPr="00BE553E">
        <w:rPr>
          <w:rFonts w:eastAsia="Calibri" w:cs="Calibri"/>
          <w:lang w:val="en-GB"/>
        </w:rPr>
        <w:t>http://www.theatlantic.com/entertainment/archive/2014/08/a-</w:t>
      </w:r>
      <w:r>
        <w:rPr>
          <w:rFonts w:eastAsia="Calibri" w:cs="Calibri"/>
          <w:lang w:val="en-GB"/>
        </w:rPr>
        <w:t>video-game-for-ferguson/379110/, accessed 3 June 2016.</w:t>
      </w:r>
    </w:p>
    <w:p w14:paraId="7C327949" w14:textId="77777777" w:rsidR="002B77A7" w:rsidRPr="00BE553E" w:rsidRDefault="002B77A7" w:rsidP="002B77A7">
      <w:pPr>
        <w:spacing w:line="360" w:lineRule="auto"/>
        <w:ind w:left="709" w:hanging="709"/>
        <w:jc w:val="both"/>
        <w:rPr>
          <w:lang w:val="en-GB"/>
        </w:rPr>
      </w:pPr>
      <w:r>
        <w:rPr>
          <w:rFonts w:eastAsia="Calibri" w:cs="Calibri"/>
          <w:lang w:val="en-GB"/>
        </w:rPr>
        <w:t>Prozorov, S. (2013</w:t>
      </w:r>
      <w:r w:rsidRPr="00021575">
        <w:rPr>
          <w:rFonts w:eastAsia="Calibri" w:cs="Calibri"/>
          <w:i/>
          <w:lang w:val="en-GB"/>
        </w:rPr>
        <w:t>) Foucault, Freedom and Sovereignty</w:t>
      </w:r>
      <w:r w:rsidRPr="00BE553E">
        <w:rPr>
          <w:rFonts w:eastAsia="Calibri" w:cs="Calibri"/>
          <w:lang w:val="en-GB"/>
        </w:rPr>
        <w:t>. London: Ashgate Publishing.</w:t>
      </w:r>
    </w:p>
    <w:p w14:paraId="3763CEB8" w14:textId="77777777" w:rsidR="002B77A7" w:rsidRPr="00BE553E" w:rsidRDefault="002B77A7" w:rsidP="002B77A7">
      <w:pPr>
        <w:spacing w:line="360" w:lineRule="auto"/>
        <w:ind w:left="709" w:hanging="709"/>
        <w:jc w:val="both"/>
        <w:rPr>
          <w:lang w:val="en-GB"/>
        </w:rPr>
      </w:pPr>
      <w:r>
        <w:rPr>
          <w:rFonts w:eastAsia="Calibri" w:cs="Calibri"/>
          <w:lang w:val="en-GB"/>
        </w:rPr>
        <w:t>Rabinow, P. (1984)</w:t>
      </w:r>
      <w:r w:rsidRPr="00BE553E">
        <w:rPr>
          <w:rFonts w:eastAsia="Calibri" w:cs="Calibri"/>
          <w:lang w:val="en-GB"/>
        </w:rPr>
        <w:t xml:space="preserve"> Introduction. In</w:t>
      </w:r>
      <w:r>
        <w:rPr>
          <w:rFonts w:eastAsia="Calibri" w:cs="Calibri"/>
          <w:lang w:val="en-GB"/>
        </w:rPr>
        <w:t xml:space="preserve">: P. Rabinow (ed.) </w:t>
      </w:r>
      <w:r w:rsidRPr="00021575">
        <w:rPr>
          <w:rFonts w:eastAsia="Calibri" w:cs="Calibri"/>
          <w:i/>
          <w:lang w:val="en-GB"/>
        </w:rPr>
        <w:t>The Foucault Reader</w:t>
      </w:r>
      <w:r>
        <w:rPr>
          <w:rFonts w:eastAsia="Calibri" w:cs="Calibri"/>
          <w:lang w:val="en-GB"/>
        </w:rPr>
        <w:t>. New York: Pantheon Books, pp. 3-29.</w:t>
      </w:r>
    </w:p>
    <w:p w14:paraId="0AFE4396" w14:textId="77777777" w:rsidR="002B77A7" w:rsidRDefault="002B77A7" w:rsidP="002B77A7">
      <w:pPr>
        <w:spacing w:line="360" w:lineRule="auto"/>
        <w:ind w:left="709" w:hanging="709"/>
        <w:jc w:val="both"/>
        <w:rPr>
          <w:lang w:val="en-GB"/>
        </w:rPr>
      </w:pPr>
      <w:r>
        <w:rPr>
          <w:lang w:val="en-GB"/>
        </w:rPr>
        <w:t>Radwanick, S. (2012</w:t>
      </w:r>
      <w:r w:rsidRPr="00BE553E">
        <w:rPr>
          <w:lang w:val="en-GB"/>
        </w:rPr>
        <w:t>) Most read online newspapers in the world: Mail Online, New York Ti</w:t>
      </w:r>
      <w:r>
        <w:rPr>
          <w:lang w:val="en-GB"/>
        </w:rPr>
        <w:t xml:space="preserve">mes and the Guardian. </w:t>
      </w:r>
      <w:r w:rsidRPr="00021575">
        <w:rPr>
          <w:i/>
          <w:lang w:val="en-GB"/>
        </w:rPr>
        <w:t>ComScore</w:t>
      </w:r>
      <w:r>
        <w:rPr>
          <w:lang w:val="en-GB"/>
        </w:rPr>
        <w:t xml:space="preserve">, 12 </w:t>
      </w:r>
      <w:r w:rsidRPr="00BE553E">
        <w:rPr>
          <w:lang w:val="en-GB"/>
        </w:rPr>
        <w:t>December</w:t>
      </w:r>
      <w:r>
        <w:rPr>
          <w:lang w:val="en-GB"/>
        </w:rPr>
        <w:t xml:space="preserve">, </w:t>
      </w:r>
      <w:r w:rsidRPr="00BE553E">
        <w:rPr>
          <w:lang w:val="en-GB"/>
        </w:rPr>
        <w:t>https://www.comscore.com/Insights/Data-Mine/Most-Read-Online-Newspapers-in-the-World-Mail-Online-</w:t>
      </w:r>
      <w:r>
        <w:rPr>
          <w:lang w:val="en-GB"/>
        </w:rPr>
        <w:t>New-York-Times-and-The-Guardian</w:t>
      </w:r>
      <w:r>
        <w:rPr>
          <w:rFonts w:eastAsia="Calibri" w:cs="Calibri"/>
          <w:lang w:val="en-GB"/>
        </w:rPr>
        <w:t>, accessed 2 March 2016.</w:t>
      </w:r>
    </w:p>
    <w:p w14:paraId="577383B1" w14:textId="77777777" w:rsidR="002B77A7" w:rsidRPr="00BE553E" w:rsidRDefault="002B77A7" w:rsidP="002B77A7">
      <w:pPr>
        <w:spacing w:line="360" w:lineRule="auto"/>
        <w:ind w:left="709" w:hanging="709"/>
        <w:jc w:val="both"/>
        <w:rPr>
          <w:lang w:val="en-GB"/>
        </w:rPr>
      </w:pPr>
      <w:r>
        <w:rPr>
          <w:lang w:val="en-GB"/>
        </w:rPr>
        <w:lastRenderedPageBreak/>
        <w:t>Robinson, L. (2008)</w:t>
      </w:r>
      <w:r w:rsidRPr="00BE553E">
        <w:rPr>
          <w:lang w:val="en-GB"/>
        </w:rPr>
        <w:t xml:space="preserve"> The moral accounting of terrorism: Competing interpretations of September </w:t>
      </w:r>
      <w:r>
        <w:rPr>
          <w:lang w:val="en-GB"/>
        </w:rPr>
        <w:t xml:space="preserve">11, 2001. </w:t>
      </w:r>
      <w:r w:rsidRPr="00021575">
        <w:rPr>
          <w:i/>
          <w:lang w:val="en-GB"/>
        </w:rPr>
        <w:t>Qualitative Sociology</w:t>
      </w:r>
      <w:r w:rsidRPr="00BE553E">
        <w:rPr>
          <w:lang w:val="en-GB"/>
        </w:rPr>
        <w:t xml:space="preserve"> 31</w:t>
      </w:r>
      <w:r>
        <w:rPr>
          <w:lang w:val="en-GB"/>
        </w:rPr>
        <w:t>:</w:t>
      </w:r>
      <w:r w:rsidRPr="00BE553E">
        <w:rPr>
          <w:lang w:val="en-GB"/>
        </w:rPr>
        <w:t xml:space="preserve"> 271-285.</w:t>
      </w:r>
    </w:p>
    <w:p w14:paraId="059011F8" w14:textId="77777777" w:rsidR="002B77A7" w:rsidRPr="00BE553E" w:rsidRDefault="002B77A7" w:rsidP="002B77A7">
      <w:pPr>
        <w:spacing w:line="360" w:lineRule="auto"/>
        <w:ind w:left="709" w:hanging="709"/>
        <w:jc w:val="both"/>
        <w:rPr>
          <w:rFonts w:eastAsia="Calibri" w:cs="Calibri"/>
          <w:color w:val="1A1A1A"/>
          <w:lang w:val="en-GB"/>
        </w:rPr>
      </w:pPr>
      <w:r w:rsidRPr="00BE553E">
        <w:rPr>
          <w:rFonts w:eastAsia="Calibri" w:cs="Calibri"/>
          <w:color w:val="1A1A1A"/>
          <w:lang w:val="en-GB"/>
        </w:rPr>
        <w:t>Roy, S.D. (2015</w:t>
      </w:r>
      <w:r>
        <w:rPr>
          <w:rFonts w:eastAsia="Calibri" w:cs="Calibri"/>
          <w:color w:val="1A1A1A"/>
          <w:lang w:val="en-GB"/>
        </w:rPr>
        <w:t>)</w:t>
      </w:r>
      <w:r w:rsidRPr="00BE553E">
        <w:rPr>
          <w:rFonts w:eastAsia="Calibri" w:cs="Calibri"/>
          <w:color w:val="1A1A1A"/>
          <w:lang w:val="en-GB"/>
        </w:rPr>
        <w:t xml:space="preserve"> Paris and Beirut: Data suggest how social media </w:t>
      </w:r>
      <w:r>
        <w:rPr>
          <w:rFonts w:eastAsia="Calibri" w:cs="Calibri"/>
          <w:color w:val="1A1A1A"/>
          <w:lang w:val="en-GB"/>
        </w:rPr>
        <w:t xml:space="preserve">shapes the coverage, </w:t>
      </w:r>
      <w:r w:rsidRPr="00021575">
        <w:rPr>
          <w:rFonts w:eastAsia="Calibri" w:cs="Calibri"/>
          <w:i/>
          <w:color w:val="1A1A1A"/>
          <w:lang w:val="en-GB"/>
        </w:rPr>
        <w:t>Medium</w:t>
      </w:r>
      <w:r>
        <w:rPr>
          <w:rFonts w:eastAsia="Calibri" w:cs="Calibri"/>
          <w:color w:val="1A1A1A"/>
          <w:lang w:val="en-GB"/>
        </w:rPr>
        <w:t xml:space="preserve">, 20 </w:t>
      </w:r>
      <w:r w:rsidRPr="00BE553E">
        <w:rPr>
          <w:rFonts w:eastAsia="Calibri" w:cs="Calibri"/>
          <w:color w:val="1A1A1A"/>
          <w:lang w:val="en-GB"/>
        </w:rPr>
        <w:t>November</w:t>
      </w:r>
      <w:r>
        <w:rPr>
          <w:rFonts w:eastAsia="Calibri" w:cs="Calibri"/>
          <w:color w:val="1A1A1A"/>
          <w:lang w:val="en-GB"/>
        </w:rPr>
        <w:t>,</w:t>
      </w:r>
      <w:r w:rsidRPr="00BE553E">
        <w:rPr>
          <w:rFonts w:eastAsia="Calibri" w:cs="Calibri"/>
          <w:color w:val="1A1A1A"/>
          <w:lang w:val="en-GB"/>
        </w:rPr>
        <w:t xml:space="preserve"> https://medium.com/i-data/paris-and-beirut-data-suggests-how-social-media-s</w:t>
      </w:r>
      <w:r>
        <w:rPr>
          <w:rFonts w:eastAsia="Calibri" w:cs="Calibri"/>
          <w:color w:val="1A1A1A"/>
          <w:lang w:val="en-GB"/>
        </w:rPr>
        <w:t>hapes-the-coverage-738e9d336c9f</w:t>
      </w:r>
      <w:r>
        <w:rPr>
          <w:rFonts w:eastAsia="Calibri" w:cs="Calibri"/>
          <w:lang w:val="en-GB"/>
        </w:rPr>
        <w:t>, accessed 1 June 2016.</w:t>
      </w:r>
    </w:p>
    <w:p w14:paraId="030E0375" w14:textId="77777777" w:rsidR="002B77A7" w:rsidRPr="00BE553E" w:rsidRDefault="002B77A7" w:rsidP="002B77A7">
      <w:pPr>
        <w:spacing w:line="360" w:lineRule="auto"/>
        <w:ind w:left="709" w:hanging="709"/>
        <w:jc w:val="both"/>
        <w:rPr>
          <w:rFonts w:eastAsia="Calibri" w:cs="Calibri"/>
          <w:color w:val="1A1A1A"/>
          <w:lang w:val="en-GB"/>
        </w:rPr>
      </w:pPr>
      <w:r>
        <w:rPr>
          <w:lang w:val="en-GB"/>
        </w:rPr>
        <w:t>Safi, M. (2015)</w:t>
      </w:r>
      <w:r w:rsidRPr="00BE553E">
        <w:rPr>
          <w:lang w:val="en-GB"/>
        </w:rPr>
        <w:t xml:space="preserve"> Malcolm Turnbull says Paris attack has ‘hallmarks’ of</w:t>
      </w:r>
      <w:r>
        <w:rPr>
          <w:lang w:val="en-GB"/>
        </w:rPr>
        <w:t xml:space="preserve"> an Isi operation. </w:t>
      </w:r>
      <w:r w:rsidRPr="00021575">
        <w:rPr>
          <w:i/>
          <w:lang w:val="en-GB"/>
        </w:rPr>
        <w:t>The Guardian</w:t>
      </w:r>
      <w:r>
        <w:rPr>
          <w:lang w:val="en-GB"/>
        </w:rPr>
        <w:t xml:space="preserve">, 14 </w:t>
      </w:r>
      <w:r w:rsidRPr="00BE553E">
        <w:rPr>
          <w:lang w:val="en-GB"/>
        </w:rPr>
        <w:t>November</w:t>
      </w:r>
      <w:r>
        <w:rPr>
          <w:lang w:val="en-GB"/>
        </w:rPr>
        <w:t xml:space="preserve">, </w:t>
      </w:r>
      <w:r w:rsidRPr="00BE553E">
        <w:rPr>
          <w:rFonts w:cs="Arial"/>
          <w:color w:val="000000"/>
          <w:lang w:val="en-GB"/>
        </w:rPr>
        <w:t>https://www.theguardian.com/world/2015/nov/14/malcolm-turnbull-says-paris-attack-has-hal</w:t>
      </w:r>
      <w:r>
        <w:rPr>
          <w:rFonts w:cs="Arial"/>
          <w:color w:val="000000"/>
          <w:lang w:val="en-GB"/>
        </w:rPr>
        <w:t>lmarks-of-an-isis-operation</w:t>
      </w:r>
      <w:r>
        <w:rPr>
          <w:rFonts w:eastAsia="Calibri" w:cs="Calibri"/>
          <w:lang w:val="en-GB"/>
        </w:rPr>
        <w:t>, accessed 1 May 2016.</w:t>
      </w:r>
    </w:p>
    <w:p w14:paraId="4BA740FF" w14:textId="77777777" w:rsidR="002B77A7" w:rsidRPr="00BE553E" w:rsidRDefault="002B77A7" w:rsidP="002B77A7">
      <w:pPr>
        <w:spacing w:line="360" w:lineRule="auto"/>
        <w:ind w:left="709" w:hanging="709"/>
        <w:jc w:val="both"/>
        <w:rPr>
          <w:lang w:val="en-GB"/>
        </w:rPr>
      </w:pPr>
      <w:r>
        <w:rPr>
          <w:rFonts w:eastAsia="Calibri" w:cs="Calibri"/>
          <w:color w:val="1A1A1A"/>
          <w:lang w:val="en-GB"/>
        </w:rPr>
        <w:t>Said, E.W. (1986)</w:t>
      </w:r>
      <w:r w:rsidRPr="00BE553E">
        <w:rPr>
          <w:rFonts w:eastAsia="Calibri" w:cs="Calibri"/>
          <w:color w:val="1A1A1A"/>
          <w:lang w:val="en-GB"/>
        </w:rPr>
        <w:t xml:space="preserve"> Foucault and the imagination of power. In</w:t>
      </w:r>
      <w:r>
        <w:rPr>
          <w:rFonts w:eastAsia="Calibri" w:cs="Calibri"/>
          <w:color w:val="1A1A1A"/>
          <w:lang w:val="en-GB"/>
        </w:rPr>
        <w:t xml:space="preserve">: D.C. Hoy (ed.) </w:t>
      </w:r>
      <w:r w:rsidRPr="00021575">
        <w:rPr>
          <w:rFonts w:eastAsia="Calibri" w:cs="Calibri"/>
          <w:i/>
          <w:color w:val="1A1A1A"/>
          <w:lang w:val="en-GB"/>
        </w:rPr>
        <w:t>Foucault: A Critical Reader</w:t>
      </w:r>
      <w:r>
        <w:rPr>
          <w:rFonts w:eastAsia="Calibri" w:cs="Calibri"/>
          <w:color w:val="1A1A1A"/>
          <w:lang w:val="en-GB"/>
        </w:rPr>
        <w:t xml:space="preserve">. Oxford: Basil Blackwell, pp. </w:t>
      </w:r>
      <w:r w:rsidRPr="00BE553E">
        <w:rPr>
          <w:rFonts w:eastAsia="Calibri" w:cs="Calibri"/>
          <w:color w:val="1A1A1A"/>
          <w:lang w:val="en-GB"/>
        </w:rPr>
        <w:t>149-156</w:t>
      </w:r>
      <w:r>
        <w:rPr>
          <w:rFonts w:eastAsia="Calibri" w:cs="Calibri"/>
          <w:color w:val="1A1A1A"/>
          <w:lang w:val="en-GB"/>
        </w:rPr>
        <w:t>.</w:t>
      </w:r>
    </w:p>
    <w:p w14:paraId="6A7557E5" w14:textId="77777777" w:rsidR="002B77A7" w:rsidRPr="00BE553E" w:rsidRDefault="002B77A7" w:rsidP="002B77A7">
      <w:pPr>
        <w:spacing w:line="360" w:lineRule="auto"/>
        <w:ind w:left="709" w:hanging="709"/>
        <w:jc w:val="both"/>
        <w:rPr>
          <w:lang w:val="en-GB"/>
        </w:rPr>
      </w:pPr>
      <w:r w:rsidRPr="00BE553E">
        <w:rPr>
          <w:rFonts w:eastAsia="Calibri" w:cs="Calibri"/>
          <w:color w:val="1A1A1A"/>
          <w:lang w:val="en-GB"/>
        </w:rPr>
        <w:t xml:space="preserve">Said, E.W. </w:t>
      </w:r>
      <w:r>
        <w:rPr>
          <w:rFonts w:eastAsia="Calibri" w:cs="Calibri"/>
          <w:lang w:val="en-GB"/>
        </w:rPr>
        <w:t>(2003)</w:t>
      </w:r>
      <w:r w:rsidRPr="00BE553E">
        <w:rPr>
          <w:rFonts w:eastAsia="Calibri" w:cs="Calibri"/>
          <w:lang w:val="en-GB"/>
        </w:rPr>
        <w:t xml:space="preserve"> </w:t>
      </w:r>
      <w:r w:rsidRPr="00021575">
        <w:rPr>
          <w:rFonts w:eastAsia="Calibri" w:cs="Calibri"/>
          <w:i/>
          <w:lang w:val="en-GB"/>
        </w:rPr>
        <w:t>Orientalism</w:t>
      </w:r>
      <w:r w:rsidRPr="00BE553E">
        <w:rPr>
          <w:rFonts w:eastAsia="Calibri" w:cs="Calibri"/>
          <w:lang w:val="en-GB"/>
        </w:rPr>
        <w:t xml:space="preserve">. London: Penguin Group. </w:t>
      </w:r>
    </w:p>
    <w:p w14:paraId="32B9D431" w14:textId="77777777" w:rsidR="002B77A7" w:rsidRPr="00BE553E" w:rsidRDefault="002B77A7" w:rsidP="002B77A7">
      <w:pPr>
        <w:spacing w:line="360" w:lineRule="auto"/>
        <w:ind w:left="709" w:hanging="709"/>
        <w:jc w:val="both"/>
        <w:rPr>
          <w:rFonts w:eastAsia="Calibri" w:cs="Calibri"/>
          <w:lang w:val="en-GB"/>
        </w:rPr>
      </w:pPr>
      <w:r>
        <w:rPr>
          <w:rFonts w:eastAsia="Calibri" w:cs="Calibri"/>
          <w:lang w:val="en-GB"/>
        </w:rPr>
        <w:t>Sawicki, J. (1991)</w:t>
      </w:r>
      <w:r w:rsidRPr="00BE553E">
        <w:rPr>
          <w:rFonts w:eastAsia="Calibri" w:cs="Calibri"/>
          <w:lang w:val="en-GB"/>
        </w:rPr>
        <w:t xml:space="preserve"> </w:t>
      </w:r>
      <w:r w:rsidRPr="00021575">
        <w:rPr>
          <w:rFonts w:eastAsia="Calibri" w:cs="Calibri"/>
          <w:i/>
          <w:lang w:val="en-GB"/>
        </w:rPr>
        <w:t>Disciplining Foucault: Feminism, Power and the Body</w:t>
      </w:r>
      <w:r w:rsidRPr="00BE553E">
        <w:rPr>
          <w:rFonts w:eastAsia="Calibri" w:cs="Calibri"/>
          <w:lang w:val="en-GB"/>
        </w:rPr>
        <w:t>. New York: Routledge.</w:t>
      </w:r>
    </w:p>
    <w:p w14:paraId="1E0E3A23" w14:textId="77777777" w:rsidR="002B77A7" w:rsidRPr="00BE553E" w:rsidRDefault="002B77A7" w:rsidP="002B77A7">
      <w:pPr>
        <w:spacing w:line="360" w:lineRule="auto"/>
        <w:ind w:left="709" w:hanging="709"/>
        <w:jc w:val="both"/>
        <w:rPr>
          <w:lang w:val="en-GB"/>
        </w:rPr>
      </w:pPr>
      <w:r>
        <w:rPr>
          <w:rFonts w:eastAsia="Calibri" w:cs="Calibri"/>
          <w:lang w:val="en-GB"/>
        </w:rPr>
        <w:t xml:space="preserve">Schneider, F. (2013) </w:t>
      </w:r>
      <w:r w:rsidRPr="00BE553E">
        <w:rPr>
          <w:rFonts w:eastAsia="Calibri" w:cs="Calibri"/>
          <w:lang w:val="en-GB"/>
        </w:rPr>
        <w:t xml:space="preserve">Getting the hang of discourse theory. </w:t>
      </w:r>
      <w:r w:rsidRPr="00021575">
        <w:rPr>
          <w:rFonts w:eastAsia="Calibri" w:cs="Calibri"/>
          <w:i/>
          <w:lang w:val="en-GB"/>
        </w:rPr>
        <w:t>Politics East Asia</w:t>
      </w:r>
      <w:r>
        <w:rPr>
          <w:rFonts w:eastAsia="Calibri" w:cs="Calibri"/>
          <w:lang w:val="en-GB"/>
        </w:rPr>
        <w:t xml:space="preserve">, 6 May, </w:t>
      </w:r>
      <w:r w:rsidRPr="00BE553E">
        <w:rPr>
          <w:rFonts w:eastAsia="Calibri" w:cs="Calibri"/>
          <w:lang w:val="en-GB"/>
        </w:rPr>
        <w:t>http://www.politicseastasia.com/studying/gettin</w:t>
      </w:r>
      <w:r>
        <w:rPr>
          <w:rFonts w:eastAsia="Calibri" w:cs="Calibri"/>
          <w:lang w:val="en-GB"/>
        </w:rPr>
        <w:t>g-the-hang-of-discourse-theory/, accessed 3 March 2016.</w:t>
      </w:r>
    </w:p>
    <w:p w14:paraId="22D91E7E" w14:textId="77777777" w:rsidR="002B77A7" w:rsidRPr="00BE553E" w:rsidRDefault="002B77A7" w:rsidP="002B77A7">
      <w:pPr>
        <w:spacing w:line="360" w:lineRule="auto"/>
        <w:ind w:left="709" w:hanging="709"/>
        <w:jc w:val="both"/>
        <w:rPr>
          <w:lang w:val="en-GB"/>
        </w:rPr>
      </w:pPr>
      <w:r w:rsidRPr="00BE553E">
        <w:rPr>
          <w:rFonts w:eastAsia="Calibri" w:cs="Calibri"/>
          <w:lang w:val="en-GB"/>
        </w:rPr>
        <w:t xml:space="preserve">Scott, </w:t>
      </w:r>
      <w:r>
        <w:rPr>
          <w:rFonts w:eastAsia="Calibri" w:cs="Calibri"/>
          <w:lang w:val="en-GB"/>
        </w:rPr>
        <w:t>C.P. (2015)</w:t>
      </w:r>
      <w:r w:rsidRPr="00BE553E">
        <w:rPr>
          <w:rFonts w:eastAsia="Calibri" w:cs="Calibri"/>
          <w:lang w:val="en-GB"/>
        </w:rPr>
        <w:t xml:space="preserve"> A hundred years: An e</w:t>
      </w:r>
      <w:r>
        <w:rPr>
          <w:rFonts w:eastAsia="Calibri" w:cs="Calibri"/>
          <w:lang w:val="en-GB"/>
        </w:rPr>
        <w:t xml:space="preserve">ssay by CP Scott. </w:t>
      </w:r>
      <w:r w:rsidRPr="00021575">
        <w:rPr>
          <w:rFonts w:eastAsia="Calibri" w:cs="Calibri"/>
          <w:i/>
          <w:lang w:val="en-GB"/>
        </w:rPr>
        <w:t>The Guardian</w:t>
      </w:r>
      <w:r>
        <w:rPr>
          <w:rFonts w:eastAsia="Calibri" w:cs="Calibri"/>
          <w:lang w:val="en-GB"/>
        </w:rPr>
        <w:t xml:space="preserve">, 14 </w:t>
      </w:r>
      <w:r w:rsidRPr="00BE553E">
        <w:rPr>
          <w:rFonts w:eastAsia="Calibri" w:cs="Calibri"/>
          <w:lang w:val="en-GB"/>
        </w:rPr>
        <w:t>September</w:t>
      </w:r>
      <w:r>
        <w:rPr>
          <w:rFonts w:eastAsia="Calibri" w:cs="Calibri"/>
          <w:lang w:val="en-GB"/>
        </w:rPr>
        <w:t xml:space="preserve">, </w:t>
      </w:r>
      <w:r w:rsidRPr="00BE553E">
        <w:rPr>
          <w:rFonts w:eastAsia="Calibri" w:cs="Calibri"/>
          <w:lang w:val="en-GB"/>
        </w:rPr>
        <w:t>http://www.theguardian.com/the-scott-trust/2015/sep/14/a-hun</w:t>
      </w:r>
      <w:r>
        <w:rPr>
          <w:rFonts w:eastAsia="Calibri" w:cs="Calibri"/>
          <w:lang w:val="en-GB"/>
        </w:rPr>
        <w:t>dred-years-an-essay-by-cp-scott, accessed 13 March 2016.</w:t>
      </w:r>
    </w:p>
    <w:p w14:paraId="7E739013" w14:textId="77777777" w:rsidR="002B77A7" w:rsidRPr="00BE553E" w:rsidRDefault="002B77A7" w:rsidP="002B77A7">
      <w:pPr>
        <w:spacing w:line="360" w:lineRule="auto"/>
        <w:ind w:left="709" w:hanging="709"/>
        <w:jc w:val="both"/>
        <w:rPr>
          <w:lang w:val="en-GB"/>
        </w:rPr>
      </w:pPr>
      <w:r>
        <w:rPr>
          <w:rFonts w:eastAsia="Calibri" w:cs="Calibri"/>
          <w:lang w:val="en-GB"/>
        </w:rPr>
        <w:t>Seaton, M. (2010)</w:t>
      </w:r>
      <w:r w:rsidRPr="00BE553E">
        <w:rPr>
          <w:rFonts w:eastAsia="Calibri" w:cs="Calibri"/>
          <w:lang w:val="en-GB"/>
        </w:rPr>
        <w:t xml:space="preserve"> The Guardian’s election editorial meeti</w:t>
      </w:r>
      <w:r>
        <w:rPr>
          <w:rFonts w:eastAsia="Calibri" w:cs="Calibri"/>
          <w:lang w:val="en-GB"/>
        </w:rPr>
        <w:t xml:space="preserve">ng: Report. </w:t>
      </w:r>
      <w:r w:rsidRPr="00021575">
        <w:rPr>
          <w:rFonts w:eastAsia="Calibri" w:cs="Calibri"/>
          <w:i/>
          <w:lang w:val="en-GB"/>
        </w:rPr>
        <w:t>The Guardian</w:t>
      </w:r>
      <w:r>
        <w:rPr>
          <w:rFonts w:eastAsia="Calibri" w:cs="Calibri"/>
          <w:lang w:val="en-GB"/>
        </w:rPr>
        <w:t xml:space="preserve">, 23 </w:t>
      </w:r>
      <w:r w:rsidRPr="00BE553E">
        <w:rPr>
          <w:rFonts w:eastAsia="Calibri" w:cs="Calibri"/>
          <w:lang w:val="en-GB"/>
        </w:rPr>
        <w:t>April</w:t>
      </w:r>
      <w:r>
        <w:rPr>
          <w:rFonts w:eastAsia="Calibri" w:cs="Calibri"/>
          <w:lang w:val="en-GB"/>
        </w:rPr>
        <w:t xml:space="preserve">, </w:t>
      </w:r>
      <w:r w:rsidRPr="00BE553E">
        <w:rPr>
          <w:rFonts w:eastAsia="Calibri" w:cs="Calibri"/>
          <w:lang w:val="en-GB"/>
        </w:rPr>
        <w:t>http://www.theguardian.com/commentisfree/2010/apr/23/elec</w:t>
      </w:r>
      <w:r>
        <w:rPr>
          <w:rFonts w:eastAsia="Calibri" w:cs="Calibri"/>
          <w:lang w:val="en-GB"/>
        </w:rPr>
        <w:t>tion-editorial-comment-guardian, accessed 12 March 2016.</w:t>
      </w:r>
    </w:p>
    <w:p w14:paraId="326B33F8" w14:textId="77777777" w:rsidR="002B77A7" w:rsidRPr="00BE553E" w:rsidRDefault="002B77A7" w:rsidP="002B77A7">
      <w:pPr>
        <w:spacing w:line="360" w:lineRule="auto"/>
        <w:ind w:left="709" w:hanging="709"/>
        <w:jc w:val="both"/>
        <w:rPr>
          <w:rFonts w:eastAsia="Calibri" w:cs="Calibri"/>
          <w:lang w:val="en-GB"/>
        </w:rPr>
      </w:pPr>
      <w:r w:rsidRPr="00C476EB">
        <w:rPr>
          <w:rFonts w:eastAsia="Calibri" w:cs="Calibri"/>
          <w:lang w:val="en-GB"/>
        </w:rPr>
        <w:t xml:space="preserve">Ser, K.K.K. (2016) </w:t>
      </w:r>
      <w:r w:rsidRPr="00BE553E">
        <w:rPr>
          <w:rFonts w:eastAsia="Calibri" w:cs="Calibri"/>
          <w:lang w:val="en-GB"/>
        </w:rPr>
        <w:t>In charts, the world’s differing view of t</w:t>
      </w:r>
      <w:r>
        <w:rPr>
          <w:rFonts w:eastAsia="Calibri" w:cs="Calibri"/>
          <w:lang w:val="en-GB"/>
        </w:rPr>
        <w:t xml:space="preserve">he Paris, Beirut attacks. </w:t>
      </w:r>
      <w:r w:rsidRPr="00021575">
        <w:rPr>
          <w:rFonts w:eastAsia="Calibri" w:cs="Calibri"/>
          <w:i/>
          <w:lang w:val="en-GB"/>
        </w:rPr>
        <w:t>KUOW</w:t>
      </w:r>
      <w:r>
        <w:rPr>
          <w:rFonts w:eastAsia="Calibri" w:cs="Calibri"/>
          <w:lang w:val="en-GB"/>
        </w:rPr>
        <w:t>, 16 November</w:t>
      </w:r>
      <w:r w:rsidRPr="00C476EB">
        <w:rPr>
          <w:rFonts w:eastAsia="Calibri" w:cs="Calibri"/>
          <w:lang w:val="en-GB"/>
        </w:rPr>
        <w:t xml:space="preserve">, </w:t>
      </w:r>
      <w:r w:rsidRPr="00BE553E">
        <w:rPr>
          <w:rFonts w:eastAsia="Calibri" w:cs="Calibri"/>
          <w:lang w:val="en-GB"/>
        </w:rPr>
        <w:t>http://kuow.org/post/charts-worlds-differing-view-paris-beirut-att</w:t>
      </w:r>
      <w:r>
        <w:rPr>
          <w:rFonts w:eastAsia="Calibri" w:cs="Calibri"/>
          <w:lang w:val="en-GB"/>
        </w:rPr>
        <w:t>acks, accessed 15 June 2016.</w:t>
      </w:r>
    </w:p>
    <w:p w14:paraId="55B58FBA" w14:textId="77777777" w:rsidR="002B77A7" w:rsidRPr="00BE553E" w:rsidRDefault="002B77A7" w:rsidP="002B77A7">
      <w:pPr>
        <w:spacing w:line="360" w:lineRule="auto"/>
        <w:ind w:left="709" w:hanging="709"/>
        <w:jc w:val="both"/>
        <w:rPr>
          <w:rFonts w:cs="Arial"/>
          <w:color w:val="000000"/>
          <w:sz w:val="22"/>
          <w:szCs w:val="22"/>
          <w:lang w:val="en-GB"/>
        </w:rPr>
      </w:pPr>
      <w:r>
        <w:rPr>
          <w:rFonts w:cs="Arial"/>
          <w:color w:val="000000"/>
          <w:sz w:val="22"/>
          <w:szCs w:val="22"/>
          <w:lang w:val="en-GB"/>
        </w:rPr>
        <w:t>Shaheen, K. (2015a</w:t>
      </w:r>
      <w:r w:rsidRPr="00BE553E">
        <w:rPr>
          <w:rFonts w:cs="Arial"/>
          <w:color w:val="000000"/>
          <w:sz w:val="22"/>
          <w:szCs w:val="22"/>
          <w:lang w:val="en-GB"/>
        </w:rPr>
        <w:t xml:space="preserve">) Isis claims responsibility as suicide bombers kill dozens in Beirut. </w:t>
      </w:r>
      <w:r w:rsidRPr="00021575">
        <w:rPr>
          <w:rFonts w:cs="Arial"/>
          <w:i/>
          <w:iCs/>
          <w:color w:val="000000"/>
          <w:sz w:val="22"/>
          <w:szCs w:val="22"/>
          <w:lang w:val="en-GB"/>
        </w:rPr>
        <w:t>The Guardian</w:t>
      </w:r>
      <w:r>
        <w:rPr>
          <w:rFonts w:cs="Arial"/>
          <w:iCs/>
          <w:color w:val="000000"/>
          <w:sz w:val="22"/>
          <w:szCs w:val="22"/>
          <w:lang w:val="en-GB"/>
        </w:rPr>
        <w:t xml:space="preserve">, 12 </w:t>
      </w:r>
      <w:r>
        <w:rPr>
          <w:rFonts w:cs="Arial"/>
          <w:color w:val="000000"/>
          <w:sz w:val="22"/>
          <w:szCs w:val="22"/>
          <w:lang w:val="en-GB"/>
        </w:rPr>
        <w:t xml:space="preserve">November, </w:t>
      </w:r>
      <w:r w:rsidRPr="00BE553E">
        <w:rPr>
          <w:rFonts w:cs="Arial"/>
          <w:sz w:val="22"/>
          <w:szCs w:val="22"/>
          <w:lang w:val="en-GB"/>
        </w:rPr>
        <w:t>https://www.theguardian.com/world/2015/nov/12/beirut-bombings-kill-at-least-20-lebanon</w:t>
      </w:r>
      <w:r>
        <w:rPr>
          <w:rFonts w:eastAsia="Calibri" w:cs="Calibri"/>
          <w:lang w:val="en-GB"/>
        </w:rPr>
        <w:t>, accessed 2 May 2016.</w:t>
      </w:r>
    </w:p>
    <w:p w14:paraId="3157BC38" w14:textId="77777777" w:rsidR="002B77A7" w:rsidRPr="00BE553E" w:rsidRDefault="002B77A7" w:rsidP="002B77A7">
      <w:pPr>
        <w:spacing w:line="360" w:lineRule="auto"/>
        <w:ind w:left="709" w:hanging="709"/>
        <w:jc w:val="both"/>
        <w:rPr>
          <w:rFonts w:cs="Arial"/>
          <w:color w:val="000000"/>
          <w:sz w:val="22"/>
          <w:szCs w:val="22"/>
          <w:lang w:val="en-GB"/>
        </w:rPr>
      </w:pPr>
      <w:r>
        <w:rPr>
          <w:rFonts w:cs="Arial"/>
          <w:color w:val="000000"/>
          <w:sz w:val="22"/>
          <w:szCs w:val="22"/>
          <w:lang w:val="en-GB"/>
        </w:rPr>
        <w:t>Shaheen, K. (2015b</w:t>
      </w:r>
      <w:r w:rsidRPr="00BE553E">
        <w:rPr>
          <w:rFonts w:cs="Arial"/>
          <w:color w:val="000000"/>
          <w:sz w:val="22"/>
          <w:szCs w:val="22"/>
          <w:lang w:val="en-GB"/>
        </w:rPr>
        <w:t xml:space="preserve">) ‘Dad is a martyr’: how Adel Termos became a saviour in Beirut bombings. </w:t>
      </w:r>
      <w:r w:rsidRPr="00021575">
        <w:rPr>
          <w:rFonts w:cs="Arial"/>
          <w:i/>
          <w:iCs/>
          <w:color w:val="000000"/>
          <w:sz w:val="22"/>
          <w:szCs w:val="22"/>
          <w:lang w:val="en-GB"/>
        </w:rPr>
        <w:t>The Guardian</w:t>
      </w:r>
      <w:r>
        <w:rPr>
          <w:rFonts w:cs="Arial"/>
          <w:color w:val="000000"/>
          <w:sz w:val="22"/>
          <w:szCs w:val="22"/>
          <w:lang w:val="en-GB"/>
        </w:rPr>
        <w:t xml:space="preserve">, 17 November, </w:t>
      </w:r>
      <w:r w:rsidRPr="00BE553E">
        <w:rPr>
          <w:rFonts w:cs="Arial"/>
          <w:sz w:val="22"/>
          <w:szCs w:val="22"/>
          <w:lang w:val="en-GB"/>
        </w:rPr>
        <w:t>https://www.theguardian.com/world/2015/nov/17/adel-termos-martyr-father-became-saviour-beirut-bombings</w:t>
      </w:r>
      <w:r>
        <w:rPr>
          <w:rFonts w:eastAsia="Calibri" w:cs="Calibri"/>
          <w:lang w:val="en-GB"/>
        </w:rPr>
        <w:t>, accessed 2 May 2016.</w:t>
      </w:r>
    </w:p>
    <w:p w14:paraId="0DDC8E88" w14:textId="77777777" w:rsidR="002B77A7" w:rsidRPr="00BE553E" w:rsidRDefault="002B77A7" w:rsidP="002B77A7">
      <w:pPr>
        <w:spacing w:line="360" w:lineRule="auto"/>
        <w:ind w:left="709" w:hanging="709"/>
        <w:jc w:val="both"/>
        <w:rPr>
          <w:rFonts w:eastAsia="Calibri" w:cs="Calibri"/>
          <w:lang w:val="en-GB"/>
        </w:rPr>
      </w:pPr>
      <w:r>
        <w:rPr>
          <w:rFonts w:cs="Arial"/>
          <w:color w:val="000000"/>
          <w:sz w:val="22"/>
          <w:szCs w:val="22"/>
          <w:lang w:val="en-GB"/>
        </w:rPr>
        <w:t>Shearlaw, M. (2015)</w:t>
      </w:r>
      <w:r w:rsidRPr="00BE553E">
        <w:rPr>
          <w:rFonts w:cs="Arial"/>
          <w:color w:val="000000"/>
          <w:sz w:val="22"/>
          <w:szCs w:val="22"/>
          <w:lang w:val="en-GB"/>
        </w:rPr>
        <w:t xml:space="preserve"> Paris attacks: how far does our global s</w:t>
      </w:r>
      <w:r>
        <w:rPr>
          <w:rFonts w:cs="Arial"/>
          <w:color w:val="000000"/>
          <w:sz w:val="22"/>
          <w:szCs w:val="22"/>
          <w:lang w:val="en-GB"/>
        </w:rPr>
        <w:t xml:space="preserve">olidarity extend? </w:t>
      </w:r>
      <w:r w:rsidRPr="00021575">
        <w:rPr>
          <w:rFonts w:cs="Arial"/>
          <w:i/>
          <w:color w:val="000000"/>
          <w:sz w:val="22"/>
          <w:szCs w:val="22"/>
          <w:lang w:val="en-GB"/>
        </w:rPr>
        <w:t>The Guardian</w:t>
      </w:r>
      <w:r>
        <w:rPr>
          <w:rFonts w:cs="Arial"/>
          <w:color w:val="000000"/>
          <w:sz w:val="22"/>
          <w:szCs w:val="22"/>
          <w:lang w:val="en-GB"/>
        </w:rPr>
        <w:t xml:space="preserve">, 16 </w:t>
      </w:r>
      <w:r w:rsidRPr="00BE553E">
        <w:rPr>
          <w:rFonts w:cs="Arial"/>
          <w:color w:val="000000"/>
          <w:sz w:val="22"/>
          <w:szCs w:val="22"/>
          <w:lang w:val="en-GB"/>
        </w:rPr>
        <w:t>November</w:t>
      </w:r>
      <w:r>
        <w:rPr>
          <w:rFonts w:cs="Arial"/>
          <w:color w:val="000000"/>
          <w:sz w:val="22"/>
          <w:szCs w:val="22"/>
          <w:lang w:val="en-GB"/>
        </w:rPr>
        <w:t xml:space="preserve">, </w:t>
      </w:r>
      <w:r w:rsidRPr="00BE553E">
        <w:rPr>
          <w:rFonts w:cs="Arial"/>
          <w:sz w:val="22"/>
          <w:szCs w:val="22"/>
          <w:lang w:val="en-GB"/>
        </w:rPr>
        <w:t>https://www.theguardian.com/world/2015/nov/16/paris-attacks-global-solidarity-nigeria-kenya</w:t>
      </w:r>
      <w:r>
        <w:rPr>
          <w:rFonts w:eastAsia="Calibri" w:cs="Calibri"/>
          <w:lang w:val="en-GB"/>
        </w:rPr>
        <w:t>, accessed 3 May 2016.</w:t>
      </w:r>
    </w:p>
    <w:p w14:paraId="6154B73E" w14:textId="77777777" w:rsidR="002B77A7" w:rsidRPr="00BE553E" w:rsidRDefault="002B77A7" w:rsidP="002B77A7">
      <w:pPr>
        <w:spacing w:line="360" w:lineRule="auto"/>
        <w:ind w:left="709" w:hanging="709"/>
        <w:jc w:val="both"/>
        <w:rPr>
          <w:lang w:val="en-GB"/>
        </w:rPr>
      </w:pPr>
      <w:r>
        <w:rPr>
          <w:lang w:val="en-GB"/>
        </w:rPr>
        <w:lastRenderedPageBreak/>
        <w:t>Srenshaw, M. (1988)</w:t>
      </w:r>
      <w:r w:rsidRPr="00BE553E">
        <w:rPr>
          <w:lang w:val="en-GB"/>
        </w:rPr>
        <w:t xml:space="preserve"> The subjective reality of the terrorist: Ideological and psychological factors in terrorism. In</w:t>
      </w:r>
      <w:r>
        <w:rPr>
          <w:lang w:val="en-GB"/>
        </w:rPr>
        <w:t>:</w:t>
      </w:r>
      <w:r w:rsidRPr="00BE553E">
        <w:rPr>
          <w:lang w:val="en-GB"/>
        </w:rPr>
        <w:t xml:space="preserve"> R.O. Slater and</w:t>
      </w:r>
      <w:r>
        <w:rPr>
          <w:lang w:val="en-GB"/>
        </w:rPr>
        <w:t xml:space="preserve"> M. Stohl (eds.) </w:t>
      </w:r>
      <w:r w:rsidRPr="00021575">
        <w:rPr>
          <w:i/>
          <w:lang w:val="en-GB"/>
        </w:rPr>
        <w:t>Current Perspectives on International Terrorism</w:t>
      </w:r>
      <w:r>
        <w:rPr>
          <w:lang w:val="en-GB"/>
        </w:rPr>
        <w:t xml:space="preserve">. London: Palgrave Macmillan, </w:t>
      </w:r>
      <w:r w:rsidRPr="00BE553E">
        <w:rPr>
          <w:lang w:val="en-GB"/>
        </w:rPr>
        <w:t>pp. 12-46</w:t>
      </w:r>
      <w:r>
        <w:rPr>
          <w:lang w:val="en-GB"/>
        </w:rPr>
        <w:t>.</w:t>
      </w:r>
    </w:p>
    <w:p w14:paraId="0A06BC70" w14:textId="77777777" w:rsidR="002B77A7" w:rsidRPr="00BE553E" w:rsidRDefault="002B77A7" w:rsidP="002B77A7">
      <w:pPr>
        <w:spacing w:line="360" w:lineRule="auto"/>
        <w:ind w:left="709" w:hanging="709"/>
        <w:jc w:val="both"/>
        <w:rPr>
          <w:lang w:val="en-GB"/>
        </w:rPr>
      </w:pPr>
      <w:r w:rsidRPr="00BE553E">
        <w:rPr>
          <w:rFonts w:eastAsia="Calibri" w:cs="Calibri"/>
          <w:lang w:val="en-GB"/>
        </w:rPr>
        <w:t>Strozier, R.S. (2002)</w:t>
      </w:r>
      <w:r>
        <w:rPr>
          <w:rFonts w:eastAsia="Calibri" w:cs="Calibri"/>
          <w:lang w:val="en-GB"/>
        </w:rPr>
        <w:t xml:space="preserve"> </w:t>
      </w:r>
      <w:r w:rsidRPr="00021575">
        <w:rPr>
          <w:rFonts w:eastAsia="Calibri" w:cs="Calibri"/>
          <w:i/>
          <w:lang w:val="en-GB"/>
        </w:rPr>
        <w:t>Foucault, Subjectivity, and Identity: Historical Constructions of Subject and Self</w:t>
      </w:r>
      <w:r w:rsidRPr="00BE553E">
        <w:rPr>
          <w:rFonts w:eastAsia="Calibri" w:cs="Calibri"/>
          <w:lang w:val="en-GB"/>
        </w:rPr>
        <w:t>. Detroit: Wayne State University Press.</w:t>
      </w:r>
    </w:p>
    <w:p w14:paraId="3F77D247" w14:textId="77777777" w:rsidR="002B77A7" w:rsidRPr="007D1688" w:rsidRDefault="002B77A7" w:rsidP="002B77A7">
      <w:pPr>
        <w:spacing w:line="360" w:lineRule="auto"/>
        <w:ind w:left="709" w:hanging="709"/>
        <w:jc w:val="both"/>
        <w:rPr>
          <w:rFonts w:eastAsia="Calibri" w:cs="Calibri"/>
          <w:lang w:val="en-GB"/>
        </w:rPr>
      </w:pPr>
      <w:r>
        <w:rPr>
          <w:rFonts w:eastAsia="Calibri" w:cs="Calibri"/>
          <w:lang w:val="en-GB"/>
        </w:rPr>
        <w:t>Stubbs, M. (1997)</w:t>
      </w:r>
      <w:r w:rsidRPr="00BE553E">
        <w:rPr>
          <w:rFonts w:eastAsia="Calibri" w:cs="Calibri"/>
          <w:lang w:val="en-GB"/>
        </w:rPr>
        <w:t xml:space="preserve"> Whorf’s children: Critical comments on </w:t>
      </w:r>
      <w:r w:rsidRPr="007D1688">
        <w:rPr>
          <w:rFonts w:eastAsia="Calibri" w:cs="Calibri"/>
          <w:lang w:val="en-GB"/>
        </w:rPr>
        <w:t xml:space="preserve">critical discourse analysis. In: A. Ryan and A. Wray (eds.) </w:t>
      </w:r>
      <w:r w:rsidRPr="007D1688">
        <w:rPr>
          <w:rFonts w:eastAsia="Calibri" w:cs="Calibri"/>
          <w:i/>
          <w:lang w:val="en-GB"/>
        </w:rPr>
        <w:t>Evolving Models of Language</w:t>
      </w:r>
      <w:r w:rsidRPr="007D1688">
        <w:rPr>
          <w:rFonts w:eastAsia="Calibri" w:cs="Calibri"/>
          <w:lang w:val="en-GB"/>
        </w:rPr>
        <w:t>. Clevedon: Multilingual Matters, pp. 100-116.</w:t>
      </w:r>
    </w:p>
    <w:p w14:paraId="72CAD378" w14:textId="77777777" w:rsidR="002B77A7" w:rsidRPr="00BE553E" w:rsidRDefault="002B77A7" w:rsidP="002B77A7">
      <w:pPr>
        <w:spacing w:line="360" w:lineRule="auto"/>
        <w:ind w:left="709" w:hanging="709"/>
        <w:jc w:val="both"/>
        <w:rPr>
          <w:rFonts w:eastAsia="Calibri" w:cs="Calibri"/>
          <w:lang w:val="en-GB"/>
        </w:rPr>
      </w:pPr>
      <w:r w:rsidRPr="007D1688">
        <w:rPr>
          <w:lang w:val="en-GB"/>
        </w:rPr>
        <w:t>Sweitzer, Y. (2000) Suicide terrorism – Development and characteristics</w:t>
      </w:r>
      <w:r w:rsidRPr="007D1688">
        <w:rPr>
          <w:i/>
          <w:lang w:val="en-GB"/>
        </w:rPr>
        <w:t xml:space="preserve">. Proceedings of the International Conference on Countering Suicide Terrorism; </w:t>
      </w:r>
      <w:r w:rsidRPr="007D1688">
        <w:rPr>
          <w:lang w:val="en-GB"/>
        </w:rPr>
        <w:t>21 February,</w:t>
      </w:r>
      <w:r>
        <w:rPr>
          <w:lang w:val="en-GB"/>
        </w:rPr>
        <w:t xml:space="preserve"> Herzeliya, Israel.</w:t>
      </w:r>
    </w:p>
    <w:p w14:paraId="6A1F8F16" w14:textId="77777777" w:rsidR="002B77A7" w:rsidRPr="00BE553E" w:rsidRDefault="002B77A7" w:rsidP="002B77A7">
      <w:pPr>
        <w:spacing w:line="360" w:lineRule="auto"/>
        <w:ind w:left="709" w:hanging="709"/>
        <w:jc w:val="both"/>
        <w:rPr>
          <w:lang w:val="en-GB"/>
        </w:rPr>
      </w:pPr>
      <w:r>
        <w:rPr>
          <w:rFonts w:eastAsia="Calibri" w:cs="Calibri"/>
          <w:lang w:val="en-GB"/>
        </w:rPr>
        <w:t>Sweney, M. (2014)</w:t>
      </w:r>
      <w:r w:rsidRPr="00BE553E">
        <w:rPr>
          <w:rFonts w:eastAsia="Calibri" w:cs="Calibri"/>
          <w:lang w:val="en-GB"/>
        </w:rPr>
        <w:t xml:space="preserve"> The Guardian overtakes New York Times in comScore</w:t>
      </w:r>
      <w:r>
        <w:rPr>
          <w:rFonts w:eastAsia="Calibri" w:cs="Calibri"/>
          <w:lang w:val="en-GB"/>
        </w:rPr>
        <w:t xml:space="preserve"> traffic figures. </w:t>
      </w:r>
      <w:r w:rsidRPr="00021575">
        <w:rPr>
          <w:rFonts w:eastAsia="Calibri" w:cs="Calibri"/>
          <w:i/>
          <w:lang w:val="en-GB"/>
        </w:rPr>
        <w:t>The Guardian</w:t>
      </w:r>
      <w:r>
        <w:rPr>
          <w:rFonts w:eastAsia="Calibri" w:cs="Calibri"/>
          <w:lang w:val="en-GB"/>
        </w:rPr>
        <w:t xml:space="preserve">, 21 </w:t>
      </w:r>
      <w:r w:rsidRPr="00BE553E">
        <w:rPr>
          <w:rFonts w:eastAsia="Calibri" w:cs="Calibri"/>
          <w:lang w:val="en-GB"/>
        </w:rPr>
        <w:t>October</w:t>
      </w:r>
      <w:r>
        <w:rPr>
          <w:rFonts w:eastAsia="Calibri" w:cs="Calibri"/>
          <w:lang w:val="en-GB"/>
        </w:rPr>
        <w:t xml:space="preserve">, </w:t>
      </w:r>
      <w:r w:rsidRPr="00BE553E">
        <w:rPr>
          <w:rFonts w:eastAsia="Calibri" w:cs="Calibri"/>
          <w:lang w:val="en-GB"/>
        </w:rPr>
        <w:t>http://www.theguardian.com/media/2014/oct/21/the-guardian-overtakes-new-york-ti</w:t>
      </w:r>
      <w:r>
        <w:rPr>
          <w:rFonts w:eastAsia="Calibri" w:cs="Calibri"/>
          <w:lang w:val="en-GB"/>
        </w:rPr>
        <w:t>mes-in-comscore-traffic-figures, accessed 1 March 2016.</w:t>
      </w:r>
    </w:p>
    <w:p w14:paraId="57C13FCB" w14:textId="77777777" w:rsidR="002B77A7" w:rsidRPr="00A31CF1" w:rsidRDefault="002B77A7" w:rsidP="002B77A7">
      <w:pPr>
        <w:spacing w:line="360" w:lineRule="auto"/>
        <w:ind w:left="709" w:hanging="709"/>
        <w:jc w:val="both"/>
        <w:rPr>
          <w:lang w:val="en-GB"/>
        </w:rPr>
      </w:pPr>
      <w:r w:rsidRPr="00BE553E">
        <w:rPr>
          <w:rFonts w:eastAsia="Calibri" w:cs="Calibri"/>
          <w:lang w:val="en-GB"/>
        </w:rPr>
        <w:t>T</w:t>
      </w:r>
      <w:r>
        <w:rPr>
          <w:rFonts w:eastAsia="Calibri" w:cs="Calibri"/>
          <w:lang w:val="en-GB"/>
        </w:rPr>
        <w:t>aylor, C. (1984)</w:t>
      </w:r>
      <w:r w:rsidRPr="00BE553E">
        <w:rPr>
          <w:rFonts w:eastAsia="Calibri" w:cs="Calibri"/>
          <w:lang w:val="en-GB"/>
        </w:rPr>
        <w:t xml:space="preserve"> Foucault </w:t>
      </w:r>
      <w:r w:rsidRPr="00A31CF1">
        <w:rPr>
          <w:rFonts w:eastAsia="Calibri" w:cs="Calibri"/>
          <w:lang w:val="en-GB"/>
        </w:rPr>
        <w:t xml:space="preserve">on freedom and truth. </w:t>
      </w:r>
      <w:r w:rsidRPr="00021575">
        <w:rPr>
          <w:rFonts w:eastAsia="Calibri" w:cs="Calibri"/>
          <w:i/>
          <w:lang w:val="en-GB"/>
        </w:rPr>
        <w:t>Political Theory</w:t>
      </w:r>
      <w:r w:rsidRPr="00A31CF1">
        <w:rPr>
          <w:rFonts w:eastAsia="Calibri" w:cs="Calibri"/>
          <w:lang w:val="en-GB"/>
        </w:rPr>
        <w:t xml:space="preserve"> 12(2): 152-183.</w:t>
      </w:r>
    </w:p>
    <w:p w14:paraId="2BB931CE" w14:textId="77777777" w:rsidR="002B77A7" w:rsidRPr="00BE553E" w:rsidRDefault="002B77A7" w:rsidP="002B77A7">
      <w:pPr>
        <w:spacing w:line="360" w:lineRule="auto"/>
        <w:ind w:left="709" w:hanging="709"/>
        <w:jc w:val="both"/>
        <w:rPr>
          <w:lang w:val="en-GB"/>
        </w:rPr>
      </w:pPr>
      <w:r>
        <w:rPr>
          <w:rFonts w:eastAsia="Calibri" w:cs="Calibri"/>
          <w:lang w:val="en-GB"/>
        </w:rPr>
        <w:t>Theguardian.com (2010)</w:t>
      </w:r>
      <w:r w:rsidRPr="00A31CF1">
        <w:rPr>
          <w:rFonts w:eastAsia="Calibri" w:cs="Calibri"/>
          <w:lang w:val="en-GB"/>
        </w:rPr>
        <w:t xml:space="preserve"> Demographic profile of Guardian readers. </w:t>
      </w:r>
      <w:r w:rsidRPr="00021575">
        <w:rPr>
          <w:rFonts w:eastAsia="Calibri" w:cs="Calibri"/>
          <w:i/>
          <w:lang w:val="en-GB"/>
        </w:rPr>
        <w:t>The Guardian</w:t>
      </w:r>
      <w:r>
        <w:rPr>
          <w:rFonts w:eastAsia="Calibri" w:cs="Calibri"/>
          <w:lang w:val="en-GB"/>
        </w:rPr>
        <w:t xml:space="preserve">, 30 </w:t>
      </w:r>
      <w:r w:rsidRPr="00A31CF1">
        <w:rPr>
          <w:rFonts w:eastAsia="Calibri" w:cs="Calibri"/>
          <w:lang w:val="en-GB"/>
        </w:rPr>
        <w:t>April</w:t>
      </w:r>
      <w:r>
        <w:rPr>
          <w:rFonts w:eastAsia="Calibri" w:cs="Calibri"/>
          <w:lang w:val="en-GB"/>
        </w:rPr>
        <w:t>,</w:t>
      </w:r>
      <w:r w:rsidRPr="00A31CF1">
        <w:rPr>
          <w:rFonts w:eastAsia="Calibri" w:cs="Calibri"/>
          <w:lang w:val="en-GB"/>
        </w:rPr>
        <w:t xml:space="preserve"> http://www.theguardian.com/advertising/demographic</w:t>
      </w:r>
      <w:r>
        <w:rPr>
          <w:rFonts w:eastAsia="Calibri" w:cs="Calibri"/>
          <w:lang w:val="en-GB"/>
        </w:rPr>
        <w:t>-profile-of-guardian-readers, accessed 2 March 2016.</w:t>
      </w:r>
    </w:p>
    <w:p w14:paraId="7AB86441" w14:textId="77777777" w:rsidR="002B77A7" w:rsidRPr="00BE553E" w:rsidRDefault="002B77A7" w:rsidP="002B77A7">
      <w:pPr>
        <w:spacing w:line="360" w:lineRule="auto"/>
        <w:ind w:left="709" w:hanging="709"/>
        <w:jc w:val="both"/>
        <w:rPr>
          <w:rFonts w:eastAsia="Calibri" w:cs="Calibri"/>
          <w:lang w:val="en-GB"/>
        </w:rPr>
      </w:pPr>
      <w:r w:rsidRPr="00BE553E">
        <w:rPr>
          <w:rFonts w:eastAsia="Calibri" w:cs="Calibri"/>
          <w:lang w:val="en-GB"/>
        </w:rPr>
        <w:t>The</w:t>
      </w:r>
      <w:r>
        <w:rPr>
          <w:rFonts w:eastAsia="Calibri" w:cs="Calibri"/>
          <w:lang w:val="en-GB"/>
        </w:rPr>
        <w:t xml:space="preserve"> New York Times Media Kit (2016) Online. </w:t>
      </w:r>
      <w:r w:rsidRPr="00021575">
        <w:rPr>
          <w:rFonts w:eastAsia="Calibri" w:cs="Calibri"/>
          <w:i/>
          <w:lang w:val="en-GB"/>
        </w:rPr>
        <w:t>The New York Times</w:t>
      </w:r>
      <w:r>
        <w:rPr>
          <w:rFonts w:eastAsia="Calibri" w:cs="Calibri"/>
          <w:lang w:val="en-GB"/>
        </w:rPr>
        <w:t xml:space="preserve">, </w:t>
      </w:r>
      <w:r w:rsidRPr="00BE553E">
        <w:rPr>
          <w:rFonts w:eastAsia="Calibri" w:cs="Calibri"/>
          <w:lang w:val="en-GB"/>
        </w:rPr>
        <w:t>March</w:t>
      </w:r>
      <w:r>
        <w:rPr>
          <w:rFonts w:eastAsia="Calibri" w:cs="Calibri"/>
          <w:lang w:val="en-GB"/>
        </w:rPr>
        <w:t>, http://nytmediakit.com/online, accessed 25 March 2016.</w:t>
      </w:r>
    </w:p>
    <w:p w14:paraId="0EEB0934" w14:textId="77777777" w:rsidR="002B77A7" w:rsidRPr="00A31CF1" w:rsidRDefault="002B77A7" w:rsidP="002B77A7">
      <w:pPr>
        <w:spacing w:line="360" w:lineRule="auto"/>
        <w:ind w:left="709" w:hanging="709"/>
        <w:jc w:val="both"/>
        <w:rPr>
          <w:lang w:val="en-GB"/>
        </w:rPr>
      </w:pPr>
      <w:r>
        <w:rPr>
          <w:rFonts w:eastAsia="Calibri" w:cs="Calibri"/>
          <w:lang w:val="en-GB"/>
        </w:rPr>
        <w:t>The Scott Trust (2015)</w:t>
      </w:r>
      <w:r w:rsidRPr="00BE553E">
        <w:rPr>
          <w:rFonts w:eastAsia="Calibri" w:cs="Calibri"/>
          <w:lang w:val="en-GB"/>
        </w:rPr>
        <w:t xml:space="preserve"> </w:t>
      </w:r>
      <w:r w:rsidRPr="00021575">
        <w:rPr>
          <w:rFonts w:eastAsia="Calibri" w:cs="Calibri"/>
          <w:i/>
          <w:lang w:val="en-GB"/>
        </w:rPr>
        <w:t>The Guardian</w:t>
      </w:r>
      <w:r>
        <w:rPr>
          <w:rFonts w:eastAsia="Calibri" w:cs="Calibri"/>
          <w:lang w:val="en-GB"/>
        </w:rPr>
        <w:t xml:space="preserve">, 26 July¸ </w:t>
      </w:r>
      <w:r w:rsidRPr="00BE553E">
        <w:rPr>
          <w:rFonts w:eastAsia="Calibri" w:cs="Calibri"/>
          <w:lang w:val="en-GB"/>
        </w:rPr>
        <w:t>http://www.theguardian.com/the-scott-trust/2015/jul/26/</w:t>
      </w:r>
      <w:r>
        <w:rPr>
          <w:rFonts w:eastAsia="Calibri" w:cs="Calibri"/>
          <w:lang w:val="en-GB"/>
        </w:rPr>
        <w:t>the-scott-trust, accessed 23 March 2016.</w:t>
      </w:r>
    </w:p>
    <w:p w14:paraId="69CCBF78" w14:textId="77777777" w:rsidR="002B77A7" w:rsidRPr="0062347F" w:rsidRDefault="002B77A7" w:rsidP="002B77A7">
      <w:pPr>
        <w:spacing w:line="360" w:lineRule="auto"/>
        <w:ind w:left="709" w:hanging="709"/>
        <w:jc w:val="both"/>
        <w:rPr>
          <w:lang w:val="en-GB"/>
        </w:rPr>
      </w:pPr>
      <w:r w:rsidRPr="00A31CF1">
        <w:rPr>
          <w:rFonts w:eastAsia="Calibri" w:cs="Calibri"/>
          <w:lang w:val="en-GB"/>
        </w:rPr>
        <w:t xml:space="preserve">Tinnes, J. (2013) 100 Core and periphery journals for terrorism research. </w:t>
      </w:r>
      <w:r w:rsidRPr="00021575">
        <w:rPr>
          <w:rFonts w:eastAsia="Calibri" w:cs="Calibri"/>
          <w:i/>
          <w:lang w:val="en-GB"/>
        </w:rPr>
        <w:t>Perspectives On Terrorism</w:t>
      </w:r>
      <w:r w:rsidRPr="00A31CF1">
        <w:rPr>
          <w:rFonts w:eastAsia="Calibri" w:cs="Calibri"/>
          <w:lang w:val="en-GB"/>
        </w:rPr>
        <w:t xml:space="preserve"> 7(2), </w:t>
      </w:r>
      <w:r w:rsidRPr="00A31CF1">
        <w:rPr>
          <w:shd w:val="clear" w:color="auto" w:fill="FFFFFF"/>
          <w:lang w:val="en-GB"/>
        </w:rPr>
        <w:t>http://www.terrorismanalysts.com/pt/index.php/pot/article/view/</w:t>
      </w:r>
      <w:r w:rsidRPr="0062347F">
        <w:rPr>
          <w:shd w:val="clear" w:color="auto" w:fill="FFFFFF"/>
          <w:lang w:val="en-GB"/>
        </w:rPr>
        <w:t>258e/view/258</w:t>
      </w:r>
      <w:r>
        <w:rPr>
          <w:rFonts w:eastAsia="Calibri" w:cs="Calibri"/>
          <w:lang w:val="en-GB"/>
        </w:rPr>
        <w:t>, accessed 29 February 2016.</w:t>
      </w:r>
    </w:p>
    <w:p w14:paraId="6EDA458B" w14:textId="77777777" w:rsidR="002B77A7" w:rsidRPr="00A31CF1" w:rsidRDefault="002B77A7" w:rsidP="002B77A7">
      <w:pPr>
        <w:spacing w:line="360" w:lineRule="auto"/>
        <w:ind w:left="709" w:hanging="709"/>
        <w:jc w:val="both"/>
        <w:rPr>
          <w:lang w:val="en-GB"/>
        </w:rPr>
      </w:pPr>
      <w:r w:rsidRPr="0062347F">
        <w:rPr>
          <w:rFonts w:eastAsia="Calibri" w:cs="Calibri"/>
          <w:lang w:val="en-GB"/>
        </w:rPr>
        <w:t xml:space="preserve">Topolski, A. (2015) </w:t>
      </w:r>
      <w:r w:rsidRPr="00021575">
        <w:rPr>
          <w:rFonts w:eastAsia="Calibri" w:cs="Calibri"/>
          <w:i/>
          <w:lang w:val="en-GB"/>
        </w:rPr>
        <w:t>Arendt, Levinas and a Politics of Relationality</w:t>
      </w:r>
      <w:r w:rsidRPr="0062347F">
        <w:rPr>
          <w:rFonts w:eastAsia="Calibri" w:cs="Calibri"/>
          <w:lang w:val="en-GB"/>
        </w:rPr>
        <w:t>. New York:</w:t>
      </w:r>
      <w:r w:rsidRPr="00A31CF1">
        <w:rPr>
          <w:rFonts w:eastAsia="Calibri" w:cs="Calibri"/>
          <w:lang w:val="en-GB"/>
        </w:rPr>
        <w:t xml:space="preserve"> Rowman and Littlefield International.</w:t>
      </w:r>
    </w:p>
    <w:p w14:paraId="46AAD55D" w14:textId="77777777" w:rsidR="002B77A7" w:rsidRPr="00BE553E" w:rsidRDefault="002B77A7" w:rsidP="002B77A7">
      <w:pPr>
        <w:spacing w:line="360" w:lineRule="auto"/>
        <w:ind w:left="709" w:hanging="709"/>
        <w:jc w:val="both"/>
        <w:rPr>
          <w:rFonts w:eastAsia="Calibri" w:cs="Calibri"/>
          <w:lang w:val="en-GB"/>
        </w:rPr>
      </w:pPr>
      <w:r w:rsidRPr="00A31CF1">
        <w:rPr>
          <w:rFonts w:eastAsia="Calibri" w:cs="Calibri"/>
          <w:lang w:val="en-GB"/>
        </w:rPr>
        <w:t>Townl</w:t>
      </w:r>
      <w:r>
        <w:rPr>
          <w:rFonts w:eastAsia="Calibri" w:cs="Calibri"/>
          <w:lang w:val="en-GB"/>
        </w:rPr>
        <w:t>e</w:t>
      </w:r>
      <w:r w:rsidRPr="00A31CF1">
        <w:rPr>
          <w:rFonts w:eastAsia="Calibri" w:cs="Calibri"/>
          <w:lang w:val="en-GB"/>
        </w:rPr>
        <w:t>y, B. (2008)</w:t>
      </w:r>
      <w:r>
        <w:rPr>
          <w:rFonts w:eastAsia="Calibri" w:cs="Calibri"/>
          <w:lang w:val="en-GB"/>
        </w:rPr>
        <w:t xml:space="preserve"> </w:t>
      </w:r>
      <w:r w:rsidRPr="00021575">
        <w:rPr>
          <w:rFonts w:eastAsia="Calibri" w:cs="Calibri"/>
          <w:i/>
          <w:lang w:val="en-GB"/>
        </w:rPr>
        <w:t>Reason’s Neglect: Rationality and Organizing</w:t>
      </w:r>
      <w:r w:rsidRPr="00BE553E">
        <w:rPr>
          <w:rFonts w:eastAsia="Calibri" w:cs="Calibri"/>
          <w:lang w:val="en-GB"/>
        </w:rPr>
        <w:t>. Oxford: Oxford University Press.</w:t>
      </w:r>
    </w:p>
    <w:p w14:paraId="22C831F8" w14:textId="77777777" w:rsidR="002B77A7" w:rsidRPr="00BE553E" w:rsidRDefault="002B77A7" w:rsidP="002B77A7">
      <w:pPr>
        <w:spacing w:line="360" w:lineRule="auto"/>
        <w:ind w:left="709" w:hanging="709"/>
        <w:jc w:val="both"/>
        <w:rPr>
          <w:rFonts w:eastAsia="Calibri" w:cs="Calibri"/>
          <w:lang w:val="en-GB"/>
        </w:rPr>
      </w:pPr>
      <w:r w:rsidRPr="00BE553E">
        <w:rPr>
          <w:rFonts w:eastAsia="Calibri" w:cs="Calibri"/>
          <w:lang w:val="en-GB"/>
        </w:rPr>
        <w:t>US condemns ‘horrific ter</w:t>
      </w:r>
      <w:r>
        <w:rPr>
          <w:rFonts w:eastAsia="Calibri" w:cs="Calibri"/>
          <w:lang w:val="en-GB"/>
        </w:rPr>
        <w:t xml:space="preserve">rorist attacks’ in Beirut. (2015) </w:t>
      </w:r>
      <w:r w:rsidRPr="00021575">
        <w:rPr>
          <w:rFonts w:eastAsia="Calibri" w:cs="Calibri"/>
          <w:i/>
          <w:lang w:val="en-GB"/>
        </w:rPr>
        <w:t>Press TV</w:t>
      </w:r>
      <w:r>
        <w:rPr>
          <w:rFonts w:eastAsia="Calibri" w:cs="Calibri"/>
          <w:lang w:val="en-GB"/>
        </w:rPr>
        <w:t>, 13 November, h</w:t>
      </w:r>
      <w:r w:rsidRPr="00BE553E">
        <w:rPr>
          <w:rFonts w:eastAsia="Calibri" w:cs="Calibri"/>
          <w:lang w:val="en-GB"/>
        </w:rPr>
        <w:t>ttp://www.presstv.com/Detail/2015</w:t>
      </w:r>
      <w:r>
        <w:rPr>
          <w:rFonts w:eastAsia="Calibri" w:cs="Calibri"/>
          <w:lang w:val="en-GB"/>
        </w:rPr>
        <w:t>/11/13/437431/Beirut-attacks-US, accessed 25 May 2016.</w:t>
      </w:r>
    </w:p>
    <w:p w14:paraId="7531C11F" w14:textId="77777777" w:rsidR="002B77A7" w:rsidRPr="00BE553E" w:rsidRDefault="002B77A7" w:rsidP="002B77A7">
      <w:pPr>
        <w:spacing w:line="360" w:lineRule="auto"/>
        <w:ind w:left="709" w:hanging="709"/>
        <w:jc w:val="both"/>
        <w:rPr>
          <w:lang w:val="en-GB"/>
        </w:rPr>
      </w:pPr>
      <w:r w:rsidRPr="00BE553E">
        <w:rPr>
          <w:rFonts w:eastAsia="Calibri" w:cs="Calibri"/>
          <w:color w:val="1A1A1A"/>
          <w:lang w:val="en-GB"/>
        </w:rPr>
        <w:t>Van Dijk, T.</w:t>
      </w:r>
      <w:r>
        <w:rPr>
          <w:rFonts w:eastAsia="Calibri" w:cs="Calibri"/>
          <w:lang w:val="en-GB"/>
        </w:rPr>
        <w:t xml:space="preserve"> (2005)</w:t>
      </w:r>
      <w:r w:rsidRPr="00BE553E">
        <w:rPr>
          <w:rFonts w:eastAsia="Calibri" w:cs="Calibri"/>
          <w:lang w:val="en-GB"/>
        </w:rPr>
        <w:t xml:space="preserve"> Critical discourse analysis. In</w:t>
      </w:r>
      <w:r>
        <w:rPr>
          <w:rFonts w:eastAsia="Calibri" w:cs="Calibri"/>
          <w:lang w:val="en-GB"/>
        </w:rPr>
        <w:t>:</w:t>
      </w:r>
      <w:r w:rsidRPr="00BE553E">
        <w:rPr>
          <w:rFonts w:eastAsia="Calibri" w:cs="Calibri"/>
          <w:lang w:val="en-GB"/>
        </w:rPr>
        <w:t xml:space="preserve"> D. Schiffrin, D. Tannen and H.E. Hamilt</w:t>
      </w:r>
      <w:r>
        <w:rPr>
          <w:rFonts w:eastAsia="Calibri" w:cs="Calibri"/>
          <w:lang w:val="en-GB"/>
        </w:rPr>
        <w:t xml:space="preserve">on (eds.) </w:t>
      </w:r>
      <w:r w:rsidRPr="00021575">
        <w:rPr>
          <w:rFonts w:eastAsia="Calibri" w:cs="Calibri"/>
          <w:i/>
          <w:lang w:val="en-GB"/>
        </w:rPr>
        <w:t>The Handbook of Discourse Analysis</w:t>
      </w:r>
      <w:r w:rsidRPr="00BE553E">
        <w:rPr>
          <w:rFonts w:eastAsia="Calibri" w:cs="Calibri"/>
          <w:lang w:val="en-GB"/>
        </w:rPr>
        <w:t>. Oxford</w:t>
      </w:r>
      <w:r w:rsidRPr="00BE553E">
        <w:rPr>
          <w:rFonts w:eastAsia="Calibri" w:cs="Calibri"/>
          <w:b/>
          <w:lang w:val="en-GB"/>
        </w:rPr>
        <w:t>:</w:t>
      </w:r>
      <w:r>
        <w:rPr>
          <w:rFonts w:eastAsia="Calibri" w:cs="Calibri"/>
          <w:lang w:val="en-GB"/>
        </w:rPr>
        <w:t xml:space="preserve"> Blackwell Publishers Ltd,</w:t>
      </w:r>
      <w:r w:rsidRPr="00A31CF1">
        <w:rPr>
          <w:rFonts w:eastAsia="Calibri" w:cs="Calibri"/>
          <w:lang w:val="en-GB"/>
        </w:rPr>
        <w:t xml:space="preserve"> </w:t>
      </w:r>
      <w:r w:rsidRPr="00BE553E">
        <w:rPr>
          <w:rFonts w:eastAsia="Calibri" w:cs="Calibri"/>
          <w:lang w:val="en-GB"/>
        </w:rPr>
        <w:t>pp. 352-371</w:t>
      </w:r>
      <w:r>
        <w:rPr>
          <w:rFonts w:eastAsia="Calibri" w:cs="Calibri"/>
          <w:lang w:val="en-GB"/>
        </w:rPr>
        <w:t>.</w:t>
      </w:r>
    </w:p>
    <w:p w14:paraId="10CAADC9" w14:textId="77777777" w:rsidR="002B77A7" w:rsidRPr="00BE553E" w:rsidRDefault="002B77A7" w:rsidP="002B77A7">
      <w:pPr>
        <w:spacing w:line="360" w:lineRule="auto"/>
        <w:ind w:left="709" w:hanging="709"/>
        <w:jc w:val="both"/>
        <w:rPr>
          <w:rFonts w:eastAsia="Calibri" w:cs="Calibri"/>
          <w:lang w:val="en-GB"/>
        </w:rPr>
      </w:pPr>
      <w:r>
        <w:rPr>
          <w:rFonts w:eastAsia="Calibri" w:cs="Calibri"/>
          <w:lang w:val="en-GB"/>
        </w:rPr>
        <w:t>Wallimann, I. (1977)</w:t>
      </w:r>
      <w:r w:rsidRPr="00BE553E">
        <w:rPr>
          <w:rFonts w:eastAsia="Calibri" w:cs="Calibri"/>
          <w:lang w:val="en-GB"/>
        </w:rPr>
        <w:t xml:space="preserve"> On Max Weber’s definition of power. </w:t>
      </w:r>
      <w:r w:rsidRPr="00021575">
        <w:rPr>
          <w:rFonts w:eastAsia="Calibri" w:cs="Calibri"/>
          <w:i/>
          <w:lang w:val="en-GB"/>
        </w:rPr>
        <w:t>Journal of Sociology</w:t>
      </w:r>
      <w:r>
        <w:rPr>
          <w:rFonts w:eastAsia="Calibri" w:cs="Calibri"/>
          <w:lang w:val="en-GB"/>
        </w:rPr>
        <w:t xml:space="preserve"> 13(3):</w:t>
      </w:r>
      <w:r w:rsidRPr="00BE553E">
        <w:rPr>
          <w:rFonts w:eastAsia="Calibri" w:cs="Calibri"/>
          <w:lang w:val="en-GB"/>
        </w:rPr>
        <w:t xml:space="preserve"> 231-235.</w:t>
      </w:r>
    </w:p>
    <w:p w14:paraId="4A79C4AC" w14:textId="77777777" w:rsidR="002B77A7" w:rsidRPr="00BE553E" w:rsidRDefault="002B77A7" w:rsidP="002B77A7">
      <w:pPr>
        <w:spacing w:line="360" w:lineRule="auto"/>
        <w:ind w:left="709" w:hanging="709"/>
        <w:jc w:val="both"/>
        <w:rPr>
          <w:lang w:val="en-GB"/>
        </w:rPr>
      </w:pPr>
      <w:r>
        <w:rPr>
          <w:rFonts w:ascii="Calibri" w:hAnsi="Calibri"/>
          <w:lang w:val="en-GB"/>
        </w:rPr>
        <w:lastRenderedPageBreak/>
        <w:t>Walt, V. (2015)</w:t>
      </w:r>
      <w:r w:rsidRPr="00BE553E">
        <w:rPr>
          <w:rFonts w:ascii="Calibri" w:hAnsi="Calibri"/>
          <w:lang w:val="en-GB"/>
        </w:rPr>
        <w:t xml:space="preserve"> ISIS claims responsibility for Paris att</w:t>
      </w:r>
      <w:r>
        <w:rPr>
          <w:rFonts w:ascii="Calibri" w:hAnsi="Calibri"/>
          <w:lang w:val="en-GB"/>
        </w:rPr>
        <w:t xml:space="preserve">acks as arrests are made. </w:t>
      </w:r>
      <w:r w:rsidRPr="00021575">
        <w:rPr>
          <w:rFonts w:ascii="Calibri" w:hAnsi="Calibri"/>
          <w:i/>
          <w:lang w:val="en-GB"/>
        </w:rPr>
        <w:t>Time</w:t>
      </w:r>
      <w:r>
        <w:rPr>
          <w:rFonts w:ascii="Calibri" w:hAnsi="Calibri"/>
          <w:lang w:val="en-GB"/>
        </w:rPr>
        <w:t xml:space="preserve">, 14 November, </w:t>
      </w:r>
      <w:r w:rsidRPr="00BE553E">
        <w:rPr>
          <w:rFonts w:ascii="Calibri" w:hAnsi="Calibri"/>
          <w:lang w:val="en-GB"/>
        </w:rPr>
        <w:t>http://time.com/4112884/paris-attacks-isis</w:t>
      </w:r>
      <w:r>
        <w:rPr>
          <w:rFonts w:ascii="Calibri" w:hAnsi="Calibri"/>
          <w:lang w:val="en-GB"/>
        </w:rPr>
        <w:t>-isil-france-francois-hollande/</w:t>
      </w:r>
      <w:r>
        <w:rPr>
          <w:rFonts w:eastAsia="Calibri" w:cs="Calibri"/>
          <w:lang w:val="en-GB"/>
        </w:rPr>
        <w:t>, accessed 4 May 2016.</w:t>
      </w:r>
    </w:p>
    <w:p w14:paraId="3C7ACD5B" w14:textId="77777777" w:rsidR="002B77A7" w:rsidRPr="00BE553E" w:rsidRDefault="002B77A7" w:rsidP="002B77A7">
      <w:pPr>
        <w:spacing w:line="360" w:lineRule="auto"/>
        <w:ind w:left="709" w:hanging="709"/>
        <w:jc w:val="both"/>
        <w:rPr>
          <w:lang w:val="en-GB"/>
        </w:rPr>
      </w:pPr>
      <w:r>
        <w:rPr>
          <w:rFonts w:eastAsia="Calibri" w:cs="Calibri"/>
          <w:lang w:val="en-GB"/>
        </w:rPr>
        <w:t xml:space="preserve">Webb, P.D. (2016) Labour Party. </w:t>
      </w:r>
      <w:r w:rsidRPr="00021575">
        <w:rPr>
          <w:rFonts w:eastAsia="Calibri" w:cs="Calibri"/>
          <w:i/>
          <w:lang w:val="en-GB"/>
        </w:rPr>
        <w:t>Encyclopaedia Britannica</w:t>
      </w:r>
      <w:r>
        <w:rPr>
          <w:rFonts w:eastAsia="Calibri" w:cs="Calibri"/>
          <w:lang w:val="en-GB"/>
        </w:rPr>
        <w:t xml:space="preserve">, 14 </w:t>
      </w:r>
      <w:r w:rsidRPr="00BE553E">
        <w:rPr>
          <w:rFonts w:ascii="Calibri" w:hAnsi="Calibri"/>
          <w:lang w:val="en-GB"/>
        </w:rPr>
        <w:t>November</w:t>
      </w:r>
      <w:r>
        <w:rPr>
          <w:rFonts w:ascii="Calibri" w:hAnsi="Calibri"/>
          <w:lang w:val="en-GB"/>
        </w:rPr>
        <w:t xml:space="preserve">, </w:t>
      </w:r>
      <w:r w:rsidRPr="00BE553E">
        <w:rPr>
          <w:lang w:val="en-GB"/>
        </w:rPr>
        <w:t>https://www.britannica.com/topic/Labour-Party-politi</w:t>
      </w:r>
      <w:r>
        <w:rPr>
          <w:lang w:val="en-GB"/>
        </w:rPr>
        <w:t>cal-party</w:t>
      </w:r>
      <w:r>
        <w:rPr>
          <w:rFonts w:eastAsia="Calibri" w:cs="Calibri"/>
          <w:lang w:val="en-GB"/>
        </w:rPr>
        <w:t>, accessed 24 April 2016.</w:t>
      </w:r>
    </w:p>
    <w:p w14:paraId="4E24F1DA" w14:textId="77777777" w:rsidR="002B77A7" w:rsidRPr="00BE553E" w:rsidRDefault="002B77A7" w:rsidP="002B77A7">
      <w:pPr>
        <w:spacing w:line="360" w:lineRule="auto"/>
        <w:ind w:left="709" w:hanging="709"/>
        <w:jc w:val="both"/>
        <w:rPr>
          <w:rFonts w:eastAsia="Calibri" w:cs="Calibri"/>
          <w:lang w:val="en-GB"/>
        </w:rPr>
      </w:pPr>
      <w:r>
        <w:rPr>
          <w:rFonts w:eastAsia="Calibri" w:cs="Calibri"/>
          <w:lang w:val="en-GB"/>
        </w:rPr>
        <w:t>Wells, M. (2004)</w:t>
      </w:r>
      <w:r w:rsidRPr="00BE553E">
        <w:rPr>
          <w:rFonts w:eastAsia="Calibri" w:cs="Calibri"/>
          <w:lang w:val="en-GB"/>
        </w:rPr>
        <w:t xml:space="preserve"> World writes to</w:t>
      </w:r>
      <w:r>
        <w:rPr>
          <w:rFonts w:eastAsia="Calibri" w:cs="Calibri"/>
          <w:lang w:val="en-GB"/>
        </w:rPr>
        <w:t xml:space="preserve"> undecided votes. </w:t>
      </w:r>
      <w:r w:rsidRPr="00021575">
        <w:rPr>
          <w:rFonts w:eastAsia="Calibri" w:cs="Calibri"/>
          <w:i/>
          <w:lang w:val="en-GB"/>
        </w:rPr>
        <w:t>The Guardian</w:t>
      </w:r>
      <w:r>
        <w:rPr>
          <w:rFonts w:eastAsia="Calibri" w:cs="Calibri"/>
          <w:lang w:val="en-GB"/>
        </w:rPr>
        <w:t xml:space="preserve">, 6 </w:t>
      </w:r>
      <w:r w:rsidRPr="00BE553E">
        <w:rPr>
          <w:rFonts w:eastAsia="Calibri" w:cs="Calibri"/>
          <w:lang w:val="en-GB"/>
        </w:rPr>
        <w:t>October</w:t>
      </w:r>
      <w:r>
        <w:rPr>
          <w:rFonts w:eastAsia="Calibri" w:cs="Calibri"/>
          <w:lang w:val="en-GB"/>
        </w:rPr>
        <w:t xml:space="preserve">, </w:t>
      </w:r>
      <w:r w:rsidRPr="00BE553E">
        <w:rPr>
          <w:rFonts w:eastAsia="Calibri" w:cs="Calibri"/>
          <w:lang w:val="en-GB"/>
        </w:rPr>
        <w:t>http://www.theguardian.com/world/2</w:t>
      </w:r>
      <w:r>
        <w:rPr>
          <w:rFonts w:eastAsia="Calibri" w:cs="Calibri"/>
          <w:lang w:val="en-GB"/>
        </w:rPr>
        <w:t>004/oct/16/uselections2004.usa2, accessed 24 April 2016.</w:t>
      </w:r>
    </w:p>
    <w:p w14:paraId="7A5F1135" w14:textId="77777777" w:rsidR="002B77A7" w:rsidRPr="00BE553E" w:rsidRDefault="002B77A7" w:rsidP="002B77A7">
      <w:pPr>
        <w:spacing w:line="360" w:lineRule="auto"/>
        <w:ind w:left="709" w:hanging="709"/>
        <w:jc w:val="both"/>
        <w:rPr>
          <w:rFonts w:eastAsia="Calibri" w:cs="Calibri"/>
          <w:lang w:val="en-GB"/>
        </w:rPr>
      </w:pPr>
      <w:r w:rsidRPr="00BE553E">
        <w:rPr>
          <w:rFonts w:cs="Arial"/>
          <w:color w:val="000000"/>
          <w:sz w:val="22"/>
          <w:szCs w:val="22"/>
          <w:lang w:val="en-GB"/>
        </w:rPr>
        <w:t>Willsher, K., Harding, L</w:t>
      </w:r>
      <w:r>
        <w:rPr>
          <w:rFonts w:cs="Arial"/>
          <w:color w:val="000000"/>
          <w:sz w:val="22"/>
          <w:szCs w:val="22"/>
          <w:lang w:val="en-GB"/>
        </w:rPr>
        <w:t>. and Graham-Harrison, E. (2015</w:t>
      </w:r>
      <w:r w:rsidRPr="00BE553E">
        <w:rPr>
          <w:rFonts w:cs="Arial"/>
          <w:color w:val="000000"/>
          <w:sz w:val="22"/>
          <w:szCs w:val="22"/>
          <w:lang w:val="en-GB"/>
        </w:rPr>
        <w:t xml:space="preserve">) Sorrow, despair and anger as Paris absorbs aftermath of terror attacks. </w:t>
      </w:r>
      <w:r w:rsidRPr="00021575">
        <w:rPr>
          <w:rFonts w:cs="Arial"/>
          <w:i/>
          <w:iCs/>
          <w:color w:val="000000"/>
          <w:sz w:val="22"/>
          <w:szCs w:val="22"/>
          <w:lang w:val="en-GB"/>
        </w:rPr>
        <w:t>The Guardian</w:t>
      </w:r>
      <w:r>
        <w:rPr>
          <w:rFonts w:cs="Arial"/>
          <w:color w:val="000000"/>
          <w:sz w:val="22"/>
          <w:szCs w:val="22"/>
          <w:lang w:val="en-GB"/>
        </w:rPr>
        <w:t xml:space="preserve">, 16 </w:t>
      </w:r>
      <w:r w:rsidRPr="00BE553E">
        <w:rPr>
          <w:rFonts w:cs="Arial"/>
          <w:color w:val="000000"/>
          <w:sz w:val="22"/>
          <w:szCs w:val="22"/>
          <w:lang w:val="en-GB"/>
        </w:rPr>
        <w:t>November</w:t>
      </w:r>
      <w:r>
        <w:rPr>
          <w:rFonts w:cs="Arial"/>
          <w:color w:val="000000"/>
          <w:sz w:val="22"/>
          <w:szCs w:val="22"/>
          <w:lang w:val="en-GB"/>
        </w:rPr>
        <w:t xml:space="preserve">, </w:t>
      </w:r>
      <w:r w:rsidRPr="00BE553E">
        <w:rPr>
          <w:rFonts w:cs="Arial"/>
          <w:sz w:val="22"/>
          <w:szCs w:val="22"/>
          <w:lang w:val="en-GB"/>
        </w:rPr>
        <w:t>https://www.theguardian.com/world/2015/nov/16/paris-terror-attacks-france-sorrow-anger-despair</w:t>
      </w:r>
      <w:r>
        <w:rPr>
          <w:rFonts w:eastAsia="Calibri" w:cs="Calibri"/>
          <w:lang w:val="en-GB"/>
        </w:rPr>
        <w:t>, accessed 2 May 2016.</w:t>
      </w:r>
    </w:p>
    <w:p w14:paraId="2C24165E" w14:textId="77777777" w:rsidR="002B77A7" w:rsidRPr="00BE553E" w:rsidRDefault="002B77A7" w:rsidP="002B77A7">
      <w:pPr>
        <w:spacing w:line="360" w:lineRule="auto"/>
        <w:ind w:left="709" w:hanging="709"/>
        <w:jc w:val="both"/>
        <w:rPr>
          <w:lang w:val="en-GB"/>
        </w:rPr>
      </w:pPr>
      <w:r>
        <w:rPr>
          <w:rFonts w:eastAsia="Calibri" w:cs="Calibri"/>
          <w:lang w:val="en-GB"/>
        </w:rPr>
        <w:t>Wodak, R. (1995)</w:t>
      </w:r>
      <w:r w:rsidRPr="00BE553E">
        <w:rPr>
          <w:rFonts w:eastAsia="Calibri" w:cs="Calibri"/>
          <w:lang w:val="en-GB"/>
        </w:rPr>
        <w:t xml:space="preserve"> Critical linguistics and critical discourse analysis. </w:t>
      </w:r>
      <w:r w:rsidRPr="00A31CF1">
        <w:rPr>
          <w:rFonts w:eastAsia="Calibri" w:cs="Calibri"/>
          <w:lang w:val="en-GB"/>
        </w:rPr>
        <w:t>In</w:t>
      </w:r>
      <w:r>
        <w:rPr>
          <w:rFonts w:eastAsia="Calibri" w:cs="Calibri"/>
          <w:lang w:val="en-GB"/>
        </w:rPr>
        <w:t>:</w:t>
      </w:r>
      <w:r w:rsidRPr="00A31CF1">
        <w:rPr>
          <w:rFonts w:eastAsia="Calibri" w:cs="Calibri"/>
          <w:lang w:val="en-GB"/>
        </w:rPr>
        <w:t xml:space="preserve"> J. Verschueren, J.O. Östman, and J. Blommaert (</w:t>
      </w:r>
      <w:r>
        <w:rPr>
          <w:rFonts w:eastAsia="Calibri" w:cs="Calibri"/>
          <w:lang w:val="en-GB"/>
        </w:rPr>
        <w:t xml:space="preserve">eds.) </w:t>
      </w:r>
      <w:r w:rsidRPr="00021575">
        <w:rPr>
          <w:rFonts w:eastAsia="Calibri" w:cs="Calibri"/>
          <w:i/>
          <w:lang w:val="en-GB"/>
        </w:rPr>
        <w:t>Handbook of Pragmatics</w:t>
      </w:r>
      <w:r w:rsidRPr="00A31CF1">
        <w:rPr>
          <w:rFonts w:eastAsia="Calibri" w:cs="Calibri"/>
          <w:lang w:val="en-GB"/>
        </w:rPr>
        <w:t xml:space="preserve">. </w:t>
      </w:r>
      <w:r w:rsidRPr="00BE553E">
        <w:rPr>
          <w:rFonts w:eastAsia="Calibri" w:cs="Calibri"/>
          <w:lang w:val="en-GB"/>
        </w:rPr>
        <w:t>Amsterdam: Jo</w:t>
      </w:r>
      <w:r>
        <w:rPr>
          <w:rFonts w:eastAsia="Calibri" w:cs="Calibri"/>
          <w:lang w:val="en-GB"/>
        </w:rPr>
        <w:t xml:space="preserve">hn Benjamins Publishing Company, </w:t>
      </w:r>
      <w:r w:rsidRPr="00A31CF1">
        <w:rPr>
          <w:rFonts w:eastAsia="Calibri" w:cs="Calibri"/>
          <w:lang w:val="en-GB"/>
        </w:rPr>
        <w:t>pp. 50-70</w:t>
      </w:r>
      <w:r>
        <w:rPr>
          <w:rFonts w:eastAsia="Calibri" w:cs="Calibri"/>
          <w:lang w:val="en-GB"/>
        </w:rPr>
        <w:t>.</w:t>
      </w:r>
    </w:p>
    <w:p w14:paraId="7F7ACE37" w14:textId="77777777" w:rsidR="002B77A7" w:rsidRDefault="002B77A7" w:rsidP="002B77A7">
      <w:pPr>
        <w:spacing w:line="360" w:lineRule="auto"/>
        <w:ind w:left="709" w:hanging="709"/>
        <w:jc w:val="both"/>
        <w:rPr>
          <w:rFonts w:eastAsia="Calibri" w:cs="Calibri"/>
          <w:lang w:val="en-GB"/>
        </w:rPr>
      </w:pPr>
      <w:r w:rsidRPr="00395D01">
        <w:rPr>
          <w:rFonts w:eastAsia="Calibri" w:cs="Calibri"/>
          <w:lang w:val="en-GB"/>
        </w:rPr>
        <w:t xml:space="preserve">Wodak, R. et al (1998) </w:t>
      </w:r>
      <w:r w:rsidRPr="00021575">
        <w:rPr>
          <w:rFonts w:eastAsia="Calibri" w:cs="Calibri"/>
          <w:i/>
          <w:lang w:val="en-GB"/>
        </w:rPr>
        <w:t>Zur diskursiven Konstruktion von nationaler Identität</w:t>
      </w:r>
      <w:r w:rsidRPr="00395D01">
        <w:rPr>
          <w:rFonts w:eastAsia="Calibri" w:cs="Calibri"/>
          <w:lang w:val="en-GB"/>
        </w:rPr>
        <w:t xml:space="preserve"> [On </w:t>
      </w:r>
      <w:r>
        <w:rPr>
          <w:rFonts w:eastAsia="Calibri" w:cs="Calibri"/>
          <w:lang w:val="en-GB"/>
        </w:rPr>
        <w:t>the D</w:t>
      </w:r>
      <w:r w:rsidRPr="00395D01">
        <w:rPr>
          <w:rFonts w:eastAsia="Calibri" w:cs="Calibri"/>
          <w:lang w:val="en-GB"/>
        </w:rPr>
        <w:t xml:space="preserve">iscursive Construction of National Identity]. </w:t>
      </w:r>
      <w:r>
        <w:rPr>
          <w:rFonts w:eastAsia="Calibri" w:cs="Calibri"/>
          <w:lang w:val="en-GB"/>
        </w:rPr>
        <w:t>Frankfurt: Suhrkamp.</w:t>
      </w:r>
    </w:p>
    <w:p w14:paraId="25460B6B" w14:textId="77777777" w:rsidR="002B77A7" w:rsidRPr="008B2EF6" w:rsidRDefault="002B77A7" w:rsidP="002B77A7">
      <w:pPr>
        <w:spacing w:line="360" w:lineRule="auto"/>
        <w:ind w:left="709" w:hanging="709"/>
        <w:jc w:val="both"/>
        <w:rPr>
          <w:rFonts w:eastAsia="Calibri" w:cs="Calibri"/>
          <w:lang w:val="en-GB"/>
        </w:rPr>
      </w:pPr>
      <w:r w:rsidRPr="00BE553E">
        <w:rPr>
          <w:rFonts w:eastAsia="Calibri" w:cs="Calibri"/>
          <w:lang w:val="en-GB"/>
        </w:rPr>
        <w:t>Wodak, R. and Meyer, M. (2009) Critical discourse analysis: History, agenda, theory, and methodology.</w:t>
      </w:r>
      <w:r>
        <w:rPr>
          <w:rFonts w:eastAsia="Calibri" w:cs="Calibri"/>
          <w:lang w:val="en-GB"/>
        </w:rPr>
        <w:t xml:space="preserve"> </w:t>
      </w:r>
      <w:r w:rsidRPr="00BE553E">
        <w:rPr>
          <w:rFonts w:eastAsia="Calibri" w:cs="Calibri"/>
          <w:lang w:val="en-GB"/>
        </w:rPr>
        <w:t>In</w:t>
      </w:r>
      <w:r>
        <w:rPr>
          <w:rFonts w:eastAsia="Calibri" w:cs="Calibri"/>
          <w:lang w:val="en-GB"/>
        </w:rPr>
        <w:t>:</w:t>
      </w:r>
      <w:r w:rsidRPr="00BE553E">
        <w:rPr>
          <w:rFonts w:eastAsia="Calibri" w:cs="Calibri"/>
          <w:lang w:val="en-GB"/>
        </w:rPr>
        <w:t xml:space="preserve"> R. Wodak and</w:t>
      </w:r>
      <w:r>
        <w:rPr>
          <w:rFonts w:eastAsia="Calibri" w:cs="Calibri"/>
          <w:lang w:val="en-GB"/>
        </w:rPr>
        <w:t xml:space="preserve"> M. Meyer (eds.)</w:t>
      </w:r>
      <w:r w:rsidRPr="00BE553E">
        <w:rPr>
          <w:rFonts w:eastAsia="Calibri" w:cs="Calibri"/>
          <w:lang w:val="en-GB"/>
        </w:rPr>
        <w:t xml:space="preserve"> </w:t>
      </w:r>
      <w:r w:rsidRPr="00021575">
        <w:rPr>
          <w:rFonts w:eastAsia="Calibri" w:cs="Calibri"/>
          <w:i/>
          <w:lang w:val="en-GB"/>
        </w:rPr>
        <w:t>Methods of Critical Discourse Analysis</w:t>
      </w:r>
      <w:r>
        <w:rPr>
          <w:rFonts w:eastAsia="Calibri" w:cs="Calibri"/>
          <w:lang w:val="en-GB"/>
        </w:rPr>
        <w:t xml:space="preserve"> (2nd ed.). London: SAGE Publications Ltd, </w:t>
      </w:r>
      <w:r w:rsidRPr="00BE553E">
        <w:rPr>
          <w:rFonts w:eastAsia="Calibri" w:cs="Calibri"/>
          <w:lang w:val="en-GB"/>
        </w:rPr>
        <w:t>pp. 1-33</w:t>
      </w:r>
      <w:r>
        <w:rPr>
          <w:rFonts w:eastAsia="Calibri" w:cs="Calibri"/>
          <w:lang w:val="en-GB"/>
        </w:rPr>
        <w:t>.</w:t>
      </w:r>
    </w:p>
    <w:p w14:paraId="0B30D008" w14:textId="77777777" w:rsidR="002B77A7" w:rsidRPr="00BE553E" w:rsidRDefault="002B77A7" w:rsidP="002B77A7">
      <w:pPr>
        <w:spacing w:line="360" w:lineRule="auto"/>
        <w:ind w:left="709" w:hanging="709"/>
        <w:jc w:val="both"/>
        <w:rPr>
          <w:rFonts w:eastAsia="Calibri" w:cs="Calibri"/>
          <w:lang w:val="en-GB"/>
        </w:rPr>
      </w:pPr>
      <w:r>
        <w:rPr>
          <w:rFonts w:eastAsia="Calibri" w:cs="Calibri"/>
          <w:lang w:val="en-GB"/>
        </w:rPr>
        <w:t>Wrong, D.H. (1979)</w:t>
      </w:r>
      <w:r w:rsidRPr="00BE553E">
        <w:rPr>
          <w:rFonts w:eastAsia="Calibri" w:cs="Calibri"/>
          <w:lang w:val="en-GB"/>
        </w:rPr>
        <w:t xml:space="preserve"> </w:t>
      </w:r>
      <w:r w:rsidRPr="00021575">
        <w:rPr>
          <w:rFonts w:eastAsia="Calibri" w:cs="Calibri"/>
          <w:i/>
          <w:lang w:val="en-GB"/>
        </w:rPr>
        <w:t>Power</w:t>
      </w:r>
      <w:r w:rsidRPr="00BE553E">
        <w:rPr>
          <w:rFonts w:eastAsia="Calibri" w:cs="Calibri"/>
          <w:lang w:val="en-GB"/>
        </w:rPr>
        <w:t xml:space="preserve">. Oxford: Blackwell. </w:t>
      </w:r>
    </w:p>
    <w:p w14:paraId="6AA9734F" w14:textId="77777777" w:rsidR="002B77A7" w:rsidRPr="00BE553E" w:rsidRDefault="002B77A7" w:rsidP="002B77A7">
      <w:pPr>
        <w:spacing w:line="360" w:lineRule="auto"/>
        <w:ind w:left="709" w:hanging="709"/>
        <w:jc w:val="both"/>
        <w:rPr>
          <w:lang w:val="en-GB"/>
        </w:rPr>
      </w:pPr>
      <w:r>
        <w:rPr>
          <w:rFonts w:eastAsia="Calibri" w:cs="Calibri"/>
          <w:lang w:val="en-GB"/>
        </w:rPr>
        <w:t>Young, I.M. (1990)</w:t>
      </w:r>
      <w:r w:rsidRPr="00BE553E">
        <w:rPr>
          <w:rFonts w:eastAsia="Calibri" w:cs="Calibri"/>
          <w:lang w:val="en-GB"/>
        </w:rPr>
        <w:t xml:space="preserve"> </w:t>
      </w:r>
      <w:r w:rsidRPr="00021575">
        <w:rPr>
          <w:rFonts w:eastAsia="Calibri" w:cs="Calibri"/>
          <w:i/>
          <w:lang w:val="en-GB"/>
        </w:rPr>
        <w:t xml:space="preserve">Throwing Like a Girl and Other Essays in Feminist Philosophy and Social Theory. </w:t>
      </w:r>
      <w:r w:rsidRPr="00BE553E">
        <w:rPr>
          <w:rFonts w:eastAsia="Calibri" w:cs="Calibri"/>
          <w:lang w:val="en-GB"/>
        </w:rPr>
        <w:t>Bloomington: Indiana University Press.</w:t>
      </w:r>
    </w:p>
    <w:p w14:paraId="2701EA91" w14:textId="451FE44D" w:rsidR="00D9028C" w:rsidRPr="00BE553E" w:rsidRDefault="00D9028C" w:rsidP="00E52F0F">
      <w:pPr>
        <w:spacing w:line="360" w:lineRule="auto"/>
        <w:rPr>
          <w:rFonts w:asciiTheme="majorHAnsi" w:eastAsiaTheme="majorEastAsia" w:hAnsiTheme="majorHAnsi" w:cstheme="majorBidi"/>
          <w:color w:val="2E74B5" w:themeColor="accent1" w:themeShade="BF"/>
          <w:sz w:val="36"/>
          <w:szCs w:val="36"/>
          <w:lang w:val="en-GB"/>
        </w:rPr>
      </w:pPr>
    </w:p>
    <w:p w14:paraId="55DCB9FD" w14:textId="77777777" w:rsidR="00DF5C20" w:rsidRDefault="00DF5C20">
      <w:pPr>
        <w:rPr>
          <w:rFonts w:asciiTheme="majorHAnsi" w:eastAsiaTheme="majorEastAsia" w:hAnsiTheme="majorHAnsi" w:cstheme="majorBidi"/>
          <w:color w:val="2E74B5" w:themeColor="accent1" w:themeShade="BF"/>
          <w:sz w:val="36"/>
          <w:szCs w:val="36"/>
          <w:lang w:val="en-GB"/>
        </w:rPr>
      </w:pPr>
      <w:r>
        <w:rPr>
          <w:lang w:val="en-GB"/>
        </w:rPr>
        <w:br w:type="page"/>
      </w:r>
    </w:p>
    <w:p w14:paraId="3FD2B010" w14:textId="53EA12B6" w:rsidR="00814F40" w:rsidRPr="00BE553E" w:rsidRDefault="00814F40" w:rsidP="00E52F0F">
      <w:pPr>
        <w:pStyle w:val="Heading1"/>
        <w:spacing w:line="360" w:lineRule="auto"/>
        <w:rPr>
          <w:lang w:val="en-GB"/>
        </w:rPr>
      </w:pPr>
      <w:bookmarkStart w:id="82" w:name="_Toc458983429"/>
      <w:r w:rsidRPr="00BE553E">
        <w:rPr>
          <w:lang w:val="en-GB"/>
        </w:rPr>
        <w:lastRenderedPageBreak/>
        <w:t>Appendix</w:t>
      </w:r>
      <w:bookmarkEnd w:id="82"/>
    </w:p>
    <w:p w14:paraId="10B91A13" w14:textId="77777777" w:rsidR="00814F40" w:rsidRPr="00BE553E" w:rsidRDefault="00814F40" w:rsidP="00E52F0F">
      <w:pPr>
        <w:spacing w:line="360" w:lineRule="auto"/>
        <w:rPr>
          <w:u w:val="single"/>
          <w:lang w:val="en-GB" w:eastAsia="nl-NL"/>
        </w:rPr>
      </w:pPr>
    </w:p>
    <w:p w14:paraId="7D66DB88" w14:textId="052D628F" w:rsidR="00602E32" w:rsidRDefault="00814F40" w:rsidP="00602E32">
      <w:pPr>
        <w:pStyle w:val="Heading2"/>
        <w:spacing w:line="360" w:lineRule="auto"/>
        <w:rPr>
          <w:lang w:val="en-GB" w:eastAsia="nl-NL"/>
        </w:rPr>
      </w:pPr>
      <w:bookmarkStart w:id="83" w:name="_Toc458983430"/>
      <w:r w:rsidRPr="00602E32">
        <w:rPr>
          <w:lang w:val="en-GB" w:eastAsia="nl-NL"/>
        </w:rPr>
        <w:t>List of articles used for fine analysis</w:t>
      </w:r>
      <w:bookmarkEnd w:id="83"/>
    </w:p>
    <w:p w14:paraId="70CB217B" w14:textId="6844A386" w:rsidR="00814F40" w:rsidRPr="002851A0" w:rsidRDefault="00814F40" w:rsidP="00E52F0F">
      <w:pPr>
        <w:spacing w:line="360" w:lineRule="auto"/>
        <w:ind w:left="709" w:hanging="709"/>
        <w:jc w:val="both"/>
        <w:rPr>
          <w:rFonts w:eastAsia="Calibri" w:cs="Calibri"/>
          <w:color w:val="1A1A1A"/>
          <w:lang w:val="en-GB"/>
        </w:rPr>
      </w:pPr>
      <w:r w:rsidRPr="00BE553E">
        <w:rPr>
          <w:lang w:val="en-GB"/>
        </w:rPr>
        <w:t>A</w:t>
      </w:r>
      <w:r>
        <w:rPr>
          <w:lang w:val="en-GB"/>
        </w:rPr>
        <w:t>ssociated Press in Beirut (2015</w:t>
      </w:r>
      <w:r w:rsidRPr="00BE553E">
        <w:rPr>
          <w:lang w:val="en-GB"/>
        </w:rPr>
        <w:t xml:space="preserve">) Families mourn victims of Beirut suicide bombings. </w:t>
      </w:r>
      <w:r w:rsidRPr="00021575">
        <w:rPr>
          <w:i/>
          <w:iCs/>
          <w:lang w:val="en-GB"/>
        </w:rPr>
        <w:t>The Guardian</w:t>
      </w:r>
      <w:r>
        <w:rPr>
          <w:iCs/>
          <w:lang w:val="en-GB"/>
        </w:rPr>
        <w:t xml:space="preserve">, 13 </w:t>
      </w:r>
      <w:r w:rsidRPr="00BE553E">
        <w:rPr>
          <w:lang w:val="en-GB"/>
        </w:rPr>
        <w:t>November</w:t>
      </w:r>
      <w:r>
        <w:rPr>
          <w:lang w:val="en-GB"/>
        </w:rPr>
        <w:t xml:space="preserve">, </w:t>
      </w:r>
      <w:r w:rsidR="0013725E" w:rsidRPr="0013725E">
        <w:rPr>
          <w:lang w:val="en-GB"/>
        </w:rPr>
        <w:t>h</w:t>
      </w:r>
      <w:r w:rsidR="0013725E" w:rsidRPr="0013725E">
        <w:rPr>
          <w:rFonts w:eastAsiaTheme="majorEastAsia"/>
          <w:lang w:val="en-GB"/>
        </w:rPr>
        <w:t>ttps://www.theguardian.com/world/2015/nov/13/lebanon-families-mourn-victims-beirut-bombings</w:t>
      </w:r>
      <w:r w:rsidR="0013725E">
        <w:rPr>
          <w:rFonts w:eastAsiaTheme="majorEastAsia"/>
          <w:lang w:val="en-GB"/>
        </w:rPr>
        <w:t>, accessed 20 May 2016.</w:t>
      </w:r>
    </w:p>
    <w:p w14:paraId="451E1CC4" w14:textId="099782CD" w:rsidR="00814F40" w:rsidRPr="00BE553E" w:rsidRDefault="00814F40" w:rsidP="00E52F0F">
      <w:pPr>
        <w:spacing w:line="360" w:lineRule="auto"/>
        <w:ind w:left="709" w:hanging="709"/>
        <w:jc w:val="both"/>
        <w:rPr>
          <w:lang w:val="en-GB"/>
        </w:rPr>
      </w:pPr>
      <w:r>
        <w:rPr>
          <w:lang w:val="en-GB"/>
        </w:rPr>
        <w:t>Davidson, H. and agencies (2015</w:t>
      </w:r>
      <w:r w:rsidRPr="00BE553E">
        <w:rPr>
          <w:lang w:val="en-GB"/>
        </w:rPr>
        <w:t xml:space="preserve">) Identities of Paris terror attack victims from more than a dozen countries emerge. </w:t>
      </w:r>
      <w:r w:rsidRPr="00021575">
        <w:rPr>
          <w:i/>
          <w:iCs/>
          <w:lang w:val="en-GB"/>
        </w:rPr>
        <w:t>The Guardian</w:t>
      </w:r>
      <w:r>
        <w:rPr>
          <w:lang w:val="en-GB"/>
        </w:rPr>
        <w:t xml:space="preserve">, 16 </w:t>
      </w:r>
      <w:r w:rsidRPr="00BE553E">
        <w:rPr>
          <w:lang w:val="en-GB"/>
        </w:rPr>
        <w:t>November</w:t>
      </w:r>
      <w:r>
        <w:rPr>
          <w:lang w:val="en-GB"/>
        </w:rPr>
        <w:t xml:space="preserve">, </w:t>
      </w:r>
      <w:r w:rsidRPr="00BE553E">
        <w:rPr>
          <w:lang w:val="en-GB"/>
        </w:rPr>
        <w:t>https://www.theguardian.com/world/2015/nov/15/paris-attacks-identities-of-victims-from-more-than-a-dozen-countries-emerge</w:t>
      </w:r>
      <w:r w:rsidR="0013725E">
        <w:rPr>
          <w:rFonts w:eastAsiaTheme="majorEastAsia"/>
          <w:lang w:val="en-GB"/>
        </w:rPr>
        <w:t>, accessed 20 May 2016.</w:t>
      </w:r>
    </w:p>
    <w:p w14:paraId="7BFF2F85" w14:textId="7F0041F3" w:rsidR="00602E32" w:rsidRPr="00BE553E" w:rsidRDefault="00602E32" w:rsidP="00602E32">
      <w:pPr>
        <w:spacing w:line="360" w:lineRule="auto"/>
        <w:ind w:left="709" w:hanging="709"/>
        <w:jc w:val="both"/>
        <w:rPr>
          <w:rFonts w:eastAsia="Calibri" w:cs="Calibri"/>
          <w:lang w:val="en-GB"/>
        </w:rPr>
      </w:pPr>
      <w:r>
        <w:rPr>
          <w:rFonts w:eastAsia="Calibri" w:cs="Calibri"/>
          <w:lang w:val="en-GB"/>
        </w:rPr>
        <w:t>Fishwick, C. (2015)</w:t>
      </w:r>
      <w:r w:rsidRPr="00BE553E">
        <w:rPr>
          <w:rFonts w:eastAsia="Calibri" w:cs="Calibri"/>
          <w:lang w:val="en-GB"/>
        </w:rPr>
        <w:t xml:space="preserve"> ‘The media have failed us’: British Muslims on the coverage of the Paris attacks</w:t>
      </w:r>
      <w:r w:rsidRPr="00021575">
        <w:rPr>
          <w:rFonts w:eastAsia="Calibri" w:cs="Calibri"/>
          <w:i/>
          <w:lang w:val="en-GB"/>
        </w:rPr>
        <w:t>. The Guardian</w:t>
      </w:r>
      <w:r>
        <w:rPr>
          <w:rFonts w:eastAsia="Calibri" w:cs="Calibri"/>
          <w:lang w:val="en-GB"/>
        </w:rPr>
        <w:t xml:space="preserve">, 20 </w:t>
      </w:r>
      <w:r w:rsidRPr="00BE553E">
        <w:rPr>
          <w:rFonts w:eastAsia="Calibri" w:cs="Calibri"/>
          <w:lang w:val="en-GB"/>
        </w:rPr>
        <w:t>November</w:t>
      </w:r>
      <w:r>
        <w:rPr>
          <w:rFonts w:eastAsia="Calibri" w:cs="Calibri"/>
          <w:lang w:val="en-GB"/>
        </w:rPr>
        <w:t xml:space="preserve">, </w:t>
      </w:r>
      <w:r w:rsidRPr="00BE553E">
        <w:rPr>
          <w:rFonts w:eastAsia="Calibri" w:cs="Calibri"/>
          <w:lang w:val="en-GB"/>
        </w:rPr>
        <w:t>https://www.theguardian.com/world/2015/nov/20/british-muslims-med</w:t>
      </w:r>
      <w:r>
        <w:rPr>
          <w:rFonts w:eastAsia="Calibri" w:cs="Calibri"/>
          <w:lang w:val="en-GB"/>
        </w:rPr>
        <w:t>i</w:t>
      </w:r>
      <w:r w:rsidR="0013725E">
        <w:rPr>
          <w:rFonts w:eastAsia="Calibri" w:cs="Calibri"/>
          <w:lang w:val="en-GB"/>
        </w:rPr>
        <w:t>a-coverage-paris-terror-attacks</w:t>
      </w:r>
      <w:r w:rsidR="0013725E">
        <w:rPr>
          <w:rFonts w:eastAsiaTheme="majorEastAsia"/>
          <w:lang w:val="en-GB"/>
        </w:rPr>
        <w:t>, accessed 20 May 2016.</w:t>
      </w:r>
    </w:p>
    <w:p w14:paraId="2F42718E" w14:textId="5E27218D" w:rsidR="00814F40" w:rsidRPr="00BE553E" w:rsidRDefault="00814F40" w:rsidP="00E52F0F">
      <w:pPr>
        <w:spacing w:line="360" w:lineRule="auto"/>
        <w:ind w:left="709" w:hanging="709"/>
        <w:jc w:val="both"/>
        <w:rPr>
          <w:lang w:val="en-GB"/>
        </w:rPr>
      </w:pPr>
      <w:r w:rsidRPr="00BE553E">
        <w:rPr>
          <w:rFonts w:eastAsia="Calibri" w:cs="Calibri"/>
          <w:lang w:val="en-GB"/>
        </w:rPr>
        <w:t>Henley, J. and</w:t>
      </w:r>
      <w:r>
        <w:rPr>
          <w:rFonts w:eastAsia="Calibri" w:cs="Calibri"/>
          <w:lang w:val="en-GB"/>
        </w:rPr>
        <w:t xml:space="preserve"> Chrisafis, A. (2015)</w:t>
      </w:r>
      <w:r w:rsidRPr="00BE553E">
        <w:rPr>
          <w:rFonts w:eastAsia="Calibri" w:cs="Calibri"/>
          <w:lang w:val="en-GB"/>
        </w:rPr>
        <w:t xml:space="preserve"> Paris terror attacks: Hollande says Isis atrocity </w:t>
      </w:r>
      <w:r>
        <w:rPr>
          <w:rFonts w:eastAsia="Calibri" w:cs="Calibri"/>
          <w:lang w:val="en-GB"/>
        </w:rPr>
        <w:t xml:space="preserve">was ‘act of war’. </w:t>
      </w:r>
      <w:r w:rsidRPr="00021575">
        <w:rPr>
          <w:rFonts w:eastAsia="Calibri" w:cs="Calibri"/>
          <w:i/>
          <w:lang w:val="en-GB"/>
        </w:rPr>
        <w:t>The Guardian</w:t>
      </w:r>
      <w:r>
        <w:rPr>
          <w:rFonts w:eastAsia="Calibri" w:cs="Calibri"/>
          <w:lang w:val="en-GB"/>
        </w:rPr>
        <w:t xml:space="preserve">, 14 November¸ </w:t>
      </w:r>
      <w:r w:rsidRPr="00BE553E">
        <w:rPr>
          <w:rFonts w:eastAsia="Calibri" w:cs="Calibri"/>
          <w:lang w:val="en-GB"/>
        </w:rPr>
        <w:t>https://www.theguardian.com/world/2015/nov/13/paris-attack</w:t>
      </w:r>
      <w:r w:rsidR="0013725E">
        <w:rPr>
          <w:rFonts w:eastAsia="Calibri" w:cs="Calibri"/>
          <w:lang w:val="en-GB"/>
        </w:rPr>
        <w:t>s-shootings-explosions-hostages</w:t>
      </w:r>
      <w:r w:rsidR="0013725E">
        <w:rPr>
          <w:rFonts w:eastAsiaTheme="majorEastAsia"/>
          <w:lang w:val="en-GB"/>
        </w:rPr>
        <w:t>, accessed 20 May 2016.</w:t>
      </w:r>
    </w:p>
    <w:p w14:paraId="28E21ADD" w14:textId="75CCD549" w:rsidR="00602E32" w:rsidRPr="00BE553E" w:rsidRDefault="00602E32" w:rsidP="00602E32">
      <w:pPr>
        <w:spacing w:line="360" w:lineRule="auto"/>
        <w:ind w:left="709" w:hanging="709"/>
        <w:jc w:val="both"/>
        <w:rPr>
          <w:lang w:val="en-GB"/>
        </w:rPr>
      </w:pPr>
      <w:r>
        <w:rPr>
          <w:lang w:val="en-GB"/>
        </w:rPr>
        <w:t>Penketh, A. (2015</w:t>
      </w:r>
      <w:r w:rsidRPr="00BE553E">
        <w:rPr>
          <w:lang w:val="en-GB"/>
        </w:rPr>
        <w:t>) Paris attacks: the Muslim victims of t</w:t>
      </w:r>
      <w:r>
        <w:rPr>
          <w:lang w:val="en-GB"/>
        </w:rPr>
        <w:t xml:space="preserve">errorist bullets. </w:t>
      </w:r>
      <w:r w:rsidRPr="00021575">
        <w:rPr>
          <w:i/>
          <w:lang w:val="en-GB"/>
        </w:rPr>
        <w:t>The Guardian</w:t>
      </w:r>
      <w:r>
        <w:rPr>
          <w:lang w:val="en-GB"/>
        </w:rPr>
        <w:t xml:space="preserve">, 18 </w:t>
      </w:r>
      <w:r w:rsidRPr="00BE553E">
        <w:rPr>
          <w:lang w:val="en-GB"/>
        </w:rPr>
        <w:t>November</w:t>
      </w:r>
      <w:r>
        <w:rPr>
          <w:lang w:val="en-GB"/>
        </w:rPr>
        <w:t xml:space="preserve">, </w:t>
      </w:r>
      <w:r w:rsidRPr="00BE553E">
        <w:rPr>
          <w:rFonts w:eastAsia="Arial"/>
          <w:lang w:val="en-GB"/>
        </w:rPr>
        <w:t>https://www.theguardian.com/world/2015/nov/18/paris-attacks-muslim-victims-terrorist-france-isis</w:t>
      </w:r>
      <w:r w:rsidR="0013725E">
        <w:rPr>
          <w:rFonts w:eastAsiaTheme="majorEastAsia"/>
          <w:lang w:val="en-GB"/>
        </w:rPr>
        <w:t>, accessed 20 May 2016.</w:t>
      </w:r>
    </w:p>
    <w:p w14:paraId="230B3313" w14:textId="5848B7AE" w:rsidR="00814F40" w:rsidRPr="00BE553E" w:rsidRDefault="00814F40" w:rsidP="00E52F0F">
      <w:pPr>
        <w:spacing w:line="360" w:lineRule="auto"/>
        <w:ind w:left="709" w:hanging="709"/>
        <w:jc w:val="both"/>
        <w:rPr>
          <w:lang w:val="en-GB"/>
        </w:rPr>
      </w:pPr>
      <w:r w:rsidRPr="00BE553E">
        <w:rPr>
          <w:lang w:val="en-GB"/>
        </w:rPr>
        <w:t>Phip</w:t>
      </w:r>
      <w:r>
        <w:rPr>
          <w:lang w:val="en-GB"/>
        </w:rPr>
        <w:t>ps, C. and Rawlinson, K. (2015a</w:t>
      </w:r>
      <w:r w:rsidRPr="00BE553E">
        <w:rPr>
          <w:lang w:val="en-GB"/>
        </w:rPr>
        <w:t xml:space="preserve">) Paris attacks: what we know in wake of killings. </w:t>
      </w:r>
      <w:r w:rsidRPr="00021575">
        <w:rPr>
          <w:i/>
          <w:iCs/>
          <w:lang w:val="en-GB"/>
        </w:rPr>
        <w:t>The Guardian</w:t>
      </w:r>
      <w:r>
        <w:rPr>
          <w:iCs/>
          <w:lang w:val="en-GB"/>
        </w:rPr>
        <w:t xml:space="preserve">, 14 </w:t>
      </w:r>
      <w:r w:rsidRPr="00BE553E">
        <w:rPr>
          <w:lang w:val="en-GB"/>
        </w:rPr>
        <w:t>November</w:t>
      </w:r>
      <w:r>
        <w:rPr>
          <w:lang w:val="en-GB"/>
        </w:rPr>
        <w:t xml:space="preserve">, </w:t>
      </w:r>
      <w:r w:rsidRPr="00BE553E">
        <w:rPr>
          <w:lang w:val="en-GB"/>
        </w:rPr>
        <w:t>https://www.theguardian.com/world/2015/nov/14/p</w:t>
      </w:r>
      <w:r>
        <w:rPr>
          <w:lang w:val="en-GB"/>
        </w:rPr>
        <w:t>a</w:t>
      </w:r>
      <w:r w:rsidR="0013725E">
        <w:rPr>
          <w:lang w:val="en-GB"/>
        </w:rPr>
        <w:t>ris-attacks-what-we-know-so-far</w:t>
      </w:r>
      <w:r w:rsidR="0013725E">
        <w:rPr>
          <w:rFonts w:eastAsiaTheme="majorEastAsia"/>
          <w:lang w:val="en-GB"/>
        </w:rPr>
        <w:t>, accessed 20 May 2016.</w:t>
      </w:r>
    </w:p>
    <w:p w14:paraId="7FB3153F" w14:textId="53D6457C" w:rsidR="00814F40" w:rsidRPr="00BE553E" w:rsidRDefault="00814F40" w:rsidP="00E52F0F">
      <w:pPr>
        <w:spacing w:line="360" w:lineRule="auto"/>
        <w:ind w:left="709" w:hanging="709"/>
        <w:jc w:val="both"/>
        <w:rPr>
          <w:lang w:val="en-GB"/>
        </w:rPr>
      </w:pPr>
      <w:r w:rsidRPr="00BE553E">
        <w:rPr>
          <w:lang w:val="en-GB"/>
        </w:rPr>
        <w:t>Phip</w:t>
      </w:r>
      <w:r>
        <w:rPr>
          <w:lang w:val="en-GB"/>
        </w:rPr>
        <w:t>ps, C. and Rawlinson, K. (2015b)</w:t>
      </w:r>
      <w:r w:rsidRPr="00BE553E">
        <w:rPr>
          <w:lang w:val="en-GB"/>
        </w:rPr>
        <w:t xml:space="preserve"> Paris attacks kill more than 120 people </w:t>
      </w:r>
      <w:r>
        <w:rPr>
          <w:lang w:val="en-GB"/>
        </w:rPr>
        <w:t xml:space="preserve">– as it happened. </w:t>
      </w:r>
      <w:r w:rsidRPr="00021575">
        <w:rPr>
          <w:i/>
          <w:lang w:val="en-GB"/>
        </w:rPr>
        <w:t>The Guardian</w:t>
      </w:r>
      <w:r>
        <w:rPr>
          <w:lang w:val="en-GB"/>
        </w:rPr>
        <w:t xml:space="preserve">, 14 </w:t>
      </w:r>
      <w:r w:rsidRPr="00BE553E">
        <w:rPr>
          <w:lang w:val="en-GB"/>
        </w:rPr>
        <w:t>November</w:t>
      </w:r>
      <w:r>
        <w:rPr>
          <w:lang w:val="en-GB"/>
        </w:rPr>
        <w:t xml:space="preserve">, </w:t>
      </w:r>
      <w:r w:rsidRPr="00BE553E">
        <w:rPr>
          <w:lang w:val="en-GB"/>
        </w:rPr>
        <w:t>https://www.theguardian.com/world/live/2015/</w:t>
      </w:r>
      <w:r w:rsidRPr="00BE553E">
        <w:rPr>
          <w:lang w:val="en-GB"/>
        </w:rPr>
        <w:br/>
        <w:t>nov/13/shootings-rep</w:t>
      </w:r>
      <w:r w:rsidR="0013725E">
        <w:rPr>
          <w:lang w:val="en-GB"/>
        </w:rPr>
        <w:t>orted-in-eastern-paris-live</w:t>
      </w:r>
      <w:r w:rsidR="0013725E">
        <w:rPr>
          <w:rFonts w:eastAsiaTheme="majorEastAsia"/>
          <w:lang w:val="en-GB"/>
        </w:rPr>
        <w:t>, accessed 20 May 2016.</w:t>
      </w:r>
    </w:p>
    <w:p w14:paraId="14431EAE" w14:textId="1E492294" w:rsidR="00814F40" w:rsidRPr="00BE553E" w:rsidRDefault="00814F40" w:rsidP="00E52F0F">
      <w:pPr>
        <w:spacing w:line="360" w:lineRule="auto"/>
        <w:ind w:left="709" w:hanging="709"/>
        <w:jc w:val="both"/>
        <w:rPr>
          <w:lang w:val="en-GB"/>
        </w:rPr>
      </w:pPr>
      <w:r>
        <w:rPr>
          <w:lang w:val="en-GB"/>
        </w:rPr>
        <w:t>Shaheen, K. (2015a</w:t>
      </w:r>
      <w:r w:rsidRPr="00BE553E">
        <w:rPr>
          <w:lang w:val="en-GB"/>
        </w:rPr>
        <w:t xml:space="preserve">) Isis claims responsibility as suicide bombers kill dozens in Beirut. </w:t>
      </w:r>
      <w:r w:rsidRPr="00021575">
        <w:rPr>
          <w:i/>
          <w:iCs/>
          <w:lang w:val="en-GB"/>
        </w:rPr>
        <w:t>The Guardian</w:t>
      </w:r>
      <w:r>
        <w:rPr>
          <w:iCs/>
          <w:lang w:val="en-GB"/>
        </w:rPr>
        <w:t xml:space="preserve">, 12 </w:t>
      </w:r>
      <w:r>
        <w:rPr>
          <w:lang w:val="en-GB"/>
        </w:rPr>
        <w:t xml:space="preserve">November, </w:t>
      </w:r>
      <w:r w:rsidRPr="00BE553E">
        <w:rPr>
          <w:lang w:val="en-GB"/>
        </w:rPr>
        <w:t>https://www.theguardian.com/world/2015/nov/12/beirut-bombings-kill-at-least-20-lebanon</w:t>
      </w:r>
      <w:r w:rsidR="0013725E">
        <w:rPr>
          <w:rFonts w:eastAsiaTheme="majorEastAsia"/>
          <w:lang w:val="en-GB"/>
        </w:rPr>
        <w:t>, accessed 20 May 2016.</w:t>
      </w:r>
    </w:p>
    <w:p w14:paraId="6DFCB85F" w14:textId="4C73343B" w:rsidR="00814F40" w:rsidRPr="00BE553E" w:rsidRDefault="00814F40" w:rsidP="00E52F0F">
      <w:pPr>
        <w:spacing w:line="360" w:lineRule="auto"/>
        <w:ind w:left="709" w:hanging="709"/>
        <w:jc w:val="both"/>
        <w:rPr>
          <w:lang w:val="en-GB"/>
        </w:rPr>
      </w:pPr>
      <w:r>
        <w:rPr>
          <w:lang w:val="en-GB"/>
        </w:rPr>
        <w:t>Shaheen, K. (2015b</w:t>
      </w:r>
      <w:r w:rsidRPr="00BE553E">
        <w:rPr>
          <w:lang w:val="en-GB"/>
        </w:rPr>
        <w:t xml:space="preserve">) ‘Dad is a martyr’: how Adel Termos became a saviour in Beirut bombings. </w:t>
      </w:r>
      <w:r w:rsidRPr="00021575">
        <w:rPr>
          <w:i/>
          <w:iCs/>
          <w:lang w:val="en-GB"/>
        </w:rPr>
        <w:t>The Guardian</w:t>
      </w:r>
      <w:r>
        <w:rPr>
          <w:lang w:val="en-GB"/>
        </w:rPr>
        <w:t xml:space="preserve">, 17 November, </w:t>
      </w:r>
      <w:r w:rsidRPr="00BE553E">
        <w:rPr>
          <w:lang w:val="en-GB"/>
        </w:rPr>
        <w:t>https://www.theguardian.com/world/2015/nov/17/adel-termos-martyr-father-became-saviour-beirut-bombings</w:t>
      </w:r>
      <w:r w:rsidR="0013725E">
        <w:rPr>
          <w:rFonts w:eastAsiaTheme="majorEastAsia"/>
          <w:lang w:val="en-GB"/>
        </w:rPr>
        <w:t>, accessed 20 May 2016.</w:t>
      </w:r>
    </w:p>
    <w:p w14:paraId="133A1970" w14:textId="0C04D9DC" w:rsidR="00814F40" w:rsidRPr="00BE553E" w:rsidRDefault="00814F40" w:rsidP="00E52F0F">
      <w:pPr>
        <w:spacing w:line="360" w:lineRule="auto"/>
        <w:ind w:left="709" w:hanging="709"/>
        <w:jc w:val="both"/>
        <w:rPr>
          <w:rFonts w:eastAsia="Calibri" w:cs="Calibri"/>
          <w:lang w:val="en-GB"/>
        </w:rPr>
      </w:pPr>
      <w:r>
        <w:rPr>
          <w:lang w:val="en-GB"/>
        </w:rPr>
        <w:lastRenderedPageBreak/>
        <w:t>Shearlaw, M. (2015)</w:t>
      </w:r>
      <w:r w:rsidRPr="00BE553E">
        <w:rPr>
          <w:lang w:val="en-GB"/>
        </w:rPr>
        <w:t xml:space="preserve"> Paris attacks: how far does our global s</w:t>
      </w:r>
      <w:r>
        <w:rPr>
          <w:lang w:val="en-GB"/>
        </w:rPr>
        <w:t xml:space="preserve">olidarity extend? </w:t>
      </w:r>
      <w:r w:rsidRPr="00021575">
        <w:rPr>
          <w:i/>
          <w:lang w:val="en-GB"/>
        </w:rPr>
        <w:t>The Guardian</w:t>
      </w:r>
      <w:r>
        <w:rPr>
          <w:lang w:val="en-GB"/>
        </w:rPr>
        <w:t xml:space="preserve">, 16 </w:t>
      </w:r>
      <w:r w:rsidRPr="00BE553E">
        <w:rPr>
          <w:lang w:val="en-GB"/>
        </w:rPr>
        <w:t>November</w:t>
      </w:r>
      <w:r>
        <w:rPr>
          <w:lang w:val="en-GB"/>
        </w:rPr>
        <w:t xml:space="preserve">, </w:t>
      </w:r>
      <w:r w:rsidRPr="00BE553E">
        <w:rPr>
          <w:lang w:val="en-GB"/>
        </w:rPr>
        <w:t>https://www.theguardian.com/world/2015/nov/16/paris-attacks-global-solidarity-nigeria-kenya</w:t>
      </w:r>
      <w:r w:rsidR="0013725E">
        <w:rPr>
          <w:rFonts w:eastAsiaTheme="majorEastAsia"/>
          <w:lang w:val="en-GB"/>
        </w:rPr>
        <w:t>, accessed 20 May 2016.</w:t>
      </w:r>
    </w:p>
    <w:p w14:paraId="36EE9A28" w14:textId="300F7896" w:rsidR="00814F40" w:rsidRPr="00BE553E" w:rsidRDefault="00814F40" w:rsidP="00E52F0F">
      <w:pPr>
        <w:spacing w:line="360" w:lineRule="auto"/>
        <w:ind w:left="709" w:hanging="709"/>
        <w:jc w:val="both"/>
        <w:rPr>
          <w:rFonts w:eastAsia="Calibri" w:cs="Calibri"/>
          <w:lang w:val="en-GB"/>
        </w:rPr>
      </w:pPr>
      <w:r w:rsidRPr="00BE553E">
        <w:rPr>
          <w:lang w:val="en-GB"/>
        </w:rPr>
        <w:t>Willsher, K., Harding, L</w:t>
      </w:r>
      <w:r>
        <w:rPr>
          <w:lang w:val="en-GB"/>
        </w:rPr>
        <w:t>. and Graham-Harrison, E. (2015</w:t>
      </w:r>
      <w:r w:rsidRPr="00BE553E">
        <w:rPr>
          <w:lang w:val="en-GB"/>
        </w:rPr>
        <w:t xml:space="preserve">) Sorrow, despair and anger as Paris absorbs aftermath of terror attacks. </w:t>
      </w:r>
      <w:r w:rsidRPr="00021575">
        <w:rPr>
          <w:i/>
          <w:iCs/>
          <w:lang w:val="en-GB"/>
        </w:rPr>
        <w:t>The Guardian</w:t>
      </w:r>
      <w:r>
        <w:rPr>
          <w:lang w:val="en-GB"/>
        </w:rPr>
        <w:t xml:space="preserve">, 16 </w:t>
      </w:r>
      <w:r w:rsidRPr="00BE553E">
        <w:rPr>
          <w:lang w:val="en-GB"/>
        </w:rPr>
        <w:t>November</w:t>
      </w:r>
      <w:r>
        <w:rPr>
          <w:lang w:val="en-GB"/>
        </w:rPr>
        <w:t xml:space="preserve">, </w:t>
      </w:r>
      <w:r w:rsidRPr="00BE553E">
        <w:rPr>
          <w:lang w:val="en-GB"/>
        </w:rPr>
        <w:t>https://www.theguardian.com/world/2015/nov/16/paris-terror-attacks-france-sorrow-anger-despair</w:t>
      </w:r>
      <w:r w:rsidR="0013725E">
        <w:rPr>
          <w:rFonts w:eastAsiaTheme="majorEastAsia"/>
          <w:lang w:val="en-GB"/>
        </w:rPr>
        <w:t>, accessed 20 May 2016.</w:t>
      </w:r>
    </w:p>
    <w:p w14:paraId="7A9CBA68" w14:textId="77777777" w:rsidR="00814F40" w:rsidRPr="00BE553E" w:rsidRDefault="00814F40" w:rsidP="00E52F0F">
      <w:pPr>
        <w:spacing w:line="360" w:lineRule="auto"/>
        <w:rPr>
          <w:lang w:val="en-GB" w:eastAsia="nl-NL"/>
        </w:rPr>
      </w:pPr>
    </w:p>
    <w:p w14:paraId="69A82BBA" w14:textId="77777777" w:rsidR="00814F40" w:rsidRPr="00814F40" w:rsidRDefault="00814F40" w:rsidP="00E52F0F">
      <w:pPr>
        <w:pStyle w:val="Heading2"/>
        <w:spacing w:line="360" w:lineRule="auto"/>
        <w:rPr>
          <w:lang w:val="en-GB" w:eastAsia="nl-NL"/>
        </w:rPr>
      </w:pPr>
      <w:bookmarkStart w:id="84" w:name="_Toc458983431"/>
      <w:r w:rsidRPr="00814F40">
        <w:rPr>
          <w:lang w:val="en-GB" w:eastAsia="nl-NL"/>
        </w:rPr>
        <w:t>List of articles used for structure analysis</w:t>
      </w:r>
      <w:bookmarkEnd w:id="84"/>
    </w:p>
    <w:p w14:paraId="73A279D3" w14:textId="640A4562" w:rsidR="00814F40" w:rsidRPr="00BE553E" w:rsidRDefault="00814F40" w:rsidP="00E52F0F">
      <w:pPr>
        <w:spacing w:line="360" w:lineRule="auto"/>
        <w:ind w:left="709" w:hanging="709"/>
        <w:jc w:val="both"/>
        <w:rPr>
          <w:lang w:val="en-GB"/>
        </w:rPr>
      </w:pPr>
      <w:r>
        <w:rPr>
          <w:lang w:val="en-GB"/>
        </w:rPr>
        <w:t xml:space="preserve">Associated Press (2015) </w:t>
      </w:r>
      <w:r w:rsidRPr="00BE553E">
        <w:rPr>
          <w:lang w:val="en-GB"/>
        </w:rPr>
        <w:t>Paris to archive notes and drawings left at memorials to t</w:t>
      </w:r>
      <w:r>
        <w:rPr>
          <w:lang w:val="en-GB"/>
        </w:rPr>
        <w:t xml:space="preserve">errorist attacks. </w:t>
      </w:r>
      <w:r w:rsidRPr="00021575">
        <w:rPr>
          <w:i/>
          <w:lang w:val="en-GB"/>
        </w:rPr>
        <w:t>The Guardian</w:t>
      </w:r>
      <w:r>
        <w:rPr>
          <w:lang w:val="en-GB"/>
        </w:rPr>
        <w:t xml:space="preserve">, 15 </w:t>
      </w:r>
      <w:r w:rsidRPr="00BE553E">
        <w:rPr>
          <w:lang w:val="en-GB"/>
        </w:rPr>
        <w:t>December</w:t>
      </w:r>
      <w:r>
        <w:rPr>
          <w:lang w:val="en-GB"/>
        </w:rPr>
        <w:t xml:space="preserve">, </w:t>
      </w:r>
      <w:r w:rsidRPr="00BE553E">
        <w:rPr>
          <w:rFonts w:eastAsia="Arial"/>
          <w:lang w:val="en-GB"/>
        </w:rPr>
        <w:t>https://www.theguardian.com/world/2015/dec/16/paris-archive-notes-drawings-memorials-november-attacks</w:t>
      </w:r>
      <w:r w:rsidR="0013725E">
        <w:rPr>
          <w:rFonts w:eastAsiaTheme="majorEastAsia"/>
          <w:lang w:val="en-GB"/>
        </w:rPr>
        <w:t>, accessed 20 May 2016.</w:t>
      </w:r>
    </w:p>
    <w:p w14:paraId="3B288C23" w14:textId="2B4C9AFC" w:rsidR="00814F40" w:rsidRPr="002851A0" w:rsidRDefault="00814F40" w:rsidP="00E52F0F">
      <w:pPr>
        <w:spacing w:line="360" w:lineRule="auto"/>
        <w:ind w:left="709" w:hanging="709"/>
        <w:jc w:val="both"/>
        <w:rPr>
          <w:rFonts w:eastAsia="Calibri" w:cs="Calibri"/>
          <w:color w:val="1A1A1A"/>
          <w:lang w:val="en-GB"/>
        </w:rPr>
      </w:pPr>
      <w:r w:rsidRPr="00BE553E">
        <w:rPr>
          <w:lang w:val="en-GB"/>
        </w:rPr>
        <w:t>A</w:t>
      </w:r>
      <w:r>
        <w:rPr>
          <w:lang w:val="en-GB"/>
        </w:rPr>
        <w:t>ssociated Press in Beirut (2015</w:t>
      </w:r>
      <w:r w:rsidRPr="00BE553E">
        <w:rPr>
          <w:lang w:val="en-GB"/>
        </w:rPr>
        <w:t xml:space="preserve">) Families mourn victims of Beirut suicide bombings. </w:t>
      </w:r>
      <w:r w:rsidRPr="00021575">
        <w:rPr>
          <w:i/>
          <w:iCs/>
          <w:lang w:val="en-GB"/>
        </w:rPr>
        <w:t>The Guardian</w:t>
      </w:r>
      <w:r>
        <w:rPr>
          <w:iCs/>
          <w:lang w:val="en-GB"/>
        </w:rPr>
        <w:t xml:space="preserve">, 13 </w:t>
      </w:r>
      <w:r w:rsidRPr="00BE553E">
        <w:rPr>
          <w:lang w:val="en-GB"/>
        </w:rPr>
        <w:t>November</w:t>
      </w:r>
      <w:r>
        <w:rPr>
          <w:lang w:val="en-GB"/>
        </w:rPr>
        <w:t>, h</w:t>
      </w:r>
      <w:r w:rsidRPr="00BE553E">
        <w:rPr>
          <w:rFonts w:eastAsiaTheme="majorEastAsia"/>
          <w:lang w:val="en-GB"/>
        </w:rPr>
        <w:t>ttps://www.theguardian.com/world/2015/nov/13/lebanon-families-mourn-victims-beirut-bombings</w:t>
      </w:r>
      <w:r w:rsidR="0013725E">
        <w:rPr>
          <w:rFonts w:eastAsiaTheme="majorEastAsia"/>
          <w:lang w:val="en-GB"/>
        </w:rPr>
        <w:t>, accessed 20 May 2016.</w:t>
      </w:r>
    </w:p>
    <w:p w14:paraId="1D94F78E" w14:textId="6634EFF6" w:rsidR="00814F40" w:rsidRPr="00BE553E" w:rsidRDefault="00814F40" w:rsidP="00E52F0F">
      <w:pPr>
        <w:spacing w:line="360" w:lineRule="auto"/>
        <w:ind w:left="709" w:hanging="709"/>
        <w:jc w:val="both"/>
        <w:rPr>
          <w:lang w:val="en-GB"/>
        </w:rPr>
      </w:pPr>
      <w:r w:rsidRPr="00BE553E">
        <w:rPr>
          <w:lang w:val="en-GB"/>
        </w:rPr>
        <w:t>B</w:t>
      </w:r>
      <w:r>
        <w:rPr>
          <w:lang w:val="en-GB"/>
        </w:rPr>
        <w:t>lack, I. and Halliday, J. (2015</w:t>
      </w:r>
      <w:r w:rsidRPr="00BE553E">
        <w:rPr>
          <w:lang w:val="en-GB"/>
        </w:rPr>
        <w:t xml:space="preserve">) Abdelhamid Abaaoud: alleged mastermind </w:t>
      </w:r>
      <w:r>
        <w:rPr>
          <w:lang w:val="en-GB"/>
        </w:rPr>
        <w:t xml:space="preserve">of Paris attacks. </w:t>
      </w:r>
      <w:r w:rsidRPr="00021575">
        <w:rPr>
          <w:i/>
          <w:lang w:val="en-GB"/>
        </w:rPr>
        <w:t>The Guardian</w:t>
      </w:r>
      <w:r>
        <w:rPr>
          <w:lang w:val="en-GB"/>
        </w:rPr>
        <w:t xml:space="preserve">, 16 November, </w:t>
      </w:r>
      <w:r w:rsidRPr="00BE553E">
        <w:rPr>
          <w:lang w:val="en-GB"/>
        </w:rPr>
        <w:t>https://www.theguardian.com/world/2015/nov/16/abdel-hamid-abu-oud-alleged-mastermind-paris-attacks</w:t>
      </w:r>
      <w:r w:rsidR="0013725E">
        <w:rPr>
          <w:rFonts w:eastAsiaTheme="majorEastAsia"/>
          <w:lang w:val="en-GB"/>
        </w:rPr>
        <w:t>, accessed 20 May 2016.</w:t>
      </w:r>
    </w:p>
    <w:p w14:paraId="76E9B815" w14:textId="07EC8E8F" w:rsidR="00814F40" w:rsidRPr="00BE553E" w:rsidRDefault="00814F40" w:rsidP="00E52F0F">
      <w:pPr>
        <w:spacing w:line="360" w:lineRule="auto"/>
        <w:ind w:left="709" w:hanging="709"/>
        <w:jc w:val="both"/>
        <w:rPr>
          <w:lang w:val="en-GB"/>
        </w:rPr>
      </w:pPr>
      <w:r>
        <w:rPr>
          <w:lang w:val="en-GB"/>
        </w:rPr>
        <w:t>Chrisafis, A. (2015</w:t>
      </w:r>
      <w:r w:rsidRPr="00BE553E">
        <w:rPr>
          <w:lang w:val="en-GB"/>
        </w:rPr>
        <w:t xml:space="preserve">) Wounded survivors of Paris attacks gather at remembrance ceremony. </w:t>
      </w:r>
      <w:r w:rsidRPr="00021575">
        <w:rPr>
          <w:i/>
          <w:lang w:val="en-GB"/>
        </w:rPr>
        <w:t>The Guardian</w:t>
      </w:r>
      <w:r>
        <w:rPr>
          <w:lang w:val="en-GB"/>
        </w:rPr>
        <w:t xml:space="preserve">, 27 November, </w:t>
      </w:r>
      <w:r w:rsidRPr="00BE553E">
        <w:rPr>
          <w:rFonts w:eastAsia="Arial"/>
          <w:lang w:val="en-GB"/>
        </w:rPr>
        <w:t>https://www.theguardian.com/world/2015/nov/27/wounded-survivors-of-paris-terror-attacks-gather-at-remembrance-ceremony</w:t>
      </w:r>
      <w:r w:rsidR="0013725E">
        <w:rPr>
          <w:rFonts w:eastAsiaTheme="majorEastAsia"/>
          <w:lang w:val="en-GB"/>
        </w:rPr>
        <w:t>, accessed 20 May 2016.</w:t>
      </w:r>
    </w:p>
    <w:p w14:paraId="7F47F1FD" w14:textId="7840F6B6" w:rsidR="00814F40" w:rsidRPr="00BE553E" w:rsidRDefault="00814F40" w:rsidP="00E52F0F">
      <w:pPr>
        <w:spacing w:line="360" w:lineRule="auto"/>
        <w:ind w:left="709" w:hanging="709"/>
        <w:jc w:val="both"/>
        <w:rPr>
          <w:lang w:val="en-GB"/>
        </w:rPr>
      </w:pPr>
      <w:r>
        <w:rPr>
          <w:lang w:val="en-GB"/>
        </w:rPr>
        <w:t>Chrisafis, A. (2015</w:t>
      </w:r>
      <w:r w:rsidRPr="00BE553E">
        <w:rPr>
          <w:lang w:val="en-GB"/>
        </w:rPr>
        <w:t xml:space="preserve">) Sadness and relief as Paris bar where five died in gun attack reopens. </w:t>
      </w:r>
      <w:r w:rsidRPr="00021575">
        <w:rPr>
          <w:i/>
          <w:lang w:val="en-GB"/>
        </w:rPr>
        <w:t>The Guardian</w:t>
      </w:r>
      <w:r>
        <w:rPr>
          <w:lang w:val="en-GB"/>
        </w:rPr>
        <w:t xml:space="preserve">, 4 December, </w:t>
      </w:r>
      <w:r w:rsidRPr="00BE553E">
        <w:rPr>
          <w:rFonts w:eastAsia="Arial"/>
          <w:lang w:val="en-GB"/>
        </w:rPr>
        <w:t>https://www.theguardian.com/world/2015/dec/04/sadness-relief-paris-attacks-bar-bonne-biere-reopens</w:t>
      </w:r>
      <w:r w:rsidR="0013725E">
        <w:rPr>
          <w:rFonts w:eastAsiaTheme="majorEastAsia"/>
          <w:lang w:val="en-GB"/>
        </w:rPr>
        <w:t>, accessed 20 May 2016.</w:t>
      </w:r>
    </w:p>
    <w:p w14:paraId="061B7A90" w14:textId="5E1F6B23" w:rsidR="00814F40" w:rsidRPr="00BE553E" w:rsidRDefault="00814F40" w:rsidP="00E52F0F">
      <w:pPr>
        <w:spacing w:line="360" w:lineRule="auto"/>
        <w:ind w:left="709" w:hanging="709"/>
        <w:jc w:val="both"/>
        <w:rPr>
          <w:lang w:val="en-GB"/>
        </w:rPr>
      </w:pPr>
      <w:r w:rsidRPr="00BE553E">
        <w:rPr>
          <w:lang w:val="en-GB"/>
        </w:rPr>
        <w:t>C</w:t>
      </w:r>
      <w:r>
        <w:rPr>
          <w:lang w:val="en-GB"/>
        </w:rPr>
        <w:t>hrisafis, A. and agencies (2016</w:t>
      </w:r>
      <w:r w:rsidRPr="00BE553E">
        <w:rPr>
          <w:lang w:val="en-GB"/>
        </w:rPr>
        <w:t xml:space="preserve">) Thousands gather in Paris as Hollande leads tributes to terror attack victims. </w:t>
      </w:r>
      <w:r w:rsidRPr="00021575">
        <w:rPr>
          <w:i/>
          <w:lang w:val="en-GB"/>
        </w:rPr>
        <w:t>The Guardian</w:t>
      </w:r>
      <w:r>
        <w:rPr>
          <w:lang w:val="en-GB"/>
        </w:rPr>
        <w:t xml:space="preserve">, 10 January, </w:t>
      </w:r>
      <w:r w:rsidRPr="00BE553E">
        <w:rPr>
          <w:rFonts w:eastAsia="Arial"/>
          <w:lang w:val="en-GB"/>
        </w:rPr>
        <w:t>https://www.theguardian.com/world/2016/jan/10/thousands-gather-paris-president-hollande-leads-terror-attacks-tribute</w:t>
      </w:r>
      <w:r w:rsidR="0013725E">
        <w:rPr>
          <w:rFonts w:eastAsiaTheme="majorEastAsia"/>
          <w:lang w:val="en-GB"/>
        </w:rPr>
        <w:t>, accessed 20 May 2016.</w:t>
      </w:r>
    </w:p>
    <w:p w14:paraId="67399F55" w14:textId="337BC849" w:rsidR="00814F40" w:rsidRPr="00BE553E" w:rsidRDefault="00814F40" w:rsidP="00E52F0F">
      <w:pPr>
        <w:spacing w:line="360" w:lineRule="auto"/>
        <w:ind w:left="709" w:hanging="709"/>
        <w:jc w:val="both"/>
        <w:rPr>
          <w:lang w:val="en-GB"/>
        </w:rPr>
      </w:pPr>
      <w:r w:rsidRPr="00BE553E">
        <w:rPr>
          <w:rFonts w:eastAsia="Calibri" w:cs="Calibri"/>
          <w:lang w:val="en-GB"/>
        </w:rPr>
        <w:t>Chrisafis, A., Reed, J., Jalabi, R., and</w:t>
      </w:r>
      <w:r>
        <w:rPr>
          <w:rFonts w:eastAsia="Calibri" w:cs="Calibri"/>
          <w:lang w:val="en-GB"/>
        </w:rPr>
        <w:t xml:space="preserve"> Woolf, N. (2015</w:t>
      </w:r>
      <w:r w:rsidRPr="00BE553E">
        <w:rPr>
          <w:rFonts w:eastAsia="Calibri" w:cs="Calibri"/>
          <w:lang w:val="en-GB"/>
        </w:rPr>
        <w:t xml:space="preserve">) Witness accounts from across Paris: ‘I saw my final hour unfurl before me’. </w:t>
      </w:r>
      <w:r w:rsidRPr="00021575">
        <w:rPr>
          <w:rFonts w:eastAsia="Calibri" w:cs="Calibri"/>
          <w:i/>
          <w:lang w:val="en-GB"/>
        </w:rPr>
        <w:t>The Guardian</w:t>
      </w:r>
      <w:r>
        <w:rPr>
          <w:rFonts w:eastAsia="Calibri" w:cs="Calibri"/>
          <w:lang w:val="en-GB"/>
        </w:rPr>
        <w:t xml:space="preserve">, 14 </w:t>
      </w:r>
      <w:r w:rsidRPr="00BE553E">
        <w:rPr>
          <w:rFonts w:eastAsia="Calibri" w:cs="Calibri"/>
          <w:lang w:val="en-GB"/>
        </w:rPr>
        <w:t>November</w:t>
      </w:r>
      <w:r>
        <w:rPr>
          <w:rFonts w:eastAsia="Calibri" w:cs="Calibri"/>
          <w:lang w:val="en-GB"/>
        </w:rPr>
        <w:t xml:space="preserve">, </w:t>
      </w:r>
      <w:r w:rsidRPr="00BE553E">
        <w:rPr>
          <w:rFonts w:eastAsia="Calibri" w:cs="Calibri"/>
          <w:lang w:val="en-GB"/>
        </w:rPr>
        <w:t>https://www.theguardian.com/world/2015/nov/13/ey</w:t>
      </w:r>
      <w:r w:rsidR="0013725E">
        <w:rPr>
          <w:rFonts w:eastAsia="Calibri" w:cs="Calibri"/>
          <w:lang w:val="en-GB"/>
        </w:rPr>
        <w:t>ewitness-accounts-paris-attacks</w:t>
      </w:r>
      <w:r w:rsidR="0013725E">
        <w:rPr>
          <w:rFonts w:eastAsiaTheme="majorEastAsia"/>
          <w:lang w:val="en-GB"/>
        </w:rPr>
        <w:t>, accessed 20 May 2016.</w:t>
      </w:r>
    </w:p>
    <w:p w14:paraId="28A2627C" w14:textId="7D8553C7" w:rsidR="00814F40" w:rsidRPr="00BE553E" w:rsidRDefault="00814F40" w:rsidP="00E52F0F">
      <w:pPr>
        <w:spacing w:line="360" w:lineRule="auto"/>
        <w:ind w:left="709" w:hanging="709"/>
        <w:jc w:val="both"/>
        <w:rPr>
          <w:lang w:val="en-GB"/>
        </w:rPr>
      </w:pPr>
      <w:r>
        <w:rPr>
          <w:lang w:val="en-GB"/>
        </w:rPr>
        <w:lastRenderedPageBreak/>
        <w:t>Davidson, H. (2015</w:t>
      </w:r>
      <w:r w:rsidRPr="00BE553E">
        <w:rPr>
          <w:lang w:val="en-GB"/>
        </w:rPr>
        <w:t>) How news organisation around the world have responded to Paris attacks</w:t>
      </w:r>
      <w:r w:rsidRPr="00021575">
        <w:rPr>
          <w:i/>
          <w:lang w:val="en-GB"/>
        </w:rPr>
        <w:t>. The Guardian</w:t>
      </w:r>
      <w:r>
        <w:rPr>
          <w:lang w:val="en-GB"/>
        </w:rPr>
        <w:t xml:space="preserve">, 16 November, </w:t>
      </w:r>
      <w:r w:rsidRPr="00BE553E">
        <w:rPr>
          <w:rFonts w:eastAsia="Arial"/>
          <w:lang w:val="en-GB"/>
        </w:rPr>
        <w:t>https://www.theguardian.com/world/2015/nov/17/how-news-organisations-around-the-world-have-responded-to-paris-attacks</w:t>
      </w:r>
      <w:r w:rsidR="0013725E">
        <w:rPr>
          <w:rFonts w:eastAsiaTheme="majorEastAsia"/>
          <w:lang w:val="en-GB"/>
        </w:rPr>
        <w:t>, accessed 20 May 2016.</w:t>
      </w:r>
    </w:p>
    <w:p w14:paraId="78A90A62" w14:textId="3C793E33" w:rsidR="00814F40" w:rsidRPr="00BE553E" w:rsidRDefault="00814F40" w:rsidP="00E52F0F">
      <w:pPr>
        <w:spacing w:line="360" w:lineRule="auto"/>
        <w:ind w:left="709" w:hanging="709"/>
        <w:jc w:val="both"/>
        <w:rPr>
          <w:lang w:val="en-GB"/>
        </w:rPr>
      </w:pPr>
      <w:r>
        <w:rPr>
          <w:lang w:val="en-GB"/>
        </w:rPr>
        <w:t>Davidson, H. and agencies (2015</w:t>
      </w:r>
      <w:r w:rsidRPr="00BE553E">
        <w:rPr>
          <w:lang w:val="en-GB"/>
        </w:rPr>
        <w:t xml:space="preserve">) Identities of Paris terror attack victims from more than a dozen countries emerge. </w:t>
      </w:r>
      <w:r w:rsidRPr="00021575">
        <w:rPr>
          <w:i/>
          <w:iCs/>
          <w:lang w:val="en-GB"/>
        </w:rPr>
        <w:t>The Guardian</w:t>
      </w:r>
      <w:r>
        <w:rPr>
          <w:lang w:val="en-GB"/>
        </w:rPr>
        <w:t xml:space="preserve">, 16 </w:t>
      </w:r>
      <w:r w:rsidRPr="00BE553E">
        <w:rPr>
          <w:lang w:val="en-GB"/>
        </w:rPr>
        <w:t>November</w:t>
      </w:r>
      <w:r>
        <w:rPr>
          <w:lang w:val="en-GB"/>
        </w:rPr>
        <w:t xml:space="preserve">, </w:t>
      </w:r>
      <w:r w:rsidRPr="00BE553E">
        <w:rPr>
          <w:lang w:val="en-GB"/>
        </w:rPr>
        <w:t>https://www.theguardian.com/world/2015/nov/15/paris-attacks-identities-of-victims-from-more-than-a-dozen-countries-emerge</w:t>
      </w:r>
      <w:r w:rsidR="0013725E">
        <w:rPr>
          <w:rFonts w:eastAsiaTheme="majorEastAsia"/>
          <w:lang w:val="en-GB"/>
        </w:rPr>
        <w:t>, accessed 20 May 2016.</w:t>
      </w:r>
    </w:p>
    <w:p w14:paraId="08003B8E" w14:textId="613F655C" w:rsidR="00814F40" w:rsidRPr="00BE553E" w:rsidRDefault="00814F40" w:rsidP="00E52F0F">
      <w:pPr>
        <w:spacing w:line="360" w:lineRule="auto"/>
        <w:ind w:left="709" w:hanging="709"/>
        <w:jc w:val="both"/>
        <w:rPr>
          <w:lang w:val="en-GB"/>
        </w:rPr>
      </w:pPr>
      <w:r>
        <w:rPr>
          <w:lang w:val="en-GB"/>
        </w:rPr>
        <w:t>Dodd, V. (2015</w:t>
      </w:r>
      <w:r w:rsidRPr="00BE553E">
        <w:rPr>
          <w:lang w:val="en-GB"/>
        </w:rPr>
        <w:t>) Anti-terrorism policies will need to be revisited after Paris a</w:t>
      </w:r>
      <w:r>
        <w:rPr>
          <w:lang w:val="en-GB"/>
        </w:rPr>
        <w:t xml:space="preserve">ttacks. </w:t>
      </w:r>
      <w:r w:rsidRPr="00021575">
        <w:rPr>
          <w:i/>
          <w:lang w:val="en-GB"/>
        </w:rPr>
        <w:t>The Guardian</w:t>
      </w:r>
      <w:r>
        <w:rPr>
          <w:lang w:val="en-GB"/>
        </w:rPr>
        <w:t xml:space="preserve">, 14 November, </w:t>
      </w:r>
      <w:r w:rsidRPr="00BE553E">
        <w:rPr>
          <w:lang w:val="en-GB"/>
        </w:rPr>
        <w:t>https://www.theguardian.com/uk-news/2015/nov/14/anti-terrorism-policies-will-need-to-b</w:t>
      </w:r>
      <w:r w:rsidR="0013725E">
        <w:rPr>
          <w:lang w:val="en-GB"/>
        </w:rPr>
        <w:t>e-revisited-after-paris-attacks</w:t>
      </w:r>
      <w:r w:rsidR="0013725E">
        <w:rPr>
          <w:rFonts w:eastAsiaTheme="majorEastAsia"/>
          <w:lang w:val="en-GB"/>
        </w:rPr>
        <w:t>, accessed 20 May 2016.</w:t>
      </w:r>
    </w:p>
    <w:p w14:paraId="0BF96412" w14:textId="0FE6B6E2" w:rsidR="00814F40" w:rsidRPr="00BE553E" w:rsidRDefault="00814F40" w:rsidP="00E52F0F">
      <w:pPr>
        <w:spacing w:line="360" w:lineRule="auto"/>
        <w:ind w:left="709" w:hanging="709"/>
        <w:jc w:val="both"/>
        <w:rPr>
          <w:rFonts w:eastAsia="Calibri" w:cs="Calibri"/>
          <w:lang w:val="en-GB"/>
        </w:rPr>
      </w:pPr>
      <w:r>
        <w:rPr>
          <w:rFonts w:eastAsia="Calibri" w:cs="Calibri"/>
          <w:lang w:val="en-GB"/>
        </w:rPr>
        <w:t>Fishwick, C. (2015)</w:t>
      </w:r>
      <w:r w:rsidRPr="00BE553E">
        <w:rPr>
          <w:rFonts w:eastAsia="Calibri" w:cs="Calibri"/>
          <w:lang w:val="en-GB"/>
        </w:rPr>
        <w:t xml:space="preserve"> ‘The media have failed us’: British Muslims on the coverage of the Paris attacks</w:t>
      </w:r>
      <w:r w:rsidRPr="00021575">
        <w:rPr>
          <w:rFonts w:eastAsia="Calibri" w:cs="Calibri"/>
          <w:i/>
          <w:lang w:val="en-GB"/>
        </w:rPr>
        <w:t>. The Guardian</w:t>
      </w:r>
      <w:r>
        <w:rPr>
          <w:rFonts w:eastAsia="Calibri" w:cs="Calibri"/>
          <w:lang w:val="en-GB"/>
        </w:rPr>
        <w:t xml:space="preserve">, 20 </w:t>
      </w:r>
      <w:r w:rsidRPr="00BE553E">
        <w:rPr>
          <w:rFonts w:eastAsia="Calibri" w:cs="Calibri"/>
          <w:lang w:val="en-GB"/>
        </w:rPr>
        <w:t>November</w:t>
      </w:r>
      <w:r>
        <w:rPr>
          <w:rFonts w:eastAsia="Calibri" w:cs="Calibri"/>
          <w:lang w:val="en-GB"/>
        </w:rPr>
        <w:t xml:space="preserve">, </w:t>
      </w:r>
      <w:r w:rsidRPr="00BE553E">
        <w:rPr>
          <w:rFonts w:eastAsia="Calibri" w:cs="Calibri"/>
          <w:lang w:val="en-GB"/>
        </w:rPr>
        <w:t>https://www.theguardian.com/world/2015/nov/20/british-muslims-med</w:t>
      </w:r>
      <w:r>
        <w:rPr>
          <w:rFonts w:eastAsia="Calibri" w:cs="Calibri"/>
          <w:lang w:val="en-GB"/>
        </w:rPr>
        <w:t>i</w:t>
      </w:r>
      <w:r w:rsidR="0013725E">
        <w:rPr>
          <w:rFonts w:eastAsia="Calibri" w:cs="Calibri"/>
          <w:lang w:val="en-GB"/>
        </w:rPr>
        <w:t>a-coverage-paris-terror-attacks</w:t>
      </w:r>
      <w:r w:rsidR="0013725E">
        <w:rPr>
          <w:rFonts w:eastAsiaTheme="majorEastAsia"/>
          <w:lang w:val="en-GB"/>
        </w:rPr>
        <w:t>, accessed 20 May 2016.</w:t>
      </w:r>
    </w:p>
    <w:p w14:paraId="7980C3D4" w14:textId="0218EFC8" w:rsidR="00814F40" w:rsidRPr="00BE553E" w:rsidRDefault="00814F40" w:rsidP="00E52F0F">
      <w:pPr>
        <w:spacing w:line="360" w:lineRule="auto"/>
        <w:ind w:left="709" w:hanging="709"/>
        <w:jc w:val="both"/>
        <w:rPr>
          <w:lang w:val="en-GB"/>
        </w:rPr>
      </w:pPr>
      <w:r w:rsidRPr="00BE553E">
        <w:rPr>
          <w:lang w:val="en-GB"/>
        </w:rPr>
        <w:t>Gayle, D</w:t>
      </w:r>
      <w:r>
        <w:rPr>
          <w:lang w:val="en-GB"/>
        </w:rPr>
        <w:t>. et al (2015</w:t>
      </w:r>
      <w:r w:rsidRPr="00BE553E">
        <w:rPr>
          <w:lang w:val="en-GB"/>
        </w:rPr>
        <w:t>) Architect, student, engineer and critic among identified Pari</w:t>
      </w:r>
      <w:r>
        <w:rPr>
          <w:lang w:val="en-GB"/>
        </w:rPr>
        <w:t xml:space="preserve">s attack victims. </w:t>
      </w:r>
      <w:r w:rsidRPr="00021575">
        <w:rPr>
          <w:i/>
          <w:lang w:val="en-GB"/>
        </w:rPr>
        <w:t>The Guardian</w:t>
      </w:r>
      <w:r>
        <w:rPr>
          <w:lang w:val="en-GB"/>
        </w:rPr>
        <w:t xml:space="preserve">, 16 November, </w:t>
      </w:r>
      <w:r w:rsidRPr="00BE553E">
        <w:rPr>
          <w:rFonts w:eastAsia="Arial"/>
          <w:lang w:val="en-GB"/>
        </w:rPr>
        <w:t>https://www.theguardian.com/world/2015/nov/15/architect-student-engineer-critic-among-identified-paris-attack-victims</w:t>
      </w:r>
      <w:r w:rsidR="0013725E">
        <w:rPr>
          <w:rFonts w:eastAsiaTheme="majorEastAsia"/>
          <w:lang w:val="en-GB"/>
        </w:rPr>
        <w:t>, accessed 20 May 2016.</w:t>
      </w:r>
    </w:p>
    <w:p w14:paraId="5BE58C2F" w14:textId="2F463FD6" w:rsidR="00814F40" w:rsidRPr="00BE553E" w:rsidRDefault="00814F40" w:rsidP="00E52F0F">
      <w:pPr>
        <w:spacing w:line="360" w:lineRule="auto"/>
        <w:ind w:left="709" w:hanging="709"/>
        <w:jc w:val="both"/>
        <w:rPr>
          <w:lang w:val="en-GB"/>
        </w:rPr>
      </w:pPr>
      <w:r w:rsidRPr="00BE553E">
        <w:rPr>
          <w:lang w:val="en-GB"/>
        </w:rPr>
        <w:t>Gi</w:t>
      </w:r>
      <w:r>
        <w:rPr>
          <w:lang w:val="en-GB"/>
        </w:rPr>
        <w:t>bsone, H. and Gajanan, M. (2015</w:t>
      </w:r>
      <w:r w:rsidRPr="00BE553E">
        <w:rPr>
          <w:lang w:val="en-GB"/>
        </w:rPr>
        <w:t>) Eagles of Death Metal issue statement following Pari</w:t>
      </w:r>
      <w:r>
        <w:rPr>
          <w:lang w:val="en-GB"/>
        </w:rPr>
        <w:t xml:space="preserve">s terror attacks. </w:t>
      </w:r>
      <w:r w:rsidRPr="00021575">
        <w:rPr>
          <w:i/>
          <w:lang w:val="en-GB"/>
        </w:rPr>
        <w:t>The Guardian</w:t>
      </w:r>
      <w:r>
        <w:rPr>
          <w:lang w:val="en-GB"/>
        </w:rPr>
        <w:t xml:space="preserve">, 18 November, </w:t>
      </w:r>
      <w:r w:rsidRPr="00BE553E">
        <w:rPr>
          <w:rFonts w:eastAsia="Arial"/>
          <w:lang w:val="en-GB"/>
        </w:rPr>
        <w:t>https://www.theguardian.com/music/2015/nov/18/eagles-of-death-metal-issue-statement-following-paris-terror-attacks</w:t>
      </w:r>
      <w:r w:rsidR="0013725E">
        <w:rPr>
          <w:rFonts w:eastAsiaTheme="majorEastAsia"/>
          <w:lang w:val="en-GB"/>
        </w:rPr>
        <w:t>, accessed 20 May 2016.</w:t>
      </w:r>
    </w:p>
    <w:p w14:paraId="103FBDC5" w14:textId="53CC9387" w:rsidR="00814F40" w:rsidRPr="00BE553E" w:rsidRDefault="00814F40" w:rsidP="00E52F0F">
      <w:pPr>
        <w:spacing w:line="360" w:lineRule="auto"/>
        <w:ind w:left="709" w:hanging="709"/>
        <w:jc w:val="both"/>
        <w:rPr>
          <w:lang w:val="en-GB"/>
        </w:rPr>
      </w:pPr>
      <w:r>
        <w:rPr>
          <w:lang w:val="en-GB"/>
        </w:rPr>
        <w:t>Glenza, J. (2015</w:t>
      </w:r>
      <w:r w:rsidRPr="00BE553E">
        <w:rPr>
          <w:lang w:val="en-GB"/>
        </w:rPr>
        <w:t>) American killed in Paris attacks identified as student</w:t>
      </w:r>
      <w:r>
        <w:rPr>
          <w:lang w:val="en-GB"/>
        </w:rPr>
        <w:t xml:space="preserve"> Nohemi Gonzalez. </w:t>
      </w:r>
      <w:r w:rsidRPr="00021575">
        <w:rPr>
          <w:i/>
          <w:lang w:val="en-GB"/>
        </w:rPr>
        <w:t>The Guardian</w:t>
      </w:r>
      <w:r>
        <w:rPr>
          <w:lang w:val="en-GB"/>
        </w:rPr>
        <w:t xml:space="preserve">, 14 November, </w:t>
      </w:r>
      <w:r w:rsidRPr="00BE553E">
        <w:rPr>
          <w:lang w:val="en-GB"/>
        </w:rPr>
        <w:t>https://www.theguardian.com/world/2015/nov/14/american-killed-paris-att</w:t>
      </w:r>
      <w:r w:rsidR="0013725E">
        <w:rPr>
          <w:lang w:val="en-GB"/>
        </w:rPr>
        <w:t>acks-identified-nohemi-gonzalez</w:t>
      </w:r>
      <w:r w:rsidR="0013725E">
        <w:rPr>
          <w:rFonts w:eastAsiaTheme="majorEastAsia"/>
          <w:lang w:val="en-GB"/>
        </w:rPr>
        <w:t>, accessed 20 May 2016.</w:t>
      </w:r>
    </w:p>
    <w:p w14:paraId="785FE81C" w14:textId="6FC63BA0" w:rsidR="00814F40" w:rsidRPr="00BE553E" w:rsidRDefault="00814F40" w:rsidP="00E52F0F">
      <w:pPr>
        <w:spacing w:line="360" w:lineRule="auto"/>
        <w:ind w:left="709" w:hanging="709"/>
        <w:jc w:val="both"/>
        <w:rPr>
          <w:rFonts w:eastAsia="Calibri" w:cs="Calibri"/>
          <w:lang w:val="en-GB"/>
        </w:rPr>
      </w:pPr>
      <w:r w:rsidRPr="00BE553E">
        <w:rPr>
          <w:rFonts w:eastAsia="Calibri" w:cs="Calibri"/>
          <w:lang w:val="en-GB"/>
        </w:rPr>
        <w:t>Global Profiling Study (2015</w:t>
      </w:r>
      <w:r>
        <w:rPr>
          <w:rFonts w:eastAsia="Calibri" w:cs="Calibri"/>
          <w:lang w:val="en-GB"/>
        </w:rPr>
        <w:t xml:space="preserve">) </w:t>
      </w:r>
      <w:r w:rsidRPr="00021575">
        <w:rPr>
          <w:rFonts w:eastAsia="Calibri" w:cs="Calibri"/>
          <w:i/>
          <w:lang w:val="en-GB"/>
        </w:rPr>
        <w:t>The Guardian Advertising</w:t>
      </w:r>
      <w:r>
        <w:rPr>
          <w:rFonts w:eastAsia="Calibri" w:cs="Calibri"/>
          <w:lang w:val="en-GB"/>
        </w:rPr>
        <w:t xml:space="preserve">, </w:t>
      </w:r>
      <w:r w:rsidRPr="00BE553E">
        <w:rPr>
          <w:rFonts w:eastAsia="Calibri" w:cs="Calibri"/>
          <w:lang w:val="en-GB"/>
        </w:rPr>
        <w:t>http://advertising.theguardian.com/</w:t>
      </w:r>
      <w:r>
        <w:rPr>
          <w:rFonts w:eastAsia="Calibri" w:cs="Calibri"/>
          <w:lang w:val="en-GB"/>
        </w:rPr>
        <w:t>insights/global-profili</w:t>
      </w:r>
      <w:r w:rsidR="0013725E">
        <w:rPr>
          <w:rFonts w:eastAsia="Calibri" w:cs="Calibri"/>
          <w:lang w:val="en-GB"/>
        </w:rPr>
        <w:t>ng-study</w:t>
      </w:r>
      <w:r w:rsidR="0013725E">
        <w:rPr>
          <w:rFonts w:eastAsiaTheme="majorEastAsia"/>
          <w:lang w:val="en-GB"/>
        </w:rPr>
        <w:t>, accessed 20 May 2016.</w:t>
      </w:r>
    </w:p>
    <w:p w14:paraId="12586732" w14:textId="20FCC058" w:rsidR="00814F40" w:rsidRPr="00BE553E" w:rsidRDefault="00814F40" w:rsidP="00E52F0F">
      <w:pPr>
        <w:spacing w:line="360" w:lineRule="auto"/>
        <w:ind w:left="709" w:hanging="709"/>
        <w:jc w:val="both"/>
        <w:rPr>
          <w:lang w:val="en-GB"/>
        </w:rPr>
      </w:pPr>
      <w:r>
        <w:rPr>
          <w:lang w:val="en-GB"/>
        </w:rPr>
        <w:t>GMT (2015</w:t>
      </w:r>
      <w:r w:rsidRPr="00BE553E">
        <w:rPr>
          <w:lang w:val="en-GB"/>
        </w:rPr>
        <w:t>) Paris attack witness: ‘he was dressed in black, professional, shoot</w:t>
      </w:r>
      <w:r>
        <w:rPr>
          <w:lang w:val="en-GB"/>
        </w:rPr>
        <w:t xml:space="preserve">ing and killing’. </w:t>
      </w:r>
      <w:r w:rsidRPr="00021575">
        <w:rPr>
          <w:i/>
          <w:lang w:val="en-GB"/>
        </w:rPr>
        <w:t>The Guardian</w:t>
      </w:r>
      <w:r>
        <w:rPr>
          <w:lang w:val="en-GB"/>
        </w:rPr>
        <w:t xml:space="preserve">, 14 November, </w:t>
      </w:r>
      <w:r w:rsidRPr="00BE553E">
        <w:rPr>
          <w:lang w:val="en-GB"/>
        </w:rPr>
        <w:t>https://www.theguardian.com/world/2015/nov/14/paris-attack-witness-he-was-dressed-in-black-pr</w:t>
      </w:r>
      <w:r>
        <w:rPr>
          <w:lang w:val="en-GB"/>
        </w:rPr>
        <w:t>ofessional-shooting-and-killin</w:t>
      </w:r>
      <w:r w:rsidR="0013725E">
        <w:rPr>
          <w:lang w:val="en-GB"/>
        </w:rPr>
        <w:t>g</w:t>
      </w:r>
      <w:r w:rsidR="0013725E">
        <w:rPr>
          <w:rFonts w:eastAsiaTheme="majorEastAsia"/>
          <w:lang w:val="en-GB"/>
        </w:rPr>
        <w:t>, accessed 20 May 2016.</w:t>
      </w:r>
    </w:p>
    <w:p w14:paraId="647BA7BA" w14:textId="3FA124EC" w:rsidR="00814F40" w:rsidRPr="00BE553E" w:rsidRDefault="00814F40" w:rsidP="00E52F0F">
      <w:pPr>
        <w:spacing w:line="360" w:lineRule="auto"/>
        <w:ind w:left="709" w:hanging="709"/>
        <w:jc w:val="both"/>
        <w:rPr>
          <w:lang w:val="en-GB"/>
        </w:rPr>
      </w:pPr>
      <w:r>
        <w:rPr>
          <w:lang w:val="en-GB"/>
        </w:rPr>
        <w:t>Graham-Harrison, E. (2015</w:t>
      </w:r>
      <w:r w:rsidRPr="00BE553E">
        <w:rPr>
          <w:lang w:val="en-GB"/>
        </w:rPr>
        <w:t>) British victim of Bataclan attack in Paris named a</w:t>
      </w:r>
      <w:r>
        <w:rPr>
          <w:lang w:val="en-GB"/>
        </w:rPr>
        <w:t xml:space="preserve">s Nick Alexander. </w:t>
      </w:r>
      <w:r w:rsidRPr="00021575">
        <w:rPr>
          <w:i/>
          <w:lang w:val="en-GB"/>
        </w:rPr>
        <w:t>The Guardian</w:t>
      </w:r>
      <w:r>
        <w:rPr>
          <w:lang w:val="en-GB"/>
        </w:rPr>
        <w:t xml:space="preserve">, 14 November, </w:t>
      </w:r>
      <w:r w:rsidRPr="00BE553E">
        <w:rPr>
          <w:lang w:val="en-GB"/>
        </w:rPr>
        <w:t>https://www.theguardian.com/world/2015/nov/14/british-victim-paris-attacks-nick-alexander</w:t>
      </w:r>
      <w:r w:rsidR="0013725E">
        <w:rPr>
          <w:rFonts w:eastAsiaTheme="majorEastAsia"/>
          <w:lang w:val="en-GB"/>
        </w:rPr>
        <w:t>, accessed 20 May 2016.</w:t>
      </w:r>
    </w:p>
    <w:p w14:paraId="76DE7E1B" w14:textId="77777777" w:rsidR="00814F40" w:rsidRPr="00BE553E" w:rsidRDefault="00814F40" w:rsidP="00E52F0F">
      <w:pPr>
        <w:spacing w:line="360" w:lineRule="auto"/>
        <w:ind w:left="709" w:hanging="709"/>
        <w:jc w:val="both"/>
        <w:rPr>
          <w:rFonts w:eastAsia="Calibri" w:cs="Calibri"/>
          <w:lang w:val="en-GB"/>
        </w:rPr>
      </w:pPr>
      <w:r>
        <w:rPr>
          <w:rFonts w:eastAsia="Calibri" w:cs="Calibri"/>
          <w:lang w:val="en-GB"/>
        </w:rPr>
        <w:t xml:space="preserve">Guardian key stats (2016) </w:t>
      </w:r>
      <w:r w:rsidRPr="00021575">
        <w:rPr>
          <w:rFonts w:eastAsia="Calibri" w:cs="Calibri"/>
          <w:i/>
          <w:lang w:val="en-GB"/>
        </w:rPr>
        <w:t>The Guardian</w:t>
      </w:r>
      <w:r>
        <w:rPr>
          <w:rFonts w:eastAsia="Calibri" w:cs="Calibri"/>
          <w:lang w:val="en-GB"/>
        </w:rPr>
        <w:t xml:space="preserve">, June, </w:t>
      </w:r>
      <w:r w:rsidRPr="00BE553E">
        <w:rPr>
          <w:rFonts w:eastAsia="Calibri" w:cs="Calibri"/>
          <w:lang w:val="en-GB"/>
        </w:rPr>
        <w:t>http://advertising.theguardian.com/assets//files/audience/g</w:t>
      </w:r>
      <w:r>
        <w:rPr>
          <w:rFonts w:eastAsia="Calibri" w:cs="Calibri"/>
          <w:lang w:val="en-GB"/>
        </w:rPr>
        <w:t>uardian-cheatsheet-jun-2016.pdf.</w:t>
      </w:r>
    </w:p>
    <w:p w14:paraId="5098D575" w14:textId="46313CE7" w:rsidR="00814F40" w:rsidRPr="00BE553E" w:rsidRDefault="00814F40" w:rsidP="00E52F0F">
      <w:pPr>
        <w:spacing w:line="360" w:lineRule="auto"/>
        <w:ind w:left="709" w:hanging="709"/>
        <w:jc w:val="both"/>
        <w:rPr>
          <w:lang w:val="en-GB"/>
        </w:rPr>
      </w:pPr>
      <w:r w:rsidRPr="00BE553E">
        <w:rPr>
          <w:rFonts w:eastAsia="Calibri" w:cs="Calibri"/>
          <w:lang w:val="en-GB"/>
        </w:rPr>
        <w:lastRenderedPageBreak/>
        <w:t>Guardian readership p</w:t>
      </w:r>
      <w:r>
        <w:rPr>
          <w:rFonts w:eastAsia="Calibri" w:cs="Calibri"/>
          <w:lang w:val="en-GB"/>
        </w:rPr>
        <w:t xml:space="preserve">rofile (2010) </w:t>
      </w:r>
      <w:r w:rsidRPr="00021575">
        <w:rPr>
          <w:rFonts w:eastAsia="Calibri" w:cs="Calibri"/>
          <w:i/>
          <w:lang w:val="en-GB"/>
        </w:rPr>
        <w:t>The Guardian</w:t>
      </w:r>
      <w:r>
        <w:rPr>
          <w:rFonts w:eastAsia="Calibri" w:cs="Calibri"/>
          <w:lang w:val="en-GB"/>
        </w:rPr>
        <w:t xml:space="preserve">, 30 April, </w:t>
      </w:r>
      <w:r w:rsidRPr="00BE553E">
        <w:rPr>
          <w:rFonts w:eastAsia="Calibri" w:cs="Calibri"/>
          <w:lang w:val="en-GB"/>
        </w:rPr>
        <w:t>http://www.theguardian.com/advertising/advertis</w:t>
      </w:r>
      <w:r w:rsidR="0013725E">
        <w:rPr>
          <w:rFonts w:eastAsia="Calibri" w:cs="Calibri"/>
          <w:lang w:val="en-GB"/>
        </w:rPr>
        <w:t>ing-guardian-readership-profile</w:t>
      </w:r>
      <w:r w:rsidR="0013725E">
        <w:rPr>
          <w:rFonts w:eastAsiaTheme="majorEastAsia"/>
          <w:lang w:val="en-GB"/>
        </w:rPr>
        <w:t>, accessed 20 May 2016.</w:t>
      </w:r>
    </w:p>
    <w:p w14:paraId="1241C8E4" w14:textId="41063B26" w:rsidR="00814F40" w:rsidRPr="00BE553E" w:rsidRDefault="00814F40" w:rsidP="00E52F0F">
      <w:pPr>
        <w:spacing w:line="360" w:lineRule="auto"/>
        <w:ind w:left="709" w:hanging="709"/>
        <w:jc w:val="both"/>
        <w:rPr>
          <w:lang w:val="en-GB"/>
        </w:rPr>
      </w:pPr>
      <w:r w:rsidRPr="00BE553E">
        <w:rPr>
          <w:lang w:val="en-GB"/>
        </w:rPr>
        <w:t>Guardian</w:t>
      </w:r>
      <w:r>
        <w:rPr>
          <w:lang w:val="en-GB"/>
        </w:rPr>
        <w:t xml:space="preserve"> readers and Fishwick, C. (201</w:t>
      </w:r>
      <w:r w:rsidRPr="00BE553E">
        <w:rPr>
          <w:lang w:val="en-GB"/>
        </w:rPr>
        <w:t xml:space="preserve">) How have the Paris attacks affected the </w:t>
      </w:r>
      <w:r>
        <w:rPr>
          <w:lang w:val="en-GB"/>
        </w:rPr>
        <w:t xml:space="preserve">Muslim community? </w:t>
      </w:r>
      <w:r w:rsidRPr="00021575">
        <w:rPr>
          <w:i/>
          <w:lang w:val="en-GB"/>
        </w:rPr>
        <w:t>The Guardian</w:t>
      </w:r>
      <w:r>
        <w:rPr>
          <w:lang w:val="en-GB"/>
        </w:rPr>
        <w:t xml:space="preserve">, 18 November, </w:t>
      </w:r>
      <w:r w:rsidRPr="00BE553E">
        <w:rPr>
          <w:rFonts w:eastAsia="Arial"/>
          <w:lang w:val="en-GB"/>
        </w:rPr>
        <w:t>https://www.theguardian.com/world/2015/nov/18/how-have-the-paris-attacks-affected-the-muslim-community</w:t>
      </w:r>
      <w:r w:rsidR="0013725E">
        <w:rPr>
          <w:rFonts w:eastAsiaTheme="majorEastAsia"/>
          <w:lang w:val="en-GB"/>
        </w:rPr>
        <w:t>, accessed 20 May 2016.</w:t>
      </w:r>
    </w:p>
    <w:p w14:paraId="00C48F13" w14:textId="6028AE14" w:rsidR="00814F40" w:rsidRPr="00BE553E" w:rsidRDefault="00814F40" w:rsidP="00E52F0F">
      <w:pPr>
        <w:spacing w:line="360" w:lineRule="auto"/>
        <w:ind w:left="709" w:hanging="709"/>
        <w:jc w:val="both"/>
        <w:rPr>
          <w:lang w:val="en-GB"/>
        </w:rPr>
      </w:pPr>
      <w:r w:rsidRPr="00BE553E">
        <w:rPr>
          <w:lang w:val="en-GB"/>
        </w:rPr>
        <w:t>Gua</w:t>
      </w:r>
      <w:r>
        <w:rPr>
          <w:lang w:val="en-GB"/>
        </w:rPr>
        <w:t>rdian sport (215</w:t>
      </w:r>
      <w:r w:rsidRPr="00BE553E">
        <w:rPr>
          <w:lang w:val="en-GB"/>
        </w:rPr>
        <w:t>) PSG to wear ‘Je suis Paris’ shirts in honour of terroris</w:t>
      </w:r>
      <w:r>
        <w:rPr>
          <w:lang w:val="en-GB"/>
        </w:rPr>
        <w:t xml:space="preserve">t attack victims. </w:t>
      </w:r>
      <w:r w:rsidRPr="00021575">
        <w:rPr>
          <w:i/>
          <w:lang w:val="en-GB"/>
        </w:rPr>
        <w:t>The Guardian</w:t>
      </w:r>
      <w:r>
        <w:rPr>
          <w:lang w:val="en-GB"/>
        </w:rPr>
        <w:t xml:space="preserve">, 24 November, </w:t>
      </w:r>
      <w:r w:rsidRPr="00BE553E">
        <w:rPr>
          <w:rFonts w:eastAsia="Arial"/>
          <w:lang w:val="en-GB"/>
        </w:rPr>
        <w:t>https://www.theguardian.com/football/2015/nov/24/psg-je-suis-paris-shirt-tribute</w:t>
      </w:r>
      <w:r w:rsidR="0013725E">
        <w:rPr>
          <w:rFonts w:eastAsiaTheme="majorEastAsia"/>
          <w:lang w:val="en-GB"/>
        </w:rPr>
        <w:t>, accessed 20 May 2016.</w:t>
      </w:r>
    </w:p>
    <w:p w14:paraId="0FB180E1" w14:textId="281B4631" w:rsidR="00814F40" w:rsidRPr="00BE553E" w:rsidRDefault="00814F40" w:rsidP="00E52F0F">
      <w:pPr>
        <w:spacing w:line="360" w:lineRule="auto"/>
        <w:ind w:left="709" w:hanging="709"/>
        <w:jc w:val="both"/>
        <w:rPr>
          <w:rFonts w:eastAsia="Calibri" w:cs="Calibri"/>
          <w:lang w:val="en-GB"/>
        </w:rPr>
      </w:pPr>
      <w:r w:rsidRPr="00BE553E">
        <w:rPr>
          <w:rFonts w:eastAsia="Calibri" w:cs="Calibri"/>
          <w:lang w:val="en-GB"/>
        </w:rPr>
        <w:t>Halliday, J. and Bucks, J. (</w:t>
      </w:r>
      <w:r>
        <w:rPr>
          <w:rFonts w:eastAsia="Calibri" w:cs="Calibri"/>
          <w:lang w:val="en-GB"/>
        </w:rPr>
        <w:t>2015)</w:t>
      </w:r>
      <w:r w:rsidRPr="00BE553E">
        <w:rPr>
          <w:rFonts w:eastAsia="Calibri" w:cs="Calibri"/>
          <w:lang w:val="en-GB"/>
        </w:rPr>
        <w:t xml:space="preserve"> Paris attacks: final victims named include ma</w:t>
      </w:r>
      <w:r>
        <w:rPr>
          <w:rFonts w:eastAsia="Calibri" w:cs="Calibri"/>
          <w:lang w:val="en-GB"/>
        </w:rPr>
        <w:t xml:space="preserve">n killed at home. </w:t>
      </w:r>
      <w:r w:rsidRPr="00021575">
        <w:rPr>
          <w:rFonts w:eastAsia="Calibri" w:cs="Calibri"/>
          <w:i/>
          <w:lang w:val="en-GB"/>
        </w:rPr>
        <w:t>The Guardian</w:t>
      </w:r>
      <w:r>
        <w:rPr>
          <w:rFonts w:eastAsia="Calibri" w:cs="Calibri"/>
          <w:lang w:val="en-GB"/>
        </w:rPr>
        <w:t xml:space="preserve">, 18 November, </w:t>
      </w:r>
      <w:r w:rsidRPr="00BE553E">
        <w:rPr>
          <w:lang w:val="en-GB"/>
        </w:rPr>
        <w:t>https://www.theguardian.com/world/2015/nov/18/paris-attacks-final-victims-named-stephan-hache-killed-home</w:t>
      </w:r>
      <w:r w:rsidR="0013725E">
        <w:rPr>
          <w:rFonts w:eastAsiaTheme="majorEastAsia"/>
          <w:lang w:val="en-GB"/>
        </w:rPr>
        <w:t>, accessed 20 May 2016.</w:t>
      </w:r>
    </w:p>
    <w:p w14:paraId="27A9FB54" w14:textId="72629A66" w:rsidR="00814F40" w:rsidRPr="00BE553E" w:rsidRDefault="00814F40" w:rsidP="00E52F0F">
      <w:pPr>
        <w:spacing w:line="360" w:lineRule="auto"/>
        <w:ind w:left="709" w:hanging="709"/>
        <w:jc w:val="both"/>
        <w:rPr>
          <w:lang w:val="en-GB"/>
        </w:rPr>
      </w:pPr>
      <w:r w:rsidRPr="00BE553E">
        <w:rPr>
          <w:lang w:val="en-GB"/>
        </w:rPr>
        <w:t>Har</w:t>
      </w:r>
      <w:r>
        <w:rPr>
          <w:lang w:val="en-GB"/>
        </w:rPr>
        <w:t>ding, L. and Willsher, K. (2015</w:t>
      </w:r>
      <w:r w:rsidRPr="00BE553E">
        <w:rPr>
          <w:lang w:val="en-GB"/>
        </w:rPr>
        <w:t>) Paris attacks: police raid 150 addresses in h</w:t>
      </w:r>
      <w:r>
        <w:rPr>
          <w:lang w:val="en-GB"/>
        </w:rPr>
        <w:t xml:space="preserve">unt for suspects. </w:t>
      </w:r>
      <w:r w:rsidRPr="00021575">
        <w:rPr>
          <w:i/>
          <w:lang w:val="en-GB"/>
        </w:rPr>
        <w:t>The Guardian</w:t>
      </w:r>
      <w:r>
        <w:rPr>
          <w:lang w:val="en-GB"/>
        </w:rPr>
        <w:t xml:space="preserve">, 16 November, </w:t>
      </w:r>
      <w:r w:rsidRPr="00BE553E">
        <w:rPr>
          <w:lang w:val="en-GB"/>
        </w:rPr>
        <w:t>https://www.theguardian.com/world/2015/nov/16/paris-attacks-state-hits-back-against-terrorists</w:t>
      </w:r>
      <w:r w:rsidR="0013725E">
        <w:rPr>
          <w:rFonts w:eastAsiaTheme="majorEastAsia"/>
          <w:lang w:val="en-GB"/>
        </w:rPr>
        <w:t>, accessed 20 May 2016.</w:t>
      </w:r>
    </w:p>
    <w:p w14:paraId="3F1B7E59" w14:textId="022A815A" w:rsidR="00814F40" w:rsidRPr="00BE553E" w:rsidRDefault="00814F40" w:rsidP="00E52F0F">
      <w:pPr>
        <w:spacing w:line="360" w:lineRule="auto"/>
        <w:ind w:left="709" w:hanging="709"/>
        <w:jc w:val="both"/>
        <w:rPr>
          <w:lang w:val="en-GB"/>
        </w:rPr>
      </w:pPr>
      <w:r w:rsidRPr="00BE553E">
        <w:rPr>
          <w:lang w:val="en-GB"/>
        </w:rPr>
        <w:t>Har</w:t>
      </w:r>
      <w:r>
        <w:rPr>
          <w:lang w:val="en-GB"/>
        </w:rPr>
        <w:t>ding, L. and Willsher, K. (2015</w:t>
      </w:r>
      <w:r w:rsidRPr="00BE553E">
        <w:rPr>
          <w:lang w:val="en-GB"/>
        </w:rPr>
        <w:t>) Paris attacks: capital’s youth vow not to lose the</w:t>
      </w:r>
      <w:r>
        <w:rPr>
          <w:lang w:val="en-GB"/>
        </w:rPr>
        <w:t xml:space="preserve">ir joie de vivre. </w:t>
      </w:r>
      <w:r w:rsidRPr="00021575">
        <w:rPr>
          <w:i/>
          <w:lang w:val="en-GB"/>
        </w:rPr>
        <w:t>The Guardian</w:t>
      </w:r>
      <w:r>
        <w:rPr>
          <w:lang w:val="en-GB"/>
        </w:rPr>
        <w:t xml:space="preserve">, 20 November, </w:t>
      </w:r>
      <w:r w:rsidRPr="00BE553E">
        <w:rPr>
          <w:rFonts w:eastAsia="Arial"/>
          <w:lang w:val="en-GB"/>
        </w:rPr>
        <w:t>https://www.theguardian.com/world/2015/nov/20/paris-attacks-a-week-on-parisians-urged-to-make-noise-and-light-and-reclaim-joie-de-vivre</w:t>
      </w:r>
      <w:r w:rsidR="0013725E">
        <w:rPr>
          <w:rFonts w:eastAsiaTheme="majorEastAsia"/>
          <w:lang w:val="en-GB"/>
        </w:rPr>
        <w:t>, accessed 20 May 2016.</w:t>
      </w:r>
    </w:p>
    <w:p w14:paraId="1CCB00B3" w14:textId="2B62BD4B" w:rsidR="00814F40" w:rsidRPr="00BE553E" w:rsidRDefault="00814F40" w:rsidP="00E52F0F">
      <w:pPr>
        <w:spacing w:line="360" w:lineRule="auto"/>
        <w:ind w:left="709" w:hanging="709"/>
        <w:jc w:val="both"/>
        <w:rPr>
          <w:lang w:val="en-GB"/>
        </w:rPr>
      </w:pPr>
      <w:r w:rsidRPr="00BE553E">
        <w:rPr>
          <w:rFonts w:eastAsia="Calibri" w:cs="Calibri"/>
          <w:lang w:val="en-GB"/>
        </w:rPr>
        <w:t>Henley, J. and</w:t>
      </w:r>
      <w:r>
        <w:rPr>
          <w:rFonts w:eastAsia="Calibri" w:cs="Calibri"/>
          <w:lang w:val="en-GB"/>
        </w:rPr>
        <w:t xml:space="preserve"> Chrisafis, A. (2015)</w:t>
      </w:r>
      <w:r w:rsidRPr="00BE553E">
        <w:rPr>
          <w:rFonts w:eastAsia="Calibri" w:cs="Calibri"/>
          <w:lang w:val="en-GB"/>
        </w:rPr>
        <w:t xml:space="preserve"> Paris terror attacks: Hollande says Isis atrocity </w:t>
      </w:r>
      <w:r>
        <w:rPr>
          <w:rFonts w:eastAsia="Calibri" w:cs="Calibri"/>
          <w:lang w:val="en-GB"/>
        </w:rPr>
        <w:t xml:space="preserve">was ‘act of war’. </w:t>
      </w:r>
      <w:r w:rsidRPr="00021575">
        <w:rPr>
          <w:rFonts w:eastAsia="Calibri" w:cs="Calibri"/>
          <w:i/>
          <w:lang w:val="en-GB"/>
        </w:rPr>
        <w:t>The Guardian,</w:t>
      </w:r>
      <w:r>
        <w:rPr>
          <w:rFonts w:eastAsia="Calibri" w:cs="Calibri"/>
          <w:lang w:val="en-GB"/>
        </w:rPr>
        <w:t xml:space="preserve"> 14 November¸ </w:t>
      </w:r>
      <w:r w:rsidRPr="00BE553E">
        <w:rPr>
          <w:rFonts w:eastAsia="Calibri" w:cs="Calibri"/>
          <w:lang w:val="en-GB"/>
        </w:rPr>
        <w:t>https://www.theguardian.com/world/2015/nov/13/paris-attack</w:t>
      </w:r>
      <w:r w:rsidR="0013725E">
        <w:rPr>
          <w:rFonts w:eastAsia="Calibri" w:cs="Calibri"/>
          <w:lang w:val="en-GB"/>
        </w:rPr>
        <w:t>s-shootings-explosions-hostages</w:t>
      </w:r>
      <w:r w:rsidR="0013725E">
        <w:rPr>
          <w:rFonts w:eastAsiaTheme="majorEastAsia"/>
          <w:lang w:val="en-GB"/>
        </w:rPr>
        <w:t>, accessed 20 May 2016.</w:t>
      </w:r>
    </w:p>
    <w:p w14:paraId="32E6A573" w14:textId="42795FB3" w:rsidR="00814F40" w:rsidRPr="00BE553E" w:rsidRDefault="00814F40" w:rsidP="00E52F0F">
      <w:pPr>
        <w:spacing w:line="360" w:lineRule="auto"/>
        <w:ind w:left="709" w:hanging="709"/>
        <w:jc w:val="both"/>
        <w:rPr>
          <w:lang w:val="en-GB"/>
        </w:rPr>
      </w:pPr>
      <w:r w:rsidRPr="00BE553E">
        <w:rPr>
          <w:lang w:val="en-GB"/>
        </w:rPr>
        <w:t>H</w:t>
      </w:r>
      <w:r>
        <w:rPr>
          <w:lang w:val="en-GB"/>
        </w:rPr>
        <w:t>enley, J. and Doherty, B. (2015</w:t>
      </w:r>
      <w:r w:rsidRPr="00BE553E">
        <w:rPr>
          <w:lang w:val="en-GB"/>
        </w:rPr>
        <w:t>) Paris attacks: forensic experts seek to iden</w:t>
      </w:r>
      <w:r>
        <w:rPr>
          <w:lang w:val="en-GB"/>
        </w:rPr>
        <w:t xml:space="preserve">tify raid bodies. </w:t>
      </w:r>
      <w:r w:rsidRPr="00021575">
        <w:rPr>
          <w:i/>
          <w:lang w:val="en-GB"/>
        </w:rPr>
        <w:t>The Guardian</w:t>
      </w:r>
      <w:r>
        <w:rPr>
          <w:lang w:val="en-GB"/>
        </w:rPr>
        <w:t xml:space="preserve">, 19 November, </w:t>
      </w:r>
      <w:r w:rsidRPr="00BE553E">
        <w:rPr>
          <w:rFonts w:eastAsia="Arial"/>
          <w:lang w:val="en-GB"/>
        </w:rPr>
        <w:t>https://www.theguardian.com/world/2015/nov/19/hunting-the-paris-terror-mastermind-forensic-experts-rush-to-identify-body</w:t>
      </w:r>
      <w:r w:rsidR="0013725E">
        <w:rPr>
          <w:rFonts w:eastAsiaTheme="majorEastAsia"/>
          <w:lang w:val="en-GB"/>
        </w:rPr>
        <w:t>, accessed 20 May 2016.</w:t>
      </w:r>
    </w:p>
    <w:p w14:paraId="5565FF1F" w14:textId="0AECD98C" w:rsidR="00814F40" w:rsidRDefault="00814F40" w:rsidP="00E52F0F">
      <w:pPr>
        <w:spacing w:line="360" w:lineRule="auto"/>
        <w:ind w:left="709" w:hanging="709"/>
        <w:jc w:val="both"/>
        <w:rPr>
          <w:lang w:val="en-GB"/>
        </w:rPr>
      </w:pPr>
      <w:r>
        <w:rPr>
          <w:lang w:val="en-GB"/>
        </w:rPr>
        <w:t>Hunt, E. (2015</w:t>
      </w:r>
      <w:r w:rsidRPr="00BE553E">
        <w:rPr>
          <w:lang w:val="en-GB"/>
        </w:rPr>
        <w:t>) Sydney Opera House lit up in blue, white and red as world cities ado</w:t>
      </w:r>
      <w:r>
        <w:rPr>
          <w:lang w:val="en-GB"/>
        </w:rPr>
        <w:t xml:space="preserve">pt the Tricolore. </w:t>
      </w:r>
      <w:r w:rsidRPr="00021575">
        <w:rPr>
          <w:i/>
          <w:lang w:val="en-GB"/>
        </w:rPr>
        <w:t>The Guardian</w:t>
      </w:r>
      <w:r>
        <w:rPr>
          <w:lang w:val="en-GB"/>
        </w:rPr>
        <w:t xml:space="preserve">, 14 November, </w:t>
      </w:r>
      <w:r w:rsidRPr="00B81DAB">
        <w:rPr>
          <w:lang w:val="en-GB"/>
        </w:rPr>
        <w:t>https://www.theguardian.com/world/2015/nov/14/sydney-opera-house-red-white-and-</w:t>
      </w:r>
      <w:r w:rsidRPr="00BE553E">
        <w:rPr>
          <w:lang w:val="en-GB"/>
        </w:rPr>
        <w:t>blue-world-cities-adopt-the-tricolore-paris-attack-reaction</w:t>
      </w:r>
      <w:r w:rsidR="0013725E">
        <w:rPr>
          <w:rFonts w:eastAsiaTheme="majorEastAsia"/>
          <w:lang w:val="en-GB"/>
        </w:rPr>
        <w:t>, accessed 20 May 2016.</w:t>
      </w:r>
    </w:p>
    <w:p w14:paraId="44F93A01" w14:textId="03CD57F6" w:rsidR="00814F40" w:rsidRPr="00BE553E" w:rsidRDefault="00814F40" w:rsidP="00E52F0F">
      <w:pPr>
        <w:spacing w:line="360" w:lineRule="auto"/>
        <w:ind w:left="709" w:hanging="709"/>
        <w:jc w:val="both"/>
        <w:rPr>
          <w:lang w:val="en-GB"/>
        </w:rPr>
      </w:pPr>
      <w:r>
        <w:rPr>
          <w:lang w:val="en-GB"/>
        </w:rPr>
        <w:t>McCurry, J. (2015</w:t>
      </w:r>
      <w:r w:rsidRPr="00BE553E">
        <w:rPr>
          <w:lang w:val="en-GB"/>
        </w:rPr>
        <w:t>) Paris attack survivors: Italian man first escaped Heysel stadium disaster, then B</w:t>
      </w:r>
      <w:r>
        <w:rPr>
          <w:lang w:val="en-GB"/>
        </w:rPr>
        <w:t xml:space="preserve">ataclan massacre. </w:t>
      </w:r>
      <w:r w:rsidRPr="00021575">
        <w:rPr>
          <w:i/>
          <w:lang w:val="en-GB"/>
        </w:rPr>
        <w:t>The Guardian</w:t>
      </w:r>
      <w:r>
        <w:rPr>
          <w:lang w:val="en-GB"/>
        </w:rPr>
        <w:t xml:space="preserve">, 15 November, </w:t>
      </w:r>
      <w:r w:rsidRPr="00BE553E">
        <w:rPr>
          <w:lang w:val="en-GB"/>
        </w:rPr>
        <w:t>https://www.theguardian.com/world/2015/nov/15/paris-attack-survivors-italian-man-first-escaped-heysel-stadium-disaster-then-bataclan-massacre</w:t>
      </w:r>
      <w:r w:rsidR="0013725E">
        <w:rPr>
          <w:rFonts w:eastAsiaTheme="majorEastAsia"/>
          <w:lang w:val="en-GB"/>
        </w:rPr>
        <w:t>, accessed 20 May 2016.</w:t>
      </w:r>
    </w:p>
    <w:p w14:paraId="283307DD" w14:textId="527F054F" w:rsidR="00814F40" w:rsidRPr="00BE553E" w:rsidRDefault="00814F40" w:rsidP="00E52F0F">
      <w:pPr>
        <w:spacing w:line="360" w:lineRule="auto"/>
        <w:ind w:left="709" w:hanging="709"/>
        <w:jc w:val="both"/>
        <w:rPr>
          <w:lang w:val="en-GB"/>
        </w:rPr>
      </w:pPr>
      <w:r w:rsidRPr="00BE553E">
        <w:rPr>
          <w:rFonts w:eastAsia="Calibri" w:cs="Calibri"/>
          <w:lang w:val="en-GB"/>
        </w:rPr>
        <w:lastRenderedPageBreak/>
        <w:t>McCurry, J. and</w:t>
      </w:r>
      <w:r>
        <w:rPr>
          <w:rFonts w:eastAsia="Calibri" w:cs="Calibri"/>
          <w:lang w:val="en-GB"/>
        </w:rPr>
        <w:t xml:space="preserve"> Rawlinson, K. (2015)</w:t>
      </w:r>
      <w:r w:rsidRPr="00BE553E">
        <w:rPr>
          <w:rFonts w:eastAsia="Calibri" w:cs="Calibri"/>
          <w:lang w:val="en-GB"/>
        </w:rPr>
        <w:t xml:space="preserve"> Paris terror attacks: world leaders condemn ‘the wo</w:t>
      </w:r>
      <w:r>
        <w:rPr>
          <w:rFonts w:eastAsia="Calibri" w:cs="Calibri"/>
          <w:lang w:val="en-GB"/>
        </w:rPr>
        <w:t xml:space="preserve">rk of the devil’. </w:t>
      </w:r>
      <w:r w:rsidRPr="00021575">
        <w:rPr>
          <w:rFonts w:eastAsia="Calibri" w:cs="Calibri"/>
          <w:i/>
          <w:lang w:val="en-GB"/>
        </w:rPr>
        <w:t>The Guardian</w:t>
      </w:r>
      <w:r>
        <w:rPr>
          <w:rFonts w:eastAsia="Calibri" w:cs="Calibri"/>
          <w:lang w:val="en-GB"/>
        </w:rPr>
        <w:t xml:space="preserve">, 14 </w:t>
      </w:r>
      <w:r w:rsidRPr="00BE553E">
        <w:rPr>
          <w:rFonts w:eastAsia="Calibri" w:cs="Calibri"/>
          <w:lang w:val="en-GB"/>
        </w:rPr>
        <w:t>November</w:t>
      </w:r>
      <w:r>
        <w:rPr>
          <w:rFonts w:eastAsia="Calibri" w:cs="Calibri"/>
          <w:lang w:val="en-GB"/>
        </w:rPr>
        <w:t xml:space="preserve">, </w:t>
      </w:r>
      <w:r w:rsidRPr="00BE553E">
        <w:rPr>
          <w:rFonts w:eastAsia="Calibri" w:cs="Calibri"/>
          <w:lang w:val="en-GB"/>
        </w:rPr>
        <w:t>https://www.theguardian.com/world/2015/nov/14/paris-terror-attacks-world-leader</w:t>
      </w:r>
      <w:r w:rsidR="0013725E">
        <w:rPr>
          <w:rFonts w:eastAsia="Calibri" w:cs="Calibri"/>
          <w:lang w:val="en-GB"/>
        </w:rPr>
        <w:t>s-condemn-the-work-of-the-devil</w:t>
      </w:r>
      <w:r w:rsidR="0013725E">
        <w:rPr>
          <w:rFonts w:eastAsiaTheme="majorEastAsia"/>
          <w:lang w:val="en-GB"/>
        </w:rPr>
        <w:t>, accessed 20 May 2016.</w:t>
      </w:r>
    </w:p>
    <w:p w14:paraId="48C17869" w14:textId="463C61EB" w:rsidR="00814F40" w:rsidRPr="00BE553E" w:rsidRDefault="00814F40" w:rsidP="00E52F0F">
      <w:pPr>
        <w:spacing w:line="360" w:lineRule="auto"/>
        <w:ind w:left="709" w:hanging="709"/>
        <w:jc w:val="both"/>
        <w:rPr>
          <w:lang w:val="en-GB"/>
        </w:rPr>
      </w:pPr>
      <w:r w:rsidRPr="00BE553E">
        <w:rPr>
          <w:lang w:val="en-GB"/>
        </w:rPr>
        <w:t>McVeigh, T</w:t>
      </w:r>
      <w:r>
        <w:rPr>
          <w:lang w:val="en-GB"/>
        </w:rPr>
        <w:t>. and Graham-Harrison, E. (2015</w:t>
      </w:r>
      <w:r w:rsidRPr="00BE553E">
        <w:rPr>
          <w:lang w:val="en-GB"/>
        </w:rPr>
        <w:t>) Parisians throw open doors in wake of attacks, but Muslims fe</w:t>
      </w:r>
      <w:r>
        <w:rPr>
          <w:lang w:val="en-GB"/>
        </w:rPr>
        <w:t xml:space="preserve">ar repercussions. </w:t>
      </w:r>
      <w:r w:rsidRPr="00021575">
        <w:rPr>
          <w:i/>
          <w:lang w:val="en-GB"/>
        </w:rPr>
        <w:t>The Guardian</w:t>
      </w:r>
      <w:r>
        <w:rPr>
          <w:lang w:val="en-GB"/>
        </w:rPr>
        <w:t xml:space="preserve">, 14 November, </w:t>
      </w:r>
      <w:r w:rsidRPr="00BE553E">
        <w:rPr>
          <w:lang w:val="en-GB"/>
        </w:rPr>
        <w:t>https://www.theguardian.com/world/2015/nov/14/paris-attacks-people-throw-open-doors-to-help</w:t>
      </w:r>
      <w:r w:rsidR="0013725E">
        <w:rPr>
          <w:rFonts w:eastAsiaTheme="majorEastAsia"/>
          <w:lang w:val="en-GB"/>
        </w:rPr>
        <w:t>, accessed 20 May 2016.</w:t>
      </w:r>
    </w:p>
    <w:p w14:paraId="413526CA" w14:textId="0C80D21B" w:rsidR="00814F40" w:rsidRPr="00BE553E" w:rsidRDefault="00814F40" w:rsidP="00E52F0F">
      <w:pPr>
        <w:spacing w:line="360" w:lineRule="auto"/>
        <w:ind w:left="709" w:hanging="709"/>
        <w:jc w:val="both"/>
        <w:rPr>
          <w:lang w:val="en-GB"/>
        </w:rPr>
      </w:pPr>
      <w:r>
        <w:rPr>
          <w:lang w:val="en-GB"/>
        </w:rPr>
        <w:t>Nougayrède, N. (2015</w:t>
      </w:r>
      <w:r w:rsidRPr="00BE553E">
        <w:rPr>
          <w:lang w:val="en-GB"/>
        </w:rPr>
        <w:t>) France struggles to come to terms with an attack that str</w:t>
      </w:r>
      <w:r>
        <w:rPr>
          <w:lang w:val="en-GB"/>
        </w:rPr>
        <w:t xml:space="preserve">ikes at its core. </w:t>
      </w:r>
      <w:r w:rsidRPr="00021575">
        <w:rPr>
          <w:i/>
          <w:lang w:val="en-GB"/>
        </w:rPr>
        <w:t>The Guardian</w:t>
      </w:r>
      <w:r>
        <w:rPr>
          <w:lang w:val="en-GB"/>
        </w:rPr>
        <w:t xml:space="preserve">, 20 November, </w:t>
      </w:r>
      <w:r w:rsidRPr="00BE553E">
        <w:rPr>
          <w:rFonts w:eastAsia="Arial"/>
          <w:lang w:val="en-GB"/>
        </w:rPr>
        <w:t>https://www.theguardian.com/world/2015/nov/20/france-struggles-to-come-to-terms-with-an-attack-that-strikes-at-its-core</w:t>
      </w:r>
      <w:r w:rsidR="0013725E">
        <w:rPr>
          <w:rFonts w:eastAsiaTheme="majorEastAsia"/>
          <w:lang w:val="en-GB"/>
        </w:rPr>
        <w:t>, accessed 20 May 2016.</w:t>
      </w:r>
    </w:p>
    <w:p w14:paraId="2F1DFAA3" w14:textId="417E9949" w:rsidR="00814F40" w:rsidRPr="00BE553E" w:rsidRDefault="00814F40" w:rsidP="00E52F0F">
      <w:pPr>
        <w:spacing w:line="360" w:lineRule="auto"/>
        <w:ind w:left="709" w:hanging="709"/>
        <w:jc w:val="both"/>
        <w:rPr>
          <w:lang w:val="en-GB"/>
        </w:rPr>
      </w:pPr>
      <w:r w:rsidRPr="00BE553E">
        <w:rPr>
          <w:rFonts w:eastAsia="Calibri" w:cs="Calibri"/>
          <w:lang w:val="en-GB"/>
        </w:rPr>
        <w:t>Paris attack victims: lives cut cruelly shor</w:t>
      </w:r>
      <w:r>
        <w:rPr>
          <w:rFonts w:eastAsia="Calibri" w:cs="Calibri"/>
          <w:lang w:val="en-GB"/>
        </w:rPr>
        <w:t xml:space="preserve">t during night of terror (2015) </w:t>
      </w:r>
      <w:r w:rsidRPr="00021575">
        <w:rPr>
          <w:rFonts w:eastAsia="Calibri" w:cs="Calibri"/>
          <w:i/>
          <w:lang w:val="en-GB"/>
        </w:rPr>
        <w:t>The Guardian</w:t>
      </w:r>
      <w:r>
        <w:rPr>
          <w:rFonts w:eastAsia="Calibri" w:cs="Calibri"/>
          <w:lang w:val="en-GB"/>
        </w:rPr>
        <w:t xml:space="preserve">, 26 </w:t>
      </w:r>
      <w:r w:rsidRPr="00BE553E">
        <w:rPr>
          <w:rFonts w:eastAsia="Calibri" w:cs="Calibri"/>
          <w:lang w:val="en-GB"/>
        </w:rPr>
        <w:t>November</w:t>
      </w:r>
      <w:r>
        <w:rPr>
          <w:rFonts w:eastAsia="Calibri" w:cs="Calibri"/>
          <w:lang w:val="en-GB"/>
        </w:rPr>
        <w:t xml:space="preserve">, </w:t>
      </w:r>
      <w:r w:rsidRPr="00BE553E">
        <w:rPr>
          <w:rFonts w:eastAsia="Calibri" w:cs="Calibri"/>
          <w:lang w:val="en-GB"/>
        </w:rPr>
        <w:t>http://www.theguardian.com/world/ng-interactive/2015/nov/16/paris-attack-</w:t>
      </w:r>
      <w:r w:rsidR="0013725E">
        <w:rPr>
          <w:rFonts w:eastAsia="Calibri" w:cs="Calibri"/>
          <w:lang w:val="en-GB"/>
        </w:rPr>
        <w:t>victims-lives-cut-cruelly-short</w:t>
      </w:r>
      <w:r w:rsidR="0013725E">
        <w:rPr>
          <w:rFonts w:eastAsiaTheme="majorEastAsia"/>
          <w:lang w:val="en-GB"/>
        </w:rPr>
        <w:t>, accessed 20 May 2016.</w:t>
      </w:r>
    </w:p>
    <w:p w14:paraId="2C24FE3B" w14:textId="02C8D89C" w:rsidR="00814F40" w:rsidRPr="00BE553E" w:rsidRDefault="00814F40" w:rsidP="00E52F0F">
      <w:pPr>
        <w:spacing w:line="360" w:lineRule="auto"/>
        <w:ind w:left="709" w:hanging="709"/>
        <w:jc w:val="both"/>
        <w:rPr>
          <w:lang w:val="en-GB"/>
        </w:rPr>
      </w:pPr>
      <w:r>
        <w:rPr>
          <w:lang w:val="en-GB"/>
        </w:rPr>
        <w:t>Penketh, A. (2015</w:t>
      </w:r>
      <w:r w:rsidRPr="00BE553E">
        <w:rPr>
          <w:lang w:val="en-GB"/>
        </w:rPr>
        <w:t>) Paris attacks: the Muslim victims of t</w:t>
      </w:r>
      <w:r>
        <w:rPr>
          <w:lang w:val="en-GB"/>
        </w:rPr>
        <w:t xml:space="preserve">errorist bullets. </w:t>
      </w:r>
      <w:r w:rsidRPr="00021575">
        <w:rPr>
          <w:i/>
          <w:lang w:val="en-GB"/>
        </w:rPr>
        <w:t>The Guardian</w:t>
      </w:r>
      <w:r>
        <w:rPr>
          <w:lang w:val="en-GB"/>
        </w:rPr>
        <w:t xml:space="preserve">, 18 </w:t>
      </w:r>
      <w:r w:rsidRPr="00BE553E">
        <w:rPr>
          <w:lang w:val="en-GB"/>
        </w:rPr>
        <w:t>November</w:t>
      </w:r>
      <w:r>
        <w:rPr>
          <w:lang w:val="en-GB"/>
        </w:rPr>
        <w:t xml:space="preserve">, </w:t>
      </w:r>
      <w:r w:rsidRPr="00BE553E">
        <w:rPr>
          <w:rFonts w:eastAsia="Arial"/>
          <w:lang w:val="en-GB"/>
        </w:rPr>
        <w:t>https://www.theguardian.com/world/2015/nov/18/paris-attacks-muslim-victims-terrorist-france-isis</w:t>
      </w:r>
      <w:r w:rsidR="0013725E">
        <w:rPr>
          <w:rFonts w:eastAsiaTheme="majorEastAsia"/>
          <w:lang w:val="en-GB"/>
        </w:rPr>
        <w:t>, accessed 20 May 2016.</w:t>
      </w:r>
    </w:p>
    <w:p w14:paraId="2239EE0F" w14:textId="346ECD2B" w:rsidR="00814F40" w:rsidRPr="00BE553E" w:rsidRDefault="00814F40" w:rsidP="00E52F0F">
      <w:pPr>
        <w:spacing w:line="360" w:lineRule="auto"/>
        <w:ind w:left="709" w:hanging="709"/>
        <w:jc w:val="both"/>
        <w:rPr>
          <w:lang w:val="en-GB"/>
        </w:rPr>
      </w:pPr>
      <w:r w:rsidRPr="00BE553E">
        <w:rPr>
          <w:lang w:val="en-GB"/>
        </w:rPr>
        <w:t>Phip</w:t>
      </w:r>
      <w:r>
        <w:rPr>
          <w:lang w:val="en-GB"/>
        </w:rPr>
        <w:t>ps, C. and Rawlinson, K. (2015a</w:t>
      </w:r>
      <w:r w:rsidRPr="00BE553E">
        <w:rPr>
          <w:lang w:val="en-GB"/>
        </w:rPr>
        <w:t xml:space="preserve">) Paris attacks: what we know in wake of killings. </w:t>
      </w:r>
      <w:r w:rsidRPr="00021575">
        <w:rPr>
          <w:i/>
          <w:iCs/>
          <w:lang w:val="en-GB"/>
        </w:rPr>
        <w:t>The Guardian</w:t>
      </w:r>
      <w:r>
        <w:rPr>
          <w:iCs/>
          <w:lang w:val="en-GB"/>
        </w:rPr>
        <w:t xml:space="preserve">, 14 </w:t>
      </w:r>
      <w:r w:rsidRPr="00BE553E">
        <w:rPr>
          <w:lang w:val="en-GB"/>
        </w:rPr>
        <w:t>November</w:t>
      </w:r>
      <w:r>
        <w:rPr>
          <w:lang w:val="en-GB"/>
        </w:rPr>
        <w:t xml:space="preserve">, </w:t>
      </w:r>
      <w:r w:rsidRPr="00BE553E">
        <w:rPr>
          <w:lang w:val="en-GB"/>
        </w:rPr>
        <w:t>https://www.theguardian.com/world/2015/nov/14/p</w:t>
      </w:r>
      <w:r>
        <w:rPr>
          <w:lang w:val="en-GB"/>
        </w:rPr>
        <w:t>a</w:t>
      </w:r>
      <w:r w:rsidR="0013725E">
        <w:rPr>
          <w:lang w:val="en-GB"/>
        </w:rPr>
        <w:t>ris-attacks-what-we-know-so-far</w:t>
      </w:r>
      <w:r w:rsidR="0013725E">
        <w:rPr>
          <w:rFonts w:eastAsiaTheme="majorEastAsia"/>
          <w:lang w:val="en-GB"/>
        </w:rPr>
        <w:t>, accessed 20 May 2016.</w:t>
      </w:r>
    </w:p>
    <w:p w14:paraId="236E7A03" w14:textId="4E4982DB" w:rsidR="00814F40" w:rsidRPr="00BE553E" w:rsidRDefault="00814F40" w:rsidP="00E52F0F">
      <w:pPr>
        <w:spacing w:line="360" w:lineRule="auto"/>
        <w:ind w:left="709" w:hanging="709"/>
        <w:jc w:val="both"/>
        <w:rPr>
          <w:lang w:val="en-GB"/>
        </w:rPr>
      </w:pPr>
      <w:r w:rsidRPr="00BE553E">
        <w:rPr>
          <w:lang w:val="en-GB"/>
        </w:rPr>
        <w:t>Phip</w:t>
      </w:r>
      <w:r>
        <w:rPr>
          <w:lang w:val="en-GB"/>
        </w:rPr>
        <w:t>ps, C. and Rawlinson, K. (2015b)</w:t>
      </w:r>
      <w:r w:rsidRPr="00BE553E">
        <w:rPr>
          <w:lang w:val="en-GB"/>
        </w:rPr>
        <w:t xml:space="preserve"> Paris attacks kill more than 120 people </w:t>
      </w:r>
      <w:r>
        <w:rPr>
          <w:lang w:val="en-GB"/>
        </w:rPr>
        <w:t xml:space="preserve">– as it happened. </w:t>
      </w:r>
      <w:r w:rsidRPr="00021575">
        <w:rPr>
          <w:i/>
          <w:lang w:val="en-GB"/>
        </w:rPr>
        <w:t>The</w:t>
      </w:r>
      <w:r>
        <w:rPr>
          <w:lang w:val="en-GB"/>
        </w:rPr>
        <w:t xml:space="preserve"> </w:t>
      </w:r>
      <w:r w:rsidRPr="00021575">
        <w:rPr>
          <w:i/>
          <w:lang w:val="en-GB"/>
        </w:rPr>
        <w:t>Guardian</w:t>
      </w:r>
      <w:r>
        <w:rPr>
          <w:lang w:val="en-GB"/>
        </w:rPr>
        <w:t xml:space="preserve">, 14 </w:t>
      </w:r>
      <w:r w:rsidRPr="00BE553E">
        <w:rPr>
          <w:lang w:val="en-GB"/>
        </w:rPr>
        <w:t>November</w:t>
      </w:r>
      <w:r>
        <w:rPr>
          <w:lang w:val="en-GB"/>
        </w:rPr>
        <w:t xml:space="preserve">, </w:t>
      </w:r>
      <w:r w:rsidRPr="00BE553E">
        <w:rPr>
          <w:lang w:val="en-GB"/>
        </w:rPr>
        <w:t>https://www.theguardian.com/world/live/2015/</w:t>
      </w:r>
      <w:r w:rsidRPr="00BE553E">
        <w:rPr>
          <w:lang w:val="en-GB"/>
        </w:rPr>
        <w:br/>
        <w:t>nov/13/shootings-rep</w:t>
      </w:r>
      <w:r w:rsidR="0013725E">
        <w:rPr>
          <w:lang w:val="en-GB"/>
        </w:rPr>
        <w:t>orted-in-eastern-paris-live</w:t>
      </w:r>
      <w:r w:rsidR="0013725E">
        <w:rPr>
          <w:rFonts w:eastAsiaTheme="majorEastAsia"/>
          <w:lang w:val="en-GB"/>
        </w:rPr>
        <w:t>, accessed 20 May 2016.</w:t>
      </w:r>
    </w:p>
    <w:p w14:paraId="604B8048" w14:textId="4C5C27B6" w:rsidR="00814F40" w:rsidRPr="00BE553E" w:rsidRDefault="00814F40" w:rsidP="00E52F0F">
      <w:pPr>
        <w:spacing w:line="360" w:lineRule="auto"/>
        <w:ind w:left="709" w:hanging="709"/>
        <w:jc w:val="both"/>
        <w:rPr>
          <w:lang w:val="en-GB"/>
        </w:rPr>
      </w:pPr>
      <w:r>
        <w:rPr>
          <w:lang w:val="en-GB"/>
        </w:rPr>
        <w:t>Quinn, B. (2015</w:t>
      </w:r>
      <w:r w:rsidRPr="00BE553E">
        <w:rPr>
          <w:lang w:val="en-GB"/>
        </w:rPr>
        <w:t>) Solidarity with Paris: black cabs display tricolour and Britons urged to buy French goo</w:t>
      </w:r>
      <w:r>
        <w:rPr>
          <w:lang w:val="en-GB"/>
        </w:rPr>
        <w:t xml:space="preserve">ds. </w:t>
      </w:r>
      <w:r w:rsidRPr="00021575">
        <w:rPr>
          <w:i/>
          <w:lang w:val="en-GB"/>
        </w:rPr>
        <w:t>The Guardian</w:t>
      </w:r>
      <w:r>
        <w:rPr>
          <w:lang w:val="en-GB"/>
        </w:rPr>
        <w:t xml:space="preserve">, 16 November, </w:t>
      </w:r>
      <w:r w:rsidRPr="00BE553E">
        <w:rPr>
          <w:lang w:val="en-GB"/>
        </w:rPr>
        <w:t>https://www.theguardian.com/world/2015/nov/16/britain-solidarity-paris-attacks-silence-tricolour-cabs-french-goods</w:t>
      </w:r>
      <w:r w:rsidR="0013725E">
        <w:rPr>
          <w:rFonts w:eastAsiaTheme="majorEastAsia"/>
          <w:lang w:val="en-GB"/>
        </w:rPr>
        <w:t>, accessed 20 May 2016.</w:t>
      </w:r>
    </w:p>
    <w:p w14:paraId="4B853707" w14:textId="5C8B3345" w:rsidR="00814F40" w:rsidRPr="00BE553E" w:rsidRDefault="00814F40" w:rsidP="00E52F0F">
      <w:pPr>
        <w:spacing w:line="360" w:lineRule="auto"/>
        <w:ind w:left="709" w:hanging="709"/>
        <w:jc w:val="both"/>
        <w:rPr>
          <w:lang w:val="en-GB"/>
        </w:rPr>
      </w:pPr>
      <w:r>
        <w:rPr>
          <w:lang w:val="en-GB"/>
        </w:rPr>
        <w:t>Reuters (2015</w:t>
      </w:r>
      <w:r w:rsidRPr="00BE553E">
        <w:rPr>
          <w:lang w:val="en-GB"/>
        </w:rPr>
        <w:t xml:space="preserve">) Parisians rally to cafes and bars to defy Isis after terror attacks. </w:t>
      </w:r>
      <w:r w:rsidRPr="00021575">
        <w:rPr>
          <w:i/>
          <w:lang w:val="en-GB"/>
        </w:rPr>
        <w:t>The Guardian</w:t>
      </w:r>
      <w:r>
        <w:rPr>
          <w:lang w:val="en-GB"/>
        </w:rPr>
        <w:t xml:space="preserve">, 17 November, </w:t>
      </w:r>
      <w:r w:rsidRPr="00BE553E">
        <w:rPr>
          <w:lang w:val="en-GB"/>
        </w:rPr>
        <w:t>https://www.theguardian.com/world/2015/nov/17/paris-rally-cafes-bars-memory-victi</w:t>
      </w:r>
      <w:r w:rsidR="0013725E">
        <w:rPr>
          <w:lang w:val="en-GB"/>
        </w:rPr>
        <w:t>ms-defiance-isis-terror-attacks</w:t>
      </w:r>
      <w:r w:rsidR="0013725E">
        <w:rPr>
          <w:rFonts w:eastAsiaTheme="majorEastAsia"/>
          <w:lang w:val="en-GB"/>
        </w:rPr>
        <w:t>, accessed 20 May 2016.</w:t>
      </w:r>
    </w:p>
    <w:p w14:paraId="509CDE76" w14:textId="21F1B91C" w:rsidR="00814F40" w:rsidRPr="0013725E" w:rsidRDefault="00814F40" w:rsidP="00E52F0F">
      <w:pPr>
        <w:spacing w:line="360" w:lineRule="auto"/>
        <w:ind w:left="709" w:hanging="709"/>
        <w:jc w:val="both"/>
        <w:rPr>
          <w:lang w:val="en-GB"/>
        </w:rPr>
      </w:pPr>
      <w:r>
        <w:rPr>
          <w:lang w:val="en-GB"/>
        </w:rPr>
        <w:t>Roy, S.D. (2015</w:t>
      </w:r>
      <w:r w:rsidRPr="00BE553E">
        <w:rPr>
          <w:lang w:val="en-GB"/>
        </w:rPr>
        <w:t>). Paris and Beirut: Data suggest how social med</w:t>
      </w:r>
      <w:r>
        <w:rPr>
          <w:lang w:val="en-GB"/>
        </w:rPr>
        <w:t xml:space="preserve">ia shapes the coverage. </w:t>
      </w:r>
      <w:r w:rsidRPr="0013725E">
        <w:rPr>
          <w:i/>
          <w:lang w:val="en-GB"/>
        </w:rPr>
        <w:t>Medium</w:t>
      </w:r>
      <w:r w:rsidRPr="0013725E">
        <w:rPr>
          <w:lang w:val="en-GB"/>
        </w:rPr>
        <w:t>, 20 November, https://medium.com/i-data/paris-and-beirut-data-suggests-how-social-media-shapes-the-coverage-738e9d336c9f#.1opqt5yme</w:t>
      </w:r>
      <w:r w:rsidR="0013725E">
        <w:rPr>
          <w:rFonts w:eastAsiaTheme="majorEastAsia"/>
          <w:lang w:val="en-GB"/>
        </w:rPr>
        <w:t>, accessed 20 May 2016.</w:t>
      </w:r>
    </w:p>
    <w:p w14:paraId="2D0F2352" w14:textId="5F533BED" w:rsidR="00814F40" w:rsidRPr="00BE553E" w:rsidRDefault="00814F40" w:rsidP="00E52F0F">
      <w:pPr>
        <w:spacing w:line="360" w:lineRule="auto"/>
        <w:ind w:left="709" w:hanging="709"/>
        <w:jc w:val="both"/>
        <w:rPr>
          <w:lang w:val="en-GB"/>
        </w:rPr>
      </w:pPr>
      <w:r w:rsidRPr="00BE553E">
        <w:rPr>
          <w:lang w:val="en-GB"/>
        </w:rPr>
        <w:lastRenderedPageBreak/>
        <w:t>Rus</w:t>
      </w:r>
      <w:r>
        <w:rPr>
          <w:lang w:val="en-GB"/>
        </w:rPr>
        <w:t>sell, G. and Halliday, J. (2015</w:t>
      </w:r>
      <w:r w:rsidRPr="00BE553E">
        <w:rPr>
          <w:lang w:val="en-GB"/>
        </w:rPr>
        <w:t>) Paris attack update: wha</w:t>
      </w:r>
      <w:r>
        <w:rPr>
          <w:lang w:val="en-GB"/>
        </w:rPr>
        <w:t xml:space="preserve">t we know so far. </w:t>
      </w:r>
      <w:r w:rsidRPr="00021575">
        <w:rPr>
          <w:i/>
          <w:lang w:val="en-GB"/>
        </w:rPr>
        <w:t>The Guardian</w:t>
      </w:r>
      <w:r>
        <w:rPr>
          <w:lang w:val="en-GB"/>
        </w:rPr>
        <w:t xml:space="preserve">, 16 November, </w:t>
      </w:r>
      <w:r w:rsidRPr="00BE553E">
        <w:rPr>
          <w:lang w:val="en-GB"/>
        </w:rPr>
        <w:t>from https://www.theguardian.com/world/2015/nov/16/paris-att</w:t>
      </w:r>
      <w:r w:rsidR="0013725E">
        <w:rPr>
          <w:lang w:val="en-GB"/>
        </w:rPr>
        <w:t>acks-update-what-we-know-so-far</w:t>
      </w:r>
      <w:r w:rsidR="0013725E">
        <w:rPr>
          <w:rFonts w:eastAsiaTheme="majorEastAsia"/>
          <w:lang w:val="en-GB"/>
        </w:rPr>
        <w:t>, accessed 20 May 2016.</w:t>
      </w:r>
    </w:p>
    <w:p w14:paraId="38CABB16" w14:textId="2D5513C7" w:rsidR="00814F40" w:rsidRPr="00BE553E" w:rsidRDefault="00814F40" w:rsidP="00E52F0F">
      <w:pPr>
        <w:spacing w:line="360" w:lineRule="auto"/>
        <w:ind w:left="709" w:hanging="709"/>
        <w:jc w:val="both"/>
        <w:rPr>
          <w:lang w:val="en-GB"/>
        </w:rPr>
      </w:pPr>
      <w:r>
        <w:rPr>
          <w:lang w:val="en-GB"/>
        </w:rPr>
        <w:t>Safi, M. (2015</w:t>
      </w:r>
      <w:r w:rsidRPr="00BE553E">
        <w:rPr>
          <w:lang w:val="en-GB"/>
        </w:rPr>
        <w:t>) Malcolm Turnbull says Paris attack has ‘hallmarks’ of a</w:t>
      </w:r>
      <w:r>
        <w:rPr>
          <w:lang w:val="en-GB"/>
        </w:rPr>
        <w:t xml:space="preserve">n Isis operation. </w:t>
      </w:r>
      <w:r w:rsidRPr="00021575">
        <w:rPr>
          <w:i/>
          <w:lang w:val="en-GB"/>
        </w:rPr>
        <w:t>The Guardian</w:t>
      </w:r>
      <w:r>
        <w:rPr>
          <w:lang w:val="en-GB"/>
        </w:rPr>
        <w:t xml:space="preserve">, 14 November, </w:t>
      </w:r>
      <w:r w:rsidRPr="00BE553E">
        <w:rPr>
          <w:lang w:val="en-GB"/>
        </w:rPr>
        <w:t>https://www.theguardian.com/world/2015/nov/14/malcolm-turnbull-says-paris-attack-has</w:t>
      </w:r>
      <w:r w:rsidR="0013725E">
        <w:rPr>
          <w:lang w:val="en-GB"/>
        </w:rPr>
        <w:t>-hallmarks-of-an-isis-operation</w:t>
      </w:r>
      <w:r w:rsidR="0013725E">
        <w:rPr>
          <w:rFonts w:eastAsiaTheme="majorEastAsia"/>
          <w:lang w:val="en-GB"/>
        </w:rPr>
        <w:t>, accessed 20 May 2016.</w:t>
      </w:r>
    </w:p>
    <w:p w14:paraId="5477FA9B" w14:textId="33AFB391" w:rsidR="00814F40" w:rsidRPr="00BE553E" w:rsidRDefault="00814F40" w:rsidP="00E52F0F">
      <w:pPr>
        <w:spacing w:line="360" w:lineRule="auto"/>
        <w:ind w:left="709" w:hanging="709"/>
        <w:jc w:val="both"/>
        <w:rPr>
          <w:lang w:val="en-GB"/>
        </w:rPr>
      </w:pPr>
      <w:r>
        <w:rPr>
          <w:lang w:val="en-GB"/>
        </w:rPr>
        <w:t>Safi, M. (2015</w:t>
      </w:r>
      <w:r w:rsidRPr="00BE553E">
        <w:rPr>
          <w:lang w:val="en-GB"/>
        </w:rPr>
        <w:t xml:space="preserve">) Australian Emma Grace Parkinson has surgery after being shot </w:t>
      </w:r>
      <w:r>
        <w:rPr>
          <w:lang w:val="en-GB"/>
        </w:rPr>
        <w:t xml:space="preserve">in Paris attacks. </w:t>
      </w:r>
      <w:r w:rsidRPr="00021575">
        <w:rPr>
          <w:i/>
          <w:lang w:val="en-GB"/>
        </w:rPr>
        <w:t>The</w:t>
      </w:r>
      <w:r>
        <w:rPr>
          <w:lang w:val="en-GB"/>
        </w:rPr>
        <w:t xml:space="preserve"> </w:t>
      </w:r>
      <w:r w:rsidRPr="00021575">
        <w:rPr>
          <w:i/>
          <w:lang w:val="en-GB"/>
        </w:rPr>
        <w:t>Guardian</w:t>
      </w:r>
      <w:r>
        <w:rPr>
          <w:lang w:val="en-GB"/>
        </w:rPr>
        <w:t xml:space="preserve">, 15 November, </w:t>
      </w:r>
      <w:r w:rsidRPr="00BE553E">
        <w:rPr>
          <w:lang w:val="en-GB"/>
        </w:rPr>
        <w:t>https://www.theguardian.com/world/2015/nov/15/australian-emma-grace-parkinson-has-surgery-af</w:t>
      </w:r>
      <w:r w:rsidR="0013725E">
        <w:rPr>
          <w:lang w:val="en-GB"/>
        </w:rPr>
        <w:t>ter-being-shot-in-paris-attacks</w:t>
      </w:r>
      <w:r w:rsidR="0013725E">
        <w:rPr>
          <w:rFonts w:eastAsiaTheme="majorEastAsia"/>
          <w:lang w:val="en-GB"/>
        </w:rPr>
        <w:t>, accessed 20 May 2016.</w:t>
      </w:r>
    </w:p>
    <w:p w14:paraId="19D5EE51" w14:textId="722D43D6" w:rsidR="00814F40" w:rsidRPr="00BE553E" w:rsidRDefault="00814F40" w:rsidP="00E52F0F">
      <w:pPr>
        <w:spacing w:line="360" w:lineRule="auto"/>
        <w:ind w:left="709" w:hanging="709"/>
        <w:jc w:val="both"/>
        <w:rPr>
          <w:lang w:val="en-GB"/>
        </w:rPr>
      </w:pPr>
      <w:r>
        <w:rPr>
          <w:lang w:val="en-GB"/>
        </w:rPr>
        <w:t>Shaheen, K. (2015a</w:t>
      </w:r>
      <w:r w:rsidRPr="00BE553E">
        <w:rPr>
          <w:lang w:val="en-GB"/>
        </w:rPr>
        <w:t xml:space="preserve">) Isis claims responsibility as suicide bombers kill dozens in Beirut. </w:t>
      </w:r>
      <w:r w:rsidRPr="00021575">
        <w:rPr>
          <w:i/>
          <w:iCs/>
          <w:lang w:val="en-GB"/>
        </w:rPr>
        <w:t>The Guardian</w:t>
      </w:r>
      <w:r>
        <w:rPr>
          <w:iCs/>
          <w:lang w:val="en-GB"/>
        </w:rPr>
        <w:t xml:space="preserve">, 12 </w:t>
      </w:r>
      <w:r>
        <w:rPr>
          <w:lang w:val="en-GB"/>
        </w:rPr>
        <w:t xml:space="preserve">November, </w:t>
      </w:r>
      <w:r w:rsidRPr="00BE553E">
        <w:rPr>
          <w:lang w:val="en-GB"/>
        </w:rPr>
        <w:t>https://www.theguardian.com/world/2015/nov/12/beirut-bombings-kill-at-least-20-lebanon</w:t>
      </w:r>
      <w:r w:rsidR="0013725E">
        <w:rPr>
          <w:rFonts w:eastAsiaTheme="majorEastAsia"/>
          <w:lang w:val="en-GB"/>
        </w:rPr>
        <w:t>, accessed 20 May 2016.</w:t>
      </w:r>
    </w:p>
    <w:p w14:paraId="3F246361" w14:textId="382DDCA1" w:rsidR="00814F40" w:rsidRPr="00BE553E" w:rsidRDefault="00814F40" w:rsidP="00E52F0F">
      <w:pPr>
        <w:spacing w:line="360" w:lineRule="auto"/>
        <w:ind w:left="709" w:hanging="709"/>
        <w:jc w:val="both"/>
        <w:rPr>
          <w:lang w:val="en-GB"/>
        </w:rPr>
      </w:pPr>
      <w:r>
        <w:rPr>
          <w:lang w:val="en-GB"/>
        </w:rPr>
        <w:t>Shaheen, K. (2015b</w:t>
      </w:r>
      <w:r w:rsidRPr="00BE553E">
        <w:rPr>
          <w:lang w:val="en-GB"/>
        </w:rPr>
        <w:t xml:space="preserve">) ‘Dad is a martyr’: how Adel Termos became a saviour in Beirut bombings. </w:t>
      </w:r>
      <w:r w:rsidRPr="00021575">
        <w:rPr>
          <w:i/>
          <w:iCs/>
          <w:lang w:val="en-GB"/>
        </w:rPr>
        <w:t>The</w:t>
      </w:r>
      <w:r w:rsidRPr="00BE553E">
        <w:rPr>
          <w:iCs/>
          <w:lang w:val="en-GB"/>
        </w:rPr>
        <w:t xml:space="preserve"> </w:t>
      </w:r>
      <w:r w:rsidRPr="00021575">
        <w:rPr>
          <w:i/>
          <w:iCs/>
          <w:lang w:val="en-GB"/>
        </w:rPr>
        <w:t>Guardian</w:t>
      </w:r>
      <w:r>
        <w:rPr>
          <w:lang w:val="en-GB"/>
        </w:rPr>
        <w:t xml:space="preserve">, 17 November, </w:t>
      </w:r>
      <w:r w:rsidRPr="00BE553E">
        <w:rPr>
          <w:lang w:val="en-GB"/>
        </w:rPr>
        <w:t>https://www.theguardian.com/world/2015/nov/17/adel-termos-martyr-father-became-saviour-beirut-bombings</w:t>
      </w:r>
      <w:r w:rsidR="0013725E">
        <w:rPr>
          <w:rFonts w:eastAsiaTheme="majorEastAsia"/>
          <w:lang w:val="en-GB"/>
        </w:rPr>
        <w:t>, accessed 20 May 2016.</w:t>
      </w:r>
    </w:p>
    <w:p w14:paraId="720564CA" w14:textId="77777777" w:rsidR="00814F40" w:rsidRPr="00BE553E" w:rsidRDefault="00814F40" w:rsidP="00E52F0F">
      <w:pPr>
        <w:spacing w:line="360" w:lineRule="auto"/>
        <w:ind w:left="709" w:hanging="709"/>
        <w:jc w:val="both"/>
        <w:rPr>
          <w:rFonts w:eastAsia="Calibri" w:cs="Calibri"/>
          <w:lang w:val="en-GB"/>
        </w:rPr>
      </w:pPr>
      <w:r>
        <w:rPr>
          <w:lang w:val="en-GB"/>
        </w:rPr>
        <w:t>Shearlaw, M. (2015)</w:t>
      </w:r>
      <w:r w:rsidRPr="00BE553E">
        <w:rPr>
          <w:lang w:val="en-GB"/>
        </w:rPr>
        <w:t xml:space="preserve"> Paris attacks: how far does our global s</w:t>
      </w:r>
      <w:r>
        <w:rPr>
          <w:lang w:val="en-GB"/>
        </w:rPr>
        <w:t xml:space="preserve">olidarity extend? </w:t>
      </w:r>
      <w:r w:rsidRPr="00021575">
        <w:rPr>
          <w:i/>
          <w:lang w:val="en-GB"/>
        </w:rPr>
        <w:t>The Guardian</w:t>
      </w:r>
      <w:r>
        <w:rPr>
          <w:lang w:val="en-GB"/>
        </w:rPr>
        <w:t xml:space="preserve">, 16 </w:t>
      </w:r>
      <w:r w:rsidRPr="00BE553E">
        <w:rPr>
          <w:lang w:val="en-GB"/>
        </w:rPr>
        <w:t>November</w:t>
      </w:r>
      <w:r>
        <w:rPr>
          <w:lang w:val="en-GB"/>
        </w:rPr>
        <w:t xml:space="preserve">, </w:t>
      </w:r>
      <w:r w:rsidRPr="00BE553E">
        <w:rPr>
          <w:lang w:val="en-GB"/>
        </w:rPr>
        <w:t>https://www.theguardian.com/world/2015/nov/16/paris-attacks-global-solidarity-nigeria-kenya</w:t>
      </w:r>
      <w:r>
        <w:rPr>
          <w:lang w:val="en-GB"/>
        </w:rPr>
        <w:t>.</w:t>
      </w:r>
    </w:p>
    <w:p w14:paraId="53F89071" w14:textId="0D06656D" w:rsidR="00814F40" w:rsidRPr="00BE553E" w:rsidRDefault="00814F40" w:rsidP="00E52F0F">
      <w:pPr>
        <w:spacing w:line="360" w:lineRule="auto"/>
        <w:ind w:left="709" w:hanging="709"/>
        <w:jc w:val="both"/>
        <w:rPr>
          <w:lang w:val="en-GB"/>
        </w:rPr>
      </w:pPr>
      <w:r>
        <w:rPr>
          <w:lang w:val="en-GB"/>
        </w:rPr>
        <w:t>Slawson, N. (2015</w:t>
      </w:r>
      <w:r w:rsidRPr="00BE553E">
        <w:rPr>
          <w:lang w:val="en-GB"/>
        </w:rPr>
        <w:t>) Paris attack: venues release p</w:t>
      </w:r>
      <w:r>
        <w:rPr>
          <w:lang w:val="en-GB"/>
        </w:rPr>
        <w:t xml:space="preserve">ublic statements. </w:t>
      </w:r>
      <w:r w:rsidRPr="00021575">
        <w:rPr>
          <w:i/>
          <w:lang w:val="en-GB"/>
        </w:rPr>
        <w:t>The Guardian</w:t>
      </w:r>
      <w:r>
        <w:rPr>
          <w:lang w:val="en-GB"/>
        </w:rPr>
        <w:t xml:space="preserve">, 19 November, </w:t>
      </w:r>
      <w:r w:rsidRPr="00BE553E">
        <w:rPr>
          <w:rFonts w:eastAsia="Arial"/>
          <w:lang w:val="en-GB"/>
        </w:rPr>
        <w:t>https://www.theguardian.com/world/2015/nov/19/paris-attack-public-statements-bataclan-le-carillon</w:t>
      </w:r>
      <w:r w:rsidR="0013725E">
        <w:rPr>
          <w:rFonts w:eastAsiaTheme="majorEastAsia"/>
          <w:lang w:val="en-GB"/>
        </w:rPr>
        <w:t>, accessed 20 May 2016.</w:t>
      </w:r>
    </w:p>
    <w:p w14:paraId="01CA3105" w14:textId="55BD9ECC" w:rsidR="00814F40" w:rsidRPr="00BE553E" w:rsidRDefault="00814F40" w:rsidP="00E52F0F">
      <w:pPr>
        <w:spacing w:line="360" w:lineRule="auto"/>
        <w:ind w:left="709" w:hanging="709"/>
        <w:jc w:val="both"/>
        <w:rPr>
          <w:lang w:val="en-GB"/>
        </w:rPr>
      </w:pPr>
      <w:r>
        <w:rPr>
          <w:rFonts w:eastAsia="Calibri" w:cs="Calibri"/>
          <w:lang w:val="en-GB"/>
        </w:rPr>
        <w:t>Theguardian.com (2010)</w:t>
      </w:r>
      <w:r w:rsidRPr="00A31CF1">
        <w:rPr>
          <w:rFonts w:eastAsia="Calibri" w:cs="Calibri"/>
          <w:lang w:val="en-GB"/>
        </w:rPr>
        <w:t xml:space="preserve"> Demographic profile of Guardian readers. </w:t>
      </w:r>
      <w:r w:rsidRPr="00021575">
        <w:rPr>
          <w:rFonts w:eastAsia="Calibri" w:cs="Calibri"/>
          <w:i/>
          <w:lang w:val="en-GB"/>
        </w:rPr>
        <w:t>The Guardian</w:t>
      </w:r>
      <w:r>
        <w:rPr>
          <w:rFonts w:eastAsia="Calibri" w:cs="Calibri"/>
          <w:lang w:val="en-GB"/>
        </w:rPr>
        <w:t xml:space="preserve">, 30 </w:t>
      </w:r>
      <w:r w:rsidRPr="00A31CF1">
        <w:rPr>
          <w:rFonts w:eastAsia="Calibri" w:cs="Calibri"/>
          <w:lang w:val="en-GB"/>
        </w:rPr>
        <w:t>April</w:t>
      </w:r>
      <w:r>
        <w:rPr>
          <w:rFonts w:eastAsia="Calibri" w:cs="Calibri"/>
          <w:lang w:val="en-GB"/>
        </w:rPr>
        <w:t>,</w:t>
      </w:r>
      <w:r w:rsidRPr="00A31CF1">
        <w:rPr>
          <w:rFonts w:eastAsia="Calibri" w:cs="Calibri"/>
          <w:lang w:val="en-GB"/>
        </w:rPr>
        <w:t xml:space="preserve"> http://www.theguardian.com/advertising/demographic</w:t>
      </w:r>
      <w:r w:rsidR="0013725E">
        <w:rPr>
          <w:rFonts w:eastAsia="Calibri" w:cs="Calibri"/>
          <w:lang w:val="en-GB"/>
        </w:rPr>
        <w:t>-profile-of-guardian-readers</w:t>
      </w:r>
      <w:r w:rsidR="0013725E">
        <w:rPr>
          <w:rFonts w:eastAsiaTheme="majorEastAsia"/>
          <w:lang w:val="en-GB"/>
        </w:rPr>
        <w:t>, accessed 20 May 2016.</w:t>
      </w:r>
    </w:p>
    <w:p w14:paraId="44C74ADB" w14:textId="6BA2A09E" w:rsidR="00814F40" w:rsidRPr="00BE553E" w:rsidRDefault="00814F40" w:rsidP="00E52F0F">
      <w:pPr>
        <w:spacing w:line="360" w:lineRule="auto"/>
        <w:ind w:left="709" w:hanging="709"/>
        <w:jc w:val="both"/>
        <w:rPr>
          <w:lang w:val="en-GB"/>
        </w:rPr>
      </w:pPr>
      <w:r w:rsidRPr="00BE553E">
        <w:rPr>
          <w:lang w:val="en-GB"/>
        </w:rPr>
        <w:t>The Guardian C</w:t>
      </w:r>
      <w:r>
        <w:rPr>
          <w:lang w:val="en-GB"/>
        </w:rPr>
        <w:t xml:space="preserve">ommercial (2016). Our audience. </w:t>
      </w:r>
      <w:r w:rsidRPr="00021575">
        <w:rPr>
          <w:i/>
          <w:lang w:val="en-GB"/>
        </w:rPr>
        <w:t>The Guardian</w:t>
      </w:r>
      <w:r>
        <w:rPr>
          <w:lang w:val="en-GB"/>
        </w:rPr>
        <w:t xml:space="preserve">, </w:t>
      </w:r>
      <w:r w:rsidRPr="00BE553E">
        <w:rPr>
          <w:lang w:val="en-GB"/>
        </w:rPr>
        <w:t>http://advertis</w:t>
      </w:r>
      <w:r w:rsidR="0013725E">
        <w:rPr>
          <w:lang w:val="en-GB"/>
        </w:rPr>
        <w:t>ing.theguardian.com/audience</w:t>
      </w:r>
      <w:r w:rsidR="0013725E">
        <w:rPr>
          <w:rFonts w:eastAsiaTheme="majorEastAsia"/>
          <w:lang w:val="en-GB"/>
        </w:rPr>
        <w:t>, accessed 20 May 2016.</w:t>
      </w:r>
    </w:p>
    <w:p w14:paraId="2C8F9CB0" w14:textId="58B2C432" w:rsidR="00814F40" w:rsidRDefault="00814F40" w:rsidP="00E52F0F">
      <w:pPr>
        <w:spacing w:line="360" w:lineRule="auto"/>
        <w:ind w:left="709" w:hanging="709"/>
        <w:jc w:val="both"/>
        <w:rPr>
          <w:lang w:val="en-GB"/>
        </w:rPr>
      </w:pPr>
      <w:r w:rsidRPr="00BE553E">
        <w:rPr>
          <w:lang w:val="en-GB"/>
        </w:rPr>
        <w:t>The men who attacked Paris: p</w:t>
      </w:r>
      <w:r>
        <w:rPr>
          <w:lang w:val="en-GB"/>
        </w:rPr>
        <w:t>rofile of a terror cell. (2016).</w:t>
      </w:r>
      <w:r w:rsidRPr="00021575">
        <w:rPr>
          <w:i/>
          <w:lang w:val="en-GB"/>
        </w:rPr>
        <w:t xml:space="preserve"> The Guardian</w:t>
      </w:r>
      <w:r>
        <w:rPr>
          <w:lang w:val="en-GB"/>
        </w:rPr>
        <w:t xml:space="preserve">, 18 March, </w:t>
      </w:r>
      <w:r w:rsidRPr="00B81DAB">
        <w:rPr>
          <w:lang w:val="en-GB"/>
        </w:rPr>
        <w:t>http://www.theguardian.com/world/ng-interactive/2015/nov/16/men-who-attacked-paris-profile-terror-cell</w:t>
      </w:r>
      <w:r w:rsidR="0013725E">
        <w:rPr>
          <w:rFonts w:eastAsiaTheme="majorEastAsia"/>
          <w:lang w:val="en-GB"/>
        </w:rPr>
        <w:t>, accessed 20 May 2016.</w:t>
      </w:r>
    </w:p>
    <w:p w14:paraId="1C7AD059" w14:textId="4F85769E" w:rsidR="00814F40" w:rsidRPr="00B81DAB" w:rsidRDefault="00814F40" w:rsidP="00E52F0F">
      <w:pPr>
        <w:spacing w:line="360" w:lineRule="auto"/>
        <w:ind w:left="709" w:hanging="709"/>
        <w:jc w:val="both"/>
        <w:rPr>
          <w:lang w:val="en-GB"/>
        </w:rPr>
      </w:pPr>
      <w:r>
        <w:rPr>
          <w:lang w:val="en-GB"/>
        </w:rPr>
        <w:t>Walker, P. (2015</w:t>
      </w:r>
      <w:r w:rsidRPr="00BE553E">
        <w:rPr>
          <w:lang w:val="en-GB"/>
        </w:rPr>
        <w:t>) First victims of Paris terr</w:t>
      </w:r>
      <w:r>
        <w:rPr>
          <w:lang w:val="en-GB"/>
        </w:rPr>
        <w:t xml:space="preserve">or attacks named. </w:t>
      </w:r>
      <w:r w:rsidRPr="00021575">
        <w:rPr>
          <w:i/>
          <w:lang w:val="en-GB"/>
        </w:rPr>
        <w:t>The Guardian</w:t>
      </w:r>
      <w:r>
        <w:rPr>
          <w:lang w:val="en-GB"/>
        </w:rPr>
        <w:t xml:space="preserve">, 14 November, </w:t>
      </w:r>
      <w:r w:rsidRPr="00BE553E">
        <w:rPr>
          <w:lang w:val="en-GB"/>
        </w:rPr>
        <w:t>https://www.theguardian.com/world/2015/nov/14/paris-attacks-victims-little-known-12-hours-after</w:t>
      </w:r>
      <w:r w:rsidR="0013725E">
        <w:rPr>
          <w:rFonts w:eastAsiaTheme="majorEastAsia"/>
          <w:lang w:val="en-GB"/>
        </w:rPr>
        <w:t>, accessed 20 May 2016.</w:t>
      </w:r>
    </w:p>
    <w:p w14:paraId="2E97B9F4" w14:textId="581E6D7E" w:rsidR="00814F40" w:rsidRPr="00BE553E" w:rsidRDefault="00814F40" w:rsidP="00E52F0F">
      <w:pPr>
        <w:spacing w:line="360" w:lineRule="auto"/>
        <w:ind w:left="709" w:hanging="709"/>
        <w:jc w:val="both"/>
        <w:rPr>
          <w:lang w:val="en-GB"/>
        </w:rPr>
      </w:pPr>
      <w:r w:rsidRPr="00BE553E">
        <w:rPr>
          <w:lang w:val="en-GB"/>
        </w:rPr>
        <w:lastRenderedPageBreak/>
        <w:t>W</w:t>
      </w:r>
      <w:r>
        <w:rPr>
          <w:lang w:val="en-GB"/>
        </w:rPr>
        <w:t>alker, P. (2015</w:t>
      </w:r>
      <w:r w:rsidRPr="00BE553E">
        <w:rPr>
          <w:lang w:val="en-GB"/>
        </w:rPr>
        <w:t>) Indiscriminate nature of Paris attacks clear in ident</w:t>
      </w:r>
      <w:r>
        <w:rPr>
          <w:lang w:val="en-GB"/>
        </w:rPr>
        <w:t xml:space="preserve">ities of victims. </w:t>
      </w:r>
      <w:r w:rsidRPr="00021575">
        <w:rPr>
          <w:i/>
          <w:lang w:val="en-GB"/>
        </w:rPr>
        <w:t>The Guardian</w:t>
      </w:r>
      <w:r>
        <w:rPr>
          <w:lang w:val="en-GB"/>
        </w:rPr>
        <w:t xml:space="preserve">, 16 November, </w:t>
      </w:r>
      <w:r w:rsidRPr="00BE553E">
        <w:rPr>
          <w:lang w:val="en-GB"/>
        </w:rPr>
        <w:t>https://www.theguardian.com/world/2015/nov/16/paris-attack-victims-bataclan-belle-equipe-petit-cambodge</w:t>
      </w:r>
      <w:r w:rsidR="0013725E">
        <w:rPr>
          <w:rFonts w:eastAsiaTheme="majorEastAsia"/>
          <w:lang w:val="en-GB"/>
        </w:rPr>
        <w:t>, accessed 20 May 2016.</w:t>
      </w:r>
    </w:p>
    <w:p w14:paraId="0DC59465" w14:textId="6AF9C5B1" w:rsidR="00814F40" w:rsidRPr="00BE553E" w:rsidRDefault="00814F40" w:rsidP="00E52F0F">
      <w:pPr>
        <w:spacing w:line="360" w:lineRule="auto"/>
        <w:ind w:left="709" w:hanging="709"/>
        <w:jc w:val="both"/>
        <w:rPr>
          <w:lang w:val="en-GB"/>
        </w:rPr>
      </w:pPr>
      <w:r>
        <w:rPr>
          <w:lang w:val="en-GB"/>
        </w:rPr>
        <w:t>Willsher, K. (2015</w:t>
      </w:r>
      <w:r w:rsidRPr="00BE553E">
        <w:rPr>
          <w:lang w:val="en-GB"/>
        </w:rPr>
        <w:t>) Attack at Paris’s Bataclan: ‘two or three men began shooting b</w:t>
      </w:r>
      <w:r>
        <w:rPr>
          <w:lang w:val="en-GB"/>
        </w:rPr>
        <w:t xml:space="preserve">lindly at crowd’. </w:t>
      </w:r>
      <w:r w:rsidRPr="00021575">
        <w:rPr>
          <w:i/>
          <w:lang w:val="en-GB"/>
        </w:rPr>
        <w:t>The</w:t>
      </w:r>
      <w:r>
        <w:rPr>
          <w:lang w:val="en-GB"/>
        </w:rPr>
        <w:t xml:space="preserve"> </w:t>
      </w:r>
      <w:r w:rsidRPr="00021575">
        <w:rPr>
          <w:i/>
          <w:lang w:val="en-GB"/>
        </w:rPr>
        <w:t>Guardian</w:t>
      </w:r>
      <w:r>
        <w:rPr>
          <w:lang w:val="en-GB"/>
        </w:rPr>
        <w:t xml:space="preserve">, 14 November, </w:t>
      </w:r>
      <w:r w:rsidRPr="00BE553E">
        <w:rPr>
          <w:lang w:val="en-GB"/>
        </w:rPr>
        <w:t>https://www.theguardian.com/world/2015/nov/14/paris-attacks-bataclan-concert-hall</w:t>
      </w:r>
      <w:r w:rsidR="0013725E">
        <w:rPr>
          <w:rFonts w:eastAsiaTheme="majorEastAsia"/>
          <w:lang w:val="en-GB"/>
        </w:rPr>
        <w:t>, accessed 20 May 2016.</w:t>
      </w:r>
    </w:p>
    <w:p w14:paraId="6FDA967E" w14:textId="66E79BB7" w:rsidR="00814F40" w:rsidRPr="00BE553E" w:rsidRDefault="00814F40" w:rsidP="00E52F0F">
      <w:pPr>
        <w:spacing w:line="360" w:lineRule="auto"/>
        <w:ind w:left="709" w:hanging="709"/>
        <w:jc w:val="both"/>
        <w:rPr>
          <w:lang w:val="en-GB"/>
        </w:rPr>
      </w:pPr>
      <w:r>
        <w:rPr>
          <w:lang w:val="en-GB"/>
        </w:rPr>
        <w:t>Willsher, K. (2015</w:t>
      </w:r>
      <w:r w:rsidRPr="00BE553E">
        <w:rPr>
          <w:lang w:val="en-GB"/>
        </w:rPr>
        <w:t>) Hasna Aït Boulahcen: ‘party girl’ killed in Pa</w:t>
      </w:r>
      <w:r>
        <w:rPr>
          <w:lang w:val="en-GB"/>
        </w:rPr>
        <w:t xml:space="preserve">ris terror siege. </w:t>
      </w:r>
      <w:r w:rsidRPr="00021575">
        <w:rPr>
          <w:i/>
          <w:lang w:val="en-GB"/>
        </w:rPr>
        <w:t>The Guardian</w:t>
      </w:r>
      <w:r>
        <w:rPr>
          <w:lang w:val="en-GB"/>
        </w:rPr>
        <w:t xml:space="preserve">, 20 November, </w:t>
      </w:r>
      <w:r w:rsidRPr="00BE553E">
        <w:rPr>
          <w:rFonts w:eastAsia="Arial"/>
          <w:lang w:val="en-GB"/>
        </w:rPr>
        <w:t>https://www.theguardian.com/world/2015/nov/20/hasna-ait-boulahcen-party-girl-who-became-paris-suicide-bomber</w:t>
      </w:r>
      <w:r w:rsidR="0013725E">
        <w:rPr>
          <w:rFonts w:eastAsiaTheme="majorEastAsia"/>
          <w:lang w:val="en-GB"/>
        </w:rPr>
        <w:t>, accessed 20 May 2016.</w:t>
      </w:r>
    </w:p>
    <w:p w14:paraId="2FCC5BA2" w14:textId="61DEF707" w:rsidR="00814F40" w:rsidRPr="00B81DAB" w:rsidRDefault="00814F40" w:rsidP="00E52F0F">
      <w:pPr>
        <w:spacing w:line="360" w:lineRule="auto"/>
        <w:ind w:left="709" w:hanging="709"/>
        <w:jc w:val="both"/>
        <w:rPr>
          <w:lang w:val="en-GB"/>
        </w:rPr>
      </w:pPr>
      <w:r w:rsidRPr="00BE553E">
        <w:rPr>
          <w:lang w:val="en-GB"/>
        </w:rPr>
        <w:t>Willsher, K., Harding, L</w:t>
      </w:r>
      <w:r>
        <w:rPr>
          <w:lang w:val="en-GB"/>
        </w:rPr>
        <w:t>. and Graham-Harrison, E. (2015</w:t>
      </w:r>
      <w:r w:rsidRPr="00BE553E">
        <w:rPr>
          <w:lang w:val="en-GB"/>
        </w:rPr>
        <w:t xml:space="preserve">) Sorrow, despair and anger as Paris absorbs aftermath of terror attacks. </w:t>
      </w:r>
      <w:r w:rsidRPr="00021575">
        <w:rPr>
          <w:i/>
          <w:iCs/>
          <w:lang w:val="en-GB"/>
        </w:rPr>
        <w:t>The Guardian</w:t>
      </w:r>
      <w:r>
        <w:rPr>
          <w:lang w:val="en-GB"/>
        </w:rPr>
        <w:t xml:space="preserve">, 16 November, </w:t>
      </w:r>
      <w:r w:rsidRPr="00BE553E">
        <w:rPr>
          <w:lang w:val="en-GB"/>
        </w:rPr>
        <w:t>https://www.theguardian.com/world/2015/nov/16/paris-terror-attacks-france-sorrow-anger-despair</w:t>
      </w:r>
      <w:r w:rsidR="0013725E">
        <w:rPr>
          <w:rFonts w:eastAsiaTheme="majorEastAsia"/>
          <w:lang w:val="en-GB"/>
        </w:rPr>
        <w:t>, accessed 20 May 2016.</w:t>
      </w:r>
    </w:p>
    <w:sectPr w:rsidR="00814F40" w:rsidRPr="00B81DAB" w:rsidSect="00DF5C20">
      <w:headerReference w:type="even" r:id="rId14"/>
      <w:headerReference w:type="default" r:id="rId15"/>
      <w:pgSz w:w="11906" w:h="16838"/>
      <w:pgMar w:top="1417" w:right="1417" w:bottom="1417" w:left="1417" w:header="708" w:footer="708" w:gutter="0"/>
      <w:pgNumType w:start="1"/>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5518A5" w14:textId="77777777" w:rsidR="00802514" w:rsidRDefault="00802514" w:rsidP="00B549D5">
      <w:pPr>
        <w:spacing w:after="0" w:line="240" w:lineRule="auto"/>
      </w:pPr>
      <w:r>
        <w:separator/>
      </w:r>
    </w:p>
  </w:endnote>
  <w:endnote w:type="continuationSeparator" w:id="0">
    <w:p w14:paraId="4ADD15CD" w14:textId="77777777" w:rsidR="00802514" w:rsidRDefault="00802514" w:rsidP="00B549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Light">
    <w:panose1 w:val="020F0302020204030204"/>
    <w:charset w:val="00"/>
    <w:family w:val="auto"/>
    <w:pitch w:val="variable"/>
    <w:sig w:usb0="A00002EF" w:usb1="4000207B" w:usb2="00000000" w:usb3="00000000" w:csb0="0000019F" w:csb1="00000000"/>
  </w:font>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Segoe UI">
    <w:charset w:val="00"/>
    <w:family w:val="swiss"/>
    <w:pitch w:val="variable"/>
    <w:sig w:usb0="E10022FF" w:usb1="C000E47F" w:usb2="00000029" w:usb3="00000000" w:csb0="000001DF" w:csb1="00000000"/>
  </w:font>
  <w:font w:name="Arial">
    <w:panose1 w:val="020B0604020202020204"/>
    <w:charset w:val="00"/>
    <w:family w:val="auto"/>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8C669B" w14:textId="77777777" w:rsidR="00802514" w:rsidRDefault="00802514" w:rsidP="00B549D5">
      <w:pPr>
        <w:spacing w:after="0" w:line="240" w:lineRule="auto"/>
      </w:pPr>
      <w:r>
        <w:separator/>
      </w:r>
    </w:p>
  </w:footnote>
  <w:footnote w:type="continuationSeparator" w:id="0">
    <w:p w14:paraId="539CC371" w14:textId="77777777" w:rsidR="00802514" w:rsidRDefault="00802514" w:rsidP="00B549D5">
      <w:pPr>
        <w:spacing w:after="0" w:line="240" w:lineRule="auto"/>
      </w:pPr>
      <w:r>
        <w:continuationSeparator/>
      </w:r>
    </w:p>
  </w:footnote>
  <w:footnote w:id="1">
    <w:p w14:paraId="0E4A700E" w14:textId="77777777" w:rsidR="00680AB6" w:rsidRPr="00F4328D" w:rsidRDefault="00680AB6" w:rsidP="00934967">
      <w:pPr>
        <w:pStyle w:val="FootnoteText"/>
        <w:spacing w:after="0"/>
        <w:jc w:val="both"/>
        <w:rPr>
          <w:lang w:val="en-GB"/>
        </w:rPr>
      </w:pPr>
      <w:r w:rsidRPr="00F4328D">
        <w:rPr>
          <w:rStyle w:val="FootnoteReference"/>
          <w:lang w:val="en-GB"/>
        </w:rPr>
        <w:footnoteRef/>
      </w:r>
      <w:r w:rsidRPr="00F4328D">
        <w:rPr>
          <w:lang w:val="en-GB"/>
        </w:rPr>
        <w:t xml:space="preserve"> For example, the most read international English language newspapers, namely the Daily Mail, the New York Times, and the Guardian, published respectively two, three, and three articles on the Beirut bombings, whereas all three published over hundred articles on Paris.</w:t>
      </w:r>
    </w:p>
  </w:footnote>
  <w:footnote w:id="2">
    <w:p w14:paraId="1174EDE6" w14:textId="323B1CDC" w:rsidR="00680AB6" w:rsidRPr="00F4328D" w:rsidRDefault="00680AB6" w:rsidP="00934967">
      <w:pPr>
        <w:pStyle w:val="FootnoteText"/>
        <w:spacing w:after="0"/>
        <w:jc w:val="both"/>
        <w:rPr>
          <w:lang w:val="en-GB"/>
        </w:rPr>
      </w:pPr>
      <w:r w:rsidRPr="00F4328D">
        <w:rPr>
          <w:rStyle w:val="FootnoteReference"/>
          <w:lang w:val="en-GB"/>
        </w:rPr>
        <w:footnoteRef/>
      </w:r>
      <w:r w:rsidRPr="00F4328D">
        <w:rPr>
          <w:lang w:val="en-GB"/>
        </w:rPr>
        <w:t xml:space="preserve"> The Anglosphere is a set of states where English is the official and majority language and which have a similar cultural heritage that is based on a part of their ancestors bein</w:t>
      </w:r>
      <w:r>
        <w:rPr>
          <w:lang w:val="en-GB"/>
        </w:rPr>
        <w:t>g migrants of the British Isles</w:t>
      </w:r>
      <w:r w:rsidRPr="00F4328D">
        <w:rPr>
          <w:lang w:val="en-GB"/>
        </w:rPr>
        <w:t>. Although the states that are included vary per source, in this dissertation the term is used in the most restricted sense, referring to the United Kingdom, Ireland, the United States, Canada, Australia, and New Zealand.</w:t>
      </w:r>
    </w:p>
  </w:footnote>
  <w:footnote w:id="3">
    <w:p w14:paraId="5AAAC840" w14:textId="6172252C" w:rsidR="00680AB6" w:rsidRPr="00F4328D" w:rsidRDefault="00680AB6" w:rsidP="00934967">
      <w:pPr>
        <w:pStyle w:val="FootnoteText"/>
        <w:spacing w:after="0"/>
        <w:jc w:val="both"/>
      </w:pPr>
      <w:r w:rsidRPr="00F4328D">
        <w:rPr>
          <w:rStyle w:val="FootnoteReference"/>
        </w:rPr>
        <w:footnoteRef/>
      </w:r>
      <w:r w:rsidRPr="00F4328D">
        <w:t xml:space="preserve"> As is the case with many authors in this thesis, Foucault included, Arendt assumed a male subject. Although I firmly disagree with this assumption, the fact that it was an assumption should not be ignored. Hence, I have decided not to alter any of the quotations to make them gender neutral.</w:t>
      </w:r>
    </w:p>
  </w:footnote>
  <w:footnote w:id="4">
    <w:p w14:paraId="51B5BF10" w14:textId="77777777" w:rsidR="00680AB6" w:rsidRPr="00F4328D" w:rsidRDefault="00680AB6" w:rsidP="00934967">
      <w:pPr>
        <w:pStyle w:val="FootnoteText"/>
        <w:spacing w:after="0"/>
        <w:jc w:val="both"/>
        <w:rPr>
          <w:lang w:val="en-GB"/>
        </w:rPr>
      </w:pPr>
      <w:r w:rsidRPr="00F4328D">
        <w:rPr>
          <w:rStyle w:val="FootnoteReference"/>
          <w:lang w:val="en-GB"/>
        </w:rPr>
        <w:footnoteRef/>
      </w:r>
      <w:r w:rsidRPr="00F4328D">
        <w:rPr>
          <w:lang w:val="en-GB"/>
        </w:rPr>
        <w:t xml:space="preserve"> For an overview of this discussion, see Rabinow, 1984, and Hoy, 1986.</w:t>
      </w:r>
    </w:p>
  </w:footnote>
  <w:footnote w:id="5">
    <w:p w14:paraId="1943A0D4" w14:textId="5AF16036" w:rsidR="00680AB6" w:rsidRPr="00F4328D" w:rsidRDefault="00680AB6" w:rsidP="00934967">
      <w:pPr>
        <w:pStyle w:val="FootnoteText"/>
        <w:spacing w:after="0"/>
        <w:jc w:val="both"/>
        <w:rPr>
          <w:lang w:val="en-GB"/>
        </w:rPr>
      </w:pPr>
      <w:r w:rsidRPr="00F4328D">
        <w:rPr>
          <w:rStyle w:val="FootnoteReference"/>
          <w:lang w:val="en-GB"/>
        </w:rPr>
        <w:footnoteRef/>
      </w:r>
      <w:r w:rsidRPr="00F4328D">
        <w:rPr>
          <w:lang w:val="en-GB"/>
        </w:rPr>
        <w:t xml:space="preserve"> For a discussion of critiques of Foucault not covered in this thesis, see e.g. Hoy (1986), Nealon (2008), and McNay (1994).</w:t>
      </w:r>
    </w:p>
  </w:footnote>
  <w:footnote w:id="6">
    <w:p w14:paraId="527DA886" w14:textId="112AC162" w:rsidR="00680AB6" w:rsidRPr="00F4328D" w:rsidRDefault="00680AB6" w:rsidP="00934967">
      <w:pPr>
        <w:spacing w:after="0" w:line="240" w:lineRule="auto"/>
        <w:jc w:val="both"/>
        <w:rPr>
          <w:sz w:val="20"/>
          <w:szCs w:val="20"/>
          <w:lang w:val="en-GB"/>
        </w:rPr>
      </w:pPr>
      <w:r w:rsidRPr="00F4328D">
        <w:rPr>
          <w:sz w:val="20"/>
          <w:szCs w:val="20"/>
          <w:vertAlign w:val="superscript"/>
          <w:lang w:val="en-GB"/>
        </w:rPr>
        <w:footnoteRef/>
      </w:r>
      <w:r w:rsidRPr="00F4328D">
        <w:rPr>
          <w:sz w:val="20"/>
          <w:szCs w:val="20"/>
          <w:lang w:val="en-GB"/>
        </w:rPr>
        <w:t xml:space="preserve"> For a further selection of works concerned with this discussion, see Taylor (1984), Patton (2006), Prozorov (2013), and Oksala (2009). </w:t>
      </w:r>
    </w:p>
  </w:footnote>
  <w:footnote w:id="7">
    <w:p w14:paraId="737B5F94" w14:textId="1AE24F40" w:rsidR="00680AB6" w:rsidRPr="00F4328D" w:rsidRDefault="00680AB6" w:rsidP="00934967">
      <w:pPr>
        <w:pStyle w:val="FootnoteText"/>
        <w:spacing w:after="0"/>
        <w:jc w:val="both"/>
        <w:rPr>
          <w:lang w:val="en-GB"/>
        </w:rPr>
      </w:pPr>
      <w:r w:rsidRPr="00F4328D">
        <w:rPr>
          <w:rStyle w:val="FootnoteReference"/>
          <w:lang w:val="en-GB"/>
        </w:rPr>
        <w:footnoteRef/>
      </w:r>
      <w:r w:rsidRPr="00F4328D">
        <w:rPr>
          <w:lang w:val="en-GB"/>
        </w:rPr>
        <w:t xml:space="preserve"> A large percentage of the readers probably uses both mobile and desktop to visit the Guardian, allowing for the added percentage to be above 100.</w:t>
      </w:r>
    </w:p>
  </w:footnote>
  <w:footnote w:id="8">
    <w:p w14:paraId="3216020F" w14:textId="7E97E052" w:rsidR="00680AB6" w:rsidRPr="00F4328D" w:rsidRDefault="00680AB6" w:rsidP="00934967">
      <w:pPr>
        <w:pStyle w:val="FootnoteText"/>
        <w:spacing w:after="0"/>
        <w:jc w:val="both"/>
        <w:rPr>
          <w:lang w:val="en-GB"/>
        </w:rPr>
      </w:pPr>
      <w:r w:rsidRPr="00F4328D">
        <w:rPr>
          <w:rStyle w:val="FootnoteReference"/>
          <w:lang w:val="en-GB"/>
        </w:rPr>
        <w:footnoteRef/>
      </w:r>
      <w:r w:rsidRPr="00F4328D">
        <w:rPr>
          <w:lang w:val="en-GB"/>
        </w:rPr>
        <w:t xml:space="preserve"> Of these users, 125 were located in Africa, 155 in the Middle East, 278 in Central/Latin America, 2,085 in Asia Pacific, 5,002 in North America, and 6,865 in Europe (‘Global Profiling Study’, 2015, slide 28).</w:t>
      </w:r>
    </w:p>
  </w:footnote>
  <w:footnote w:id="9">
    <w:p w14:paraId="5ED0E086" w14:textId="7081484F" w:rsidR="00680AB6" w:rsidRPr="00F4328D" w:rsidRDefault="00680AB6" w:rsidP="00934967">
      <w:pPr>
        <w:pStyle w:val="FootnoteText"/>
        <w:spacing w:after="0"/>
        <w:jc w:val="both"/>
        <w:rPr>
          <w:lang w:val="en-GB"/>
        </w:rPr>
      </w:pPr>
      <w:r w:rsidRPr="00F4328D">
        <w:rPr>
          <w:rStyle w:val="FootnoteReference"/>
          <w:lang w:val="en-GB"/>
        </w:rPr>
        <w:footnoteRef/>
      </w:r>
      <w:r w:rsidRPr="00F4328D">
        <w:rPr>
          <w:lang w:val="en-GB"/>
        </w:rPr>
        <w:t xml:space="preserve"> TEA stands for terminal education age.</w:t>
      </w:r>
    </w:p>
  </w:footnote>
  <w:footnote w:id="10">
    <w:p w14:paraId="6894920F" w14:textId="77777777" w:rsidR="00680AB6" w:rsidRPr="00F4328D" w:rsidRDefault="00680AB6" w:rsidP="00934967">
      <w:pPr>
        <w:pStyle w:val="FootnoteText"/>
        <w:spacing w:after="0"/>
        <w:jc w:val="both"/>
      </w:pPr>
      <w:r w:rsidRPr="00F4328D">
        <w:rPr>
          <w:rStyle w:val="FootnoteReference"/>
        </w:rPr>
        <w:footnoteRef/>
      </w:r>
      <w:r w:rsidRPr="00F4328D">
        <w:t xml:space="preserve"> The words the title should include in case of the Paris attacks were ‘Paris’ or a clear demarcation of the location of the attacks, such as ‘French capital’ or ‘Bataclan’, and ‘attacks’ or a clear demarcation for the attacks, for example ‘shootings’, ‘bombing’, or ‘assault’. The latter was the same for the Beirut attacks, in combination with words clearly demarcating the location of the attacks, such as ‘Beirut’, ‘Lebanese capital’, or ‘Burj al-Barajneh’.</w:t>
      </w:r>
    </w:p>
  </w:footnote>
  <w:footnote w:id="11">
    <w:p w14:paraId="24D5AA73" w14:textId="43215DE6" w:rsidR="00680AB6" w:rsidRPr="00F4328D" w:rsidRDefault="00680AB6" w:rsidP="00934967">
      <w:pPr>
        <w:pStyle w:val="FootnoteText"/>
        <w:spacing w:after="0"/>
        <w:jc w:val="both"/>
        <w:rPr>
          <w:lang w:val="en-GB"/>
        </w:rPr>
      </w:pPr>
      <w:r w:rsidRPr="00F4328D">
        <w:rPr>
          <w:rStyle w:val="FootnoteReference"/>
          <w:lang w:val="en-GB"/>
        </w:rPr>
        <w:footnoteRef/>
      </w:r>
      <w:r w:rsidRPr="00F4328D">
        <w:rPr>
          <w:lang w:val="en-GB"/>
        </w:rPr>
        <w:t xml:space="preserve"> There was no separate topic created by the Guardian about the Beirut attacks. I elaborate on this difference in section 5.6.1.</w:t>
      </w:r>
    </w:p>
  </w:footnote>
  <w:footnote w:id="12">
    <w:p w14:paraId="428280D8" w14:textId="5AF57F03" w:rsidR="00680AB6" w:rsidRPr="00F4328D" w:rsidRDefault="00680AB6" w:rsidP="00934967">
      <w:pPr>
        <w:pStyle w:val="FootnoteText"/>
        <w:spacing w:after="0"/>
        <w:jc w:val="both"/>
        <w:rPr>
          <w:lang w:val="en-GB"/>
        </w:rPr>
      </w:pPr>
      <w:r w:rsidRPr="00F4328D">
        <w:rPr>
          <w:rStyle w:val="FootnoteReference"/>
          <w:lang w:val="en-GB"/>
        </w:rPr>
        <w:footnoteRef/>
      </w:r>
      <w:r w:rsidRPr="00F4328D">
        <w:rPr>
          <w:lang w:val="en-GB"/>
        </w:rPr>
        <w:t xml:space="preserve"> News from the Guardian website can be shared via one’s Facebook, Twitter, e-mail, LinkedIn, Google Plus, WhatsApp, or Messenger account by using the respective buttons for each on the webpage one is visiting.</w:t>
      </w:r>
    </w:p>
  </w:footnote>
  <w:footnote w:id="13">
    <w:p w14:paraId="14F46184" w14:textId="314CB1E7" w:rsidR="00680AB6" w:rsidRPr="00F4328D" w:rsidRDefault="00680AB6" w:rsidP="00934967">
      <w:pPr>
        <w:pStyle w:val="FootnoteText"/>
        <w:spacing w:after="0"/>
        <w:jc w:val="both"/>
        <w:rPr>
          <w:lang w:val="en-GB"/>
        </w:rPr>
      </w:pPr>
      <w:r w:rsidRPr="00F4328D">
        <w:rPr>
          <w:rStyle w:val="FootnoteReference"/>
          <w:lang w:val="en-GB"/>
        </w:rPr>
        <w:footnoteRef/>
      </w:r>
      <w:r w:rsidRPr="00F4328D">
        <w:rPr>
          <w:lang w:val="en-GB"/>
        </w:rPr>
        <w:t xml:space="preserve"> </w:t>
      </w:r>
      <w:r w:rsidRPr="00F4328D">
        <w:rPr>
          <w:rFonts w:eastAsia="Calibri" w:cs="Calibri"/>
          <w:lang w:val="en-GB"/>
        </w:rPr>
        <w:t>Between the sixth and the seventh a gap appeared in the number of shares: the seventh most shared article was shared 3,837 times, making a difference of 4,774 shares, which I why I choose to focus on the six most shared articles.</w:t>
      </w:r>
    </w:p>
  </w:footnote>
  <w:footnote w:id="14">
    <w:p w14:paraId="1247ED5B" w14:textId="7D89A4D8" w:rsidR="00680AB6" w:rsidRPr="00F4328D" w:rsidRDefault="00680AB6" w:rsidP="00934967">
      <w:pPr>
        <w:pStyle w:val="FootnoteText"/>
        <w:spacing w:after="0"/>
        <w:jc w:val="both"/>
        <w:rPr>
          <w:lang w:val="en-GB"/>
        </w:rPr>
      </w:pPr>
      <w:r w:rsidRPr="00F4328D">
        <w:rPr>
          <w:rStyle w:val="FootnoteReference"/>
          <w:lang w:val="en-GB"/>
        </w:rPr>
        <w:footnoteRef/>
      </w:r>
      <w:r w:rsidRPr="00F4328D">
        <w:rPr>
          <w:lang w:val="en-GB"/>
        </w:rPr>
        <w:t xml:space="preserve"> The Granger Causality Test is a test for statistical hypothesis concerned with prediction. The thought behind it is the following: if past values of X can predict the present values of Y, signal X is considered to Granger-cause signal Y (Roy, 2015).</w:t>
      </w:r>
    </w:p>
  </w:footnote>
  <w:footnote w:id="15">
    <w:p w14:paraId="791388AD" w14:textId="0E7398A3" w:rsidR="00680AB6" w:rsidRPr="00F4328D" w:rsidRDefault="00680AB6" w:rsidP="00934967">
      <w:pPr>
        <w:pStyle w:val="FootnoteText"/>
        <w:spacing w:after="0"/>
        <w:jc w:val="both"/>
        <w:rPr>
          <w:lang w:val="en-GB"/>
        </w:rPr>
      </w:pPr>
      <w:r w:rsidRPr="00F4328D">
        <w:rPr>
          <w:rStyle w:val="FootnoteReference"/>
          <w:lang w:val="en-GB"/>
        </w:rPr>
        <w:footnoteRef/>
      </w:r>
      <w:r w:rsidRPr="00F4328D">
        <w:rPr>
          <w:lang w:val="en-GB"/>
        </w:rPr>
        <w:t xml:space="preserve"> In the case of Paris, the word cloud also includes the live blog analysed for the fine analysis.</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75968904"/>
      <w:docPartObj>
        <w:docPartGallery w:val="Page Numbers (Top of Page)"/>
        <w:docPartUnique/>
      </w:docPartObj>
    </w:sdtPr>
    <w:sdtEndPr>
      <w:rPr>
        <w:noProof/>
      </w:rPr>
    </w:sdtEndPr>
    <w:sdtContent>
      <w:p w14:paraId="50A15088" w14:textId="7F17D9B9" w:rsidR="00680AB6" w:rsidRDefault="00680AB6">
        <w:pPr>
          <w:pStyle w:val="Header"/>
        </w:pPr>
        <w:r>
          <w:fldChar w:fldCharType="begin"/>
        </w:r>
        <w:r>
          <w:instrText xml:space="preserve"> PAGE   \* MERGEFORMAT </w:instrText>
        </w:r>
        <w:r>
          <w:fldChar w:fldCharType="separate"/>
        </w:r>
        <w:r w:rsidR="00B61E3B">
          <w:rPr>
            <w:noProof/>
          </w:rPr>
          <w:t>2</w:t>
        </w:r>
        <w:r>
          <w:rPr>
            <w:noProof/>
          </w:rPr>
          <w:fldChar w:fldCharType="end"/>
        </w:r>
      </w:p>
    </w:sdtContent>
  </w:sdt>
  <w:p w14:paraId="2E0E58D8" w14:textId="77777777" w:rsidR="00680AB6" w:rsidRDefault="00680AB6">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17581417"/>
      <w:docPartObj>
        <w:docPartGallery w:val="Page Numbers (Top of Page)"/>
        <w:docPartUnique/>
      </w:docPartObj>
    </w:sdtPr>
    <w:sdtEndPr>
      <w:rPr>
        <w:noProof/>
      </w:rPr>
    </w:sdtEndPr>
    <w:sdtContent>
      <w:p w14:paraId="775CF733" w14:textId="240349FF" w:rsidR="00680AB6" w:rsidRDefault="00680AB6">
        <w:pPr>
          <w:pStyle w:val="Header"/>
          <w:jc w:val="right"/>
        </w:pPr>
        <w:r>
          <w:fldChar w:fldCharType="begin"/>
        </w:r>
        <w:r>
          <w:instrText xml:space="preserve"> PAGE   \* MERGEFORMAT </w:instrText>
        </w:r>
        <w:r>
          <w:fldChar w:fldCharType="separate"/>
        </w:r>
        <w:r w:rsidR="00B61E3B">
          <w:rPr>
            <w:noProof/>
          </w:rPr>
          <w:t>99</w:t>
        </w:r>
        <w:r>
          <w:rPr>
            <w:noProof/>
          </w:rPr>
          <w:fldChar w:fldCharType="end"/>
        </w:r>
      </w:p>
    </w:sdtContent>
  </w:sdt>
  <w:p w14:paraId="11DA9E85" w14:textId="77777777" w:rsidR="00680AB6" w:rsidRDefault="00680AB6">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736187"/>
    <w:multiLevelType w:val="hybridMultilevel"/>
    <w:tmpl w:val="FEFA6B6A"/>
    <w:lvl w:ilvl="0" w:tplc="D79C28A8">
      <w:start w:val="1"/>
      <w:numFmt w:val="decimal"/>
      <w:lvlText w:val="%1."/>
      <w:lvlJc w:val="left"/>
      <w:pPr>
        <w:ind w:left="720" w:hanging="360"/>
      </w:pPr>
      <w:rPr>
        <w:rFonts w:asciiTheme="majorHAnsi" w:hAnsiTheme="majorHAnsi"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nsid w:val="02AD501E"/>
    <w:multiLevelType w:val="multilevel"/>
    <w:tmpl w:val="BB342CA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nsid w:val="0A371C8A"/>
    <w:multiLevelType w:val="hybridMultilevel"/>
    <w:tmpl w:val="0A54970A"/>
    <w:lvl w:ilvl="0" w:tplc="64DE3948">
      <w:numFmt w:val="bullet"/>
      <w:lvlText w:val="-"/>
      <w:lvlJc w:val="left"/>
      <w:pPr>
        <w:ind w:left="720" w:hanging="360"/>
      </w:pPr>
      <w:rPr>
        <w:rFonts w:ascii="Calibri" w:eastAsia="Times New Roman" w:hAnsi="Calibri"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0C2A521B"/>
    <w:multiLevelType w:val="hybridMultilevel"/>
    <w:tmpl w:val="3154F36A"/>
    <w:lvl w:ilvl="0" w:tplc="59769F50">
      <w:numFmt w:val="bullet"/>
      <w:lvlText w:val="-"/>
      <w:lvlJc w:val="left"/>
      <w:pPr>
        <w:ind w:left="720" w:hanging="360"/>
      </w:pPr>
      <w:rPr>
        <w:rFonts w:ascii="Calibri" w:eastAsia="Times New Roman" w:hAnsi="Calibri"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10C03AF5"/>
    <w:multiLevelType w:val="hybridMultilevel"/>
    <w:tmpl w:val="33C2E9EE"/>
    <w:lvl w:ilvl="0" w:tplc="F14A6C4C">
      <w:start w:val="1"/>
      <w:numFmt w:val="upperLetter"/>
      <w:lvlText w:val="%1."/>
      <w:lvlJc w:val="left"/>
      <w:pPr>
        <w:ind w:left="295" w:hanging="360"/>
      </w:pPr>
      <w:rPr>
        <w:rFonts w:asciiTheme="minorHAnsi" w:eastAsiaTheme="minorEastAsia" w:hAnsiTheme="minorHAnsi" w:cstheme="minorBidi"/>
      </w:rPr>
    </w:lvl>
    <w:lvl w:ilvl="1" w:tplc="04130019" w:tentative="1">
      <w:start w:val="1"/>
      <w:numFmt w:val="lowerLetter"/>
      <w:lvlText w:val="%2."/>
      <w:lvlJc w:val="left"/>
      <w:pPr>
        <w:ind w:left="1015" w:hanging="360"/>
      </w:pPr>
    </w:lvl>
    <w:lvl w:ilvl="2" w:tplc="0413001B" w:tentative="1">
      <w:start w:val="1"/>
      <w:numFmt w:val="lowerRoman"/>
      <w:lvlText w:val="%3."/>
      <w:lvlJc w:val="right"/>
      <w:pPr>
        <w:ind w:left="1735" w:hanging="180"/>
      </w:pPr>
    </w:lvl>
    <w:lvl w:ilvl="3" w:tplc="0413000F" w:tentative="1">
      <w:start w:val="1"/>
      <w:numFmt w:val="decimal"/>
      <w:lvlText w:val="%4."/>
      <w:lvlJc w:val="left"/>
      <w:pPr>
        <w:ind w:left="2455" w:hanging="360"/>
      </w:pPr>
    </w:lvl>
    <w:lvl w:ilvl="4" w:tplc="04130019" w:tentative="1">
      <w:start w:val="1"/>
      <w:numFmt w:val="lowerLetter"/>
      <w:lvlText w:val="%5."/>
      <w:lvlJc w:val="left"/>
      <w:pPr>
        <w:ind w:left="3175" w:hanging="360"/>
      </w:pPr>
    </w:lvl>
    <w:lvl w:ilvl="5" w:tplc="0413001B" w:tentative="1">
      <w:start w:val="1"/>
      <w:numFmt w:val="lowerRoman"/>
      <w:lvlText w:val="%6."/>
      <w:lvlJc w:val="right"/>
      <w:pPr>
        <w:ind w:left="3895" w:hanging="180"/>
      </w:pPr>
    </w:lvl>
    <w:lvl w:ilvl="6" w:tplc="0413000F" w:tentative="1">
      <w:start w:val="1"/>
      <w:numFmt w:val="decimal"/>
      <w:lvlText w:val="%7."/>
      <w:lvlJc w:val="left"/>
      <w:pPr>
        <w:ind w:left="4615" w:hanging="360"/>
      </w:pPr>
    </w:lvl>
    <w:lvl w:ilvl="7" w:tplc="04130019" w:tentative="1">
      <w:start w:val="1"/>
      <w:numFmt w:val="lowerLetter"/>
      <w:lvlText w:val="%8."/>
      <w:lvlJc w:val="left"/>
      <w:pPr>
        <w:ind w:left="5335" w:hanging="360"/>
      </w:pPr>
    </w:lvl>
    <w:lvl w:ilvl="8" w:tplc="0413001B" w:tentative="1">
      <w:start w:val="1"/>
      <w:numFmt w:val="lowerRoman"/>
      <w:lvlText w:val="%9."/>
      <w:lvlJc w:val="right"/>
      <w:pPr>
        <w:ind w:left="6055" w:hanging="180"/>
      </w:pPr>
    </w:lvl>
  </w:abstractNum>
  <w:abstractNum w:abstractNumId="5">
    <w:nsid w:val="228F6E07"/>
    <w:multiLevelType w:val="hybridMultilevel"/>
    <w:tmpl w:val="9BD4B77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nsid w:val="24A750D5"/>
    <w:multiLevelType w:val="hybridMultilevel"/>
    <w:tmpl w:val="33C2E9EE"/>
    <w:lvl w:ilvl="0" w:tplc="F14A6C4C">
      <w:start w:val="1"/>
      <w:numFmt w:val="upperLetter"/>
      <w:lvlText w:val="%1."/>
      <w:lvlJc w:val="left"/>
      <w:pPr>
        <w:ind w:left="295" w:hanging="360"/>
      </w:pPr>
      <w:rPr>
        <w:rFonts w:asciiTheme="minorHAnsi" w:eastAsiaTheme="minorEastAsia" w:hAnsiTheme="minorHAnsi" w:cstheme="minorBidi"/>
      </w:rPr>
    </w:lvl>
    <w:lvl w:ilvl="1" w:tplc="04130019" w:tentative="1">
      <w:start w:val="1"/>
      <w:numFmt w:val="lowerLetter"/>
      <w:lvlText w:val="%2."/>
      <w:lvlJc w:val="left"/>
      <w:pPr>
        <w:ind w:left="1015" w:hanging="360"/>
      </w:pPr>
    </w:lvl>
    <w:lvl w:ilvl="2" w:tplc="0413001B" w:tentative="1">
      <w:start w:val="1"/>
      <w:numFmt w:val="lowerRoman"/>
      <w:lvlText w:val="%3."/>
      <w:lvlJc w:val="right"/>
      <w:pPr>
        <w:ind w:left="1735" w:hanging="180"/>
      </w:pPr>
    </w:lvl>
    <w:lvl w:ilvl="3" w:tplc="0413000F" w:tentative="1">
      <w:start w:val="1"/>
      <w:numFmt w:val="decimal"/>
      <w:lvlText w:val="%4."/>
      <w:lvlJc w:val="left"/>
      <w:pPr>
        <w:ind w:left="2455" w:hanging="360"/>
      </w:pPr>
    </w:lvl>
    <w:lvl w:ilvl="4" w:tplc="04130019" w:tentative="1">
      <w:start w:val="1"/>
      <w:numFmt w:val="lowerLetter"/>
      <w:lvlText w:val="%5."/>
      <w:lvlJc w:val="left"/>
      <w:pPr>
        <w:ind w:left="3175" w:hanging="360"/>
      </w:pPr>
    </w:lvl>
    <w:lvl w:ilvl="5" w:tplc="0413001B" w:tentative="1">
      <w:start w:val="1"/>
      <w:numFmt w:val="lowerRoman"/>
      <w:lvlText w:val="%6."/>
      <w:lvlJc w:val="right"/>
      <w:pPr>
        <w:ind w:left="3895" w:hanging="180"/>
      </w:pPr>
    </w:lvl>
    <w:lvl w:ilvl="6" w:tplc="0413000F" w:tentative="1">
      <w:start w:val="1"/>
      <w:numFmt w:val="decimal"/>
      <w:lvlText w:val="%7."/>
      <w:lvlJc w:val="left"/>
      <w:pPr>
        <w:ind w:left="4615" w:hanging="360"/>
      </w:pPr>
    </w:lvl>
    <w:lvl w:ilvl="7" w:tplc="04130019" w:tentative="1">
      <w:start w:val="1"/>
      <w:numFmt w:val="lowerLetter"/>
      <w:lvlText w:val="%8."/>
      <w:lvlJc w:val="left"/>
      <w:pPr>
        <w:ind w:left="5335" w:hanging="360"/>
      </w:pPr>
    </w:lvl>
    <w:lvl w:ilvl="8" w:tplc="0413001B" w:tentative="1">
      <w:start w:val="1"/>
      <w:numFmt w:val="lowerRoman"/>
      <w:lvlText w:val="%9."/>
      <w:lvlJc w:val="right"/>
      <w:pPr>
        <w:ind w:left="6055" w:hanging="180"/>
      </w:pPr>
    </w:lvl>
  </w:abstractNum>
  <w:abstractNum w:abstractNumId="7">
    <w:nsid w:val="24BC6872"/>
    <w:multiLevelType w:val="hybridMultilevel"/>
    <w:tmpl w:val="F8BCCC4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nsid w:val="2AE66E6E"/>
    <w:multiLevelType w:val="hybridMultilevel"/>
    <w:tmpl w:val="1C1CAC20"/>
    <w:lvl w:ilvl="0" w:tplc="0413000F">
      <w:start w:val="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nsid w:val="2B656F0B"/>
    <w:multiLevelType w:val="hybridMultilevel"/>
    <w:tmpl w:val="33C2E9EE"/>
    <w:lvl w:ilvl="0" w:tplc="F14A6C4C">
      <w:start w:val="1"/>
      <w:numFmt w:val="upperLetter"/>
      <w:lvlText w:val="%1."/>
      <w:lvlJc w:val="left"/>
      <w:pPr>
        <w:ind w:left="295" w:hanging="360"/>
      </w:pPr>
      <w:rPr>
        <w:rFonts w:asciiTheme="minorHAnsi" w:eastAsiaTheme="minorEastAsia" w:hAnsiTheme="minorHAnsi" w:cstheme="minorBidi"/>
      </w:rPr>
    </w:lvl>
    <w:lvl w:ilvl="1" w:tplc="04130019" w:tentative="1">
      <w:start w:val="1"/>
      <w:numFmt w:val="lowerLetter"/>
      <w:lvlText w:val="%2."/>
      <w:lvlJc w:val="left"/>
      <w:pPr>
        <w:ind w:left="1015" w:hanging="360"/>
      </w:pPr>
    </w:lvl>
    <w:lvl w:ilvl="2" w:tplc="0413001B" w:tentative="1">
      <w:start w:val="1"/>
      <w:numFmt w:val="lowerRoman"/>
      <w:lvlText w:val="%3."/>
      <w:lvlJc w:val="right"/>
      <w:pPr>
        <w:ind w:left="1735" w:hanging="180"/>
      </w:pPr>
    </w:lvl>
    <w:lvl w:ilvl="3" w:tplc="0413000F" w:tentative="1">
      <w:start w:val="1"/>
      <w:numFmt w:val="decimal"/>
      <w:lvlText w:val="%4."/>
      <w:lvlJc w:val="left"/>
      <w:pPr>
        <w:ind w:left="2455" w:hanging="360"/>
      </w:pPr>
    </w:lvl>
    <w:lvl w:ilvl="4" w:tplc="04130019" w:tentative="1">
      <w:start w:val="1"/>
      <w:numFmt w:val="lowerLetter"/>
      <w:lvlText w:val="%5."/>
      <w:lvlJc w:val="left"/>
      <w:pPr>
        <w:ind w:left="3175" w:hanging="360"/>
      </w:pPr>
    </w:lvl>
    <w:lvl w:ilvl="5" w:tplc="0413001B" w:tentative="1">
      <w:start w:val="1"/>
      <w:numFmt w:val="lowerRoman"/>
      <w:lvlText w:val="%6."/>
      <w:lvlJc w:val="right"/>
      <w:pPr>
        <w:ind w:left="3895" w:hanging="180"/>
      </w:pPr>
    </w:lvl>
    <w:lvl w:ilvl="6" w:tplc="0413000F" w:tentative="1">
      <w:start w:val="1"/>
      <w:numFmt w:val="decimal"/>
      <w:lvlText w:val="%7."/>
      <w:lvlJc w:val="left"/>
      <w:pPr>
        <w:ind w:left="4615" w:hanging="360"/>
      </w:pPr>
    </w:lvl>
    <w:lvl w:ilvl="7" w:tplc="04130019" w:tentative="1">
      <w:start w:val="1"/>
      <w:numFmt w:val="lowerLetter"/>
      <w:lvlText w:val="%8."/>
      <w:lvlJc w:val="left"/>
      <w:pPr>
        <w:ind w:left="5335" w:hanging="360"/>
      </w:pPr>
    </w:lvl>
    <w:lvl w:ilvl="8" w:tplc="0413001B" w:tentative="1">
      <w:start w:val="1"/>
      <w:numFmt w:val="lowerRoman"/>
      <w:lvlText w:val="%9."/>
      <w:lvlJc w:val="right"/>
      <w:pPr>
        <w:ind w:left="6055" w:hanging="180"/>
      </w:pPr>
    </w:lvl>
  </w:abstractNum>
  <w:abstractNum w:abstractNumId="10">
    <w:nsid w:val="2D252020"/>
    <w:multiLevelType w:val="hybridMultilevel"/>
    <w:tmpl w:val="F1500F0C"/>
    <w:lvl w:ilvl="0" w:tplc="0CD800DA">
      <w:start w:val="1"/>
      <w:numFmt w:val="decimal"/>
      <w:lvlText w:val="%1."/>
      <w:lvlJc w:val="left"/>
      <w:pPr>
        <w:ind w:left="720" w:hanging="360"/>
      </w:pPr>
      <w:rPr>
        <w:rFonts w:hint="default"/>
        <w:color w:val="0563C1" w:themeColor="hyperlink"/>
        <w:sz w:val="21"/>
        <w:u w:val="single"/>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nsid w:val="2E0F3F88"/>
    <w:multiLevelType w:val="multilevel"/>
    <w:tmpl w:val="04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0487095"/>
    <w:multiLevelType w:val="hybridMultilevel"/>
    <w:tmpl w:val="C53C327E"/>
    <w:lvl w:ilvl="0" w:tplc="0413000F">
      <w:start w:val="1"/>
      <w:numFmt w:val="decimal"/>
      <w:lvlText w:val="%1."/>
      <w:lvlJc w:val="left"/>
      <w:pPr>
        <w:ind w:left="1080" w:hanging="360"/>
      </w:p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3">
    <w:nsid w:val="43D87AFB"/>
    <w:multiLevelType w:val="hybridMultilevel"/>
    <w:tmpl w:val="8B9C766C"/>
    <w:lvl w:ilvl="0" w:tplc="5270FBC6">
      <w:start w:val="1"/>
      <w:numFmt w:val="decimal"/>
      <w:lvlText w:val="%1."/>
      <w:lvlJc w:val="left"/>
      <w:pPr>
        <w:ind w:left="720" w:hanging="360"/>
      </w:pPr>
      <w:rPr>
        <w:rFonts w:eastAsia="Times New Roman" w:cs="Times New Roman" w:hint="default"/>
        <w:i w:val="0"/>
        <w:color w:val="000000"/>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nsid w:val="451B6C61"/>
    <w:multiLevelType w:val="hybridMultilevel"/>
    <w:tmpl w:val="33C2E9EE"/>
    <w:lvl w:ilvl="0" w:tplc="F14A6C4C">
      <w:start w:val="1"/>
      <w:numFmt w:val="upperLetter"/>
      <w:lvlText w:val="%1."/>
      <w:lvlJc w:val="left"/>
      <w:pPr>
        <w:ind w:left="295" w:hanging="360"/>
      </w:pPr>
      <w:rPr>
        <w:rFonts w:asciiTheme="minorHAnsi" w:eastAsiaTheme="minorEastAsia" w:hAnsiTheme="minorHAnsi" w:cstheme="minorBidi"/>
      </w:rPr>
    </w:lvl>
    <w:lvl w:ilvl="1" w:tplc="04130019" w:tentative="1">
      <w:start w:val="1"/>
      <w:numFmt w:val="lowerLetter"/>
      <w:lvlText w:val="%2."/>
      <w:lvlJc w:val="left"/>
      <w:pPr>
        <w:ind w:left="1015" w:hanging="360"/>
      </w:pPr>
    </w:lvl>
    <w:lvl w:ilvl="2" w:tplc="0413001B" w:tentative="1">
      <w:start w:val="1"/>
      <w:numFmt w:val="lowerRoman"/>
      <w:lvlText w:val="%3."/>
      <w:lvlJc w:val="right"/>
      <w:pPr>
        <w:ind w:left="1735" w:hanging="180"/>
      </w:pPr>
    </w:lvl>
    <w:lvl w:ilvl="3" w:tplc="0413000F" w:tentative="1">
      <w:start w:val="1"/>
      <w:numFmt w:val="decimal"/>
      <w:lvlText w:val="%4."/>
      <w:lvlJc w:val="left"/>
      <w:pPr>
        <w:ind w:left="2455" w:hanging="360"/>
      </w:pPr>
    </w:lvl>
    <w:lvl w:ilvl="4" w:tplc="04130019" w:tentative="1">
      <w:start w:val="1"/>
      <w:numFmt w:val="lowerLetter"/>
      <w:lvlText w:val="%5."/>
      <w:lvlJc w:val="left"/>
      <w:pPr>
        <w:ind w:left="3175" w:hanging="360"/>
      </w:pPr>
    </w:lvl>
    <w:lvl w:ilvl="5" w:tplc="0413001B" w:tentative="1">
      <w:start w:val="1"/>
      <w:numFmt w:val="lowerRoman"/>
      <w:lvlText w:val="%6."/>
      <w:lvlJc w:val="right"/>
      <w:pPr>
        <w:ind w:left="3895" w:hanging="180"/>
      </w:pPr>
    </w:lvl>
    <w:lvl w:ilvl="6" w:tplc="0413000F" w:tentative="1">
      <w:start w:val="1"/>
      <w:numFmt w:val="decimal"/>
      <w:lvlText w:val="%7."/>
      <w:lvlJc w:val="left"/>
      <w:pPr>
        <w:ind w:left="4615" w:hanging="360"/>
      </w:pPr>
    </w:lvl>
    <w:lvl w:ilvl="7" w:tplc="04130019" w:tentative="1">
      <w:start w:val="1"/>
      <w:numFmt w:val="lowerLetter"/>
      <w:lvlText w:val="%8."/>
      <w:lvlJc w:val="left"/>
      <w:pPr>
        <w:ind w:left="5335" w:hanging="360"/>
      </w:pPr>
    </w:lvl>
    <w:lvl w:ilvl="8" w:tplc="0413001B" w:tentative="1">
      <w:start w:val="1"/>
      <w:numFmt w:val="lowerRoman"/>
      <w:lvlText w:val="%9."/>
      <w:lvlJc w:val="right"/>
      <w:pPr>
        <w:ind w:left="6055" w:hanging="180"/>
      </w:pPr>
    </w:lvl>
  </w:abstractNum>
  <w:abstractNum w:abstractNumId="15">
    <w:nsid w:val="47152EE2"/>
    <w:multiLevelType w:val="multilevel"/>
    <w:tmpl w:val="A0AA2258"/>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16">
    <w:nsid w:val="48785F59"/>
    <w:multiLevelType w:val="hybridMultilevel"/>
    <w:tmpl w:val="EF8453D6"/>
    <w:lvl w:ilvl="0" w:tplc="9C4EEAF8">
      <w:numFmt w:val="bullet"/>
      <w:lvlText w:val="-"/>
      <w:lvlJc w:val="left"/>
      <w:pPr>
        <w:ind w:left="1080" w:hanging="360"/>
      </w:pPr>
      <w:rPr>
        <w:rFonts w:ascii="Calibri" w:eastAsia="Times New Roman" w:hAnsi="Calibri" w:cs="Times New Roman"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7">
    <w:nsid w:val="4E4452D6"/>
    <w:multiLevelType w:val="hybridMultilevel"/>
    <w:tmpl w:val="33C2E9EE"/>
    <w:lvl w:ilvl="0" w:tplc="F14A6C4C">
      <w:start w:val="1"/>
      <w:numFmt w:val="upperLetter"/>
      <w:lvlText w:val="%1."/>
      <w:lvlJc w:val="left"/>
      <w:pPr>
        <w:ind w:left="295" w:hanging="360"/>
      </w:pPr>
      <w:rPr>
        <w:rFonts w:asciiTheme="minorHAnsi" w:eastAsiaTheme="minorEastAsia" w:hAnsiTheme="minorHAnsi" w:cstheme="minorBidi"/>
      </w:rPr>
    </w:lvl>
    <w:lvl w:ilvl="1" w:tplc="04130019" w:tentative="1">
      <w:start w:val="1"/>
      <w:numFmt w:val="lowerLetter"/>
      <w:lvlText w:val="%2."/>
      <w:lvlJc w:val="left"/>
      <w:pPr>
        <w:ind w:left="1015" w:hanging="360"/>
      </w:pPr>
    </w:lvl>
    <w:lvl w:ilvl="2" w:tplc="0413001B" w:tentative="1">
      <w:start w:val="1"/>
      <w:numFmt w:val="lowerRoman"/>
      <w:lvlText w:val="%3."/>
      <w:lvlJc w:val="right"/>
      <w:pPr>
        <w:ind w:left="1735" w:hanging="180"/>
      </w:pPr>
    </w:lvl>
    <w:lvl w:ilvl="3" w:tplc="0413000F" w:tentative="1">
      <w:start w:val="1"/>
      <w:numFmt w:val="decimal"/>
      <w:lvlText w:val="%4."/>
      <w:lvlJc w:val="left"/>
      <w:pPr>
        <w:ind w:left="2455" w:hanging="360"/>
      </w:pPr>
    </w:lvl>
    <w:lvl w:ilvl="4" w:tplc="04130019" w:tentative="1">
      <w:start w:val="1"/>
      <w:numFmt w:val="lowerLetter"/>
      <w:lvlText w:val="%5."/>
      <w:lvlJc w:val="left"/>
      <w:pPr>
        <w:ind w:left="3175" w:hanging="360"/>
      </w:pPr>
    </w:lvl>
    <w:lvl w:ilvl="5" w:tplc="0413001B" w:tentative="1">
      <w:start w:val="1"/>
      <w:numFmt w:val="lowerRoman"/>
      <w:lvlText w:val="%6."/>
      <w:lvlJc w:val="right"/>
      <w:pPr>
        <w:ind w:left="3895" w:hanging="180"/>
      </w:pPr>
    </w:lvl>
    <w:lvl w:ilvl="6" w:tplc="0413000F" w:tentative="1">
      <w:start w:val="1"/>
      <w:numFmt w:val="decimal"/>
      <w:lvlText w:val="%7."/>
      <w:lvlJc w:val="left"/>
      <w:pPr>
        <w:ind w:left="4615" w:hanging="360"/>
      </w:pPr>
    </w:lvl>
    <w:lvl w:ilvl="7" w:tplc="04130019" w:tentative="1">
      <w:start w:val="1"/>
      <w:numFmt w:val="lowerLetter"/>
      <w:lvlText w:val="%8."/>
      <w:lvlJc w:val="left"/>
      <w:pPr>
        <w:ind w:left="5335" w:hanging="360"/>
      </w:pPr>
    </w:lvl>
    <w:lvl w:ilvl="8" w:tplc="0413001B" w:tentative="1">
      <w:start w:val="1"/>
      <w:numFmt w:val="lowerRoman"/>
      <w:lvlText w:val="%9."/>
      <w:lvlJc w:val="right"/>
      <w:pPr>
        <w:ind w:left="6055" w:hanging="180"/>
      </w:pPr>
    </w:lvl>
  </w:abstractNum>
  <w:abstractNum w:abstractNumId="18">
    <w:nsid w:val="520B2AC2"/>
    <w:multiLevelType w:val="hybridMultilevel"/>
    <w:tmpl w:val="679AF348"/>
    <w:lvl w:ilvl="0" w:tplc="87820B0E">
      <w:numFmt w:val="bullet"/>
      <w:lvlText w:val="-"/>
      <w:lvlJc w:val="left"/>
      <w:pPr>
        <w:ind w:left="720" w:hanging="360"/>
      </w:pPr>
      <w:rPr>
        <w:rFonts w:ascii="Calibri" w:eastAsia="Times New Roman" w:hAnsi="Calibri"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nsid w:val="55D06164"/>
    <w:multiLevelType w:val="hybridMultilevel"/>
    <w:tmpl w:val="AA4CB156"/>
    <w:lvl w:ilvl="0" w:tplc="A27A9564">
      <w:start w:val="1"/>
      <w:numFmt w:val="upperLetter"/>
      <w:lvlText w:val="%1."/>
      <w:lvlJc w:val="left"/>
      <w:pPr>
        <w:ind w:left="1494" w:hanging="360"/>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0">
    <w:nsid w:val="563208BE"/>
    <w:multiLevelType w:val="hybridMultilevel"/>
    <w:tmpl w:val="A5985D88"/>
    <w:lvl w:ilvl="0" w:tplc="9EC69E48">
      <w:start w:val="1"/>
      <w:numFmt w:val="decimal"/>
      <w:lvlText w:val="%1."/>
      <w:lvlJc w:val="left"/>
      <w:pPr>
        <w:ind w:left="1494" w:hanging="360"/>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1">
    <w:nsid w:val="59683261"/>
    <w:multiLevelType w:val="hybridMultilevel"/>
    <w:tmpl w:val="D2FCB588"/>
    <w:lvl w:ilvl="0" w:tplc="CD7E1062">
      <w:start w:val="1"/>
      <w:numFmt w:val="decimal"/>
      <w:lvlText w:val="%1."/>
      <w:lvlJc w:val="left"/>
      <w:pPr>
        <w:ind w:left="720" w:hanging="360"/>
      </w:pPr>
      <w:rPr>
        <w:rFonts w:asciiTheme="majorHAnsi" w:hAnsiTheme="majorHAnsi"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nsid w:val="5B725E83"/>
    <w:multiLevelType w:val="hybridMultilevel"/>
    <w:tmpl w:val="3EE42994"/>
    <w:lvl w:ilvl="0" w:tplc="3A1CBDB4">
      <w:start w:val="1"/>
      <w:numFmt w:val="decimal"/>
      <w:lvlText w:val="%1."/>
      <w:lvlJc w:val="left"/>
      <w:pPr>
        <w:ind w:left="720" w:hanging="360"/>
      </w:pPr>
      <w:rPr>
        <w:rFonts w:asciiTheme="majorHAnsi" w:hAnsiTheme="majorHAnsi"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nsid w:val="62B74A0A"/>
    <w:multiLevelType w:val="multilevel"/>
    <w:tmpl w:val="4C2461B4"/>
    <w:lvl w:ilvl="0">
      <w:start w:val="2"/>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4">
    <w:nsid w:val="647D4D36"/>
    <w:multiLevelType w:val="multilevel"/>
    <w:tmpl w:val="04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66A87DEC"/>
    <w:multiLevelType w:val="hybridMultilevel"/>
    <w:tmpl w:val="0040EE76"/>
    <w:lvl w:ilvl="0" w:tplc="0413000F">
      <w:start w:val="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nsid w:val="6A022A04"/>
    <w:multiLevelType w:val="hybridMultilevel"/>
    <w:tmpl w:val="5C5C891C"/>
    <w:lvl w:ilvl="0" w:tplc="3EF6F20C">
      <w:numFmt w:val="bullet"/>
      <w:lvlText w:val="-"/>
      <w:lvlJc w:val="left"/>
      <w:pPr>
        <w:ind w:left="720" w:hanging="360"/>
      </w:pPr>
      <w:rPr>
        <w:rFonts w:ascii="Calibri" w:eastAsia="Times New Roman" w:hAnsi="Calibri"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nsid w:val="6C9E3AC5"/>
    <w:multiLevelType w:val="hybridMultilevel"/>
    <w:tmpl w:val="33C2E9EE"/>
    <w:lvl w:ilvl="0" w:tplc="F14A6C4C">
      <w:start w:val="1"/>
      <w:numFmt w:val="upperLetter"/>
      <w:lvlText w:val="%1."/>
      <w:lvlJc w:val="left"/>
      <w:pPr>
        <w:ind w:left="295" w:hanging="360"/>
      </w:pPr>
      <w:rPr>
        <w:rFonts w:asciiTheme="minorHAnsi" w:eastAsiaTheme="minorEastAsia" w:hAnsiTheme="minorHAnsi" w:cstheme="minorBidi"/>
      </w:rPr>
    </w:lvl>
    <w:lvl w:ilvl="1" w:tplc="04130019" w:tentative="1">
      <w:start w:val="1"/>
      <w:numFmt w:val="lowerLetter"/>
      <w:lvlText w:val="%2."/>
      <w:lvlJc w:val="left"/>
      <w:pPr>
        <w:ind w:left="1015" w:hanging="360"/>
      </w:pPr>
    </w:lvl>
    <w:lvl w:ilvl="2" w:tplc="0413001B" w:tentative="1">
      <w:start w:val="1"/>
      <w:numFmt w:val="lowerRoman"/>
      <w:lvlText w:val="%3."/>
      <w:lvlJc w:val="right"/>
      <w:pPr>
        <w:ind w:left="1735" w:hanging="180"/>
      </w:pPr>
    </w:lvl>
    <w:lvl w:ilvl="3" w:tplc="0413000F" w:tentative="1">
      <w:start w:val="1"/>
      <w:numFmt w:val="decimal"/>
      <w:lvlText w:val="%4."/>
      <w:lvlJc w:val="left"/>
      <w:pPr>
        <w:ind w:left="2455" w:hanging="360"/>
      </w:pPr>
    </w:lvl>
    <w:lvl w:ilvl="4" w:tplc="04130019" w:tentative="1">
      <w:start w:val="1"/>
      <w:numFmt w:val="lowerLetter"/>
      <w:lvlText w:val="%5."/>
      <w:lvlJc w:val="left"/>
      <w:pPr>
        <w:ind w:left="3175" w:hanging="360"/>
      </w:pPr>
    </w:lvl>
    <w:lvl w:ilvl="5" w:tplc="0413001B" w:tentative="1">
      <w:start w:val="1"/>
      <w:numFmt w:val="lowerRoman"/>
      <w:lvlText w:val="%6."/>
      <w:lvlJc w:val="right"/>
      <w:pPr>
        <w:ind w:left="3895" w:hanging="180"/>
      </w:pPr>
    </w:lvl>
    <w:lvl w:ilvl="6" w:tplc="0413000F" w:tentative="1">
      <w:start w:val="1"/>
      <w:numFmt w:val="decimal"/>
      <w:lvlText w:val="%7."/>
      <w:lvlJc w:val="left"/>
      <w:pPr>
        <w:ind w:left="4615" w:hanging="360"/>
      </w:pPr>
    </w:lvl>
    <w:lvl w:ilvl="7" w:tplc="04130019" w:tentative="1">
      <w:start w:val="1"/>
      <w:numFmt w:val="lowerLetter"/>
      <w:lvlText w:val="%8."/>
      <w:lvlJc w:val="left"/>
      <w:pPr>
        <w:ind w:left="5335" w:hanging="360"/>
      </w:pPr>
    </w:lvl>
    <w:lvl w:ilvl="8" w:tplc="0413001B" w:tentative="1">
      <w:start w:val="1"/>
      <w:numFmt w:val="lowerRoman"/>
      <w:lvlText w:val="%9."/>
      <w:lvlJc w:val="right"/>
      <w:pPr>
        <w:ind w:left="6055" w:hanging="180"/>
      </w:pPr>
    </w:lvl>
  </w:abstractNum>
  <w:abstractNum w:abstractNumId="28">
    <w:nsid w:val="6D1C1F83"/>
    <w:multiLevelType w:val="hybridMultilevel"/>
    <w:tmpl w:val="71682712"/>
    <w:lvl w:ilvl="0" w:tplc="8A8697D0">
      <w:start w:val="2"/>
      <w:numFmt w:val="bullet"/>
      <w:lvlText w:val="-"/>
      <w:lvlJc w:val="left"/>
      <w:pPr>
        <w:ind w:left="720" w:hanging="360"/>
      </w:pPr>
      <w:rPr>
        <w:rFonts w:ascii="Calibri" w:eastAsiaTheme="minorEastAsia" w:hAnsi="Calibri"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nsid w:val="71286CA7"/>
    <w:multiLevelType w:val="hybridMultilevel"/>
    <w:tmpl w:val="33C2E9EE"/>
    <w:lvl w:ilvl="0" w:tplc="F14A6C4C">
      <w:start w:val="1"/>
      <w:numFmt w:val="upperLetter"/>
      <w:lvlText w:val="%1."/>
      <w:lvlJc w:val="left"/>
      <w:pPr>
        <w:ind w:left="295" w:hanging="360"/>
      </w:pPr>
      <w:rPr>
        <w:rFonts w:asciiTheme="minorHAnsi" w:eastAsiaTheme="minorEastAsia" w:hAnsiTheme="minorHAnsi" w:cstheme="minorBidi"/>
      </w:rPr>
    </w:lvl>
    <w:lvl w:ilvl="1" w:tplc="04130019" w:tentative="1">
      <w:start w:val="1"/>
      <w:numFmt w:val="lowerLetter"/>
      <w:lvlText w:val="%2."/>
      <w:lvlJc w:val="left"/>
      <w:pPr>
        <w:ind w:left="1015" w:hanging="360"/>
      </w:pPr>
    </w:lvl>
    <w:lvl w:ilvl="2" w:tplc="0413001B" w:tentative="1">
      <w:start w:val="1"/>
      <w:numFmt w:val="lowerRoman"/>
      <w:lvlText w:val="%3."/>
      <w:lvlJc w:val="right"/>
      <w:pPr>
        <w:ind w:left="1735" w:hanging="180"/>
      </w:pPr>
    </w:lvl>
    <w:lvl w:ilvl="3" w:tplc="0413000F" w:tentative="1">
      <w:start w:val="1"/>
      <w:numFmt w:val="decimal"/>
      <w:lvlText w:val="%4."/>
      <w:lvlJc w:val="left"/>
      <w:pPr>
        <w:ind w:left="2455" w:hanging="360"/>
      </w:pPr>
    </w:lvl>
    <w:lvl w:ilvl="4" w:tplc="04130019" w:tentative="1">
      <w:start w:val="1"/>
      <w:numFmt w:val="lowerLetter"/>
      <w:lvlText w:val="%5."/>
      <w:lvlJc w:val="left"/>
      <w:pPr>
        <w:ind w:left="3175" w:hanging="360"/>
      </w:pPr>
    </w:lvl>
    <w:lvl w:ilvl="5" w:tplc="0413001B" w:tentative="1">
      <w:start w:val="1"/>
      <w:numFmt w:val="lowerRoman"/>
      <w:lvlText w:val="%6."/>
      <w:lvlJc w:val="right"/>
      <w:pPr>
        <w:ind w:left="3895" w:hanging="180"/>
      </w:pPr>
    </w:lvl>
    <w:lvl w:ilvl="6" w:tplc="0413000F" w:tentative="1">
      <w:start w:val="1"/>
      <w:numFmt w:val="decimal"/>
      <w:lvlText w:val="%7."/>
      <w:lvlJc w:val="left"/>
      <w:pPr>
        <w:ind w:left="4615" w:hanging="360"/>
      </w:pPr>
    </w:lvl>
    <w:lvl w:ilvl="7" w:tplc="04130019" w:tentative="1">
      <w:start w:val="1"/>
      <w:numFmt w:val="lowerLetter"/>
      <w:lvlText w:val="%8."/>
      <w:lvlJc w:val="left"/>
      <w:pPr>
        <w:ind w:left="5335" w:hanging="360"/>
      </w:pPr>
    </w:lvl>
    <w:lvl w:ilvl="8" w:tplc="0413001B" w:tentative="1">
      <w:start w:val="1"/>
      <w:numFmt w:val="lowerRoman"/>
      <w:lvlText w:val="%9."/>
      <w:lvlJc w:val="right"/>
      <w:pPr>
        <w:ind w:left="6055" w:hanging="180"/>
      </w:pPr>
    </w:lvl>
  </w:abstractNum>
  <w:abstractNum w:abstractNumId="30">
    <w:nsid w:val="75296EAC"/>
    <w:multiLevelType w:val="multilevel"/>
    <w:tmpl w:val="0413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31">
    <w:nsid w:val="7A2F40CC"/>
    <w:multiLevelType w:val="hybridMultilevel"/>
    <w:tmpl w:val="5FA84F2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nsid w:val="7D4172FB"/>
    <w:multiLevelType w:val="hybridMultilevel"/>
    <w:tmpl w:val="043CF0CC"/>
    <w:lvl w:ilvl="0" w:tplc="7B8AC70E">
      <w:start w:val="1"/>
      <w:numFmt w:val="decimal"/>
      <w:lvlText w:val="%1."/>
      <w:lvlJc w:val="left"/>
      <w:pPr>
        <w:ind w:left="720" w:hanging="360"/>
      </w:pPr>
      <w:rPr>
        <w:rFonts w:asciiTheme="majorHAnsi" w:hAnsiTheme="majorHAnsi"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15"/>
  </w:num>
  <w:num w:numId="2">
    <w:abstractNumId w:val="1"/>
  </w:num>
  <w:num w:numId="3">
    <w:abstractNumId w:val="22"/>
  </w:num>
  <w:num w:numId="4">
    <w:abstractNumId w:val="10"/>
  </w:num>
  <w:num w:numId="5">
    <w:abstractNumId w:val="0"/>
  </w:num>
  <w:num w:numId="6">
    <w:abstractNumId w:val="32"/>
  </w:num>
  <w:num w:numId="7">
    <w:abstractNumId w:val="11"/>
  </w:num>
  <w:num w:numId="8">
    <w:abstractNumId w:val="30"/>
  </w:num>
  <w:num w:numId="9">
    <w:abstractNumId w:val="23"/>
  </w:num>
  <w:num w:numId="10">
    <w:abstractNumId w:val="2"/>
  </w:num>
  <w:num w:numId="11">
    <w:abstractNumId w:val="3"/>
  </w:num>
  <w:num w:numId="12">
    <w:abstractNumId w:val="18"/>
  </w:num>
  <w:num w:numId="13">
    <w:abstractNumId w:val="16"/>
  </w:num>
  <w:num w:numId="14">
    <w:abstractNumId w:val="26"/>
  </w:num>
  <w:num w:numId="15">
    <w:abstractNumId w:val="28"/>
  </w:num>
  <w:num w:numId="16">
    <w:abstractNumId w:val="19"/>
  </w:num>
  <w:num w:numId="17">
    <w:abstractNumId w:val="17"/>
  </w:num>
  <w:num w:numId="18">
    <w:abstractNumId w:val="12"/>
  </w:num>
  <w:num w:numId="19">
    <w:abstractNumId w:val="13"/>
  </w:num>
  <w:num w:numId="20">
    <w:abstractNumId w:val="4"/>
  </w:num>
  <w:num w:numId="21">
    <w:abstractNumId w:val="29"/>
  </w:num>
  <w:num w:numId="22">
    <w:abstractNumId w:val="6"/>
  </w:num>
  <w:num w:numId="23">
    <w:abstractNumId w:val="24"/>
  </w:num>
  <w:num w:numId="24">
    <w:abstractNumId w:val="21"/>
  </w:num>
  <w:num w:numId="25">
    <w:abstractNumId w:val="5"/>
  </w:num>
  <w:num w:numId="26">
    <w:abstractNumId w:val="7"/>
  </w:num>
  <w:num w:numId="27">
    <w:abstractNumId w:val="31"/>
  </w:num>
  <w:num w:numId="28">
    <w:abstractNumId w:val="8"/>
  </w:num>
  <w:num w:numId="29">
    <w:abstractNumId w:val="25"/>
  </w:num>
  <w:num w:numId="30">
    <w:abstractNumId w:val="20"/>
  </w:num>
  <w:num w:numId="31">
    <w:abstractNumId w:val="27"/>
  </w:num>
  <w:num w:numId="32">
    <w:abstractNumId w:val="9"/>
  </w:num>
  <w:num w:numId="3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grammar="clean"/>
  <w:defaultTabStop w:val="709"/>
  <w:hyphenationZone w:val="425"/>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01E1"/>
    <w:rsid w:val="00006D3D"/>
    <w:rsid w:val="00015CCE"/>
    <w:rsid w:val="00016D8C"/>
    <w:rsid w:val="00021575"/>
    <w:rsid w:val="000249BA"/>
    <w:rsid w:val="00025B71"/>
    <w:rsid w:val="000270C3"/>
    <w:rsid w:val="000309DA"/>
    <w:rsid w:val="00032AFF"/>
    <w:rsid w:val="0003680E"/>
    <w:rsid w:val="00044C2A"/>
    <w:rsid w:val="00044FE5"/>
    <w:rsid w:val="00046732"/>
    <w:rsid w:val="00050A50"/>
    <w:rsid w:val="00057F07"/>
    <w:rsid w:val="000621AC"/>
    <w:rsid w:val="00064970"/>
    <w:rsid w:val="00066B87"/>
    <w:rsid w:val="000712D6"/>
    <w:rsid w:val="0007221B"/>
    <w:rsid w:val="00074908"/>
    <w:rsid w:val="00075A12"/>
    <w:rsid w:val="00081C68"/>
    <w:rsid w:val="000848A7"/>
    <w:rsid w:val="000853B0"/>
    <w:rsid w:val="0009415C"/>
    <w:rsid w:val="000941BF"/>
    <w:rsid w:val="00094A49"/>
    <w:rsid w:val="0009551D"/>
    <w:rsid w:val="00095C8B"/>
    <w:rsid w:val="00096054"/>
    <w:rsid w:val="00096679"/>
    <w:rsid w:val="00097C59"/>
    <w:rsid w:val="000A4563"/>
    <w:rsid w:val="000B52F8"/>
    <w:rsid w:val="000B62F0"/>
    <w:rsid w:val="000B7499"/>
    <w:rsid w:val="000D0740"/>
    <w:rsid w:val="000D0AFD"/>
    <w:rsid w:val="000E0469"/>
    <w:rsid w:val="000E3DDE"/>
    <w:rsid w:val="000E57F3"/>
    <w:rsid w:val="000E64B9"/>
    <w:rsid w:val="000F12FD"/>
    <w:rsid w:val="00100E9F"/>
    <w:rsid w:val="0010642F"/>
    <w:rsid w:val="00106FC1"/>
    <w:rsid w:val="001268E9"/>
    <w:rsid w:val="00132DE4"/>
    <w:rsid w:val="0013725E"/>
    <w:rsid w:val="0013760C"/>
    <w:rsid w:val="00144AA8"/>
    <w:rsid w:val="00150880"/>
    <w:rsid w:val="001525B2"/>
    <w:rsid w:val="00165D19"/>
    <w:rsid w:val="0017013D"/>
    <w:rsid w:val="00172604"/>
    <w:rsid w:val="001750D5"/>
    <w:rsid w:val="00175178"/>
    <w:rsid w:val="00176FB3"/>
    <w:rsid w:val="00177076"/>
    <w:rsid w:val="00181B36"/>
    <w:rsid w:val="00181E3F"/>
    <w:rsid w:val="00185338"/>
    <w:rsid w:val="001879E3"/>
    <w:rsid w:val="00190AD6"/>
    <w:rsid w:val="001968FB"/>
    <w:rsid w:val="001A013C"/>
    <w:rsid w:val="001D0677"/>
    <w:rsid w:val="001D720D"/>
    <w:rsid w:val="001E459B"/>
    <w:rsid w:val="001F0E1B"/>
    <w:rsid w:val="001F4513"/>
    <w:rsid w:val="002072AB"/>
    <w:rsid w:val="00213EE1"/>
    <w:rsid w:val="002169C9"/>
    <w:rsid w:val="00225404"/>
    <w:rsid w:val="002353B7"/>
    <w:rsid w:val="00240870"/>
    <w:rsid w:val="0024295C"/>
    <w:rsid w:val="00243F0F"/>
    <w:rsid w:val="002440D3"/>
    <w:rsid w:val="00253260"/>
    <w:rsid w:val="002566CB"/>
    <w:rsid w:val="002577C6"/>
    <w:rsid w:val="002664E3"/>
    <w:rsid w:val="002779CC"/>
    <w:rsid w:val="00283F89"/>
    <w:rsid w:val="002851A0"/>
    <w:rsid w:val="00286A78"/>
    <w:rsid w:val="00286EBA"/>
    <w:rsid w:val="00293753"/>
    <w:rsid w:val="00293A32"/>
    <w:rsid w:val="002940A7"/>
    <w:rsid w:val="002A3AD6"/>
    <w:rsid w:val="002A3E36"/>
    <w:rsid w:val="002B3E70"/>
    <w:rsid w:val="002B6E5C"/>
    <w:rsid w:val="002B77A7"/>
    <w:rsid w:val="002B7F54"/>
    <w:rsid w:val="002C145D"/>
    <w:rsid w:val="002C51C3"/>
    <w:rsid w:val="002C682A"/>
    <w:rsid w:val="002D03F7"/>
    <w:rsid w:val="002D4B30"/>
    <w:rsid w:val="002E410E"/>
    <w:rsid w:val="002E5FD0"/>
    <w:rsid w:val="002F1536"/>
    <w:rsid w:val="002F1867"/>
    <w:rsid w:val="00304D39"/>
    <w:rsid w:val="003107A7"/>
    <w:rsid w:val="00320ECE"/>
    <w:rsid w:val="00332BC8"/>
    <w:rsid w:val="00342342"/>
    <w:rsid w:val="00344C98"/>
    <w:rsid w:val="0035606F"/>
    <w:rsid w:val="003572CC"/>
    <w:rsid w:val="003631E0"/>
    <w:rsid w:val="0036323B"/>
    <w:rsid w:val="00363F62"/>
    <w:rsid w:val="00365D33"/>
    <w:rsid w:val="00370088"/>
    <w:rsid w:val="00370CB0"/>
    <w:rsid w:val="00373673"/>
    <w:rsid w:val="003815C7"/>
    <w:rsid w:val="00386988"/>
    <w:rsid w:val="00390B45"/>
    <w:rsid w:val="003941C2"/>
    <w:rsid w:val="00395D01"/>
    <w:rsid w:val="003965AE"/>
    <w:rsid w:val="00397761"/>
    <w:rsid w:val="003A2572"/>
    <w:rsid w:val="003C2BF6"/>
    <w:rsid w:val="003D0650"/>
    <w:rsid w:val="003E434B"/>
    <w:rsid w:val="003F1DE1"/>
    <w:rsid w:val="0042563E"/>
    <w:rsid w:val="00426224"/>
    <w:rsid w:val="00430528"/>
    <w:rsid w:val="004355C2"/>
    <w:rsid w:val="00437A6C"/>
    <w:rsid w:val="004417ED"/>
    <w:rsid w:val="00450D09"/>
    <w:rsid w:val="00463D87"/>
    <w:rsid w:val="00472F44"/>
    <w:rsid w:val="00473330"/>
    <w:rsid w:val="00483CAB"/>
    <w:rsid w:val="004851E5"/>
    <w:rsid w:val="00493548"/>
    <w:rsid w:val="004937BF"/>
    <w:rsid w:val="004A0E7F"/>
    <w:rsid w:val="004A68D2"/>
    <w:rsid w:val="004B16A2"/>
    <w:rsid w:val="004B315C"/>
    <w:rsid w:val="004B3489"/>
    <w:rsid w:val="004B468C"/>
    <w:rsid w:val="004C0078"/>
    <w:rsid w:val="004D124B"/>
    <w:rsid w:val="004D4027"/>
    <w:rsid w:val="004E1607"/>
    <w:rsid w:val="004E322E"/>
    <w:rsid w:val="004E40A3"/>
    <w:rsid w:val="004E443A"/>
    <w:rsid w:val="004E59F7"/>
    <w:rsid w:val="004E5F2A"/>
    <w:rsid w:val="00502197"/>
    <w:rsid w:val="0050307B"/>
    <w:rsid w:val="00503FF4"/>
    <w:rsid w:val="00516F42"/>
    <w:rsid w:val="00517943"/>
    <w:rsid w:val="00521E98"/>
    <w:rsid w:val="0052685C"/>
    <w:rsid w:val="00527214"/>
    <w:rsid w:val="005277E9"/>
    <w:rsid w:val="00545211"/>
    <w:rsid w:val="0054687E"/>
    <w:rsid w:val="00566076"/>
    <w:rsid w:val="0056741F"/>
    <w:rsid w:val="00570042"/>
    <w:rsid w:val="00571B51"/>
    <w:rsid w:val="00591BCD"/>
    <w:rsid w:val="00592CC5"/>
    <w:rsid w:val="005A1827"/>
    <w:rsid w:val="005A3297"/>
    <w:rsid w:val="005A3563"/>
    <w:rsid w:val="005A5C64"/>
    <w:rsid w:val="005B07FD"/>
    <w:rsid w:val="005B602F"/>
    <w:rsid w:val="005C6021"/>
    <w:rsid w:val="005E49D9"/>
    <w:rsid w:val="005F6730"/>
    <w:rsid w:val="0060201F"/>
    <w:rsid w:val="00602E32"/>
    <w:rsid w:val="0062347F"/>
    <w:rsid w:val="006326DC"/>
    <w:rsid w:val="00641405"/>
    <w:rsid w:val="00642C60"/>
    <w:rsid w:val="006512EB"/>
    <w:rsid w:val="00653110"/>
    <w:rsid w:val="00663BC4"/>
    <w:rsid w:val="00664E3A"/>
    <w:rsid w:val="00664F8F"/>
    <w:rsid w:val="00666C74"/>
    <w:rsid w:val="00671B77"/>
    <w:rsid w:val="006745AC"/>
    <w:rsid w:val="00675AE2"/>
    <w:rsid w:val="006767B3"/>
    <w:rsid w:val="0067797F"/>
    <w:rsid w:val="00680AB6"/>
    <w:rsid w:val="00682D2B"/>
    <w:rsid w:val="00684CFA"/>
    <w:rsid w:val="00686942"/>
    <w:rsid w:val="006935A6"/>
    <w:rsid w:val="006A0261"/>
    <w:rsid w:val="006A06DC"/>
    <w:rsid w:val="006A33C6"/>
    <w:rsid w:val="006A3F1A"/>
    <w:rsid w:val="006C6FF5"/>
    <w:rsid w:val="006D0269"/>
    <w:rsid w:val="006D5E98"/>
    <w:rsid w:val="006E6BDB"/>
    <w:rsid w:val="006E7217"/>
    <w:rsid w:val="006F0FBA"/>
    <w:rsid w:val="00703C9F"/>
    <w:rsid w:val="007077CB"/>
    <w:rsid w:val="00707CE8"/>
    <w:rsid w:val="00707F14"/>
    <w:rsid w:val="00710CDA"/>
    <w:rsid w:val="0071464B"/>
    <w:rsid w:val="00717E0F"/>
    <w:rsid w:val="00720FFE"/>
    <w:rsid w:val="0072539F"/>
    <w:rsid w:val="007307D0"/>
    <w:rsid w:val="007327CC"/>
    <w:rsid w:val="007345BD"/>
    <w:rsid w:val="00742D1A"/>
    <w:rsid w:val="00742ED3"/>
    <w:rsid w:val="00744EAA"/>
    <w:rsid w:val="007451B8"/>
    <w:rsid w:val="0075357F"/>
    <w:rsid w:val="0075373B"/>
    <w:rsid w:val="0075500C"/>
    <w:rsid w:val="00757F53"/>
    <w:rsid w:val="00764155"/>
    <w:rsid w:val="007711FE"/>
    <w:rsid w:val="00773E14"/>
    <w:rsid w:val="00786449"/>
    <w:rsid w:val="007864E4"/>
    <w:rsid w:val="0079111A"/>
    <w:rsid w:val="00793DF6"/>
    <w:rsid w:val="00796B9A"/>
    <w:rsid w:val="007A4895"/>
    <w:rsid w:val="007A4CD0"/>
    <w:rsid w:val="007B09EA"/>
    <w:rsid w:val="007B2009"/>
    <w:rsid w:val="007B2BEA"/>
    <w:rsid w:val="007B61A8"/>
    <w:rsid w:val="007B63A8"/>
    <w:rsid w:val="007C3962"/>
    <w:rsid w:val="007C5B75"/>
    <w:rsid w:val="007C5F30"/>
    <w:rsid w:val="007C6114"/>
    <w:rsid w:val="007D1688"/>
    <w:rsid w:val="007D535A"/>
    <w:rsid w:val="007D5E8D"/>
    <w:rsid w:val="007E256C"/>
    <w:rsid w:val="007E7A2D"/>
    <w:rsid w:val="007F4F15"/>
    <w:rsid w:val="00800051"/>
    <w:rsid w:val="00802514"/>
    <w:rsid w:val="00804960"/>
    <w:rsid w:val="00812BD6"/>
    <w:rsid w:val="00814F40"/>
    <w:rsid w:val="00822778"/>
    <w:rsid w:val="00823D3D"/>
    <w:rsid w:val="00823D59"/>
    <w:rsid w:val="00824EBB"/>
    <w:rsid w:val="008342F8"/>
    <w:rsid w:val="00840922"/>
    <w:rsid w:val="00853EAA"/>
    <w:rsid w:val="00860DCF"/>
    <w:rsid w:val="00864CDD"/>
    <w:rsid w:val="00875EDB"/>
    <w:rsid w:val="008768AA"/>
    <w:rsid w:val="00880D5F"/>
    <w:rsid w:val="00882A65"/>
    <w:rsid w:val="00882D21"/>
    <w:rsid w:val="0088389D"/>
    <w:rsid w:val="00884D3E"/>
    <w:rsid w:val="00886145"/>
    <w:rsid w:val="00892A75"/>
    <w:rsid w:val="008940D8"/>
    <w:rsid w:val="00895ACF"/>
    <w:rsid w:val="00897B1E"/>
    <w:rsid w:val="008A1543"/>
    <w:rsid w:val="008A4F75"/>
    <w:rsid w:val="008B123A"/>
    <w:rsid w:val="008B2A17"/>
    <w:rsid w:val="008B2EF6"/>
    <w:rsid w:val="008B3542"/>
    <w:rsid w:val="008B601F"/>
    <w:rsid w:val="008C15EA"/>
    <w:rsid w:val="008C2F23"/>
    <w:rsid w:val="008C4E87"/>
    <w:rsid w:val="008C6D2B"/>
    <w:rsid w:val="008C7420"/>
    <w:rsid w:val="008E3106"/>
    <w:rsid w:val="008E3E4A"/>
    <w:rsid w:val="008E6F03"/>
    <w:rsid w:val="008F2A5F"/>
    <w:rsid w:val="0090086D"/>
    <w:rsid w:val="00902A05"/>
    <w:rsid w:val="009050ED"/>
    <w:rsid w:val="00907922"/>
    <w:rsid w:val="00907AF1"/>
    <w:rsid w:val="009101E9"/>
    <w:rsid w:val="00911A13"/>
    <w:rsid w:val="00912300"/>
    <w:rsid w:val="00913485"/>
    <w:rsid w:val="00924D29"/>
    <w:rsid w:val="00927EC9"/>
    <w:rsid w:val="0093193C"/>
    <w:rsid w:val="00934967"/>
    <w:rsid w:val="00934D2C"/>
    <w:rsid w:val="009363A8"/>
    <w:rsid w:val="009410A4"/>
    <w:rsid w:val="0094406D"/>
    <w:rsid w:val="00955CCC"/>
    <w:rsid w:val="009652AD"/>
    <w:rsid w:val="009656B7"/>
    <w:rsid w:val="009720D9"/>
    <w:rsid w:val="00976C48"/>
    <w:rsid w:val="00982441"/>
    <w:rsid w:val="00985F87"/>
    <w:rsid w:val="00993ABD"/>
    <w:rsid w:val="00997F5B"/>
    <w:rsid w:val="009A2A5B"/>
    <w:rsid w:val="009A643F"/>
    <w:rsid w:val="009B0B92"/>
    <w:rsid w:val="009B144A"/>
    <w:rsid w:val="009B4F2D"/>
    <w:rsid w:val="009C2085"/>
    <w:rsid w:val="009C406C"/>
    <w:rsid w:val="009C4456"/>
    <w:rsid w:val="009C71DA"/>
    <w:rsid w:val="009D5047"/>
    <w:rsid w:val="009E0984"/>
    <w:rsid w:val="009F3D81"/>
    <w:rsid w:val="009F4625"/>
    <w:rsid w:val="009F64CD"/>
    <w:rsid w:val="00A002EE"/>
    <w:rsid w:val="00A03062"/>
    <w:rsid w:val="00A0365E"/>
    <w:rsid w:val="00A14FE6"/>
    <w:rsid w:val="00A175DB"/>
    <w:rsid w:val="00A24E70"/>
    <w:rsid w:val="00A31507"/>
    <w:rsid w:val="00A31CF1"/>
    <w:rsid w:val="00A42D5D"/>
    <w:rsid w:val="00A436EE"/>
    <w:rsid w:val="00A5279F"/>
    <w:rsid w:val="00A53F50"/>
    <w:rsid w:val="00A54D23"/>
    <w:rsid w:val="00A54E75"/>
    <w:rsid w:val="00A621E5"/>
    <w:rsid w:val="00A719D4"/>
    <w:rsid w:val="00A74DBC"/>
    <w:rsid w:val="00A82C17"/>
    <w:rsid w:val="00A8364C"/>
    <w:rsid w:val="00A841EE"/>
    <w:rsid w:val="00A86C7C"/>
    <w:rsid w:val="00A92ABF"/>
    <w:rsid w:val="00A97AAB"/>
    <w:rsid w:val="00AA2131"/>
    <w:rsid w:val="00AB197A"/>
    <w:rsid w:val="00AB7776"/>
    <w:rsid w:val="00AC2CE5"/>
    <w:rsid w:val="00AC2F29"/>
    <w:rsid w:val="00AC74BF"/>
    <w:rsid w:val="00AD0828"/>
    <w:rsid w:val="00AD22FB"/>
    <w:rsid w:val="00AD27DA"/>
    <w:rsid w:val="00AD6FD3"/>
    <w:rsid w:val="00AE13B8"/>
    <w:rsid w:val="00AE5831"/>
    <w:rsid w:val="00B0545A"/>
    <w:rsid w:val="00B07EF1"/>
    <w:rsid w:val="00B13CDD"/>
    <w:rsid w:val="00B21299"/>
    <w:rsid w:val="00B352AC"/>
    <w:rsid w:val="00B47D42"/>
    <w:rsid w:val="00B549D5"/>
    <w:rsid w:val="00B56D98"/>
    <w:rsid w:val="00B61E3B"/>
    <w:rsid w:val="00B81896"/>
    <w:rsid w:val="00B864B5"/>
    <w:rsid w:val="00B9089B"/>
    <w:rsid w:val="00B93FA9"/>
    <w:rsid w:val="00B94965"/>
    <w:rsid w:val="00B94E7B"/>
    <w:rsid w:val="00B97B30"/>
    <w:rsid w:val="00B97C1C"/>
    <w:rsid w:val="00BA71B9"/>
    <w:rsid w:val="00BB34E7"/>
    <w:rsid w:val="00BC5371"/>
    <w:rsid w:val="00BD5964"/>
    <w:rsid w:val="00BE2719"/>
    <w:rsid w:val="00BE4857"/>
    <w:rsid w:val="00BE553E"/>
    <w:rsid w:val="00BE6177"/>
    <w:rsid w:val="00BF0E9E"/>
    <w:rsid w:val="00BF14EF"/>
    <w:rsid w:val="00BF518B"/>
    <w:rsid w:val="00C00501"/>
    <w:rsid w:val="00C00699"/>
    <w:rsid w:val="00C033F2"/>
    <w:rsid w:val="00C03923"/>
    <w:rsid w:val="00C040F0"/>
    <w:rsid w:val="00C048FC"/>
    <w:rsid w:val="00C06417"/>
    <w:rsid w:val="00C101A4"/>
    <w:rsid w:val="00C1772C"/>
    <w:rsid w:val="00C20C4B"/>
    <w:rsid w:val="00C2324C"/>
    <w:rsid w:val="00C26924"/>
    <w:rsid w:val="00C42068"/>
    <w:rsid w:val="00C43E56"/>
    <w:rsid w:val="00C45D4D"/>
    <w:rsid w:val="00C46E97"/>
    <w:rsid w:val="00C476EB"/>
    <w:rsid w:val="00C50BCE"/>
    <w:rsid w:val="00C51860"/>
    <w:rsid w:val="00C572F0"/>
    <w:rsid w:val="00C605FA"/>
    <w:rsid w:val="00C60A52"/>
    <w:rsid w:val="00C629D0"/>
    <w:rsid w:val="00C76BA7"/>
    <w:rsid w:val="00C91C07"/>
    <w:rsid w:val="00C925C9"/>
    <w:rsid w:val="00C9485E"/>
    <w:rsid w:val="00CA0D12"/>
    <w:rsid w:val="00CA4C45"/>
    <w:rsid w:val="00CA4FE4"/>
    <w:rsid w:val="00CB4196"/>
    <w:rsid w:val="00CB604D"/>
    <w:rsid w:val="00CC3E8E"/>
    <w:rsid w:val="00CC5A9A"/>
    <w:rsid w:val="00CD0A39"/>
    <w:rsid w:val="00CD4ADC"/>
    <w:rsid w:val="00CE3236"/>
    <w:rsid w:val="00CF1F6B"/>
    <w:rsid w:val="00CF3D9F"/>
    <w:rsid w:val="00CF43A0"/>
    <w:rsid w:val="00CF469D"/>
    <w:rsid w:val="00D01A1A"/>
    <w:rsid w:val="00D029BF"/>
    <w:rsid w:val="00D06A8C"/>
    <w:rsid w:val="00D133F1"/>
    <w:rsid w:val="00D17801"/>
    <w:rsid w:val="00D2077E"/>
    <w:rsid w:val="00D2131A"/>
    <w:rsid w:val="00D3129C"/>
    <w:rsid w:val="00D438C8"/>
    <w:rsid w:val="00D4519A"/>
    <w:rsid w:val="00D46D26"/>
    <w:rsid w:val="00D540FD"/>
    <w:rsid w:val="00D62EE8"/>
    <w:rsid w:val="00D677EC"/>
    <w:rsid w:val="00D74441"/>
    <w:rsid w:val="00D84350"/>
    <w:rsid w:val="00D9028C"/>
    <w:rsid w:val="00D94859"/>
    <w:rsid w:val="00D95998"/>
    <w:rsid w:val="00DA26BA"/>
    <w:rsid w:val="00DA491E"/>
    <w:rsid w:val="00DA70E5"/>
    <w:rsid w:val="00DB09A8"/>
    <w:rsid w:val="00DB7BA0"/>
    <w:rsid w:val="00DC17E7"/>
    <w:rsid w:val="00DC310D"/>
    <w:rsid w:val="00DC70AB"/>
    <w:rsid w:val="00DC71AC"/>
    <w:rsid w:val="00DC7342"/>
    <w:rsid w:val="00DC75E6"/>
    <w:rsid w:val="00DD00A2"/>
    <w:rsid w:val="00DD26B1"/>
    <w:rsid w:val="00DD6075"/>
    <w:rsid w:val="00DF001E"/>
    <w:rsid w:val="00DF4C47"/>
    <w:rsid w:val="00DF5C20"/>
    <w:rsid w:val="00E00F56"/>
    <w:rsid w:val="00E0148A"/>
    <w:rsid w:val="00E0185F"/>
    <w:rsid w:val="00E035FC"/>
    <w:rsid w:val="00E04938"/>
    <w:rsid w:val="00E05F52"/>
    <w:rsid w:val="00E06A95"/>
    <w:rsid w:val="00E10F60"/>
    <w:rsid w:val="00E20CF1"/>
    <w:rsid w:val="00E23EBC"/>
    <w:rsid w:val="00E24F50"/>
    <w:rsid w:val="00E301E1"/>
    <w:rsid w:val="00E323DC"/>
    <w:rsid w:val="00E35E69"/>
    <w:rsid w:val="00E40BB4"/>
    <w:rsid w:val="00E51348"/>
    <w:rsid w:val="00E518CE"/>
    <w:rsid w:val="00E52F0F"/>
    <w:rsid w:val="00E554CB"/>
    <w:rsid w:val="00E73BA6"/>
    <w:rsid w:val="00E77BFB"/>
    <w:rsid w:val="00E826C0"/>
    <w:rsid w:val="00E828CD"/>
    <w:rsid w:val="00E84703"/>
    <w:rsid w:val="00E910BF"/>
    <w:rsid w:val="00E92A0B"/>
    <w:rsid w:val="00E9347C"/>
    <w:rsid w:val="00E9412B"/>
    <w:rsid w:val="00E95C59"/>
    <w:rsid w:val="00E95ED6"/>
    <w:rsid w:val="00E97BC0"/>
    <w:rsid w:val="00EA1648"/>
    <w:rsid w:val="00EB3AA3"/>
    <w:rsid w:val="00EC07F0"/>
    <w:rsid w:val="00EC252B"/>
    <w:rsid w:val="00ED2A7D"/>
    <w:rsid w:val="00EE0040"/>
    <w:rsid w:val="00EE2345"/>
    <w:rsid w:val="00EE3733"/>
    <w:rsid w:val="00F078A7"/>
    <w:rsid w:val="00F11330"/>
    <w:rsid w:val="00F17D74"/>
    <w:rsid w:val="00F17FD7"/>
    <w:rsid w:val="00F22D9D"/>
    <w:rsid w:val="00F24154"/>
    <w:rsid w:val="00F26B38"/>
    <w:rsid w:val="00F35EAF"/>
    <w:rsid w:val="00F4328D"/>
    <w:rsid w:val="00F45ACB"/>
    <w:rsid w:val="00F52E3D"/>
    <w:rsid w:val="00F56638"/>
    <w:rsid w:val="00F62D52"/>
    <w:rsid w:val="00F65D10"/>
    <w:rsid w:val="00F7200D"/>
    <w:rsid w:val="00F76E7F"/>
    <w:rsid w:val="00F8264D"/>
    <w:rsid w:val="00F8362A"/>
    <w:rsid w:val="00F84B9A"/>
    <w:rsid w:val="00F90C8C"/>
    <w:rsid w:val="00F931D6"/>
    <w:rsid w:val="00F95964"/>
    <w:rsid w:val="00FB01D9"/>
    <w:rsid w:val="00FB3FA2"/>
    <w:rsid w:val="00FB47AD"/>
    <w:rsid w:val="00FB6356"/>
    <w:rsid w:val="00FB74C3"/>
    <w:rsid w:val="00FB7E6F"/>
    <w:rsid w:val="00FC286B"/>
    <w:rsid w:val="00FC64CD"/>
    <w:rsid w:val="00FC65F8"/>
    <w:rsid w:val="00FD0D78"/>
    <w:rsid w:val="00FD50FE"/>
    <w:rsid w:val="00FD69AF"/>
    <w:rsid w:val="00FD7124"/>
    <w:rsid w:val="00FE5771"/>
    <w:rsid w:val="00FF15CD"/>
    <w:rsid w:val="00FF6C4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62AB0A"/>
  <w15:chartTrackingRefBased/>
  <w15:docId w15:val="{E12ABBCD-CC32-4317-B247-7D685446D3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nl-NL" w:eastAsia="en-US" w:bidi="ar-SA"/>
      </w:rPr>
    </w:rPrDefault>
    <w:pPrDefault>
      <w:pPr>
        <w:spacing w:after="120" w:line="264" w:lineRule="auto"/>
      </w:pPr>
    </w:pPrDefault>
  </w:docDefaults>
  <w:latentStyles w:defLockedState="0" w:defUIPriority="99" w:defSemiHidden="0" w:defUnhideWhenUsed="0" w:defQFormat="0" w:count="38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E301E1"/>
  </w:style>
  <w:style w:type="paragraph" w:styleId="Heading1">
    <w:name w:val="heading 1"/>
    <w:basedOn w:val="Normal"/>
    <w:next w:val="Normal"/>
    <w:link w:val="Heading1Char"/>
    <w:uiPriority w:val="9"/>
    <w:qFormat/>
    <w:rsid w:val="00E301E1"/>
    <w:pPr>
      <w:keepNext/>
      <w:keepLines/>
      <w:pBdr>
        <w:bottom w:val="single" w:sz="4" w:space="1" w:color="5B9BD5" w:themeColor="accent1"/>
      </w:pBdr>
      <w:spacing w:before="400" w:after="40" w:line="240" w:lineRule="auto"/>
      <w:outlineLvl w:val="0"/>
    </w:pPr>
    <w:rPr>
      <w:rFonts w:asciiTheme="majorHAnsi" w:eastAsiaTheme="majorEastAsia" w:hAnsiTheme="majorHAnsi" w:cstheme="majorBidi"/>
      <w:color w:val="2E74B5" w:themeColor="accent1" w:themeShade="BF"/>
      <w:sz w:val="36"/>
      <w:szCs w:val="36"/>
    </w:rPr>
  </w:style>
  <w:style w:type="paragraph" w:styleId="Heading2">
    <w:name w:val="heading 2"/>
    <w:basedOn w:val="Normal"/>
    <w:next w:val="Normal"/>
    <w:link w:val="Heading2Char"/>
    <w:uiPriority w:val="9"/>
    <w:unhideWhenUsed/>
    <w:qFormat/>
    <w:rsid w:val="00E301E1"/>
    <w:pPr>
      <w:keepNext/>
      <w:keepLines/>
      <w:spacing w:before="160" w:after="0" w:line="240" w:lineRule="auto"/>
      <w:outlineLvl w:val="1"/>
    </w:pPr>
    <w:rPr>
      <w:rFonts w:asciiTheme="majorHAnsi" w:eastAsiaTheme="majorEastAsia" w:hAnsiTheme="majorHAnsi" w:cstheme="majorBidi"/>
      <w:color w:val="2E74B5" w:themeColor="accent1" w:themeShade="BF"/>
      <w:sz w:val="28"/>
      <w:szCs w:val="28"/>
    </w:rPr>
  </w:style>
  <w:style w:type="paragraph" w:styleId="Heading3">
    <w:name w:val="heading 3"/>
    <w:basedOn w:val="Normal"/>
    <w:next w:val="Normal"/>
    <w:link w:val="Heading3Char"/>
    <w:uiPriority w:val="9"/>
    <w:unhideWhenUsed/>
    <w:qFormat/>
    <w:rsid w:val="00E301E1"/>
    <w:pPr>
      <w:keepNext/>
      <w:keepLines/>
      <w:spacing w:before="80" w:after="0" w:line="240" w:lineRule="auto"/>
      <w:outlineLvl w:val="2"/>
    </w:pPr>
    <w:rPr>
      <w:rFonts w:asciiTheme="majorHAnsi" w:eastAsiaTheme="majorEastAsia" w:hAnsiTheme="majorHAnsi" w:cstheme="majorBidi"/>
      <w:color w:val="404040" w:themeColor="text1" w:themeTint="BF"/>
      <w:sz w:val="26"/>
      <w:szCs w:val="26"/>
    </w:rPr>
  </w:style>
  <w:style w:type="paragraph" w:styleId="Heading4">
    <w:name w:val="heading 4"/>
    <w:basedOn w:val="Normal"/>
    <w:next w:val="Normal"/>
    <w:link w:val="Heading4Char"/>
    <w:uiPriority w:val="9"/>
    <w:semiHidden/>
    <w:unhideWhenUsed/>
    <w:qFormat/>
    <w:rsid w:val="00E301E1"/>
    <w:pPr>
      <w:keepNext/>
      <w:keepLines/>
      <w:spacing w:before="80" w:after="0"/>
      <w:outlineLvl w:val="3"/>
    </w:pPr>
    <w:rPr>
      <w:rFonts w:asciiTheme="majorHAnsi" w:eastAsiaTheme="majorEastAsia" w:hAnsiTheme="majorHAnsi" w:cstheme="majorBidi"/>
      <w:sz w:val="24"/>
      <w:szCs w:val="24"/>
    </w:rPr>
  </w:style>
  <w:style w:type="paragraph" w:styleId="Heading5">
    <w:name w:val="heading 5"/>
    <w:basedOn w:val="Normal"/>
    <w:next w:val="Normal"/>
    <w:link w:val="Heading5Char"/>
    <w:uiPriority w:val="9"/>
    <w:semiHidden/>
    <w:unhideWhenUsed/>
    <w:qFormat/>
    <w:rsid w:val="00E301E1"/>
    <w:pPr>
      <w:keepNext/>
      <w:keepLines/>
      <w:spacing w:before="80" w:after="0"/>
      <w:outlineLvl w:val="4"/>
    </w:pPr>
    <w:rPr>
      <w:rFonts w:asciiTheme="majorHAnsi" w:eastAsiaTheme="majorEastAsia" w:hAnsiTheme="majorHAnsi" w:cstheme="majorBidi"/>
      <w:i/>
      <w:iCs/>
      <w:sz w:val="22"/>
      <w:szCs w:val="22"/>
    </w:rPr>
  </w:style>
  <w:style w:type="paragraph" w:styleId="Heading6">
    <w:name w:val="heading 6"/>
    <w:basedOn w:val="Normal"/>
    <w:next w:val="Normal"/>
    <w:link w:val="Heading6Char"/>
    <w:uiPriority w:val="9"/>
    <w:semiHidden/>
    <w:unhideWhenUsed/>
    <w:qFormat/>
    <w:rsid w:val="00E301E1"/>
    <w:pPr>
      <w:keepNext/>
      <w:keepLines/>
      <w:spacing w:before="80" w:after="0"/>
      <w:outlineLvl w:val="5"/>
    </w:pPr>
    <w:rPr>
      <w:rFonts w:asciiTheme="majorHAnsi" w:eastAsiaTheme="majorEastAsia" w:hAnsiTheme="majorHAnsi" w:cstheme="majorBidi"/>
      <w:color w:val="595959" w:themeColor="text1" w:themeTint="A6"/>
    </w:rPr>
  </w:style>
  <w:style w:type="paragraph" w:styleId="Heading7">
    <w:name w:val="heading 7"/>
    <w:basedOn w:val="Normal"/>
    <w:next w:val="Normal"/>
    <w:link w:val="Heading7Char"/>
    <w:uiPriority w:val="9"/>
    <w:semiHidden/>
    <w:unhideWhenUsed/>
    <w:qFormat/>
    <w:rsid w:val="00E301E1"/>
    <w:pPr>
      <w:keepNext/>
      <w:keepLines/>
      <w:spacing w:before="80" w:after="0"/>
      <w:outlineLvl w:val="6"/>
    </w:pPr>
    <w:rPr>
      <w:rFonts w:asciiTheme="majorHAnsi" w:eastAsiaTheme="majorEastAsia" w:hAnsiTheme="majorHAnsi" w:cstheme="majorBidi"/>
      <w:i/>
      <w:iCs/>
      <w:color w:val="595959" w:themeColor="text1" w:themeTint="A6"/>
    </w:rPr>
  </w:style>
  <w:style w:type="paragraph" w:styleId="Heading8">
    <w:name w:val="heading 8"/>
    <w:basedOn w:val="Normal"/>
    <w:next w:val="Normal"/>
    <w:link w:val="Heading8Char"/>
    <w:uiPriority w:val="9"/>
    <w:semiHidden/>
    <w:unhideWhenUsed/>
    <w:qFormat/>
    <w:rsid w:val="00E301E1"/>
    <w:pPr>
      <w:keepNext/>
      <w:keepLines/>
      <w:spacing w:before="80" w:after="0"/>
      <w:outlineLvl w:val="7"/>
    </w:pPr>
    <w:rPr>
      <w:rFonts w:asciiTheme="majorHAnsi" w:eastAsiaTheme="majorEastAsia" w:hAnsiTheme="majorHAnsi" w:cstheme="majorBidi"/>
      <w:smallCaps/>
      <w:color w:val="595959" w:themeColor="text1" w:themeTint="A6"/>
    </w:rPr>
  </w:style>
  <w:style w:type="paragraph" w:styleId="Heading9">
    <w:name w:val="heading 9"/>
    <w:basedOn w:val="Normal"/>
    <w:next w:val="Normal"/>
    <w:link w:val="Heading9Char"/>
    <w:uiPriority w:val="9"/>
    <w:semiHidden/>
    <w:unhideWhenUsed/>
    <w:qFormat/>
    <w:rsid w:val="00E301E1"/>
    <w:pPr>
      <w:keepNext/>
      <w:keepLines/>
      <w:spacing w:before="80" w:after="0"/>
      <w:outlineLvl w:val="8"/>
    </w:pPr>
    <w:rPr>
      <w:rFonts w:asciiTheme="majorHAnsi" w:eastAsiaTheme="majorEastAsia" w:hAnsiTheme="majorHAnsi" w:cstheme="majorBidi"/>
      <w:i/>
      <w:iCs/>
      <w:smallCaps/>
      <w:color w:val="595959" w:themeColor="text1" w:themeTint="A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E301E1"/>
    <w:pPr>
      <w:spacing w:after="0" w:line="240" w:lineRule="auto"/>
      <w:contextualSpacing/>
    </w:pPr>
    <w:rPr>
      <w:rFonts w:asciiTheme="majorHAnsi" w:eastAsiaTheme="majorEastAsia" w:hAnsiTheme="majorHAnsi" w:cstheme="majorBidi"/>
      <w:color w:val="2E74B5" w:themeColor="accent1" w:themeShade="BF"/>
      <w:spacing w:val="-7"/>
      <w:sz w:val="80"/>
      <w:szCs w:val="80"/>
    </w:rPr>
  </w:style>
  <w:style w:type="character" w:customStyle="1" w:styleId="TitleChar">
    <w:name w:val="Title Char"/>
    <w:basedOn w:val="DefaultParagraphFont"/>
    <w:link w:val="Title"/>
    <w:uiPriority w:val="10"/>
    <w:rsid w:val="00E301E1"/>
    <w:rPr>
      <w:rFonts w:asciiTheme="majorHAnsi" w:eastAsiaTheme="majorEastAsia" w:hAnsiTheme="majorHAnsi" w:cstheme="majorBidi"/>
      <w:color w:val="2E74B5" w:themeColor="accent1" w:themeShade="BF"/>
      <w:spacing w:val="-7"/>
      <w:sz w:val="80"/>
      <w:szCs w:val="80"/>
    </w:rPr>
  </w:style>
  <w:style w:type="character" w:customStyle="1" w:styleId="Heading1Char">
    <w:name w:val="Heading 1 Char"/>
    <w:basedOn w:val="DefaultParagraphFont"/>
    <w:link w:val="Heading1"/>
    <w:uiPriority w:val="9"/>
    <w:rsid w:val="00E301E1"/>
    <w:rPr>
      <w:rFonts w:asciiTheme="majorHAnsi" w:eastAsiaTheme="majorEastAsia" w:hAnsiTheme="majorHAnsi" w:cstheme="majorBidi"/>
      <w:color w:val="2E74B5" w:themeColor="accent1" w:themeShade="BF"/>
      <w:sz w:val="36"/>
      <w:szCs w:val="36"/>
    </w:rPr>
  </w:style>
  <w:style w:type="character" w:customStyle="1" w:styleId="Heading2Char">
    <w:name w:val="Heading 2 Char"/>
    <w:basedOn w:val="DefaultParagraphFont"/>
    <w:link w:val="Heading2"/>
    <w:uiPriority w:val="9"/>
    <w:rsid w:val="00E301E1"/>
    <w:rPr>
      <w:rFonts w:asciiTheme="majorHAnsi" w:eastAsiaTheme="majorEastAsia" w:hAnsiTheme="majorHAnsi" w:cstheme="majorBidi"/>
      <w:color w:val="2E74B5" w:themeColor="accent1" w:themeShade="BF"/>
      <w:sz w:val="28"/>
      <w:szCs w:val="28"/>
    </w:rPr>
  </w:style>
  <w:style w:type="character" w:customStyle="1" w:styleId="Heading3Char">
    <w:name w:val="Heading 3 Char"/>
    <w:basedOn w:val="DefaultParagraphFont"/>
    <w:link w:val="Heading3"/>
    <w:uiPriority w:val="9"/>
    <w:rsid w:val="00E301E1"/>
    <w:rPr>
      <w:rFonts w:asciiTheme="majorHAnsi" w:eastAsiaTheme="majorEastAsia" w:hAnsiTheme="majorHAnsi" w:cstheme="majorBidi"/>
      <w:color w:val="404040" w:themeColor="text1" w:themeTint="BF"/>
      <w:sz w:val="26"/>
      <w:szCs w:val="26"/>
    </w:rPr>
  </w:style>
  <w:style w:type="character" w:customStyle="1" w:styleId="Heading4Char">
    <w:name w:val="Heading 4 Char"/>
    <w:basedOn w:val="DefaultParagraphFont"/>
    <w:link w:val="Heading4"/>
    <w:uiPriority w:val="9"/>
    <w:semiHidden/>
    <w:rsid w:val="00E301E1"/>
    <w:rPr>
      <w:rFonts w:asciiTheme="majorHAnsi" w:eastAsiaTheme="majorEastAsia" w:hAnsiTheme="majorHAnsi" w:cstheme="majorBidi"/>
      <w:sz w:val="24"/>
      <w:szCs w:val="24"/>
    </w:rPr>
  </w:style>
  <w:style w:type="character" w:customStyle="1" w:styleId="Heading5Char">
    <w:name w:val="Heading 5 Char"/>
    <w:basedOn w:val="DefaultParagraphFont"/>
    <w:link w:val="Heading5"/>
    <w:uiPriority w:val="9"/>
    <w:semiHidden/>
    <w:rsid w:val="00E301E1"/>
    <w:rPr>
      <w:rFonts w:asciiTheme="majorHAnsi" w:eastAsiaTheme="majorEastAsia" w:hAnsiTheme="majorHAnsi" w:cstheme="majorBidi"/>
      <w:i/>
      <w:iCs/>
      <w:sz w:val="22"/>
      <w:szCs w:val="22"/>
    </w:rPr>
  </w:style>
  <w:style w:type="character" w:customStyle="1" w:styleId="Heading6Char">
    <w:name w:val="Heading 6 Char"/>
    <w:basedOn w:val="DefaultParagraphFont"/>
    <w:link w:val="Heading6"/>
    <w:uiPriority w:val="9"/>
    <w:semiHidden/>
    <w:rsid w:val="00E301E1"/>
    <w:rPr>
      <w:rFonts w:asciiTheme="majorHAnsi" w:eastAsiaTheme="majorEastAsia" w:hAnsiTheme="majorHAnsi" w:cstheme="majorBidi"/>
      <w:color w:val="595959" w:themeColor="text1" w:themeTint="A6"/>
    </w:rPr>
  </w:style>
  <w:style w:type="character" w:customStyle="1" w:styleId="Heading7Char">
    <w:name w:val="Heading 7 Char"/>
    <w:basedOn w:val="DefaultParagraphFont"/>
    <w:link w:val="Heading7"/>
    <w:uiPriority w:val="9"/>
    <w:semiHidden/>
    <w:rsid w:val="00E301E1"/>
    <w:rPr>
      <w:rFonts w:asciiTheme="majorHAnsi" w:eastAsiaTheme="majorEastAsia" w:hAnsiTheme="majorHAnsi" w:cstheme="majorBidi"/>
      <w:i/>
      <w:iCs/>
      <w:color w:val="595959" w:themeColor="text1" w:themeTint="A6"/>
    </w:rPr>
  </w:style>
  <w:style w:type="character" w:customStyle="1" w:styleId="Heading8Char">
    <w:name w:val="Heading 8 Char"/>
    <w:basedOn w:val="DefaultParagraphFont"/>
    <w:link w:val="Heading8"/>
    <w:uiPriority w:val="9"/>
    <w:semiHidden/>
    <w:rsid w:val="00E301E1"/>
    <w:rPr>
      <w:rFonts w:asciiTheme="majorHAnsi" w:eastAsiaTheme="majorEastAsia" w:hAnsiTheme="majorHAnsi" w:cstheme="majorBidi"/>
      <w:smallCaps/>
      <w:color w:val="595959" w:themeColor="text1" w:themeTint="A6"/>
    </w:rPr>
  </w:style>
  <w:style w:type="character" w:customStyle="1" w:styleId="Heading9Char">
    <w:name w:val="Heading 9 Char"/>
    <w:basedOn w:val="DefaultParagraphFont"/>
    <w:link w:val="Heading9"/>
    <w:uiPriority w:val="9"/>
    <w:semiHidden/>
    <w:rsid w:val="00E301E1"/>
    <w:rPr>
      <w:rFonts w:asciiTheme="majorHAnsi" w:eastAsiaTheme="majorEastAsia" w:hAnsiTheme="majorHAnsi" w:cstheme="majorBidi"/>
      <w:i/>
      <w:iCs/>
      <w:smallCaps/>
      <w:color w:val="595959" w:themeColor="text1" w:themeTint="A6"/>
    </w:rPr>
  </w:style>
  <w:style w:type="paragraph" w:styleId="Caption">
    <w:name w:val="caption"/>
    <w:basedOn w:val="Normal"/>
    <w:next w:val="Normal"/>
    <w:uiPriority w:val="35"/>
    <w:unhideWhenUsed/>
    <w:qFormat/>
    <w:rsid w:val="00E301E1"/>
    <w:pPr>
      <w:spacing w:line="240" w:lineRule="auto"/>
    </w:pPr>
    <w:rPr>
      <w:b/>
      <w:bCs/>
      <w:color w:val="404040" w:themeColor="text1" w:themeTint="BF"/>
      <w:sz w:val="20"/>
      <w:szCs w:val="20"/>
    </w:rPr>
  </w:style>
  <w:style w:type="paragraph" w:styleId="Subtitle">
    <w:name w:val="Subtitle"/>
    <w:basedOn w:val="Normal"/>
    <w:next w:val="Normal"/>
    <w:link w:val="SubtitleChar"/>
    <w:uiPriority w:val="11"/>
    <w:qFormat/>
    <w:rsid w:val="00E301E1"/>
    <w:pPr>
      <w:numPr>
        <w:ilvl w:val="1"/>
      </w:numPr>
      <w:spacing w:after="240" w:line="240" w:lineRule="auto"/>
    </w:pPr>
    <w:rPr>
      <w:rFonts w:asciiTheme="majorHAnsi" w:eastAsiaTheme="majorEastAsia" w:hAnsiTheme="majorHAnsi" w:cstheme="majorBidi"/>
      <w:color w:val="404040" w:themeColor="text1" w:themeTint="BF"/>
      <w:sz w:val="30"/>
      <w:szCs w:val="30"/>
    </w:rPr>
  </w:style>
  <w:style w:type="character" w:customStyle="1" w:styleId="SubtitleChar">
    <w:name w:val="Subtitle Char"/>
    <w:basedOn w:val="DefaultParagraphFont"/>
    <w:link w:val="Subtitle"/>
    <w:uiPriority w:val="11"/>
    <w:rsid w:val="00E301E1"/>
    <w:rPr>
      <w:rFonts w:asciiTheme="majorHAnsi" w:eastAsiaTheme="majorEastAsia" w:hAnsiTheme="majorHAnsi" w:cstheme="majorBidi"/>
      <w:color w:val="404040" w:themeColor="text1" w:themeTint="BF"/>
      <w:sz w:val="30"/>
      <w:szCs w:val="30"/>
    </w:rPr>
  </w:style>
  <w:style w:type="character" w:styleId="Strong">
    <w:name w:val="Strong"/>
    <w:basedOn w:val="DefaultParagraphFont"/>
    <w:uiPriority w:val="22"/>
    <w:qFormat/>
    <w:rsid w:val="00E301E1"/>
    <w:rPr>
      <w:b/>
      <w:bCs/>
    </w:rPr>
  </w:style>
  <w:style w:type="character" w:styleId="Emphasis">
    <w:name w:val="Emphasis"/>
    <w:basedOn w:val="DefaultParagraphFont"/>
    <w:uiPriority w:val="20"/>
    <w:qFormat/>
    <w:rsid w:val="00E301E1"/>
    <w:rPr>
      <w:i/>
      <w:iCs/>
    </w:rPr>
  </w:style>
  <w:style w:type="paragraph" w:styleId="NoSpacing">
    <w:name w:val="No Spacing"/>
    <w:uiPriority w:val="1"/>
    <w:qFormat/>
    <w:rsid w:val="00E301E1"/>
    <w:pPr>
      <w:spacing w:after="0" w:line="240" w:lineRule="auto"/>
    </w:pPr>
  </w:style>
  <w:style w:type="paragraph" w:styleId="Quote">
    <w:name w:val="Quote"/>
    <w:basedOn w:val="Normal"/>
    <w:next w:val="Normal"/>
    <w:link w:val="QuoteChar"/>
    <w:uiPriority w:val="29"/>
    <w:qFormat/>
    <w:rsid w:val="00E301E1"/>
    <w:pPr>
      <w:spacing w:before="240" w:after="240" w:line="252" w:lineRule="auto"/>
      <w:ind w:left="864" w:right="864"/>
      <w:jc w:val="center"/>
    </w:pPr>
    <w:rPr>
      <w:i/>
      <w:iCs/>
    </w:rPr>
  </w:style>
  <w:style w:type="character" w:customStyle="1" w:styleId="QuoteChar">
    <w:name w:val="Quote Char"/>
    <w:basedOn w:val="DefaultParagraphFont"/>
    <w:link w:val="Quote"/>
    <w:uiPriority w:val="29"/>
    <w:rsid w:val="00E301E1"/>
    <w:rPr>
      <w:i/>
      <w:iCs/>
    </w:rPr>
  </w:style>
  <w:style w:type="paragraph" w:styleId="IntenseQuote">
    <w:name w:val="Intense Quote"/>
    <w:basedOn w:val="Normal"/>
    <w:next w:val="Normal"/>
    <w:link w:val="IntenseQuoteChar"/>
    <w:uiPriority w:val="30"/>
    <w:qFormat/>
    <w:rsid w:val="00E301E1"/>
    <w:pPr>
      <w:spacing w:before="100" w:beforeAutospacing="1" w:after="240"/>
      <w:ind w:left="864" w:right="864"/>
      <w:jc w:val="center"/>
    </w:pPr>
    <w:rPr>
      <w:rFonts w:asciiTheme="majorHAnsi" w:eastAsiaTheme="majorEastAsia" w:hAnsiTheme="majorHAnsi" w:cstheme="majorBidi"/>
      <w:color w:val="5B9BD5" w:themeColor="accent1"/>
      <w:sz w:val="28"/>
      <w:szCs w:val="28"/>
    </w:rPr>
  </w:style>
  <w:style w:type="character" w:customStyle="1" w:styleId="IntenseQuoteChar">
    <w:name w:val="Intense Quote Char"/>
    <w:basedOn w:val="DefaultParagraphFont"/>
    <w:link w:val="IntenseQuote"/>
    <w:uiPriority w:val="30"/>
    <w:rsid w:val="00E301E1"/>
    <w:rPr>
      <w:rFonts w:asciiTheme="majorHAnsi" w:eastAsiaTheme="majorEastAsia" w:hAnsiTheme="majorHAnsi" w:cstheme="majorBidi"/>
      <w:color w:val="5B9BD5" w:themeColor="accent1"/>
      <w:sz w:val="28"/>
      <w:szCs w:val="28"/>
    </w:rPr>
  </w:style>
  <w:style w:type="character" w:styleId="SubtleEmphasis">
    <w:name w:val="Subtle Emphasis"/>
    <w:basedOn w:val="DefaultParagraphFont"/>
    <w:uiPriority w:val="19"/>
    <w:qFormat/>
    <w:rsid w:val="00E301E1"/>
    <w:rPr>
      <w:i/>
      <w:iCs/>
      <w:color w:val="595959" w:themeColor="text1" w:themeTint="A6"/>
    </w:rPr>
  </w:style>
  <w:style w:type="character" w:styleId="IntenseEmphasis">
    <w:name w:val="Intense Emphasis"/>
    <w:basedOn w:val="DefaultParagraphFont"/>
    <w:uiPriority w:val="21"/>
    <w:qFormat/>
    <w:rsid w:val="00E301E1"/>
    <w:rPr>
      <w:b/>
      <w:bCs/>
      <w:i/>
      <w:iCs/>
    </w:rPr>
  </w:style>
  <w:style w:type="character" w:styleId="SubtleReference">
    <w:name w:val="Subtle Reference"/>
    <w:basedOn w:val="DefaultParagraphFont"/>
    <w:uiPriority w:val="31"/>
    <w:qFormat/>
    <w:rsid w:val="00E301E1"/>
    <w:rPr>
      <w:smallCaps/>
      <w:color w:val="404040" w:themeColor="text1" w:themeTint="BF"/>
    </w:rPr>
  </w:style>
  <w:style w:type="character" w:styleId="IntenseReference">
    <w:name w:val="Intense Reference"/>
    <w:basedOn w:val="DefaultParagraphFont"/>
    <w:uiPriority w:val="32"/>
    <w:qFormat/>
    <w:rsid w:val="00E301E1"/>
    <w:rPr>
      <w:b/>
      <w:bCs/>
      <w:smallCaps/>
      <w:u w:val="single"/>
    </w:rPr>
  </w:style>
  <w:style w:type="character" w:styleId="BookTitle">
    <w:name w:val="Book Title"/>
    <w:basedOn w:val="DefaultParagraphFont"/>
    <w:uiPriority w:val="33"/>
    <w:qFormat/>
    <w:rsid w:val="00E301E1"/>
    <w:rPr>
      <w:b/>
      <w:bCs/>
      <w:smallCaps/>
    </w:rPr>
  </w:style>
  <w:style w:type="paragraph" w:styleId="TOCHeading">
    <w:name w:val="TOC Heading"/>
    <w:basedOn w:val="Heading1"/>
    <w:next w:val="Normal"/>
    <w:uiPriority w:val="39"/>
    <w:unhideWhenUsed/>
    <w:qFormat/>
    <w:rsid w:val="00E301E1"/>
    <w:pPr>
      <w:outlineLvl w:val="9"/>
    </w:pPr>
  </w:style>
  <w:style w:type="paragraph" w:customStyle="1" w:styleId="Normal1">
    <w:name w:val="Normal1"/>
    <w:rsid w:val="00B549D5"/>
    <w:rPr>
      <w:lang w:val="en-US" w:eastAsia="nl-NL"/>
    </w:rPr>
  </w:style>
  <w:style w:type="paragraph" w:styleId="FootnoteText">
    <w:name w:val="footnote text"/>
    <w:basedOn w:val="Normal"/>
    <w:link w:val="FootnoteTextChar"/>
    <w:uiPriority w:val="99"/>
    <w:semiHidden/>
    <w:unhideWhenUsed/>
    <w:rsid w:val="00B549D5"/>
    <w:pPr>
      <w:spacing w:line="240" w:lineRule="auto"/>
    </w:pPr>
    <w:rPr>
      <w:sz w:val="20"/>
      <w:szCs w:val="20"/>
      <w:lang w:val="en-US" w:eastAsia="nl-NL"/>
    </w:rPr>
  </w:style>
  <w:style w:type="character" w:customStyle="1" w:styleId="FootnoteTextChar">
    <w:name w:val="Footnote Text Char"/>
    <w:basedOn w:val="DefaultParagraphFont"/>
    <w:link w:val="FootnoteText"/>
    <w:uiPriority w:val="99"/>
    <w:semiHidden/>
    <w:rsid w:val="00B549D5"/>
    <w:rPr>
      <w:sz w:val="20"/>
      <w:szCs w:val="20"/>
      <w:lang w:val="en-US" w:eastAsia="nl-NL"/>
    </w:rPr>
  </w:style>
  <w:style w:type="character" w:styleId="FootnoteReference">
    <w:name w:val="footnote reference"/>
    <w:basedOn w:val="DefaultParagraphFont"/>
    <w:uiPriority w:val="99"/>
    <w:semiHidden/>
    <w:unhideWhenUsed/>
    <w:rsid w:val="00B549D5"/>
    <w:rPr>
      <w:vertAlign w:val="superscript"/>
    </w:rPr>
  </w:style>
  <w:style w:type="paragraph" w:styleId="CommentText">
    <w:name w:val="annotation text"/>
    <w:basedOn w:val="Normal"/>
    <w:link w:val="CommentTextChar"/>
    <w:uiPriority w:val="99"/>
    <w:semiHidden/>
    <w:unhideWhenUsed/>
    <w:rsid w:val="00B549D5"/>
    <w:pPr>
      <w:spacing w:line="240" w:lineRule="auto"/>
    </w:pPr>
    <w:rPr>
      <w:sz w:val="20"/>
      <w:szCs w:val="20"/>
      <w:lang w:eastAsia="nl-NL"/>
    </w:rPr>
  </w:style>
  <w:style w:type="character" w:customStyle="1" w:styleId="CommentTextChar">
    <w:name w:val="Comment Text Char"/>
    <w:basedOn w:val="DefaultParagraphFont"/>
    <w:link w:val="CommentText"/>
    <w:uiPriority w:val="99"/>
    <w:semiHidden/>
    <w:rsid w:val="00B549D5"/>
    <w:rPr>
      <w:sz w:val="20"/>
      <w:szCs w:val="20"/>
      <w:lang w:eastAsia="nl-NL"/>
    </w:rPr>
  </w:style>
  <w:style w:type="character" w:styleId="CommentReference">
    <w:name w:val="annotation reference"/>
    <w:basedOn w:val="DefaultParagraphFont"/>
    <w:uiPriority w:val="99"/>
    <w:semiHidden/>
    <w:unhideWhenUsed/>
    <w:rsid w:val="00B549D5"/>
    <w:rPr>
      <w:sz w:val="16"/>
      <w:szCs w:val="16"/>
    </w:rPr>
  </w:style>
  <w:style w:type="table" w:styleId="GridTable1Light-Accent1">
    <w:name w:val="Grid Table 1 Light Accent 1"/>
    <w:basedOn w:val="TableNormal"/>
    <w:uiPriority w:val="46"/>
    <w:rsid w:val="00B549D5"/>
    <w:pPr>
      <w:spacing w:line="240" w:lineRule="auto"/>
    </w:pPr>
    <w:rPr>
      <w:lang w:eastAsia="nl-NL"/>
    </w:rPr>
    <w:tblPr>
      <w:tblStyleRowBandSize w:val="1"/>
      <w:tblStyleColBandSize w:val="1"/>
      <w:tblInd w:w="0" w:type="dxa"/>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styleId="NormalWeb">
    <w:name w:val="Normal (Web)"/>
    <w:basedOn w:val="Normal"/>
    <w:uiPriority w:val="99"/>
    <w:unhideWhenUsed/>
    <w:rsid w:val="00B549D5"/>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styleId="BalloonText">
    <w:name w:val="Balloon Text"/>
    <w:basedOn w:val="Normal"/>
    <w:link w:val="BalloonTextChar"/>
    <w:uiPriority w:val="99"/>
    <w:semiHidden/>
    <w:unhideWhenUsed/>
    <w:rsid w:val="00B549D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549D5"/>
    <w:rPr>
      <w:rFonts w:ascii="Segoe UI" w:hAnsi="Segoe UI" w:cs="Segoe UI"/>
      <w:sz w:val="18"/>
      <w:szCs w:val="18"/>
    </w:rPr>
  </w:style>
  <w:style w:type="table" w:styleId="GridTable2-Accent1">
    <w:name w:val="Grid Table 2 Accent 1"/>
    <w:basedOn w:val="TableNormal"/>
    <w:uiPriority w:val="47"/>
    <w:rsid w:val="00B549D5"/>
    <w:pPr>
      <w:spacing w:after="0" w:line="240" w:lineRule="auto"/>
    </w:pPr>
    <w:rPr>
      <w:lang w:eastAsia="nl-NL"/>
    </w:rPr>
    <w:tblPr>
      <w:tblStyleRowBandSize w:val="1"/>
      <w:tblStyleColBandSize w:val="1"/>
      <w:tblInd w:w="0" w:type="dxa"/>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CellMar>
        <w:top w:w="0" w:type="dxa"/>
        <w:left w:w="108" w:type="dxa"/>
        <w:bottom w:w="0" w:type="dxa"/>
        <w:right w:w="108" w:type="dxa"/>
      </w:tblCellMar>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Header">
    <w:name w:val="header"/>
    <w:basedOn w:val="Normal"/>
    <w:link w:val="HeaderChar"/>
    <w:uiPriority w:val="99"/>
    <w:unhideWhenUsed/>
    <w:rsid w:val="00032AFF"/>
    <w:pPr>
      <w:tabs>
        <w:tab w:val="center" w:pos="4536"/>
        <w:tab w:val="right" w:pos="9072"/>
      </w:tabs>
      <w:spacing w:after="0" w:line="240" w:lineRule="auto"/>
    </w:pPr>
  </w:style>
  <w:style w:type="character" w:customStyle="1" w:styleId="HeaderChar">
    <w:name w:val="Header Char"/>
    <w:basedOn w:val="DefaultParagraphFont"/>
    <w:link w:val="Header"/>
    <w:uiPriority w:val="99"/>
    <w:rsid w:val="00032AFF"/>
  </w:style>
  <w:style w:type="paragraph" w:styleId="Footer">
    <w:name w:val="footer"/>
    <w:basedOn w:val="Normal"/>
    <w:link w:val="FooterChar"/>
    <w:uiPriority w:val="99"/>
    <w:unhideWhenUsed/>
    <w:rsid w:val="00032AFF"/>
    <w:pPr>
      <w:tabs>
        <w:tab w:val="center" w:pos="4536"/>
        <w:tab w:val="right" w:pos="9072"/>
      </w:tabs>
      <w:spacing w:after="0" w:line="240" w:lineRule="auto"/>
    </w:pPr>
  </w:style>
  <w:style w:type="character" w:customStyle="1" w:styleId="FooterChar">
    <w:name w:val="Footer Char"/>
    <w:basedOn w:val="DefaultParagraphFont"/>
    <w:link w:val="Footer"/>
    <w:uiPriority w:val="99"/>
    <w:rsid w:val="00032AFF"/>
  </w:style>
  <w:style w:type="paragraph" w:styleId="TOC1">
    <w:name w:val="toc 1"/>
    <w:basedOn w:val="Normal"/>
    <w:next w:val="Normal"/>
    <w:autoRedefine/>
    <w:uiPriority w:val="39"/>
    <w:unhideWhenUsed/>
    <w:rsid w:val="00A74DBC"/>
    <w:pPr>
      <w:tabs>
        <w:tab w:val="left" w:pos="420"/>
        <w:tab w:val="right" w:leader="dot" w:pos="9062"/>
      </w:tabs>
      <w:spacing w:after="100"/>
    </w:pPr>
    <w:rPr>
      <w:noProof/>
      <w:lang w:val="en-GB"/>
    </w:rPr>
  </w:style>
  <w:style w:type="paragraph" w:styleId="TOC2">
    <w:name w:val="toc 2"/>
    <w:basedOn w:val="Normal"/>
    <w:next w:val="Normal"/>
    <w:autoRedefine/>
    <w:uiPriority w:val="39"/>
    <w:unhideWhenUsed/>
    <w:rsid w:val="00032AFF"/>
    <w:pPr>
      <w:spacing w:after="100"/>
      <w:ind w:left="210"/>
    </w:pPr>
  </w:style>
  <w:style w:type="paragraph" w:styleId="TOC3">
    <w:name w:val="toc 3"/>
    <w:basedOn w:val="Normal"/>
    <w:next w:val="Normal"/>
    <w:autoRedefine/>
    <w:uiPriority w:val="39"/>
    <w:unhideWhenUsed/>
    <w:rsid w:val="00032AFF"/>
    <w:pPr>
      <w:spacing w:after="100"/>
      <w:ind w:left="420"/>
    </w:pPr>
  </w:style>
  <w:style w:type="character" w:styleId="Hyperlink">
    <w:name w:val="Hyperlink"/>
    <w:basedOn w:val="DefaultParagraphFont"/>
    <w:uiPriority w:val="99"/>
    <w:unhideWhenUsed/>
    <w:rsid w:val="00032AFF"/>
    <w:rPr>
      <w:color w:val="0563C1" w:themeColor="hyperlink"/>
      <w:u w:val="single"/>
    </w:rPr>
  </w:style>
  <w:style w:type="paragraph" w:styleId="CommentSubject">
    <w:name w:val="annotation subject"/>
    <w:basedOn w:val="CommentText"/>
    <w:next w:val="CommentText"/>
    <w:link w:val="CommentSubjectChar"/>
    <w:uiPriority w:val="99"/>
    <w:semiHidden/>
    <w:unhideWhenUsed/>
    <w:rsid w:val="00F56638"/>
    <w:rPr>
      <w:b/>
      <w:bCs/>
      <w:lang w:eastAsia="en-US"/>
    </w:rPr>
  </w:style>
  <w:style w:type="character" w:customStyle="1" w:styleId="CommentSubjectChar">
    <w:name w:val="Comment Subject Char"/>
    <w:basedOn w:val="CommentTextChar"/>
    <w:link w:val="CommentSubject"/>
    <w:uiPriority w:val="99"/>
    <w:semiHidden/>
    <w:rsid w:val="00F56638"/>
    <w:rPr>
      <w:b/>
      <w:bCs/>
      <w:sz w:val="20"/>
      <w:szCs w:val="20"/>
      <w:lang w:eastAsia="nl-NL"/>
    </w:rPr>
  </w:style>
  <w:style w:type="paragraph" w:styleId="ListParagraph">
    <w:name w:val="List Paragraph"/>
    <w:basedOn w:val="Normal"/>
    <w:uiPriority w:val="34"/>
    <w:qFormat/>
    <w:rsid w:val="00172604"/>
    <w:pPr>
      <w:ind w:left="720"/>
      <w:contextualSpacing/>
    </w:pPr>
  </w:style>
  <w:style w:type="character" w:styleId="FollowedHyperlink">
    <w:name w:val="FollowedHyperlink"/>
    <w:basedOn w:val="DefaultParagraphFont"/>
    <w:uiPriority w:val="99"/>
    <w:semiHidden/>
    <w:unhideWhenUsed/>
    <w:rsid w:val="006935A6"/>
    <w:rPr>
      <w:color w:val="954F72" w:themeColor="followedHyperlink"/>
      <w:u w:val="single"/>
    </w:rPr>
  </w:style>
  <w:style w:type="character" w:customStyle="1" w:styleId="apple-converted-space">
    <w:name w:val="apple-converted-space"/>
    <w:basedOn w:val="DefaultParagraphFont"/>
    <w:rsid w:val="00C43E56"/>
  </w:style>
  <w:style w:type="table" w:styleId="TableGrid">
    <w:name w:val="Table Grid"/>
    <w:basedOn w:val="TableNormal"/>
    <w:uiPriority w:val="39"/>
    <w:rsid w:val="00882A6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chart" Target="charts/chart2.xml"/><Relationship Id="rId12" Type="http://schemas.openxmlformats.org/officeDocument/2006/relationships/image" Target="media/image3.png"/><Relationship Id="rId13" Type="http://schemas.openxmlformats.org/officeDocument/2006/relationships/image" Target="media/image4.png"/><Relationship Id="rId14" Type="http://schemas.openxmlformats.org/officeDocument/2006/relationships/header" Target="header1.xml"/><Relationship Id="rId15" Type="http://schemas.openxmlformats.org/officeDocument/2006/relationships/header" Target="header2.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image" Target="media/image2.png"/><Relationship Id="rId10"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microsoft.com/office/2011/relationships/chartStyle" Target="style2.xml"/><Relationship Id="rId2" Type="http://schemas.microsoft.com/office/2011/relationships/chartColorStyle" Target="colors2.xml"/><Relationship Id="rId3"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nl-NL" sz="1200"/>
              <a:t>With words in title</a:t>
            </a: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en-US"/>
        </a:p>
      </c:txPr>
    </c:title>
    <c:autoTitleDeleted val="0"/>
    <c:plotArea>
      <c:layout/>
      <c:barChart>
        <c:barDir val="bar"/>
        <c:grouping val="clustered"/>
        <c:varyColors val="0"/>
        <c:ser>
          <c:idx val="0"/>
          <c:order val="0"/>
          <c:tx>
            <c:strRef>
              <c:f>Sheet1!$B$1</c:f>
              <c:strCache>
                <c:ptCount val="1"/>
                <c:pt idx="0">
                  <c:v>Paris</c:v>
                </c:pt>
              </c:strCache>
            </c:strRef>
          </c:tx>
          <c:spPr>
            <a:solidFill>
              <a:schemeClr val="accent1"/>
            </a:solidFill>
            <a:ln>
              <a:noFill/>
            </a:ln>
            <a:effectLst/>
          </c:spPr>
          <c:invertIfNegative val="0"/>
          <c:cat>
            <c:strRef>
              <c:f>Sheet1!$A$2:$A$10</c:f>
              <c:strCache>
                <c:ptCount val="9"/>
                <c:pt idx="0">
                  <c:v>Others*</c:v>
                </c:pt>
                <c:pt idx="1">
                  <c:v>Commentary</c:v>
                </c:pt>
                <c:pt idx="2">
                  <c:v>Cartoons</c:v>
                </c:pt>
                <c:pt idx="3">
                  <c:v>Editorials</c:v>
                </c:pt>
                <c:pt idx="4">
                  <c:v>Guardian Witness</c:v>
                </c:pt>
                <c:pt idx="5">
                  <c:v>Photo reports</c:v>
                </c:pt>
                <c:pt idx="6">
                  <c:v>Videos</c:v>
                </c:pt>
                <c:pt idx="7">
                  <c:v>Live blogs</c:v>
                </c:pt>
                <c:pt idx="8">
                  <c:v>Articles</c:v>
                </c:pt>
              </c:strCache>
            </c:strRef>
          </c:cat>
          <c:val>
            <c:numRef>
              <c:f>Sheet1!$B$2:$B$10</c:f>
              <c:numCache>
                <c:formatCode>General</c:formatCode>
                <c:ptCount val="9"/>
                <c:pt idx="0">
                  <c:v>1.0</c:v>
                </c:pt>
                <c:pt idx="1">
                  <c:v>31.0</c:v>
                </c:pt>
                <c:pt idx="2">
                  <c:v>3.0</c:v>
                </c:pt>
                <c:pt idx="3">
                  <c:v>4.0</c:v>
                </c:pt>
                <c:pt idx="4">
                  <c:v>4.0</c:v>
                </c:pt>
                <c:pt idx="5">
                  <c:v>11.0</c:v>
                </c:pt>
                <c:pt idx="6">
                  <c:v>68.0</c:v>
                </c:pt>
                <c:pt idx="7">
                  <c:v>6.0</c:v>
                </c:pt>
                <c:pt idx="8">
                  <c:v>217.0</c:v>
                </c:pt>
              </c:numCache>
            </c:numRef>
          </c:val>
        </c:ser>
        <c:ser>
          <c:idx val="1"/>
          <c:order val="1"/>
          <c:tx>
            <c:strRef>
              <c:f>Sheet1!$C$1</c:f>
              <c:strCache>
                <c:ptCount val="1"/>
                <c:pt idx="0">
                  <c:v>Beirut</c:v>
                </c:pt>
              </c:strCache>
            </c:strRef>
          </c:tx>
          <c:spPr>
            <a:solidFill>
              <a:schemeClr val="accent2"/>
            </a:solidFill>
            <a:ln>
              <a:noFill/>
            </a:ln>
            <a:effectLst/>
          </c:spPr>
          <c:invertIfNegative val="0"/>
          <c:cat>
            <c:strRef>
              <c:f>Sheet1!$A$2:$A$10</c:f>
              <c:strCache>
                <c:ptCount val="9"/>
                <c:pt idx="0">
                  <c:v>Others*</c:v>
                </c:pt>
                <c:pt idx="1">
                  <c:v>Commentary</c:v>
                </c:pt>
                <c:pt idx="2">
                  <c:v>Cartoons</c:v>
                </c:pt>
                <c:pt idx="3">
                  <c:v>Editorials</c:v>
                </c:pt>
                <c:pt idx="4">
                  <c:v>Guardian Witness</c:v>
                </c:pt>
                <c:pt idx="5">
                  <c:v>Photo reports</c:v>
                </c:pt>
                <c:pt idx="6">
                  <c:v>Videos</c:v>
                </c:pt>
                <c:pt idx="7">
                  <c:v>Live blogs</c:v>
                </c:pt>
                <c:pt idx="8">
                  <c:v>Articles</c:v>
                </c:pt>
              </c:strCache>
            </c:strRef>
          </c:cat>
          <c:val>
            <c:numRef>
              <c:f>Sheet1!$C$2:$C$10</c:f>
              <c:numCache>
                <c:formatCode>General</c:formatCode>
                <c:ptCount val="9"/>
                <c:pt idx="0">
                  <c:v>0.0</c:v>
                </c:pt>
                <c:pt idx="1">
                  <c:v>0.0</c:v>
                </c:pt>
                <c:pt idx="2">
                  <c:v>0.0</c:v>
                </c:pt>
                <c:pt idx="3">
                  <c:v>0.0</c:v>
                </c:pt>
                <c:pt idx="4">
                  <c:v>1.0</c:v>
                </c:pt>
                <c:pt idx="5">
                  <c:v>0.0</c:v>
                </c:pt>
                <c:pt idx="6">
                  <c:v>1.0</c:v>
                </c:pt>
                <c:pt idx="7">
                  <c:v>0.0</c:v>
                </c:pt>
                <c:pt idx="8">
                  <c:v>3.0</c:v>
                </c:pt>
              </c:numCache>
            </c:numRef>
          </c:val>
        </c:ser>
        <c:dLbls>
          <c:showLegendKey val="0"/>
          <c:showVal val="0"/>
          <c:showCatName val="0"/>
          <c:showSerName val="0"/>
          <c:showPercent val="0"/>
          <c:showBubbleSize val="0"/>
        </c:dLbls>
        <c:gapWidth val="269"/>
        <c:axId val="-2123173648"/>
        <c:axId val="-2094209888"/>
      </c:barChart>
      <c:catAx>
        <c:axId val="-2123173648"/>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2094209888"/>
        <c:crosses val="autoZero"/>
        <c:auto val="1"/>
        <c:lblAlgn val="ctr"/>
        <c:lblOffset val="100"/>
        <c:noMultiLvlLbl val="0"/>
      </c:catAx>
      <c:valAx>
        <c:axId val="-2094209888"/>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2317364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nl-NL" sz="1200"/>
              <a:t>Without words in title, but still part of topic</a:t>
            </a: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en-US"/>
        </a:p>
      </c:txPr>
    </c:title>
    <c:autoTitleDeleted val="0"/>
    <c:plotArea>
      <c:layout/>
      <c:barChart>
        <c:barDir val="bar"/>
        <c:grouping val="clustered"/>
        <c:varyColors val="0"/>
        <c:ser>
          <c:idx val="0"/>
          <c:order val="0"/>
          <c:tx>
            <c:strRef>
              <c:f>Sheet1!$B$1</c:f>
              <c:strCache>
                <c:ptCount val="1"/>
                <c:pt idx="0">
                  <c:v>Paris</c:v>
                </c:pt>
              </c:strCache>
            </c:strRef>
          </c:tx>
          <c:spPr>
            <a:solidFill>
              <a:schemeClr val="accent1"/>
            </a:solidFill>
            <a:ln>
              <a:noFill/>
            </a:ln>
            <a:effectLst/>
          </c:spPr>
          <c:invertIfNegative val="0"/>
          <c:cat>
            <c:strRef>
              <c:f>Sheet1!$A$2:$A$10</c:f>
              <c:strCache>
                <c:ptCount val="9"/>
                <c:pt idx="0">
                  <c:v>Others*</c:v>
                </c:pt>
                <c:pt idx="1">
                  <c:v>Commentary</c:v>
                </c:pt>
                <c:pt idx="2">
                  <c:v>Cartoons</c:v>
                </c:pt>
                <c:pt idx="3">
                  <c:v>Editorials</c:v>
                </c:pt>
                <c:pt idx="4">
                  <c:v>Guardian Witness</c:v>
                </c:pt>
                <c:pt idx="5">
                  <c:v>Photo reports</c:v>
                </c:pt>
                <c:pt idx="6">
                  <c:v>Videos</c:v>
                </c:pt>
                <c:pt idx="7">
                  <c:v>Live blogs</c:v>
                </c:pt>
                <c:pt idx="8">
                  <c:v>Articles</c:v>
                </c:pt>
              </c:strCache>
            </c:strRef>
          </c:cat>
          <c:val>
            <c:numRef>
              <c:f>Sheet1!$B$2:$B$10</c:f>
              <c:numCache>
                <c:formatCode>General</c:formatCode>
                <c:ptCount val="9"/>
                <c:pt idx="0">
                  <c:v>2.0</c:v>
                </c:pt>
                <c:pt idx="1">
                  <c:v>93.0</c:v>
                </c:pt>
                <c:pt idx="2">
                  <c:v>6.0</c:v>
                </c:pt>
                <c:pt idx="3">
                  <c:v>6.0</c:v>
                </c:pt>
                <c:pt idx="4">
                  <c:v>4.0</c:v>
                </c:pt>
                <c:pt idx="5">
                  <c:v>8.0</c:v>
                </c:pt>
                <c:pt idx="6">
                  <c:v>81.0</c:v>
                </c:pt>
                <c:pt idx="7">
                  <c:v>4.0</c:v>
                </c:pt>
                <c:pt idx="8">
                  <c:v>236.0</c:v>
                </c:pt>
              </c:numCache>
            </c:numRef>
          </c:val>
        </c:ser>
        <c:ser>
          <c:idx val="1"/>
          <c:order val="1"/>
          <c:tx>
            <c:strRef>
              <c:f>Sheet1!$C$1</c:f>
              <c:strCache>
                <c:ptCount val="1"/>
                <c:pt idx="0">
                  <c:v>Beirut</c:v>
                </c:pt>
              </c:strCache>
            </c:strRef>
          </c:tx>
          <c:spPr>
            <a:solidFill>
              <a:schemeClr val="accent2"/>
            </a:solidFill>
            <a:ln>
              <a:noFill/>
            </a:ln>
            <a:effectLst/>
          </c:spPr>
          <c:invertIfNegative val="0"/>
          <c:cat>
            <c:strRef>
              <c:f>Sheet1!$A$2:$A$10</c:f>
              <c:strCache>
                <c:ptCount val="9"/>
                <c:pt idx="0">
                  <c:v>Others*</c:v>
                </c:pt>
                <c:pt idx="1">
                  <c:v>Commentary</c:v>
                </c:pt>
                <c:pt idx="2">
                  <c:v>Cartoons</c:v>
                </c:pt>
                <c:pt idx="3">
                  <c:v>Editorials</c:v>
                </c:pt>
                <c:pt idx="4">
                  <c:v>Guardian Witness</c:v>
                </c:pt>
                <c:pt idx="5">
                  <c:v>Photo reports</c:v>
                </c:pt>
                <c:pt idx="6">
                  <c:v>Videos</c:v>
                </c:pt>
                <c:pt idx="7">
                  <c:v>Live blogs</c:v>
                </c:pt>
                <c:pt idx="8">
                  <c:v>Articles</c:v>
                </c:pt>
              </c:strCache>
            </c:strRef>
          </c:cat>
          <c:val>
            <c:numRef>
              <c:f>Sheet1!$C$2:$C$10</c:f>
              <c:numCache>
                <c:formatCode>General</c:formatCode>
                <c:ptCount val="9"/>
                <c:pt idx="0">
                  <c:v>0.0</c:v>
                </c:pt>
                <c:pt idx="1">
                  <c:v>1.0</c:v>
                </c:pt>
                <c:pt idx="2">
                  <c:v>0.0</c:v>
                </c:pt>
                <c:pt idx="3">
                  <c:v>0.0</c:v>
                </c:pt>
                <c:pt idx="4">
                  <c:v>0.0</c:v>
                </c:pt>
                <c:pt idx="5">
                  <c:v>0.0</c:v>
                </c:pt>
                <c:pt idx="6">
                  <c:v>0.0</c:v>
                </c:pt>
                <c:pt idx="7">
                  <c:v>0.0</c:v>
                </c:pt>
                <c:pt idx="8">
                  <c:v>3.0</c:v>
                </c:pt>
              </c:numCache>
            </c:numRef>
          </c:val>
        </c:ser>
        <c:dLbls>
          <c:showLegendKey val="0"/>
          <c:showVal val="0"/>
          <c:showCatName val="0"/>
          <c:showSerName val="0"/>
          <c:showPercent val="0"/>
          <c:showBubbleSize val="0"/>
        </c:dLbls>
        <c:gapWidth val="269"/>
        <c:axId val="-2124258016"/>
        <c:axId val="-2124255072"/>
      </c:barChart>
      <c:catAx>
        <c:axId val="-2124258016"/>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2124255072"/>
        <c:crosses val="autoZero"/>
        <c:auto val="1"/>
        <c:lblAlgn val="ctr"/>
        <c:lblOffset val="100"/>
        <c:noMultiLvlLbl val="0"/>
      </c:catAx>
      <c:valAx>
        <c:axId val="-2124255072"/>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2425801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2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07DAC5-362E-0649-B5B1-45641F86F2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99</Pages>
  <Words>38328</Words>
  <Characters>218470</Characters>
  <Application>Microsoft Macintosh Word</Application>
  <DocSecurity>0</DocSecurity>
  <Lines>1820</Lines>
  <Paragraphs>512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256286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Sanne Groothuis</dc:creator>
  <cp:keywords/>
  <dc:description/>
  <cp:lastModifiedBy>Anya Topolski</cp:lastModifiedBy>
  <cp:revision>2</cp:revision>
  <cp:lastPrinted>2016-08-14T23:12:00Z</cp:lastPrinted>
  <dcterms:created xsi:type="dcterms:W3CDTF">2016-08-15T12:52:00Z</dcterms:created>
  <dcterms:modified xsi:type="dcterms:W3CDTF">2016-08-15T12:52:00Z</dcterms:modified>
</cp:coreProperties>
</file>